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rPr>
          <w:rFonts w:ascii="Times New Roman"/>
          <w:sz w:val="20"/>
        </w:rPr>
      </w:pPr>
    </w:p>
    <w:p w:rsidR="00E702F6">
      <w:pPr>
        <w:pStyle w:val="BodyText"/>
        <w:spacing w:before="2"/>
        <w:rPr>
          <w:rFonts w:ascii="Times New Roman"/>
          <w:sz w:val="23"/>
        </w:rPr>
      </w:pPr>
    </w:p>
    <w:p w:rsidR="00E702F6">
      <w:pPr>
        <w:pStyle w:val="Heading1"/>
        <w:spacing w:line="834" w:lineRule="exact"/>
      </w:pPr>
      <w:r>
        <w:rPr>
          <w:color w:val="585858"/>
        </w:rPr>
        <w:t>Main Estimate</w:t>
      </w:r>
    </w:p>
    <w:p w:rsidR="00E702F6">
      <w:pPr>
        <w:spacing w:before="230"/>
        <w:ind w:left="100"/>
        <w:rPr>
          <w:b/>
          <w:sz w:val="72"/>
        </w:rPr>
      </w:pPr>
      <w:r>
        <w:rPr>
          <w:b/>
          <w:color w:val="585858"/>
          <w:sz w:val="72"/>
        </w:rPr>
        <w:t>2021-22</w:t>
      </w:r>
    </w:p>
    <w:p w:rsidR="00E702F6">
      <w:pPr>
        <w:spacing w:before="229"/>
        <w:ind w:left="100"/>
        <w:rPr>
          <w:b/>
          <w:sz w:val="72"/>
        </w:rPr>
      </w:pPr>
      <w:r>
        <w:rPr>
          <w:b/>
          <w:sz w:val="72"/>
        </w:rPr>
        <w:t>HM Land Registry</w:t>
      </w:r>
    </w:p>
    <w:p w:rsidR="00E702F6">
      <w:pPr>
        <w:rPr>
          <w:sz w:val="72"/>
        </w:rPr>
        <w:sectPr>
          <w:headerReference w:type="default" r:id="rId4"/>
          <w:footerReference w:type="default" r:id="rId5"/>
          <w:type w:val="continuous"/>
          <w:pgSz w:w="11910" w:h="16840"/>
          <w:pgMar w:top="1700" w:right="900" w:bottom="1200" w:left="1340" w:header="569" w:footer="1000" w:gutter="0"/>
          <w:pgNumType w:start="1"/>
          <w:cols w:space="720"/>
        </w:sectPr>
      </w:pPr>
    </w:p>
    <w:p w:rsidR="00E702F6">
      <w:pPr>
        <w:pStyle w:val="BodyText"/>
        <w:rPr>
          <w:b/>
          <w:sz w:val="20"/>
        </w:rPr>
      </w:pPr>
    </w:p>
    <w:p w:rsidR="00E702F6">
      <w:pPr>
        <w:pStyle w:val="BodyText"/>
        <w:rPr>
          <w:b/>
          <w:sz w:val="20"/>
        </w:rPr>
      </w:pPr>
    </w:p>
    <w:p w:rsidR="00E702F6">
      <w:pPr>
        <w:pStyle w:val="BodyText"/>
        <w:rPr>
          <w:b/>
          <w:sz w:val="20"/>
        </w:rPr>
      </w:pPr>
    </w:p>
    <w:p w:rsidR="00E702F6">
      <w:pPr>
        <w:pStyle w:val="BodyText"/>
        <w:rPr>
          <w:b/>
          <w:sz w:val="20"/>
        </w:rPr>
      </w:pPr>
    </w:p>
    <w:p w:rsidR="00E702F6">
      <w:pPr>
        <w:pStyle w:val="BodyText"/>
        <w:spacing w:before="7"/>
        <w:rPr>
          <w:b/>
          <w:sz w:val="18"/>
        </w:rPr>
      </w:pPr>
    </w:p>
    <w:p w:rsidR="00E702F6">
      <w:pPr>
        <w:pStyle w:val="Heading2"/>
        <w:numPr>
          <w:ilvl w:val="0"/>
          <w:numId w:val="3"/>
        </w:numPr>
        <w:tabs>
          <w:tab w:val="left" w:pos="695"/>
          <w:tab w:val="left" w:pos="696"/>
        </w:tabs>
      </w:pPr>
      <w:r>
        <w:rPr>
          <w:color w:val="2E5395"/>
        </w:rPr>
        <w:t>Overview</w:t>
      </w:r>
    </w:p>
    <w:p w:rsidR="00E702F6">
      <w:pPr>
        <w:pStyle w:val="BodyText"/>
        <w:spacing w:before="12"/>
        <w:rPr>
          <w:rFonts w:ascii="Calibri Light"/>
          <w:sz w:val="23"/>
        </w:rPr>
      </w:pPr>
    </w:p>
    <w:p w:rsidR="00E702F6">
      <w:pPr>
        <w:pStyle w:val="Heading3"/>
        <w:numPr>
          <w:ilvl w:val="1"/>
          <w:numId w:val="3"/>
        </w:numPr>
        <w:tabs>
          <w:tab w:val="left" w:pos="702"/>
          <w:tab w:val="left" w:pos="703"/>
        </w:tabs>
      </w:pPr>
      <w:r>
        <w:rPr>
          <w:color w:val="2E5395"/>
        </w:rPr>
        <w:t>Objectives</w:t>
      </w:r>
    </w:p>
    <w:p w:rsidR="00E702F6">
      <w:pPr>
        <w:pStyle w:val="BodyText"/>
        <w:spacing w:before="121" w:line="259" w:lineRule="auto"/>
        <w:ind w:left="100" w:right="897"/>
      </w:pPr>
      <w:r>
        <w:t xml:space="preserve">HMLR’s ambition is to become the world’s leading land registry for speed, </w:t>
      </w:r>
      <w:r>
        <w:t>simplicity</w:t>
      </w:r>
      <w:r>
        <w:t xml:space="preserve"> and an open approach to data. Further details can be found in the HMLR’s Business Strategy 2017-2022 </w:t>
      </w:r>
      <w:r>
        <w:fldChar w:fldCharType="begin"/>
      </w:r>
      <w:r>
        <w:instrText xml:space="preserve"> HYPERLINK "https://assets.publishing.service.gov.uk/government/uploads/system/uploads/attachment_data/file/662811/HM_Land_Registry_Business_strategy_2017_to_2022.pdf" </w:instrText>
      </w:r>
      <w:r>
        <w:fldChar w:fldCharType="separate"/>
      </w:r>
      <w:r>
        <w:rPr>
          <w:color w:val="0462C1"/>
          <w:u w:val="single" w:color="0462C1"/>
        </w:rPr>
        <w:t>here</w:t>
      </w:r>
      <w:r>
        <w:fldChar w:fldCharType="end"/>
      </w:r>
      <w:r>
        <w:t>.</w:t>
      </w:r>
    </w:p>
    <w:p w:rsidR="00E702F6">
      <w:pPr>
        <w:pStyle w:val="BodyText"/>
        <w:spacing w:before="6"/>
        <w:rPr>
          <w:sz w:val="8"/>
        </w:rPr>
      </w:pPr>
    </w:p>
    <w:p w:rsidR="00E702F6">
      <w:pPr>
        <w:pStyle w:val="BodyText"/>
        <w:spacing w:before="56"/>
        <w:ind w:left="100"/>
      </w:pPr>
      <w:r>
        <w:t>HMLR’s primary role is to provide:</w:t>
      </w:r>
    </w:p>
    <w:p w:rsidR="00E702F6">
      <w:pPr>
        <w:pStyle w:val="ListParagraph"/>
        <w:numPr>
          <w:ilvl w:val="2"/>
          <w:numId w:val="3"/>
        </w:numPr>
        <w:tabs>
          <w:tab w:val="left" w:pos="820"/>
          <w:tab w:val="left" w:pos="821"/>
        </w:tabs>
        <w:spacing w:before="180" w:line="259" w:lineRule="auto"/>
        <w:ind w:right="895"/>
        <w:rPr>
          <w:rFonts w:ascii="Symbol" w:hAnsi="Symbol"/>
        </w:rPr>
      </w:pPr>
      <w:r>
        <w:t>a record of information about the ownership of and interests affecting land and property (such as a mortgage, lease or right of</w:t>
      </w:r>
      <w:r>
        <w:rPr>
          <w:spacing w:val="-11"/>
        </w:rPr>
        <w:t xml:space="preserve"> </w:t>
      </w:r>
      <w:r>
        <w:t>way)</w:t>
      </w:r>
    </w:p>
    <w:p w:rsidR="00E702F6">
      <w:pPr>
        <w:pStyle w:val="ListParagraph"/>
        <w:numPr>
          <w:ilvl w:val="2"/>
          <w:numId w:val="3"/>
        </w:numPr>
        <w:tabs>
          <w:tab w:val="left" w:pos="820"/>
          <w:tab w:val="left" w:pos="821"/>
        </w:tabs>
        <w:spacing w:before="1"/>
        <w:ind w:hanging="361"/>
        <w:rPr>
          <w:rFonts w:ascii="Symbol" w:hAnsi="Symbol"/>
        </w:rPr>
      </w:pPr>
      <w:r>
        <w:t>land and property owners with a title which is guaranteed by the state;</w:t>
      </w:r>
      <w:r>
        <w:rPr>
          <w:spacing w:val="-16"/>
        </w:rPr>
        <w:t xml:space="preserve"> </w:t>
      </w:r>
      <w:r>
        <w:t>and</w:t>
      </w:r>
    </w:p>
    <w:p w:rsidR="00E702F6">
      <w:pPr>
        <w:pStyle w:val="ListParagraph"/>
        <w:numPr>
          <w:ilvl w:val="2"/>
          <w:numId w:val="3"/>
        </w:numPr>
        <w:tabs>
          <w:tab w:val="left" w:pos="820"/>
          <w:tab w:val="left" w:pos="821"/>
        </w:tabs>
        <w:spacing w:before="20"/>
        <w:ind w:hanging="361"/>
        <w:rPr>
          <w:rFonts w:ascii="Symbol" w:hAnsi="Symbol"/>
        </w:rPr>
      </w:pPr>
      <w:r>
        <w:t>the financial sector with the capability to sec</w:t>
      </w:r>
      <w:r>
        <w:t>ure lending against</w:t>
      </w:r>
      <w:r>
        <w:rPr>
          <w:spacing w:val="-5"/>
        </w:rPr>
        <w:t xml:space="preserve"> </w:t>
      </w:r>
      <w:r>
        <w:t>property.</w:t>
      </w:r>
    </w:p>
    <w:p w:rsidR="00E702F6">
      <w:pPr>
        <w:pStyle w:val="BodyText"/>
        <w:spacing w:before="183" w:line="259" w:lineRule="auto"/>
        <w:ind w:left="100" w:right="582"/>
      </w:pPr>
      <w:r>
        <w:t xml:space="preserve">Prior to 1 April 2020 HMLR was a trading fund and covered its operational costs through fee income. On 1 April 2020 its trading fund status was revoked in law and HMLR joined other central government departments in having its </w:t>
      </w:r>
      <w:r>
        <w:t>annual expenditure control totals delegated directly by HM Treasury. HMLR is required to surrender all its income to the consolidated fund and account for it using a Trust Statement. HMLR is now classified as a non-ministerial government department with BE</w:t>
      </w:r>
      <w:r>
        <w:t>IS as its sponsoring department.</w:t>
      </w:r>
    </w:p>
    <w:p w:rsidR="00E702F6">
      <w:pPr>
        <w:pStyle w:val="BodyText"/>
      </w:pPr>
    </w:p>
    <w:p w:rsidR="00E702F6">
      <w:pPr>
        <w:pStyle w:val="Heading3"/>
        <w:numPr>
          <w:ilvl w:val="1"/>
          <w:numId w:val="3"/>
        </w:numPr>
        <w:tabs>
          <w:tab w:val="left" w:pos="641"/>
        </w:tabs>
        <w:spacing w:before="183"/>
        <w:ind w:left="640" w:hanging="541"/>
      </w:pPr>
      <w:r>
        <w:rPr>
          <w:color w:val="2E5395"/>
        </w:rPr>
        <w:t>Spending</w:t>
      </w:r>
      <w:r>
        <w:rPr>
          <w:color w:val="2E5395"/>
          <w:spacing w:val="-1"/>
        </w:rPr>
        <w:t xml:space="preserve"> </w:t>
      </w:r>
      <w:r>
        <w:rPr>
          <w:color w:val="2E5395"/>
        </w:rPr>
        <w:t>controls</w:t>
      </w:r>
    </w:p>
    <w:p w:rsidR="00E702F6">
      <w:pPr>
        <w:pStyle w:val="BodyText"/>
        <w:spacing w:before="118"/>
        <w:ind w:left="100"/>
      </w:pPr>
      <w:r>
        <w:t>HMLR’s net spending is broken down into several spending totals, for which Parliament’s approval is</w:t>
      </w:r>
    </w:p>
    <w:p w:rsidR="00E702F6">
      <w:pPr>
        <w:pStyle w:val="BodyText"/>
        <w:spacing w:before="22"/>
        <w:ind w:left="100"/>
      </w:pPr>
      <w:r>
        <w:t>sought.</w:t>
      </w:r>
    </w:p>
    <w:p w:rsidR="00E702F6">
      <w:pPr>
        <w:pStyle w:val="BodyText"/>
        <w:spacing w:before="183"/>
        <w:ind w:left="100"/>
      </w:pPr>
      <w:r>
        <w:t>The spending totals which Parliament votes are:</w:t>
      </w:r>
    </w:p>
    <w:p w:rsidR="00E702F6">
      <w:pPr>
        <w:pStyle w:val="ListParagraph"/>
        <w:numPr>
          <w:ilvl w:val="2"/>
          <w:numId w:val="3"/>
        </w:numPr>
        <w:tabs>
          <w:tab w:val="left" w:pos="820"/>
          <w:tab w:val="left" w:pos="821"/>
        </w:tabs>
        <w:spacing w:before="181" w:line="259" w:lineRule="auto"/>
        <w:ind w:right="712"/>
        <w:rPr>
          <w:rFonts w:ascii="Symbol" w:hAnsi="Symbol"/>
        </w:rPr>
      </w:pPr>
      <w:r>
        <w:t>Resource Departmental Expenditure Limit (“Resour</w:t>
      </w:r>
      <w:r>
        <w:t>ce DEL”) - a net limit comprising day-to- day running</w:t>
      </w:r>
      <w:r>
        <w:rPr>
          <w:spacing w:val="-1"/>
        </w:rPr>
        <w:t xml:space="preserve"> </w:t>
      </w:r>
      <w:r>
        <w:t>costs;</w:t>
      </w:r>
    </w:p>
    <w:p w:rsidR="00E702F6">
      <w:pPr>
        <w:pStyle w:val="ListParagraph"/>
        <w:numPr>
          <w:ilvl w:val="2"/>
          <w:numId w:val="3"/>
        </w:numPr>
        <w:tabs>
          <w:tab w:val="left" w:pos="820"/>
          <w:tab w:val="left" w:pos="821"/>
        </w:tabs>
        <w:spacing w:line="259" w:lineRule="auto"/>
        <w:ind w:right="668"/>
        <w:rPr>
          <w:rFonts w:ascii="Symbol" w:hAnsi="Symbol"/>
        </w:rPr>
      </w:pPr>
      <w:r>
        <w:t>Capital Departmental Expenditure Limit (“Capital DEL”) - investment in internally generated software, estates and IT</w:t>
      </w:r>
      <w:r>
        <w:rPr>
          <w:spacing w:val="-5"/>
        </w:rPr>
        <w:t xml:space="preserve"> </w:t>
      </w:r>
      <w:r>
        <w:t>equipment;</w:t>
      </w:r>
    </w:p>
    <w:p w:rsidR="00E702F6">
      <w:pPr>
        <w:pStyle w:val="ListParagraph"/>
        <w:numPr>
          <w:ilvl w:val="2"/>
          <w:numId w:val="3"/>
        </w:numPr>
        <w:tabs>
          <w:tab w:val="left" w:pos="820"/>
          <w:tab w:val="left" w:pos="821"/>
        </w:tabs>
        <w:spacing w:before="1" w:line="256" w:lineRule="auto"/>
        <w:ind w:right="633"/>
        <w:rPr>
          <w:rFonts w:ascii="Symbol" w:hAnsi="Symbol"/>
          <w:sz w:val="24"/>
        </w:rPr>
      </w:pPr>
      <w:r>
        <w:t xml:space="preserve">Annually Managed Expenditure (“AME”) - items that may be unpredictable or not easily controlled. For HMLR, the most significant element of AME is the movement in the Indemnity provision which is used to underwrite the accuracy of the land register and act </w:t>
      </w:r>
      <w:r>
        <w:t>as an indemnity against fraud or error. It also covers other non-cash items such as impairments.</w:t>
      </w:r>
    </w:p>
    <w:p w:rsidR="00E702F6">
      <w:pPr>
        <w:pStyle w:val="BodyText"/>
      </w:pPr>
    </w:p>
    <w:p w:rsidR="00E702F6">
      <w:pPr>
        <w:pStyle w:val="BodyText"/>
        <w:spacing w:before="9"/>
        <w:rPr>
          <w:sz w:val="28"/>
        </w:rPr>
      </w:pPr>
    </w:p>
    <w:p w:rsidR="00E702F6">
      <w:pPr>
        <w:pStyle w:val="Heading3"/>
        <w:numPr>
          <w:ilvl w:val="1"/>
          <w:numId w:val="3"/>
        </w:numPr>
        <w:tabs>
          <w:tab w:val="left" w:pos="641"/>
        </w:tabs>
        <w:ind w:left="640" w:hanging="541"/>
      </w:pPr>
      <w:r>
        <w:rPr>
          <w:color w:val="2E5395"/>
        </w:rPr>
        <w:t>Comparison of net spending totals</w:t>
      </w:r>
      <w:r>
        <w:rPr>
          <w:color w:val="2E5395"/>
          <w:spacing w:val="-6"/>
        </w:rPr>
        <w:t xml:space="preserve"> </w:t>
      </w:r>
      <w:r>
        <w:rPr>
          <w:color w:val="2E5395"/>
        </w:rPr>
        <w:t>sought</w:t>
      </w:r>
    </w:p>
    <w:p w:rsidR="00E702F6">
      <w:pPr>
        <w:pStyle w:val="BodyText"/>
        <w:spacing w:before="118" w:line="290" w:lineRule="auto"/>
        <w:ind w:left="100" w:right="817"/>
      </w:pPr>
      <w:r>
        <w:t>The table below shows how the net spending totals sought for HMLR compared with the final and original budgets for 2</w:t>
      </w:r>
      <w:r>
        <w:t>020-21:</w:t>
      </w:r>
    </w:p>
    <w:p w:rsidR="00E702F6">
      <w:pPr>
        <w:spacing w:line="290" w:lineRule="auto"/>
        <w:sectPr>
          <w:pgSz w:w="11910" w:h="16840"/>
          <w:pgMar w:top="1700" w:right="900" w:bottom="1200" w:left="1340" w:header="569" w:footer="1000" w:gutter="0"/>
          <w:cols w:space="720"/>
        </w:sectPr>
      </w:pPr>
    </w:p>
    <w:p w:rsidR="00E702F6">
      <w:pPr>
        <w:pStyle w:val="BodyText"/>
        <w:rPr>
          <w:sz w:val="20"/>
        </w:rPr>
      </w:pPr>
    </w:p>
    <w:p w:rsidR="00E702F6">
      <w:pPr>
        <w:pStyle w:val="BodyText"/>
        <w:rPr>
          <w:sz w:val="20"/>
        </w:rPr>
      </w:pPr>
    </w:p>
    <w:p w:rsidR="00E702F6">
      <w:pPr>
        <w:pStyle w:val="BodyText"/>
        <w:rPr>
          <w:sz w:val="20"/>
        </w:rPr>
      </w:pPr>
    </w:p>
    <w:p w:rsidR="00E702F6">
      <w:pPr>
        <w:pStyle w:val="BodyText"/>
        <w:rPr>
          <w:sz w:val="20"/>
        </w:rPr>
      </w:pPr>
    </w:p>
    <w:p w:rsidR="00E702F6">
      <w:pPr>
        <w:pStyle w:val="BodyText"/>
        <w:rPr>
          <w:sz w:val="20"/>
        </w:rPr>
      </w:pPr>
    </w:p>
    <w:p w:rsidR="00E702F6">
      <w:pPr>
        <w:pStyle w:val="BodyText"/>
        <w:rPr>
          <w:sz w:val="20"/>
        </w:rPr>
      </w:pPr>
    </w:p>
    <w:p w:rsidR="00E702F6">
      <w:pPr>
        <w:pStyle w:val="BodyText"/>
        <w:rPr>
          <w:sz w:val="20"/>
        </w:rPr>
      </w:pPr>
    </w:p>
    <w:p w:rsidR="00E702F6">
      <w:pPr>
        <w:pStyle w:val="BodyText"/>
        <w:spacing w:before="9"/>
        <w:rPr>
          <w:sz w:val="11"/>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723"/>
        <w:gridCol w:w="1508"/>
        <w:gridCol w:w="1568"/>
        <w:gridCol w:w="1417"/>
        <w:gridCol w:w="1294"/>
        <w:gridCol w:w="1278"/>
      </w:tblGrid>
      <w:tr>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104"/>
        </w:trPr>
        <w:tc>
          <w:tcPr>
            <w:tcW w:w="3231" w:type="dxa"/>
            <w:gridSpan w:val="2"/>
            <w:vMerge w:val="restart"/>
          </w:tcPr>
          <w:p w:rsidR="00E702F6">
            <w:pPr>
              <w:pStyle w:val="TableParagraph"/>
              <w:spacing w:before="23" w:line="379" w:lineRule="auto"/>
              <w:ind w:left="107" w:right="960"/>
              <w:rPr>
                <w:b/>
                <w:sz w:val="19"/>
              </w:rPr>
            </w:pPr>
            <w:r>
              <w:rPr>
                <w:b/>
                <w:sz w:val="19"/>
              </w:rPr>
              <w:t>Net Spending total amounts sought this year (Main Estimate 2021-22)</w:t>
            </w:r>
          </w:p>
        </w:tc>
        <w:tc>
          <w:tcPr>
            <w:tcW w:w="2985" w:type="dxa"/>
            <w:gridSpan w:val="2"/>
          </w:tcPr>
          <w:p w:rsidR="00E702F6">
            <w:pPr>
              <w:pStyle w:val="TableParagraph"/>
              <w:spacing w:before="23" w:line="357" w:lineRule="auto"/>
              <w:ind w:left="105" w:right="188"/>
              <w:rPr>
                <w:b/>
                <w:sz w:val="19"/>
              </w:rPr>
            </w:pPr>
            <w:r>
              <w:rPr>
                <w:b/>
                <w:sz w:val="19"/>
              </w:rPr>
              <w:t>Difference (+/-) compared to final budget last year</w:t>
            </w:r>
          </w:p>
          <w:p w:rsidR="00E702F6">
            <w:pPr>
              <w:pStyle w:val="TableParagraph"/>
              <w:spacing w:before="21"/>
              <w:ind w:left="105"/>
              <w:rPr>
                <w:b/>
                <w:sz w:val="19"/>
              </w:rPr>
            </w:pPr>
            <w:r>
              <w:rPr>
                <w:b/>
                <w:sz w:val="19"/>
              </w:rPr>
              <w:t>(Supplementary Estimate 2020-21)</w:t>
            </w:r>
          </w:p>
        </w:tc>
        <w:tc>
          <w:tcPr>
            <w:tcW w:w="2572" w:type="dxa"/>
            <w:gridSpan w:val="2"/>
          </w:tcPr>
          <w:p w:rsidR="00E702F6">
            <w:pPr>
              <w:pStyle w:val="TableParagraph"/>
              <w:spacing w:before="23" w:line="357" w:lineRule="auto"/>
              <w:ind w:left="106" w:right="166"/>
              <w:rPr>
                <w:b/>
                <w:sz w:val="19"/>
              </w:rPr>
            </w:pPr>
            <w:r>
              <w:rPr>
                <w:b/>
                <w:sz w:val="19"/>
              </w:rPr>
              <w:t>Difference (+/-) compared to original budget last</w:t>
            </w:r>
            <w:r>
              <w:rPr>
                <w:b/>
                <w:spacing w:val="-2"/>
                <w:sz w:val="19"/>
              </w:rPr>
              <w:t xml:space="preserve"> </w:t>
            </w:r>
            <w:r>
              <w:rPr>
                <w:b/>
                <w:sz w:val="19"/>
              </w:rPr>
              <w:t>year</w:t>
            </w:r>
          </w:p>
          <w:p w:rsidR="00E702F6">
            <w:pPr>
              <w:pStyle w:val="TableParagraph"/>
              <w:spacing w:before="21"/>
              <w:ind w:left="106"/>
              <w:rPr>
                <w:b/>
                <w:sz w:val="19"/>
              </w:rPr>
            </w:pPr>
            <w:r>
              <w:rPr>
                <w:b/>
                <w:sz w:val="19"/>
              </w:rPr>
              <w:t>(Main Estimate</w:t>
            </w:r>
            <w:r>
              <w:rPr>
                <w:b/>
                <w:spacing w:val="-8"/>
                <w:sz w:val="19"/>
              </w:rPr>
              <w:t xml:space="preserve"> </w:t>
            </w:r>
            <w:r>
              <w:rPr>
                <w:b/>
                <w:sz w:val="19"/>
              </w:rPr>
              <w:t>2020-21)</w:t>
            </w:r>
          </w:p>
        </w:tc>
      </w:tr>
      <w:tr>
        <w:tblPrEx>
          <w:tblW w:w="0" w:type="auto"/>
          <w:tblInd w:w="110" w:type="dxa"/>
          <w:tblLayout w:type="fixed"/>
          <w:tblCellMar>
            <w:left w:w="0" w:type="dxa"/>
            <w:right w:w="0" w:type="dxa"/>
          </w:tblCellMar>
          <w:tblLook w:val="01E0"/>
        </w:tblPrEx>
        <w:trPr>
          <w:trHeight w:val="388"/>
        </w:trPr>
        <w:tc>
          <w:tcPr>
            <w:tcW w:w="3231" w:type="dxa"/>
            <w:gridSpan w:val="2"/>
            <w:vMerge/>
            <w:tcBorders>
              <w:top w:val="nil"/>
            </w:tcBorders>
          </w:tcPr>
          <w:p w:rsidR="00E702F6">
            <w:pPr>
              <w:rPr>
                <w:sz w:val="2"/>
                <w:szCs w:val="2"/>
              </w:rPr>
            </w:pPr>
          </w:p>
        </w:tc>
        <w:tc>
          <w:tcPr>
            <w:tcW w:w="1568" w:type="dxa"/>
          </w:tcPr>
          <w:p w:rsidR="00E702F6">
            <w:pPr>
              <w:pStyle w:val="TableParagraph"/>
              <w:spacing w:before="23"/>
              <w:ind w:left="105"/>
              <w:rPr>
                <w:b/>
                <w:sz w:val="19"/>
              </w:rPr>
            </w:pPr>
            <w:r>
              <w:rPr>
                <w:b/>
                <w:sz w:val="19"/>
              </w:rPr>
              <w:t>£m</w:t>
            </w:r>
          </w:p>
        </w:tc>
        <w:tc>
          <w:tcPr>
            <w:tcW w:w="1417" w:type="dxa"/>
          </w:tcPr>
          <w:p w:rsidR="00E702F6">
            <w:pPr>
              <w:pStyle w:val="TableParagraph"/>
              <w:spacing w:before="23"/>
              <w:ind w:left="107"/>
              <w:rPr>
                <w:b/>
                <w:sz w:val="19"/>
              </w:rPr>
            </w:pPr>
            <w:r>
              <w:rPr>
                <w:b/>
                <w:w w:val="99"/>
                <w:sz w:val="19"/>
              </w:rPr>
              <w:t>%</w:t>
            </w:r>
          </w:p>
        </w:tc>
        <w:tc>
          <w:tcPr>
            <w:tcW w:w="1294" w:type="dxa"/>
          </w:tcPr>
          <w:p w:rsidR="00E702F6">
            <w:pPr>
              <w:pStyle w:val="TableParagraph"/>
              <w:spacing w:before="23"/>
              <w:ind w:left="106"/>
              <w:rPr>
                <w:b/>
                <w:sz w:val="19"/>
              </w:rPr>
            </w:pPr>
            <w:r>
              <w:rPr>
                <w:b/>
                <w:sz w:val="19"/>
              </w:rPr>
              <w:t>£m</w:t>
            </w:r>
          </w:p>
        </w:tc>
        <w:tc>
          <w:tcPr>
            <w:tcW w:w="1278" w:type="dxa"/>
          </w:tcPr>
          <w:p w:rsidR="00E702F6">
            <w:pPr>
              <w:pStyle w:val="TableParagraph"/>
              <w:spacing w:before="23"/>
              <w:ind w:left="106"/>
              <w:rPr>
                <w:b/>
                <w:sz w:val="19"/>
              </w:rPr>
            </w:pPr>
            <w:r>
              <w:rPr>
                <w:b/>
                <w:w w:val="99"/>
                <w:sz w:val="19"/>
              </w:rPr>
              <w:t>%</w:t>
            </w:r>
          </w:p>
        </w:tc>
      </w:tr>
      <w:tr>
        <w:tblPrEx>
          <w:tblW w:w="0" w:type="auto"/>
          <w:tblInd w:w="110" w:type="dxa"/>
          <w:tblLayout w:type="fixed"/>
          <w:tblCellMar>
            <w:left w:w="0" w:type="dxa"/>
            <w:right w:w="0" w:type="dxa"/>
          </w:tblCellMar>
          <w:tblLook w:val="01E0"/>
        </w:tblPrEx>
        <w:trPr>
          <w:trHeight w:val="388"/>
        </w:trPr>
        <w:tc>
          <w:tcPr>
            <w:tcW w:w="1723" w:type="dxa"/>
          </w:tcPr>
          <w:p w:rsidR="00E702F6">
            <w:pPr>
              <w:pStyle w:val="TableParagraph"/>
              <w:spacing w:before="20"/>
              <w:ind w:left="107"/>
              <w:rPr>
                <w:sz w:val="19"/>
              </w:rPr>
            </w:pPr>
            <w:r>
              <w:rPr>
                <w:sz w:val="19"/>
              </w:rPr>
              <w:t>Resource DEL</w:t>
            </w:r>
          </w:p>
        </w:tc>
        <w:tc>
          <w:tcPr>
            <w:tcW w:w="1508" w:type="dxa"/>
          </w:tcPr>
          <w:p w:rsidR="00E702F6">
            <w:pPr>
              <w:pStyle w:val="TableParagraph"/>
              <w:spacing w:before="20"/>
              <w:ind w:left="108"/>
              <w:rPr>
                <w:sz w:val="19"/>
              </w:rPr>
            </w:pPr>
            <w:r>
              <w:rPr>
                <w:sz w:val="19"/>
              </w:rPr>
              <w:t>£376.0m</w:t>
            </w:r>
          </w:p>
        </w:tc>
        <w:tc>
          <w:tcPr>
            <w:tcW w:w="1568" w:type="dxa"/>
          </w:tcPr>
          <w:p w:rsidR="00E702F6">
            <w:pPr>
              <w:pStyle w:val="TableParagraph"/>
              <w:spacing w:before="20"/>
              <w:ind w:left="105"/>
              <w:rPr>
                <w:sz w:val="19"/>
              </w:rPr>
            </w:pPr>
            <w:r>
              <w:rPr>
                <w:sz w:val="19"/>
              </w:rPr>
              <w:t>£29.6.m</w:t>
            </w:r>
          </w:p>
        </w:tc>
        <w:tc>
          <w:tcPr>
            <w:tcW w:w="1417" w:type="dxa"/>
          </w:tcPr>
          <w:p w:rsidR="00E702F6">
            <w:pPr>
              <w:pStyle w:val="TableParagraph"/>
              <w:spacing w:before="20"/>
              <w:ind w:left="150"/>
              <w:rPr>
                <w:sz w:val="19"/>
              </w:rPr>
            </w:pPr>
            <w:r>
              <w:rPr>
                <w:sz w:val="19"/>
              </w:rPr>
              <w:t>8.6%</w:t>
            </w:r>
          </w:p>
        </w:tc>
        <w:tc>
          <w:tcPr>
            <w:tcW w:w="1294" w:type="dxa"/>
          </w:tcPr>
          <w:p w:rsidR="00E702F6">
            <w:pPr>
              <w:pStyle w:val="TableParagraph"/>
              <w:spacing w:before="20"/>
              <w:ind w:left="150"/>
              <w:rPr>
                <w:sz w:val="19"/>
              </w:rPr>
            </w:pPr>
            <w:r>
              <w:rPr>
                <w:sz w:val="19"/>
              </w:rPr>
              <w:t>£14.6m</w:t>
            </w:r>
          </w:p>
        </w:tc>
        <w:tc>
          <w:tcPr>
            <w:tcW w:w="1278" w:type="dxa"/>
          </w:tcPr>
          <w:p w:rsidR="00E702F6">
            <w:pPr>
              <w:pStyle w:val="TableParagraph"/>
              <w:spacing w:before="20"/>
              <w:ind w:left="149"/>
              <w:rPr>
                <w:sz w:val="19"/>
              </w:rPr>
            </w:pPr>
            <w:r>
              <w:rPr>
                <w:sz w:val="19"/>
              </w:rPr>
              <w:t>4.0%</w:t>
            </w:r>
          </w:p>
        </w:tc>
      </w:tr>
      <w:tr>
        <w:tblPrEx>
          <w:tblW w:w="0" w:type="auto"/>
          <w:tblInd w:w="110" w:type="dxa"/>
          <w:tblLayout w:type="fixed"/>
          <w:tblCellMar>
            <w:left w:w="0" w:type="dxa"/>
            <w:right w:w="0" w:type="dxa"/>
          </w:tblCellMar>
          <w:tblLook w:val="01E0"/>
        </w:tblPrEx>
        <w:trPr>
          <w:trHeight w:val="388"/>
        </w:trPr>
        <w:tc>
          <w:tcPr>
            <w:tcW w:w="1723" w:type="dxa"/>
          </w:tcPr>
          <w:p w:rsidR="00E702F6">
            <w:pPr>
              <w:pStyle w:val="TableParagraph"/>
              <w:spacing w:before="20"/>
              <w:ind w:left="107"/>
              <w:rPr>
                <w:sz w:val="19"/>
              </w:rPr>
            </w:pPr>
            <w:r>
              <w:rPr>
                <w:sz w:val="19"/>
              </w:rPr>
              <w:t>Capital DEL</w:t>
            </w:r>
          </w:p>
        </w:tc>
        <w:tc>
          <w:tcPr>
            <w:tcW w:w="1508" w:type="dxa"/>
          </w:tcPr>
          <w:p w:rsidR="00E702F6">
            <w:pPr>
              <w:pStyle w:val="TableParagraph"/>
              <w:spacing w:before="20"/>
              <w:ind w:left="108"/>
              <w:rPr>
                <w:sz w:val="19"/>
              </w:rPr>
            </w:pPr>
            <w:r>
              <w:rPr>
                <w:sz w:val="19"/>
              </w:rPr>
              <w:t>£132.7m</w:t>
            </w:r>
          </w:p>
        </w:tc>
        <w:tc>
          <w:tcPr>
            <w:tcW w:w="1568" w:type="dxa"/>
          </w:tcPr>
          <w:p w:rsidR="00E702F6">
            <w:pPr>
              <w:pStyle w:val="TableParagraph"/>
              <w:spacing w:before="20"/>
              <w:ind w:left="105"/>
              <w:rPr>
                <w:sz w:val="19"/>
              </w:rPr>
            </w:pPr>
            <w:r>
              <w:rPr>
                <w:sz w:val="19"/>
              </w:rPr>
              <w:t>£92.5m</w:t>
            </w:r>
          </w:p>
        </w:tc>
        <w:tc>
          <w:tcPr>
            <w:tcW w:w="1417" w:type="dxa"/>
          </w:tcPr>
          <w:p w:rsidR="00E702F6">
            <w:pPr>
              <w:pStyle w:val="TableParagraph"/>
              <w:spacing w:before="20"/>
              <w:ind w:left="150"/>
              <w:rPr>
                <w:sz w:val="19"/>
              </w:rPr>
            </w:pPr>
            <w:r>
              <w:rPr>
                <w:sz w:val="19"/>
              </w:rPr>
              <w:t>230.1%</w:t>
            </w:r>
          </w:p>
        </w:tc>
        <w:tc>
          <w:tcPr>
            <w:tcW w:w="1294" w:type="dxa"/>
          </w:tcPr>
          <w:p w:rsidR="00E702F6">
            <w:pPr>
              <w:pStyle w:val="TableParagraph"/>
              <w:spacing w:before="20"/>
              <w:ind w:left="150"/>
              <w:rPr>
                <w:sz w:val="19"/>
              </w:rPr>
            </w:pPr>
            <w:r>
              <w:rPr>
                <w:sz w:val="19"/>
              </w:rPr>
              <w:t>£92.5m</w:t>
            </w:r>
          </w:p>
        </w:tc>
        <w:tc>
          <w:tcPr>
            <w:tcW w:w="1278" w:type="dxa"/>
          </w:tcPr>
          <w:p w:rsidR="00E702F6">
            <w:pPr>
              <w:pStyle w:val="TableParagraph"/>
              <w:spacing w:before="20"/>
              <w:ind w:left="149"/>
              <w:rPr>
                <w:sz w:val="19"/>
              </w:rPr>
            </w:pPr>
            <w:r>
              <w:rPr>
                <w:sz w:val="19"/>
              </w:rPr>
              <w:t>230.1%</w:t>
            </w:r>
          </w:p>
        </w:tc>
      </w:tr>
      <w:tr>
        <w:tblPrEx>
          <w:tblW w:w="0" w:type="auto"/>
          <w:tblInd w:w="110" w:type="dxa"/>
          <w:tblLayout w:type="fixed"/>
          <w:tblCellMar>
            <w:left w:w="0" w:type="dxa"/>
            <w:right w:w="0" w:type="dxa"/>
          </w:tblCellMar>
          <w:tblLook w:val="01E0"/>
        </w:tblPrEx>
        <w:trPr>
          <w:trHeight w:val="388"/>
        </w:trPr>
        <w:tc>
          <w:tcPr>
            <w:tcW w:w="1723" w:type="dxa"/>
          </w:tcPr>
          <w:p w:rsidR="00E702F6">
            <w:pPr>
              <w:pStyle w:val="TableParagraph"/>
              <w:spacing w:before="20"/>
              <w:ind w:left="107"/>
              <w:rPr>
                <w:sz w:val="19"/>
              </w:rPr>
            </w:pPr>
            <w:r>
              <w:rPr>
                <w:sz w:val="19"/>
              </w:rPr>
              <w:t>Resource AME</w:t>
            </w:r>
          </w:p>
        </w:tc>
        <w:tc>
          <w:tcPr>
            <w:tcW w:w="1508" w:type="dxa"/>
          </w:tcPr>
          <w:p w:rsidR="00E702F6">
            <w:pPr>
              <w:pStyle w:val="TableParagraph"/>
              <w:spacing w:before="20"/>
              <w:ind w:left="108"/>
              <w:rPr>
                <w:sz w:val="19"/>
              </w:rPr>
            </w:pPr>
            <w:r>
              <w:rPr>
                <w:sz w:val="19"/>
              </w:rPr>
              <w:t>£12.0m</w:t>
            </w:r>
          </w:p>
        </w:tc>
        <w:tc>
          <w:tcPr>
            <w:tcW w:w="1568" w:type="dxa"/>
          </w:tcPr>
          <w:p w:rsidR="00E702F6">
            <w:pPr>
              <w:pStyle w:val="TableParagraph"/>
              <w:spacing w:before="20"/>
              <w:ind w:left="105"/>
              <w:rPr>
                <w:sz w:val="19"/>
              </w:rPr>
            </w:pPr>
            <w:r>
              <w:rPr>
                <w:sz w:val="19"/>
              </w:rPr>
              <w:t>(£10m)</w:t>
            </w:r>
          </w:p>
        </w:tc>
        <w:tc>
          <w:tcPr>
            <w:tcW w:w="1417" w:type="dxa"/>
          </w:tcPr>
          <w:p w:rsidR="00E702F6">
            <w:pPr>
              <w:pStyle w:val="TableParagraph"/>
              <w:spacing w:before="20"/>
              <w:ind w:left="150"/>
              <w:rPr>
                <w:sz w:val="19"/>
              </w:rPr>
            </w:pPr>
            <w:r>
              <w:rPr>
                <w:sz w:val="19"/>
              </w:rPr>
              <w:t>-45.5%</w:t>
            </w:r>
          </w:p>
        </w:tc>
        <w:tc>
          <w:tcPr>
            <w:tcW w:w="1294" w:type="dxa"/>
          </w:tcPr>
          <w:p w:rsidR="00E702F6">
            <w:pPr>
              <w:pStyle w:val="TableParagraph"/>
              <w:spacing w:before="20"/>
              <w:ind w:left="150"/>
              <w:rPr>
                <w:sz w:val="19"/>
              </w:rPr>
            </w:pPr>
            <w:r>
              <w:rPr>
                <w:sz w:val="19"/>
              </w:rPr>
              <w:t>£0m</w:t>
            </w:r>
          </w:p>
        </w:tc>
        <w:tc>
          <w:tcPr>
            <w:tcW w:w="1278" w:type="dxa"/>
          </w:tcPr>
          <w:p w:rsidR="00E702F6">
            <w:pPr>
              <w:pStyle w:val="TableParagraph"/>
              <w:spacing w:before="20"/>
              <w:ind w:left="149"/>
              <w:rPr>
                <w:sz w:val="19"/>
              </w:rPr>
            </w:pPr>
            <w:r>
              <w:rPr>
                <w:sz w:val="19"/>
              </w:rPr>
              <w:t>0%</w:t>
            </w:r>
          </w:p>
        </w:tc>
      </w:tr>
    </w:tbl>
    <w:p w:rsidR="00E702F6">
      <w:pPr>
        <w:pStyle w:val="BodyText"/>
        <w:spacing w:before="2"/>
        <w:rPr>
          <w:sz w:val="29"/>
        </w:rPr>
      </w:pPr>
    </w:p>
    <w:p w:rsidR="00E702F6">
      <w:pPr>
        <w:pStyle w:val="BodyText"/>
        <w:spacing w:before="56"/>
        <w:ind w:left="100"/>
      </w:pPr>
      <w:r>
        <w:t>A breakdown of spending within the net total is shown in section 2.1.</w:t>
      </w:r>
    </w:p>
    <w:p w:rsidR="00E702F6">
      <w:pPr>
        <w:pStyle w:val="BodyText"/>
      </w:pPr>
    </w:p>
    <w:p w:rsidR="00E702F6">
      <w:pPr>
        <w:pStyle w:val="BodyText"/>
        <w:spacing w:before="9"/>
        <w:rPr>
          <w:sz w:val="29"/>
        </w:rPr>
      </w:pPr>
    </w:p>
    <w:p w:rsidR="00E702F6">
      <w:pPr>
        <w:pStyle w:val="Heading3"/>
        <w:numPr>
          <w:ilvl w:val="1"/>
          <w:numId w:val="3"/>
        </w:numPr>
        <w:tabs>
          <w:tab w:val="left" w:pos="641"/>
        </w:tabs>
        <w:spacing w:before="1"/>
        <w:ind w:left="640" w:hanging="541"/>
      </w:pPr>
      <w:r>
        <w:rPr>
          <w:color w:val="2E5395"/>
        </w:rPr>
        <w:t>Key Drivers of spending changes since last</w:t>
      </w:r>
      <w:r>
        <w:rPr>
          <w:color w:val="2E5395"/>
          <w:spacing w:val="-10"/>
        </w:rPr>
        <w:t xml:space="preserve"> </w:t>
      </w:r>
      <w:r>
        <w:rPr>
          <w:color w:val="2E5395"/>
        </w:rPr>
        <w:t>year</w:t>
      </w:r>
    </w:p>
    <w:p w:rsidR="00E702F6">
      <w:pPr>
        <w:pStyle w:val="BodyText"/>
        <w:spacing w:before="123" w:line="237" w:lineRule="auto"/>
        <w:ind w:left="100" w:right="873"/>
      </w:pPr>
      <w:r>
        <w:t>The increase in Resource DEL is due to additional funding to support the acceleration of the Local Land Charges (LLC) programme.</w:t>
      </w:r>
    </w:p>
    <w:p w:rsidR="00E702F6">
      <w:pPr>
        <w:pStyle w:val="BodyText"/>
        <w:spacing w:before="1"/>
      </w:pPr>
    </w:p>
    <w:p w:rsidR="00E702F6">
      <w:pPr>
        <w:pStyle w:val="BodyText"/>
        <w:ind w:left="100" w:right="547"/>
      </w:pPr>
      <w:r>
        <w:t>The Re</w:t>
      </w:r>
      <w:r>
        <w:t>source AME budget in 2020-21 included £10m to cover potential impairments relating to HMLR’s freehold properties. These properties transferred to the Government Property Agency (GPA) in March 2021 and therefore no similar budget cover is required in 2021-2</w:t>
      </w:r>
      <w:r>
        <w:t>2.</w:t>
      </w:r>
    </w:p>
    <w:p w:rsidR="00E702F6">
      <w:pPr>
        <w:pStyle w:val="BodyText"/>
        <w:spacing w:before="1"/>
      </w:pPr>
    </w:p>
    <w:p w:rsidR="00E702F6">
      <w:pPr>
        <w:pStyle w:val="BodyText"/>
        <w:ind w:left="100"/>
      </w:pPr>
      <w:r>
        <w:t>The Capital DEL budget includes £75m to cover new leases on properties transferred to GPA in 2020-</w:t>
      </w:r>
    </w:p>
    <w:p w:rsidR="00E702F6">
      <w:pPr>
        <w:pStyle w:val="BodyText"/>
        <w:spacing w:before="22" w:line="259" w:lineRule="auto"/>
        <w:ind w:left="100" w:right="599"/>
      </w:pPr>
      <w:r>
        <w:t>21. HMLR intends to implement the revised IFRS16 Leases Accounting Standard in 2021-22, which will require these leases to be recognised as assets in the Statement of Financial Position. Additional Capital DEL funding was also provided to support the accel</w:t>
      </w:r>
      <w:r>
        <w:t>eration of the LLC programme, as well as HMLR’s wider digital investment.</w:t>
      </w:r>
    </w:p>
    <w:p w:rsidR="00E702F6">
      <w:pPr>
        <w:pStyle w:val="Heading3"/>
        <w:numPr>
          <w:ilvl w:val="1"/>
          <w:numId w:val="3"/>
        </w:numPr>
        <w:tabs>
          <w:tab w:val="left" w:pos="666"/>
          <w:tab w:val="left" w:pos="667"/>
        </w:tabs>
        <w:spacing w:before="159"/>
        <w:ind w:left="666" w:hanging="567"/>
      </w:pPr>
      <w:r>
        <w:rPr>
          <w:color w:val="2E5395"/>
        </w:rPr>
        <w:t>New policies and programmes; ambit</w:t>
      </w:r>
      <w:r>
        <w:rPr>
          <w:color w:val="2E5395"/>
          <w:spacing w:val="-4"/>
        </w:rPr>
        <w:t xml:space="preserve"> </w:t>
      </w:r>
      <w:r>
        <w:rPr>
          <w:color w:val="2E5395"/>
        </w:rPr>
        <w:t>changes</w:t>
      </w:r>
    </w:p>
    <w:p w:rsidR="00E702F6">
      <w:pPr>
        <w:pStyle w:val="BodyText"/>
        <w:spacing w:before="120"/>
        <w:ind w:left="100"/>
      </w:pPr>
      <w:r>
        <w:t>There are no significant new policies or programmes for HMLR in 2021-22.</w:t>
      </w:r>
    </w:p>
    <w:p w:rsidR="00E702F6">
      <w:pPr>
        <w:pStyle w:val="Heading3"/>
        <w:numPr>
          <w:ilvl w:val="1"/>
          <w:numId w:val="3"/>
        </w:numPr>
        <w:tabs>
          <w:tab w:val="left" w:pos="666"/>
          <w:tab w:val="left" w:pos="667"/>
        </w:tabs>
        <w:spacing w:before="181"/>
        <w:ind w:left="666" w:hanging="567"/>
      </w:pPr>
      <w:r>
        <w:rPr>
          <w:color w:val="2E5395"/>
        </w:rPr>
        <w:t>Spending</w:t>
      </w:r>
      <w:r>
        <w:rPr>
          <w:color w:val="2E5395"/>
          <w:spacing w:val="-1"/>
        </w:rPr>
        <w:t xml:space="preserve"> </w:t>
      </w:r>
      <w:r>
        <w:rPr>
          <w:color w:val="2E5395"/>
        </w:rPr>
        <w:t>trends</w:t>
      </w:r>
    </w:p>
    <w:p w:rsidR="00E702F6">
      <w:pPr>
        <w:pStyle w:val="BodyText"/>
        <w:spacing w:before="123" w:line="237" w:lineRule="auto"/>
        <w:ind w:left="100" w:right="1396"/>
      </w:pPr>
      <w:r>
        <w:t>The table in paragraph 1.3 shows the funding sought in the Main Estimate compared to the approved budgets for 2020-21. The 2020 spending review was a one-year settleme</w:t>
      </w:r>
      <w:r>
        <w:t>nt.</w:t>
      </w:r>
    </w:p>
    <w:p w:rsidR="00E702F6">
      <w:pPr>
        <w:pStyle w:val="BodyText"/>
        <w:spacing w:before="3"/>
      </w:pPr>
    </w:p>
    <w:p w:rsidR="00E702F6">
      <w:pPr>
        <w:pStyle w:val="Heading3"/>
        <w:numPr>
          <w:ilvl w:val="1"/>
          <w:numId w:val="3"/>
        </w:numPr>
        <w:tabs>
          <w:tab w:val="left" w:pos="667"/>
        </w:tabs>
        <w:ind w:left="666" w:hanging="517"/>
      </w:pPr>
      <w:r>
        <w:rPr>
          <w:color w:val="2E5395"/>
        </w:rPr>
        <w:t>Administration costs and efficiency</w:t>
      </w:r>
      <w:r>
        <w:rPr>
          <w:color w:val="2E5395"/>
          <w:spacing w:val="-4"/>
        </w:rPr>
        <w:t xml:space="preserve"> </w:t>
      </w:r>
      <w:r>
        <w:rPr>
          <w:color w:val="2E5395"/>
        </w:rPr>
        <w:t>plans</w:t>
      </w:r>
    </w:p>
    <w:p w:rsidR="00E702F6">
      <w:pPr>
        <w:pStyle w:val="BodyText"/>
        <w:spacing w:before="121"/>
        <w:ind w:left="100" w:right="1250"/>
      </w:pPr>
      <w:r>
        <w:t>Given the operational nature of HMLR’s services, its resource (RDEL) budget is categorised as entirely programme spend.</w:t>
      </w:r>
    </w:p>
    <w:p w:rsidR="00E702F6">
      <w:pPr>
        <w:sectPr>
          <w:pgSz w:w="11910" w:h="16840"/>
          <w:pgMar w:top="1700" w:right="900" w:bottom="1200" w:left="1340" w:header="569" w:footer="1000" w:gutter="0"/>
          <w:cols w:space="720"/>
        </w:sectPr>
      </w:pPr>
    </w:p>
    <w:p w:rsidR="00E702F6">
      <w:pPr>
        <w:pStyle w:val="BodyText"/>
        <w:rPr>
          <w:sz w:val="20"/>
        </w:rPr>
      </w:pPr>
    </w:p>
    <w:p w:rsidR="00E702F6">
      <w:pPr>
        <w:pStyle w:val="BodyText"/>
        <w:rPr>
          <w:sz w:val="20"/>
        </w:rPr>
      </w:pPr>
    </w:p>
    <w:p w:rsidR="00E702F6">
      <w:pPr>
        <w:pStyle w:val="BodyText"/>
        <w:spacing w:before="11"/>
        <w:rPr>
          <w:sz w:val="24"/>
        </w:rPr>
      </w:pPr>
    </w:p>
    <w:p w:rsidR="00E702F6">
      <w:pPr>
        <w:pStyle w:val="BodyText"/>
        <w:spacing w:before="56"/>
        <w:ind w:left="100" w:right="753"/>
      </w:pPr>
      <w:r>
        <w:t>HMLR’s investment strategy includes plans to upgrade and modernise data and technology infrastructure, which will assist in creating operational efficiencies over the medium to long-term. This will be achieved through the creation of modern digital service</w:t>
      </w:r>
      <w:r>
        <w:t xml:space="preserve">s that provide an excellent customer experience, supported by an efficient, value for money case working operation based on improved technology, greater </w:t>
      </w:r>
      <w:r>
        <w:t>automation</w:t>
      </w:r>
      <w:r>
        <w:t xml:space="preserve"> and efficient management approaches.</w:t>
      </w:r>
    </w:p>
    <w:p w:rsidR="00E702F6">
      <w:pPr>
        <w:pStyle w:val="BodyText"/>
      </w:pPr>
    </w:p>
    <w:p w:rsidR="00E702F6">
      <w:pPr>
        <w:pStyle w:val="Heading3"/>
        <w:numPr>
          <w:ilvl w:val="1"/>
          <w:numId w:val="3"/>
        </w:numPr>
        <w:tabs>
          <w:tab w:val="left" w:pos="641"/>
        </w:tabs>
        <w:spacing w:before="166"/>
        <w:ind w:left="640" w:hanging="541"/>
      </w:pPr>
      <w:r>
        <w:rPr>
          <w:color w:val="2E5395"/>
        </w:rPr>
        <w:t>Funding: Spending Review and</w:t>
      </w:r>
      <w:r>
        <w:rPr>
          <w:color w:val="2E5395"/>
          <w:spacing w:val="-1"/>
        </w:rPr>
        <w:t xml:space="preserve"> </w:t>
      </w:r>
      <w:r>
        <w:rPr>
          <w:color w:val="2E5395"/>
        </w:rPr>
        <w:t>Budgets</w:t>
      </w:r>
    </w:p>
    <w:p w:rsidR="00E702F6">
      <w:pPr>
        <w:pStyle w:val="BodyText"/>
        <w:spacing w:before="118" w:line="259" w:lineRule="auto"/>
        <w:ind w:left="100" w:right="582"/>
      </w:pPr>
      <w:r>
        <w:t>HMLR’s first sett</w:t>
      </w:r>
      <w:r>
        <w:t>lement was agreed and announced at Budget on 11 March 2020. This was a one- year settlement for the period 1 April 2020 to 31 March 2021. The 2020 Spending Review provided an additional one-year settlement for the period 1 April 2021 to 31 March 2022.</w:t>
      </w:r>
    </w:p>
    <w:p w:rsidR="00E702F6">
      <w:pPr>
        <w:pStyle w:val="BodyText"/>
      </w:pPr>
    </w:p>
    <w:p w:rsidR="00E702F6">
      <w:pPr>
        <w:pStyle w:val="BodyText"/>
        <w:spacing w:before="1"/>
        <w:rPr>
          <w:sz w:val="29"/>
        </w:rPr>
      </w:pPr>
    </w:p>
    <w:p w:rsidR="00E702F6">
      <w:pPr>
        <w:pStyle w:val="Heading3"/>
        <w:numPr>
          <w:ilvl w:val="1"/>
          <w:numId w:val="3"/>
        </w:numPr>
        <w:tabs>
          <w:tab w:val="left" w:pos="641"/>
        </w:tabs>
        <w:ind w:left="640" w:hanging="541"/>
      </w:pPr>
      <w:r>
        <w:rPr>
          <w:color w:val="2E5395"/>
        </w:rPr>
        <w:t>Ot</w:t>
      </w:r>
      <w:r>
        <w:rPr>
          <w:color w:val="2E5395"/>
        </w:rPr>
        <w:t>her funding</w:t>
      </w:r>
      <w:r>
        <w:rPr>
          <w:color w:val="2E5395"/>
          <w:spacing w:val="-3"/>
        </w:rPr>
        <w:t xml:space="preserve"> </w:t>
      </w:r>
      <w:r>
        <w:rPr>
          <w:color w:val="2E5395"/>
        </w:rPr>
        <w:t>announcements</w:t>
      </w:r>
    </w:p>
    <w:p w:rsidR="00E702F6">
      <w:pPr>
        <w:pStyle w:val="BodyText"/>
        <w:spacing w:before="118"/>
        <w:ind w:left="100"/>
      </w:pPr>
      <w:r>
        <w:t>There have been no additional funding announcements.</w:t>
      </w:r>
    </w:p>
    <w:p w:rsidR="00E702F6">
      <w:pPr>
        <w:pStyle w:val="BodyText"/>
        <w:spacing w:before="7"/>
        <w:rPr>
          <w:sz w:val="30"/>
        </w:rPr>
      </w:pPr>
    </w:p>
    <w:p w:rsidR="00E702F6">
      <w:pPr>
        <w:pStyle w:val="Heading2"/>
        <w:numPr>
          <w:ilvl w:val="0"/>
          <w:numId w:val="3"/>
        </w:numPr>
        <w:tabs>
          <w:tab w:val="left" w:pos="623"/>
          <w:tab w:val="left" w:pos="624"/>
        </w:tabs>
        <w:spacing w:before="1"/>
        <w:ind w:left="623" w:hanging="524"/>
      </w:pPr>
      <w:r>
        <w:rPr>
          <w:color w:val="2E5395"/>
        </w:rPr>
        <w:t>Spending and income</w:t>
      </w:r>
      <w:r>
        <w:rPr>
          <w:color w:val="2E5395"/>
          <w:spacing w:val="-1"/>
        </w:rPr>
        <w:t xml:space="preserve"> </w:t>
      </w:r>
      <w:r>
        <w:rPr>
          <w:color w:val="2E5395"/>
        </w:rPr>
        <w:t>detail</w:t>
      </w:r>
    </w:p>
    <w:p w:rsidR="00E702F6">
      <w:pPr>
        <w:pStyle w:val="Heading3"/>
        <w:numPr>
          <w:ilvl w:val="1"/>
          <w:numId w:val="3"/>
        </w:numPr>
        <w:tabs>
          <w:tab w:val="left" w:pos="641"/>
        </w:tabs>
        <w:spacing w:before="192"/>
        <w:ind w:left="640" w:hanging="541"/>
      </w:pPr>
      <w:r>
        <w:rPr>
          <w:color w:val="2E5395"/>
        </w:rPr>
        <w:t>Explanations of changes in spending and</w:t>
      </w:r>
      <w:r>
        <w:rPr>
          <w:color w:val="2E5395"/>
          <w:spacing w:val="-5"/>
        </w:rPr>
        <w:t xml:space="preserve"> </w:t>
      </w:r>
      <w:r>
        <w:rPr>
          <w:color w:val="2E5395"/>
        </w:rPr>
        <w:t>income</w:t>
      </w:r>
    </w:p>
    <w:p w:rsidR="00E702F6">
      <w:pPr>
        <w:pStyle w:val="Heading4"/>
        <w:spacing w:before="118"/>
      </w:pPr>
      <w:r>
        <w:t>Resource DEL</w:t>
      </w:r>
    </w:p>
    <w:p w:rsidR="00E702F6">
      <w:pPr>
        <w:pStyle w:val="BodyText"/>
        <w:spacing w:before="9"/>
        <w:rPr>
          <w:b/>
          <w:sz w:val="19"/>
        </w:rPr>
      </w:pPr>
    </w:p>
    <w:p w:rsidR="00E702F6">
      <w:pPr>
        <w:pStyle w:val="BodyText"/>
        <w:ind w:left="100"/>
      </w:pPr>
      <w:r>
        <w:t>The table below compares HMLR’s Resource DEL for 2021-22 with 2020-21 as follows:</w:t>
      </w:r>
    </w:p>
    <w:p w:rsidR="00E702F6">
      <w:pPr>
        <w:pStyle w:val="BodyText"/>
        <w:spacing w:before="10"/>
        <w:rPr>
          <w:sz w:val="14"/>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16"/>
        <w:gridCol w:w="1703"/>
        <w:gridCol w:w="1451"/>
        <w:gridCol w:w="1448"/>
        <w:gridCol w:w="1103"/>
        <w:gridCol w:w="856"/>
        <w:gridCol w:w="1471"/>
      </w:tblGrid>
      <w:tr>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16"/>
        </w:trPr>
        <w:tc>
          <w:tcPr>
            <w:tcW w:w="3119" w:type="dxa"/>
            <w:gridSpan w:val="2"/>
            <w:vMerge w:val="restart"/>
          </w:tcPr>
          <w:p w:rsidR="00E702F6">
            <w:pPr>
              <w:pStyle w:val="TableParagraph"/>
              <w:rPr>
                <w:rFonts w:ascii="Times New Roman"/>
              </w:rPr>
            </w:pPr>
          </w:p>
        </w:tc>
        <w:tc>
          <w:tcPr>
            <w:tcW w:w="1451" w:type="dxa"/>
            <w:tcBorders>
              <w:right w:val="nil"/>
            </w:tcBorders>
          </w:tcPr>
          <w:p w:rsidR="00E702F6">
            <w:pPr>
              <w:pStyle w:val="TableParagraph"/>
              <w:spacing w:before="54" w:line="242" w:lineRule="exact"/>
              <w:ind w:left="104"/>
              <w:rPr>
                <w:b/>
                <w:sz w:val="20"/>
              </w:rPr>
            </w:pPr>
            <w:r>
              <w:rPr>
                <w:b/>
                <w:sz w:val="20"/>
              </w:rPr>
              <w:t>Resource</w:t>
            </w:r>
          </w:p>
        </w:tc>
        <w:tc>
          <w:tcPr>
            <w:tcW w:w="1448" w:type="dxa"/>
            <w:tcBorders>
              <w:left w:val="nil"/>
              <w:right w:val="nil"/>
            </w:tcBorders>
          </w:tcPr>
          <w:p w:rsidR="00E702F6">
            <w:pPr>
              <w:pStyle w:val="TableParagraph"/>
              <w:spacing w:before="54" w:line="242" w:lineRule="exact"/>
              <w:ind w:left="113"/>
              <w:rPr>
                <w:b/>
                <w:sz w:val="20"/>
              </w:rPr>
            </w:pPr>
            <w:r>
              <w:rPr>
                <w:b/>
                <w:sz w:val="20"/>
              </w:rPr>
              <w:t>DEL</w:t>
            </w:r>
          </w:p>
        </w:tc>
        <w:tc>
          <w:tcPr>
            <w:tcW w:w="1103" w:type="dxa"/>
            <w:tcBorders>
              <w:left w:val="nil"/>
              <w:right w:val="nil"/>
            </w:tcBorders>
          </w:tcPr>
          <w:p w:rsidR="00E702F6">
            <w:pPr>
              <w:pStyle w:val="TableParagraph"/>
              <w:rPr>
                <w:rFonts w:ascii="Times New Roman"/>
              </w:rPr>
            </w:pPr>
          </w:p>
        </w:tc>
        <w:tc>
          <w:tcPr>
            <w:tcW w:w="856" w:type="dxa"/>
            <w:tcBorders>
              <w:left w:val="nil"/>
              <w:right w:val="nil"/>
            </w:tcBorders>
          </w:tcPr>
          <w:p w:rsidR="00E702F6">
            <w:pPr>
              <w:pStyle w:val="TableParagraph"/>
              <w:rPr>
                <w:rFonts w:ascii="Times New Roman"/>
              </w:rPr>
            </w:pPr>
          </w:p>
        </w:tc>
        <w:tc>
          <w:tcPr>
            <w:tcW w:w="1471" w:type="dxa"/>
            <w:tcBorders>
              <w:left w:val="nil"/>
            </w:tcBorders>
          </w:tcPr>
          <w:p w:rsidR="00E702F6">
            <w:pPr>
              <w:pStyle w:val="TableParagraph"/>
              <w:rPr>
                <w:rFonts w:ascii="Times New Roman"/>
              </w:rPr>
            </w:pPr>
          </w:p>
        </w:tc>
      </w:tr>
      <w:tr>
        <w:tblPrEx>
          <w:tblW w:w="0" w:type="auto"/>
          <w:tblInd w:w="110" w:type="dxa"/>
          <w:tblLayout w:type="fixed"/>
          <w:tblCellMar>
            <w:left w:w="0" w:type="dxa"/>
            <w:right w:w="0" w:type="dxa"/>
          </w:tblCellMar>
          <w:tblLook w:val="01E0"/>
        </w:tblPrEx>
        <w:trPr>
          <w:trHeight w:val="1634"/>
        </w:trPr>
        <w:tc>
          <w:tcPr>
            <w:tcW w:w="3119" w:type="dxa"/>
            <w:gridSpan w:val="2"/>
            <w:vMerge/>
            <w:tcBorders>
              <w:top w:val="nil"/>
            </w:tcBorders>
          </w:tcPr>
          <w:p w:rsidR="00E702F6">
            <w:pPr>
              <w:rPr>
                <w:sz w:val="2"/>
                <w:szCs w:val="2"/>
              </w:rPr>
            </w:pPr>
          </w:p>
        </w:tc>
        <w:tc>
          <w:tcPr>
            <w:tcW w:w="1451" w:type="dxa"/>
          </w:tcPr>
          <w:p w:rsidR="00E702F6">
            <w:pPr>
              <w:pStyle w:val="TableParagraph"/>
              <w:spacing w:before="11"/>
              <w:rPr>
                <w:sz w:val="23"/>
              </w:rPr>
            </w:pPr>
          </w:p>
          <w:p w:rsidR="00E702F6">
            <w:pPr>
              <w:pStyle w:val="TableParagraph"/>
              <w:ind w:left="104"/>
              <w:rPr>
                <w:sz w:val="20"/>
              </w:rPr>
            </w:pPr>
            <w:r>
              <w:rPr>
                <w:sz w:val="20"/>
              </w:rPr>
              <w:t>2021-22</w:t>
            </w:r>
          </w:p>
          <w:p w:rsidR="00E702F6">
            <w:pPr>
              <w:pStyle w:val="TableParagraph"/>
              <w:spacing w:before="20" w:line="259" w:lineRule="auto"/>
              <w:ind w:left="104" w:right="140"/>
              <w:rPr>
                <w:sz w:val="20"/>
              </w:rPr>
            </w:pPr>
            <w:r>
              <w:rPr>
                <w:sz w:val="20"/>
              </w:rPr>
              <w:t>Main Estimates budget sought</w:t>
            </w:r>
          </w:p>
        </w:tc>
        <w:tc>
          <w:tcPr>
            <w:tcW w:w="1448" w:type="dxa"/>
          </w:tcPr>
          <w:p w:rsidR="00E702F6">
            <w:pPr>
              <w:pStyle w:val="TableParagraph"/>
              <w:spacing w:before="27"/>
              <w:ind w:left="108"/>
              <w:rPr>
                <w:sz w:val="20"/>
              </w:rPr>
            </w:pPr>
            <w:r>
              <w:rPr>
                <w:sz w:val="20"/>
              </w:rPr>
              <w:t>2020-21</w:t>
            </w:r>
          </w:p>
          <w:p w:rsidR="00E702F6">
            <w:pPr>
              <w:pStyle w:val="TableParagraph"/>
              <w:spacing w:before="20" w:line="259" w:lineRule="auto"/>
              <w:ind w:left="108"/>
              <w:rPr>
                <w:sz w:val="20"/>
              </w:rPr>
            </w:pPr>
            <w:r>
              <w:rPr>
                <w:w w:val="95"/>
                <w:sz w:val="20"/>
              </w:rPr>
              <w:t xml:space="preserve">Supplementary </w:t>
            </w:r>
            <w:r>
              <w:rPr>
                <w:sz w:val="20"/>
              </w:rPr>
              <w:t>Estimates budget approved</w:t>
            </w:r>
          </w:p>
        </w:tc>
        <w:tc>
          <w:tcPr>
            <w:tcW w:w="1959" w:type="dxa"/>
            <w:gridSpan w:val="2"/>
          </w:tcPr>
          <w:p w:rsidR="00E702F6">
            <w:pPr>
              <w:pStyle w:val="TableParagraph"/>
              <w:rPr>
                <w:sz w:val="20"/>
              </w:rPr>
            </w:pPr>
          </w:p>
          <w:p w:rsidR="00E702F6">
            <w:pPr>
              <w:pStyle w:val="TableParagraph"/>
              <w:spacing w:before="4"/>
              <w:rPr>
                <w:sz w:val="24"/>
              </w:rPr>
            </w:pPr>
          </w:p>
          <w:p w:rsidR="00E702F6">
            <w:pPr>
              <w:pStyle w:val="TableParagraph"/>
              <w:ind w:left="117"/>
              <w:rPr>
                <w:sz w:val="20"/>
              </w:rPr>
            </w:pPr>
            <w:r>
              <w:rPr>
                <w:sz w:val="20"/>
              </w:rPr>
              <w:t>Variance</w:t>
            </w:r>
          </w:p>
        </w:tc>
        <w:tc>
          <w:tcPr>
            <w:tcW w:w="1471" w:type="dxa"/>
            <w:vMerge w:val="restart"/>
          </w:tcPr>
          <w:p w:rsidR="00E702F6">
            <w:pPr>
              <w:pStyle w:val="TableParagraph"/>
              <w:spacing w:before="15" w:line="259" w:lineRule="auto"/>
              <w:ind w:left="112" w:right="262"/>
              <w:rPr>
                <w:sz w:val="20"/>
              </w:rPr>
            </w:pPr>
            <w:r>
              <w:rPr>
                <w:sz w:val="20"/>
              </w:rPr>
              <w:t>Is variance significant? See explanation, note number</w:t>
            </w:r>
          </w:p>
        </w:tc>
      </w:tr>
      <w:tr>
        <w:tblPrEx>
          <w:tblW w:w="0" w:type="auto"/>
          <w:tblInd w:w="110" w:type="dxa"/>
          <w:tblLayout w:type="fixed"/>
          <w:tblCellMar>
            <w:left w:w="0" w:type="dxa"/>
            <w:right w:w="0" w:type="dxa"/>
          </w:tblCellMar>
          <w:tblLook w:val="01E0"/>
        </w:tblPrEx>
        <w:trPr>
          <w:trHeight w:val="290"/>
        </w:trPr>
        <w:tc>
          <w:tcPr>
            <w:tcW w:w="1416" w:type="dxa"/>
            <w:vMerge w:val="restart"/>
            <w:tcBorders>
              <w:right w:val="nil"/>
            </w:tcBorders>
          </w:tcPr>
          <w:p w:rsidR="00E702F6">
            <w:pPr>
              <w:pStyle w:val="TableParagraph"/>
              <w:spacing w:before="6"/>
              <w:rPr>
                <w:sz w:val="24"/>
              </w:rPr>
            </w:pPr>
          </w:p>
          <w:p w:rsidR="00E702F6">
            <w:pPr>
              <w:pStyle w:val="TableParagraph"/>
              <w:spacing w:line="259" w:lineRule="auto"/>
              <w:ind w:left="107" w:right="444"/>
              <w:rPr>
                <w:b/>
              </w:rPr>
            </w:pPr>
            <w:r>
              <w:rPr>
                <w:b/>
              </w:rPr>
              <w:t>Resource DEL</w:t>
            </w:r>
          </w:p>
          <w:p w:rsidR="00E702F6">
            <w:pPr>
              <w:pStyle w:val="TableParagraph"/>
              <w:spacing w:before="1"/>
              <w:ind w:left="107"/>
            </w:pPr>
            <w:r>
              <w:t>A</w:t>
            </w:r>
          </w:p>
        </w:tc>
        <w:tc>
          <w:tcPr>
            <w:tcW w:w="1703" w:type="dxa"/>
            <w:tcBorders>
              <w:left w:val="nil"/>
              <w:bottom w:val="nil"/>
            </w:tcBorders>
          </w:tcPr>
          <w:p w:rsidR="00E702F6">
            <w:pPr>
              <w:pStyle w:val="TableParagraph"/>
              <w:rPr>
                <w:rFonts w:ascii="Times New Roman"/>
                <w:sz w:val="20"/>
              </w:rPr>
            </w:pPr>
          </w:p>
        </w:tc>
        <w:tc>
          <w:tcPr>
            <w:tcW w:w="4002" w:type="dxa"/>
            <w:gridSpan w:val="3"/>
          </w:tcPr>
          <w:p w:rsidR="00E702F6">
            <w:pPr>
              <w:pStyle w:val="TableParagraph"/>
              <w:spacing w:before="27" w:line="242" w:lineRule="exact"/>
              <w:ind w:left="104"/>
              <w:rPr>
                <w:sz w:val="20"/>
              </w:rPr>
            </w:pPr>
            <w:r>
              <w:rPr>
                <w:sz w:val="20"/>
              </w:rPr>
              <w:t>£million</w:t>
            </w:r>
          </w:p>
        </w:tc>
        <w:tc>
          <w:tcPr>
            <w:tcW w:w="856" w:type="dxa"/>
          </w:tcPr>
          <w:p w:rsidR="00E702F6">
            <w:pPr>
              <w:pStyle w:val="TableParagraph"/>
              <w:spacing w:before="27" w:line="242" w:lineRule="exact"/>
              <w:ind w:left="109"/>
              <w:rPr>
                <w:sz w:val="20"/>
              </w:rPr>
            </w:pPr>
            <w:r>
              <w:rPr>
                <w:w w:val="99"/>
                <w:sz w:val="20"/>
              </w:rPr>
              <w:t>%</w:t>
            </w:r>
          </w:p>
        </w:tc>
        <w:tc>
          <w:tcPr>
            <w:tcW w:w="1471" w:type="dxa"/>
            <w:vMerge/>
            <w:tcBorders>
              <w:top w:val="nil"/>
            </w:tcBorders>
          </w:tcPr>
          <w:p w:rsidR="00E702F6">
            <w:pPr>
              <w:rPr>
                <w:sz w:val="2"/>
                <w:szCs w:val="2"/>
              </w:rPr>
            </w:pPr>
          </w:p>
        </w:tc>
      </w:tr>
      <w:tr>
        <w:tblPrEx>
          <w:tblW w:w="0" w:type="auto"/>
          <w:tblInd w:w="110" w:type="dxa"/>
          <w:tblLayout w:type="fixed"/>
          <w:tblCellMar>
            <w:left w:w="0" w:type="dxa"/>
            <w:right w:w="0" w:type="dxa"/>
          </w:tblCellMar>
          <w:tblLook w:val="01E0"/>
        </w:tblPrEx>
        <w:trPr>
          <w:trHeight w:val="875"/>
        </w:trPr>
        <w:tc>
          <w:tcPr>
            <w:tcW w:w="1416" w:type="dxa"/>
            <w:vMerge/>
            <w:tcBorders>
              <w:top w:val="nil"/>
              <w:right w:val="nil"/>
            </w:tcBorders>
          </w:tcPr>
          <w:p w:rsidR="00E702F6">
            <w:pPr>
              <w:rPr>
                <w:sz w:val="2"/>
                <w:szCs w:val="2"/>
              </w:rPr>
            </w:pPr>
          </w:p>
        </w:tc>
        <w:tc>
          <w:tcPr>
            <w:tcW w:w="1703" w:type="dxa"/>
            <w:tcBorders>
              <w:top w:val="nil"/>
              <w:left w:val="nil"/>
              <w:bottom w:val="nil"/>
            </w:tcBorders>
          </w:tcPr>
          <w:p w:rsidR="00E702F6">
            <w:pPr>
              <w:pStyle w:val="TableParagraph"/>
            </w:pPr>
          </w:p>
          <w:p w:rsidR="00E702F6">
            <w:pPr>
              <w:pStyle w:val="TableParagraph"/>
              <w:spacing w:before="6"/>
              <w:rPr>
                <w:sz w:val="25"/>
              </w:rPr>
            </w:pPr>
          </w:p>
          <w:p w:rsidR="00E702F6">
            <w:pPr>
              <w:pStyle w:val="TableParagraph"/>
              <w:ind w:left="112"/>
            </w:pPr>
            <w:r>
              <w:t>BAU</w:t>
            </w:r>
          </w:p>
        </w:tc>
        <w:tc>
          <w:tcPr>
            <w:tcW w:w="1451"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ind w:right="92"/>
              <w:jc w:val="right"/>
              <w:rPr>
                <w:sz w:val="20"/>
              </w:rPr>
            </w:pPr>
            <w:r>
              <w:rPr>
                <w:w w:val="95"/>
                <w:sz w:val="20"/>
              </w:rPr>
              <w:t>314.6</w:t>
            </w:r>
          </w:p>
        </w:tc>
        <w:tc>
          <w:tcPr>
            <w:tcW w:w="1448"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ind w:right="102"/>
              <w:jc w:val="right"/>
              <w:rPr>
                <w:sz w:val="20"/>
              </w:rPr>
            </w:pPr>
            <w:r>
              <w:rPr>
                <w:w w:val="95"/>
                <w:sz w:val="20"/>
              </w:rPr>
              <w:t>304.3</w:t>
            </w:r>
          </w:p>
        </w:tc>
        <w:tc>
          <w:tcPr>
            <w:tcW w:w="1103"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ind w:right="96"/>
              <w:jc w:val="right"/>
              <w:rPr>
                <w:sz w:val="20"/>
              </w:rPr>
            </w:pPr>
            <w:r>
              <w:rPr>
                <w:sz w:val="20"/>
              </w:rPr>
              <w:t>10.3</w:t>
            </w:r>
          </w:p>
        </w:tc>
        <w:tc>
          <w:tcPr>
            <w:tcW w:w="856"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ind w:right="93"/>
              <w:jc w:val="right"/>
              <w:rPr>
                <w:sz w:val="20"/>
              </w:rPr>
            </w:pPr>
            <w:r>
              <w:rPr>
                <w:w w:val="95"/>
                <w:sz w:val="20"/>
              </w:rPr>
              <w:t>3.4</w:t>
            </w:r>
          </w:p>
        </w:tc>
        <w:tc>
          <w:tcPr>
            <w:tcW w:w="1471"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ind w:right="93"/>
              <w:jc w:val="right"/>
              <w:rPr>
                <w:sz w:val="20"/>
              </w:rPr>
            </w:pPr>
            <w:r>
              <w:rPr>
                <w:w w:val="99"/>
                <w:sz w:val="20"/>
              </w:rPr>
              <w:t>1</w:t>
            </w:r>
          </w:p>
        </w:tc>
      </w:tr>
      <w:tr>
        <w:tblPrEx>
          <w:tblW w:w="0" w:type="auto"/>
          <w:tblInd w:w="110" w:type="dxa"/>
          <w:tblLayout w:type="fixed"/>
          <w:tblCellMar>
            <w:left w:w="0" w:type="dxa"/>
            <w:right w:w="0" w:type="dxa"/>
          </w:tblCellMar>
          <w:tblLook w:val="01E0"/>
        </w:tblPrEx>
        <w:trPr>
          <w:trHeight w:val="279"/>
        </w:trPr>
        <w:tc>
          <w:tcPr>
            <w:tcW w:w="1416" w:type="dxa"/>
            <w:vMerge/>
            <w:tcBorders>
              <w:top w:val="nil"/>
              <w:right w:val="nil"/>
            </w:tcBorders>
          </w:tcPr>
          <w:p w:rsidR="00E702F6">
            <w:pPr>
              <w:rPr>
                <w:sz w:val="2"/>
                <w:szCs w:val="2"/>
              </w:rPr>
            </w:pPr>
          </w:p>
        </w:tc>
        <w:tc>
          <w:tcPr>
            <w:tcW w:w="1703" w:type="dxa"/>
            <w:tcBorders>
              <w:top w:val="nil"/>
              <w:left w:val="nil"/>
              <w:bottom w:val="nil"/>
            </w:tcBorders>
          </w:tcPr>
          <w:p w:rsidR="00E702F6">
            <w:pPr>
              <w:pStyle w:val="TableParagraph"/>
              <w:spacing w:line="251" w:lineRule="exact"/>
              <w:ind w:left="112"/>
            </w:pPr>
            <w:r>
              <w:t>Change</w:t>
            </w:r>
          </w:p>
        </w:tc>
        <w:tc>
          <w:tcPr>
            <w:tcW w:w="1451" w:type="dxa"/>
            <w:tcBorders>
              <w:top w:val="nil"/>
              <w:bottom w:val="nil"/>
            </w:tcBorders>
          </w:tcPr>
          <w:p w:rsidR="00E702F6">
            <w:pPr>
              <w:pStyle w:val="TableParagraph"/>
              <w:spacing w:before="11"/>
              <w:ind w:right="93"/>
              <w:jc w:val="right"/>
              <w:rPr>
                <w:sz w:val="20"/>
              </w:rPr>
            </w:pPr>
            <w:r>
              <w:rPr>
                <w:sz w:val="20"/>
              </w:rPr>
              <w:t>43.7</w:t>
            </w:r>
          </w:p>
        </w:tc>
        <w:tc>
          <w:tcPr>
            <w:tcW w:w="1448" w:type="dxa"/>
            <w:tcBorders>
              <w:top w:val="nil"/>
              <w:bottom w:val="nil"/>
            </w:tcBorders>
          </w:tcPr>
          <w:p w:rsidR="00E702F6">
            <w:pPr>
              <w:pStyle w:val="TableParagraph"/>
              <w:spacing w:before="11"/>
              <w:ind w:right="103"/>
              <w:jc w:val="right"/>
              <w:rPr>
                <w:sz w:val="20"/>
              </w:rPr>
            </w:pPr>
            <w:r>
              <w:rPr>
                <w:w w:val="95"/>
                <w:sz w:val="20"/>
              </w:rPr>
              <w:t>30.7</w:t>
            </w:r>
          </w:p>
        </w:tc>
        <w:tc>
          <w:tcPr>
            <w:tcW w:w="1103" w:type="dxa"/>
            <w:tcBorders>
              <w:top w:val="nil"/>
              <w:bottom w:val="nil"/>
            </w:tcBorders>
          </w:tcPr>
          <w:p w:rsidR="00E702F6">
            <w:pPr>
              <w:pStyle w:val="TableParagraph"/>
              <w:spacing w:before="11"/>
              <w:ind w:right="96"/>
              <w:jc w:val="right"/>
              <w:rPr>
                <w:sz w:val="20"/>
              </w:rPr>
            </w:pPr>
            <w:r>
              <w:rPr>
                <w:sz w:val="20"/>
              </w:rPr>
              <w:t>13.0</w:t>
            </w:r>
          </w:p>
        </w:tc>
        <w:tc>
          <w:tcPr>
            <w:tcW w:w="856" w:type="dxa"/>
            <w:tcBorders>
              <w:top w:val="nil"/>
              <w:bottom w:val="nil"/>
            </w:tcBorders>
          </w:tcPr>
          <w:p w:rsidR="00E702F6">
            <w:pPr>
              <w:pStyle w:val="TableParagraph"/>
              <w:spacing w:before="11"/>
              <w:ind w:right="93"/>
              <w:jc w:val="right"/>
              <w:rPr>
                <w:sz w:val="20"/>
              </w:rPr>
            </w:pPr>
            <w:r>
              <w:rPr>
                <w:sz w:val="20"/>
              </w:rPr>
              <w:t>42.3</w:t>
            </w:r>
          </w:p>
        </w:tc>
        <w:tc>
          <w:tcPr>
            <w:tcW w:w="1471" w:type="dxa"/>
            <w:tcBorders>
              <w:top w:val="nil"/>
              <w:bottom w:val="nil"/>
            </w:tcBorders>
          </w:tcPr>
          <w:p w:rsidR="00E702F6">
            <w:pPr>
              <w:pStyle w:val="TableParagraph"/>
              <w:spacing w:before="11"/>
              <w:ind w:right="93"/>
              <w:jc w:val="right"/>
              <w:rPr>
                <w:sz w:val="20"/>
              </w:rPr>
            </w:pPr>
            <w:r>
              <w:rPr>
                <w:w w:val="99"/>
                <w:sz w:val="20"/>
              </w:rPr>
              <w:t>2</w:t>
            </w:r>
          </w:p>
        </w:tc>
      </w:tr>
      <w:tr>
        <w:tblPrEx>
          <w:tblW w:w="0" w:type="auto"/>
          <w:tblInd w:w="110" w:type="dxa"/>
          <w:tblLayout w:type="fixed"/>
          <w:tblCellMar>
            <w:left w:w="0" w:type="dxa"/>
            <w:right w:w="0" w:type="dxa"/>
          </w:tblCellMar>
          <w:tblLook w:val="01E0"/>
        </w:tblPrEx>
        <w:trPr>
          <w:trHeight w:val="274"/>
        </w:trPr>
        <w:tc>
          <w:tcPr>
            <w:tcW w:w="1416" w:type="dxa"/>
            <w:vMerge/>
            <w:tcBorders>
              <w:top w:val="nil"/>
              <w:right w:val="nil"/>
            </w:tcBorders>
          </w:tcPr>
          <w:p w:rsidR="00E702F6">
            <w:pPr>
              <w:rPr>
                <w:sz w:val="2"/>
                <w:szCs w:val="2"/>
              </w:rPr>
            </w:pPr>
          </w:p>
        </w:tc>
        <w:tc>
          <w:tcPr>
            <w:tcW w:w="1703" w:type="dxa"/>
            <w:tcBorders>
              <w:top w:val="nil"/>
              <w:left w:val="nil"/>
            </w:tcBorders>
          </w:tcPr>
          <w:p w:rsidR="00E702F6">
            <w:pPr>
              <w:pStyle w:val="TableParagraph"/>
              <w:spacing w:line="252" w:lineRule="exact"/>
              <w:ind w:left="112"/>
            </w:pPr>
            <w:r>
              <w:t>Depreciation</w:t>
            </w:r>
          </w:p>
        </w:tc>
        <w:tc>
          <w:tcPr>
            <w:tcW w:w="1451" w:type="dxa"/>
            <w:tcBorders>
              <w:top w:val="nil"/>
            </w:tcBorders>
          </w:tcPr>
          <w:p w:rsidR="00E702F6">
            <w:pPr>
              <w:pStyle w:val="TableParagraph"/>
              <w:spacing w:before="12" w:line="242" w:lineRule="exact"/>
              <w:ind w:right="92"/>
              <w:jc w:val="right"/>
              <w:rPr>
                <w:sz w:val="20"/>
              </w:rPr>
            </w:pPr>
            <w:r>
              <w:rPr>
                <w:w w:val="95"/>
                <w:sz w:val="20"/>
              </w:rPr>
              <w:t>17.7</w:t>
            </w:r>
          </w:p>
        </w:tc>
        <w:tc>
          <w:tcPr>
            <w:tcW w:w="1448" w:type="dxa"/>
            <w:tcBorders>
              <w:top w:val="nil"/>
            </w:tcBorders>
          </w:tcPr>
          <w:p w:rsidR="00E702F6">
            <w:pPr>
              <w:pStyle w:val="TableParagraph"/>
              <w:spacing w:before="12" w:line="242" w:lineRule="exact"/>
              <w:ind w:right="103"/>
              <w:jc w:val="right"/>
              <w:rPr>
                <w:sz w:val="20"/>
              </w:rPr>
            </w:pPr>
            <w:r>
              <w:rPr>
                <w:w w:val="95"/>
                <w:sz w:val="20"/>
              </w:rPr>
              <w:t>11.4</w:t>
            </w:r>
          </w:p>
        </w:tc>
        <w:tc>
          <w:tcPr>
            <w:tcW w:w="1103" w:type="dxa"/>
            <w:tcBorders>
              <w:top w:val="nil"/>
            </w:tcBorders>
          </w:tcPr>
          <w:p w:rsidR="00E702F6">
            <w:pPr>
              <w:pStyle w:val="TableParagraph"/>
              <w:spacing w:before="12" w:line="242" w:lineRule="exact"/>
              <w:ind w:right="96"/>
              <w:jc w:val="right"/>
              <w:rPr>
                <w:sz w:val="20"/>
              </w:rPr>
            </w:pPr>
            <w:r>
              <w:rPr>
                <w:sz w:val="20"/>
              </w:rPr>
              <w:t>6.3</w:t>
            </w:r>
          </w:p>
        </w:tc>
        <w:tc>
          <w:tcPr>
            <w:tcW w:w="856" w:type="dxa"/>
            <w:tcBorders>
              <w:top w:val="nil"/>
            </w:tcBorders>
          </w:tcPr>
          <w:p w:rsidR="00E702F6">
            <w:pPr>
              <w:pStyle w:val="TableParagraph"/>
              <w:spacing w:before="12" w:line="242" w:lineRule="exact"/>
              <w:ind w:right="93"/>
              <w:jc w:val="right"/>
              <w:rPr>
                <w:sz w:val="20"/>
              </w:rPr>
            </w:pPr>
            <w:r>
              <w:rPr>
                <w:w w:val="95"/>
                <w:sz w:val="20"/>
              </w:rPr>
              <w:t>55.3</w:t>
            </w:r>
          </w:p>
        </w:tc>
        <w:tc>
          <w:tcPr>
            <w:tcW w:w="1471" w:type="dxa"/>
            <w:tcBorders>
              <w:top w:val="nil"/>
            </w:tcBorders>
          </w:tcPr>
          <w:p w:rsidR="00E702F6">
            <w:pPr>
              <w:pStyle w:val="TableParagraph"/>
              <w:spacing w:before="12" w:line="242" w:lineRule="exact"/>
              <w:ind w:right="93"/>
              <w:jc w:val="right"/>
              <w:rPr>
                <w:sz w:val="20"/>
              </w:rPr>
            </w:pPr>
            <w:r>
              <w:rPr>
                <w:w w:val="99"/>
                <w:sz w:val="20"/>
              </w:rPr>
              <w:t>3</w:t>
            </w:r>
          </w:p>
        </w:tc>
      </w:tr>
      <w:tr>
        <w:tblPrEx>
          <w:tblW w:w="0" w:type="auto"/>
          <w:tblInd w:w="110" w:type="dxa"/>
          <w:tblLayout w:type="fixed"/>
          <w:tblCellMar>
            <w:left w:w="0" w:type="dxa"/>
            <w:right w:w="0" w:type="dxa"/>
          </w:tblCellMar>
          <w:tblLook w:val="01E0"/>
        </w:tblPrEx>
        <w:trPr>
          <w:trHeight w:val="290"/>
        </w:trPr>
        <w:tc>
          <w:tcPr>
            <w:tcW w:w="1416" w:type="dxa"/>
            <w:vMerge/>
            <w:tcBorders>
              <w:top w:val="nil"/>
              <w:right w:val="nil"/>
            </w:tcBorders>
          </w:tcPr>
          <w:p w:rsidR="00E702F6">
            <w:pPr>
              <w:rPr>
                <w:sz w:val="2"/>
                <w:szCs w:val="2"/>
              </w:rPr>
            </w:pPr>
          </w:p>
        </w:tc>
        <w:tc>
          <w:tcPr>
            <w:tcW w:w="1703" w:type="dxa"/>
            <w:tcBorders>
              <w:left w:val="nil"/>
            </w:tcBorders>
          </w:tcPr>
          <w:p w:rsidR="00E702F6">
            <w:pPr>
              <w:pStyle w:val="TableParagraph"/>
              <w:spacing w:line="268" w:lineRule="exact"/>
              <w:ind w:left="112"/>
            </w:pPr>
            <w:r>
              <w:t>Net expenditure</w:t>
            </w:r>
          </w:p>
        </w:tc>
        <w:tc>
          <w:tcPr>
            <w:tcW w:w="1451" w:type="dxa"/>
          </w:tcPr>
          <w:p w:rsidR="00E702F6">
            <w:pPr>
              <w:pStyle w:val="TableParagraph"/>
              <w:spacing w:before="27" w:line="242" w:lineRule="exact"/>
              <w:ind w:right="92"/>
              <w:jc w:val="right"/>
              <w:rPr>
                <w:sz w:val="20"/>
              </w:rPr>
            </w:pPr>
            <w:r>
              <w:rPr>
                <w:sz w:val="20"/>
              </w:rPr>
              <w:t>376.0</w:t>
            </w:r>
          </w:p>
        </w:tc>
        <w:tc>
          <w:tcPr>
            <w:tcW w:w="1448" w:type="dxa"/>
          </w:tcPr>
          <w:p w:rsidR="00E702F6">
            <w:pPr>
              <w:pStyle w:val="TableParagraph"/>
              <w:spacing w:before="27" w:line="242" w:lineRule="exact"/>
              <w:ind w:right="105"/>
              <w:jc w:val="right"/>
              <w:rPr>
                <w:sz w:val="20"/>
              </w:rPr>
            </w:pPr>
            <w:r>
              <w:rPr>
                <w:sz w:val="20"/>
              </w:rPr>
              <w:t>346.4</w:t>
            </w:r>
          </w:p>
        </w:tc>
        <w:tc>
          <w:tcPr>
            <w:tcW w:w="1103" w:type="dxa"/>
          </w:tcPr>
          <w:p w:rsidR="00E702F6">
            <w:pPr>
              <w:pStyle w:val="TableParagraph"/>
              <w:spacing w:before="27" w:line="242" w:lineRule="exact"/>
              <w:ind w:right="97"/>
              <w:jc w:val="right"/>
              <w:rPr>
                <w:sz w:val="20"/>
              </w:rPr>
            </w:pPr>
            <w:r>
              <w:rPr>
                <w:sz w:val="20"/>
              </w:rPr>
              <w:t>29.6</w:t>
            </w:r>
          </w:p>
        </w:tc>
        <w:tc>
          <w:tcPr>
            <w:tcW w:w="856" w:type="dxa"/>
          </w:tcPr>
          <w:p w:rsidR="00E702F6">
            <w:pPr>
              <w:pStyle w:val="TableParagraph"/>
              <w:spacing w:before="27" w:line="242" w:lineRule="exact"/>
              <w:ind w:right="93"/>
              <w:jc w:val="right"/>
              <w:rPr>
                <w:sz w:val="20"/>
              </w:rPr>
            </w:pPr>
            <w:r>
              <w:rPr>
                <w:w w:val="95"/>
                <w:sz w:val="20"/>
              </w:rPr>
              <w:t>8.5</w:t>
            </w:r>
          </w:p>
        </w:tc>
        <w:tc>
          <w:tcPr>
            <w:tcW w:w="1471" w:type="dxa"/>
          </w:tcPr>
          <w:p w:rsidR="00E702F6">
            <w:pPr>
              <w:pStyle w:val="TableParagraph"/>
              <w:rPr>
                <w:rFonts w:ascii="Times New Roman"/>
                <w:sz w:val="20"/>
              </w:rPr>
            </w:pPr>
          </w:p>
        </w:tc>
      </w:tr>
    </w:tbl>
    <w:p w:rsidR="00E702F6">
      <w:pPr>
        <w:pStyle w:val="BodyText"/>
      </w:pPr>
    </w:p>
    <w:p w:rsidR="00E702F6">
      <w:pPr>
        <w:pStyle w:val="BodyText"/>
        <w:rPr>
          <w:sz w:val="19"/>
        </w:rPr>
      </w:pPr>
    </w:p>
    <w:p w:rsidR="00E702F6">
      <w:pPr>
        <w:pStyle w:val="ListParagraph"/>
        <w:numPr>
          <w:ilvl w:val="0"/>
          <w:numId w:val="2"/>
        </w:numPr>
        <w:tabs>
          <w:tab w:val="left" w:pos="459"/>
        </w:tabs>
        <w:spacing w:before="1"/>
        <w:ind w:right="761"/>
      </w:pPr>
      <w:r>
        <w:t>In 2020-21 £15m of forecast underspend, relating to recruitment and other activity delayed by the impact of Covid-19, was returned through the Supplementary Estimates process. We are currently forecasting activity and spend to return to normal levels in</w:t>
      </w:r>
      <w:r>
        <w:rPr>
          <w:spacing w:val="-7"/>
        </w:rPr>
        <w:t xml:space="preserve"> </w:t>
      </w:r>
      <w:r>
        <w:t>20</w:t>
      </w:r>
      <w:r>
        <w:t>21-22</w:t>
      </w:r>
    </w:p>
    <w:p w:rsidR="00E702F6">
      <w:pPr>
        <w:sectPr>
          <w:pgSz w:w="11910" w:h="16840"/>
          <w:pgMar w:top="1700" w:right="900" w:bottom="1200" w:left="1340" w:header="569" w:footer="1000" w:gutter="0"/>
          <w:cols w:space="720"/>
        </w:sectPr>
      </w:pPr>
    </w:p>
    <w:p w:rsidR="00E702F6">
      <w:pPr>
        <w:pStyle w:val="BodyText"/>
        <w:rPr>
          <w:sz w:val="20"/>
        </w:rPr>
      </w:pPr>
    </w:p>
    <w:p w:rsidR="00E702F6">
      <w:pPr>
        <w:pStyle w:val="BodyText"/>
        <w:rPr>
          <w:sz w:val="20"/>
        </w:rPr>
      </w:pPr>
    </w:p>
    <w:p w:rsidR="00E702F6">
      <w:pPr>
        <w:pStyle w:val="BodyText"/>
        <w:spacing w:before="11"/>
        <w:rPr>
          <w:sz w:val="24"/>
        </w:rPr>
      </w:pPr>
    </w:p>
    <w:p w:rsidR="00E702F6">
      <w:pPr>
        <w:pStyle w:val="ListParagraph"/>
        <w:numPr>
          <w:ilvl w:val="0"/>
          <w:numId w:val="2"/>
        </w:numPr>
        <w:tabs>
          <w:tab w:val="left" w:pos="459"/>
        </w:tabs>
        <w:spacing w:before="56"/>
        <w:ind w:right="1284"/>
      </w:pPr>
      <w:r>
        <w:t>Additional funding was provided in our 2020 Spending Review Settlement to support the acceleration of the Local Land Charges</w:t>
      </w:r>
      <w:r>
        <w:rPr>
          <w:spacing w:val="-8"/>
        </w:rPr>
        <w:t xml:space="preserve"> </w:t>
      </w:r>
      <w:r>
        <w:t>Programme.</w:t>
      </w:r>
    </w:p>
    <w:p w:rsidR="00E702F6">
      <w:pPr>
        <w:pStyle w:val="BodyText"/>
        <w:spacing w:before="10"/>
        <w:rPr>
          <w:sz w:val="21"/>
        </w:rPr>
      </w:pPr>
    </w:p>
    <w:p w:rsidR="00E702F6">
      <w:pPr>
        <w:pStyle w:val="ListParagraph"/>
        <w:numPr>
          <w:ilvl w:val="0"/>
          <w:numId w:val="2"/>
        </w:numPr>
        <w:tabs>
          <w:tab w:val="left" w:pos="459"/>
        </w:tabs>
        <w:spacing w:before="1"/>
        <w:ind w:right="1038"/>
      </w:pPr>
      <w:r>
        <w:t xml:space="preserve">Depreciation has been increased to cover the depreciation of the new leases relating to the </w:t>
      </w:r>
      <w:r>
        <w:t>freehold properties transferred to GPA in March</w:t>
      </w:r>
      <w:r>
        <w:rPr>
          <w:spacing w:val="-10"/>
        </w:rPr>
        <w:t xml:space="preserve"> </w:t>
      </w:r>
      <w:r>
        <w:t>2021.</w:t>
      </w:r>
    </w:p>
    <w:p w:rsidR="00E702F6">
      <w:pPr>
        <w:pStyle w:val="BodyText"/>
      </w:pPr>
    </w:p>
    <w:p w:rsidR="00E702F6">
      <w:pPr>
        <w:pStyle w:val="Heading4"/>
      </w:pPr>
      <w:r>
        <w:t>Capital DEL</w:t>
      </w:r>
    </w:p>
    <w:p w:rsidR="00E702F6">
      <w:pPr>
        <w:pStyle w:val="BodyText"/>
        <w:spacing w:before="9"/>
        <w:rPr>
          <w:b/>
          <w:sz w:val="19"/>
        </w:rPr>
      </w:pPr>
    </w:p>
    <w:p w:rsidR="00E702F6">
      <w:pPr>
        <w:pStyle w:val="BodyText"/>
        <w:ind w:left="100"/>
      </w:pPr>
      <w:r>
        <w:t>The table below compares HMLR’s Capital DEL for 2021-22 with 2020-21 as follows:</w:t>
      </w:r>
    </w:p>
    <w:p w:rsidR="00E702F6">
      <w:pPr>
        <w:pStyle w:val="BodyText"/>
        <w:rPr>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16"/>
        <w:gridCol w:w="1703"/>
        <w:gridCol w:w="1451"/>
        <w:gridCol w:w="1448"/>
        <w:gridCol w:w="1103"/>
        <w:gridCol w:w="856"/>
        <w:gridCol w:w="1471"/>
      </w:tblGrid>
      <w:tr>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13"/>
        </w:trPr>
        <w:tc>
          <w:tcPr>
            <w:tcW w:w="3119" w:type="dxa"/>
            <w:gridSpan w:val="2"/>
            <w:vMerge w:val="restart"/>
          </w:tcPr>
          <w:p w:rsidR="00E702F6">
            <w:pPr>
              <w:pStyle w:val="TableParagraph"/>
              <w:rPr>
                <w:rFonts w:ascii="Times New Roman"/>
                <w:sz w:val="20"/>
              </w:rPr>
            </w:pPr>
          </w:p>
        </w:tc>
        <w:tc>
          <w:tcPr>
            <w:tcW w:w="6329" w:type="dxa"/>
            <w:gridSpan w:val="5"/>
          </w:tcPr>
          <w:p w:rsidR="00E702F6">
            <w:pPr>
              <w:pStyle w:val="TableParagraph"/>
              <w:spacing w:before="54" w:line="240" w:lineRule="exact"/>
              <w:ind w:left="104"/>
              <w:rPr>
                <w:b/>
                <w:sz w:val="20"/>
              </w:rPr>
            </w:pPr>
            <w:r>
              <w:rPr>
                <w:b/>
                <w:sz w:val="20"/>
              </w:rPr>
              <w:t>Capital DEL</w:t>
            </w:r>
          </w:p>
        </w:tc>
      </w:tr>
      <w:tr>
        <w:tblPrEx>
          <w:tblW w:w="0" w:type="auto"/>
          <w:tblInd w:w="110" w:type="dxa"/>
          <w:tblLayout w:type="fixed"/>
          <w:tblCellMar>
            <w:left w:w="0" w:type="dxa"/>
            <w:right w:w="0" w:type="dxa"/>
          </w:tblCellMar>
          <w:tblLook w:val="01E0"/>
        </w:tblPrEx>
        <w:trPr>
          <w:trHeight w:val="1633"/>
        </w:trPr>
        <w:tc>
          <w:tcPr>
            <w:tcW w:w="3119" w:type="dxa"/>
            <w:gridSpan w:val="2"/>
            <w:vMerge/>
            <w:tcBorders>
              <w:top w:val="nil"/>
            </w:tcBorders>
          </w:tcPr>
          <w:p w:rsidR="00E702F6">
            <w:pPr>
              <w:rPr>
                <w:sz w:val="2"/>
                <w:szCs w:val="2"/>
              </w:rPr>
            </w:pPr>
          </w:p>
        </w:tc>
        <w:tc>
          <w:tcPr>
            <w:tcW w:w="1451" w:type="dxa"/>
          </w:tcPr>
          <w:p w:rsidR="00E702F6">
            <w:pPr>
              <w:pStyle w:val="TableParagraph"/>
              <w:spacing w:before="11"/>
              <w:rPr>
                <w:sz w:val="23"/>
              </w:rPr>
            </w:pPr>
          </w:p>
          <w:p w:rsidR="00E702F6">
            <w:pPr>
              <w:pStyle w:val="TableParagraph"/>
              <w:ind w:left="104"/>
              <w:rPr>
                <w:sz w:val="20"/>
              </w:rPr>
            </w:pPr>
            <w:r>
              <w:rPr>
                <w:sz w:val="20"/>
              </w:rPr>
              <w:t>2021-22</w:t>
            </w:r>
          </w:p>
          <w:p w:rsidR="00E702F6">
            <w:pPr>
              <w:pStyle w:val="TableParagraph"/>
              <w:spacing w:before="20" w:line="259" w:lineRule="auto"/>
              <w:ind w:left="104" w:right="140"/>
              <w:rPr>
                <w:sz w:val="20"/>
              </w:rPr>
            </w:pPr>
            <w:r>
              <w:rPr>
                <w:sz w:val="20"/>
              </w:rPr>
              <w:t>Main Estimates budget sought</w:t>
            </w:r>
          </w:p>
        </w:tc>
        <w:tc>
          <w:tcPr>
            <w:tcW w:w="1448" w:type="dxa"/>
          </w:tcPr>
          <w:p w:rsidR="00E702F6">
            <w:pPr>
              <w:pStyle w:val="TableParagraph"/>
              <w:spacing w:before="30"/>
              <w:ind w:left="108"/>
              <w:rPr>
                <w:sz w:val="20"/>
              </w:rPr>
            </w:pPr>
            <w:r>
              <w:rPr>
                <w:sz w:val="20"/>
              </w:rPr>
              <w:t>2020-21</w:t>
            </w:r>
          </w:p>
          <w:p w:rsidR="00E702F6">
            <w:pPr>
              <w:pStyle w:val="TableParagraph"/>
              <w:spacing w:before="17" w:line="259" w:lineRule="auto"/>
              <w:ind w:left="108"/>
              <w:rPr>
                <w:sz w:val="20"/>
              </w:rPr>
            </w:pPr>
            <w:r>
              <w:rPr>
                <w:w w:val="95"/>
                <w:sz w:val="20"/>
              </w:rPr>
              <w:t xml:space="preserve">Supplementary </w:t>
            </w:r>
            <w:r>
              <w:rPr>
                <w:sz w:val="20"/>
              </w:rPr>
              <w:t>Estimates budget approved</w:t>
            </w:r>
          </w:p>
        </w:tc>
        <w:tc>
          <w:tcPr>
            <w:tcW w:w="1959" w:type="dxa"/>
            <w:gridSpan w:val="2"/>
          </w:tcPr>
          <w:p w:rsidR="00E702F6">
            <w:pPr>
              <w:pStyle w:val="TableParagraph"/>
              <w:rPr>
                <w:sz w:val="20"/>
              </w:rPr>
            </w:pPr>
          </w:p>
          <w:p w:rsidR="00E702F6">
            <w:pPr>
              <w:pStyle w:val="TableParagraph"/>
              <w:spacing w:before="6"/>
              <w:rPr>
                <w:sz w:val="24"/>
              </w:rPr>
            </w:pPr>
          </w:p>
          <w:p w:rsidR="00E702F6">
            <w:pPr>
              <w:pStyle w:val="TableParagraph"/>
              <w:ind w:left="117"/>
              <w:rPr>
                <w:sz w:val="20"/>
              </w:rPr>
            </w:pPr>
            <w:r>
              <w:rPr>
                <w:b/>
                <w:sz w:val="16"/>
              </w:rPr>
              <w:t xml:space="preserve">* </w:t>
            </w:r>
            <w:r>
              <w:rPr>
                <w:sz w:val="16"/>
              </w:rPr>
              <w:t>V</w:t>
            </w:r>
            <w:r>
              <w:rPr>
                <w:sz w:val="20"/>
              </w:rPr>
              <w:t>ariance</w:t>
            </w:r>
          </w:p>
        </w:tc>
        <w:tc>
          <w:tcPr>
            <w:tcW w:w="1471" w:type="dxa"/>
            <w:vMerge w:val="restart"/>
          </w:tcPr>
          <w:p w:rsidR="00E702F6">
            <w:pPr>
              <w:pStyle w:val="TableParagraph"/>
              <w:spacing w:before="15" w:line="259" w:lineRule="auto"/>
              <w:ind w:left="112" w:right="262"/>
              <w:rPr>
                <w:sz w:val="20"/>
              </w:rPr>
            </w:pPr>
            <w:r>
              <w:rPr>
                <w:sz w:val="20"/>
              </w:rPr>
              <w:t>Is variance significant? See explanation, note number</w:t>
            </w:r>
          </w:p>
        </w:tc>
      </w:tr>
      <w:tr>
        <w:tblPrEx>
          <w:tblW w:w="0" w:type="auto"/>
          <w:tblInd w:w="110" w:type="dxa"/>
          <w:tblLayout w:type="fixed"/>
          <w:tblCellMar>
            <w:left w:w="0" w:type="dxa"/>
            <w:right w:w="0" w:type="dxa"/>
          </w:tblCellMar>
          <w:tblLook w:val="01E0"/>
        </w:tblPrEx>
        <w:trPr>
          <w:trHeight w:val="290"/>
        </w:trPr>
        <w:tc>
          <w:tcPr>
            <w:tcW w:w="1416" w:type="dxa"/>
            <w:vMerge w:val="restart"/>
            <w:tcBorders>
              <w:right w:val="nil"/>
            </w:tcBorders>
          </w:tcPr>
          <w:p w:rsidR="00E702F6">
            <w:pPr>
              <w:pStyle w:val="TableParagraph"/>
              <w:spacing w:before="6"/>
              <w:rPr>
                <w:sz w:val="24"/>
              </w:rPr>
            </w:pPr>
          </w:p>
          <w:p w:rsidR="00E702F6">
            <w:pPr>
              <w:pStyle w:val="TableParagraph"/>
              <w:ind w:left="107"/>
              <w:rPr>
                <w:b/>
              </w:rPr>
            </w:pPr>
            <w:r>
              <w:rPr>
                <w:b/>
              </w:rPr>
              <w:t>Capital DEL</w:t>
            </w:r>
          </w:p>
          <w:p w:rsidR="00E702F6">
            <w:pPr>
              <w:pStyle w:val="TableParagraph"/>
              <w:spacing w:before="22"/>
              <w:ind w:left="107"/>
            </w:pPr>
            <w:r>
              <w:t>A</w:t>
            </w:r>
          </w:p>
        </w:tc>
        <w:tc>
          <w:tcPr>
            <w:tcW w:w="1703" w:type="dxa"/>
            <w:vMerge w:val="restart"/>
            <w:tcBorders>
              <w:left w:val="nil"/>
            </w:tcBorders>
          </w:tcPr>
          <w:p w:rsidR="00E702F6">
            <w:pPr>
              <w:pStyle w:val="TableParagraph"/>
              <w:spacing w:before="9"/>
            </w:pPr>
          </w:p>
          <w:p w:rsidR="00E702F6">
            <w:pPr>
              <w:pStyle w:val="TableParagraph"/>
              <w:spacing w:line="290" w:lineRule="atLeast"/>
              <w:ind w:left="112" w:right="481"/>
            </w:pPr>
            <w:r>
              <w:t>Core Expenditure</w:t>
            </w:r>
          </w:p>
        </w:tc>
        <w:tc>
          <w:tcPr>
            <w:tcW w:w="4002" w:type="dxa"/>
            <w:gridSpan w:val="3"/>
          </w:tcPr>
          <w:p w:rsidR="00E702F6">
            <w:pPr>
              <w:pStyle w:val="TableParagraph"/>
              <w:spacing w:before="27" w:line="242" w:lineRule="exact"/>
              <w:ind w:left="104"/>
              <w:rPr>
                <w:sz w:val="20"/>
              </w:rPr>
            </w:pPr>
            <w:r>
              <w:rPr>
                <w:sz w:val="20"/>
              </w:rPr>
              <w:t>£million</w:t>
            </w:r>
          </w:p>
        </w:tc>
        <w:tc>
          <w:tcPr>
            <w:tcW w:w="856" w:type="dxa"/>
          </w:tcPr>
          <w:p w:rsidR="00E702F6">
            <w:pPr>
              <w:pStyle w:val="TableParagraph"/>
              <w:spacing w:before="27" w:line="242" w:lineRule="exact"/>
              <w:ind w:left="109"/>
              <w:rPr>
                <w:sz w:val="20"/>
              </w:rPr>
            </w:pPr>
            <w:r>
              <w:rPr>
                <w:w w:val="99"/>
                <w:sz w:val="20"/>
              </w:rPr>
              <w:t>%</w:t>
            </w:r>
          </w:p>
        </w:tc>
        <w:tc>
          <w:tcPr>
            <w:tcW w:w="1471" w:type="dxa"/>
            <w:vMerge/>
            <w:tcBorders>
              <w:top w:val="nil"/>
            </w:tcBorders>
          </w:tcPr>
          <w:p w:rsidR="00E702F6">
            <w:pPr>
              <w:rPr>
                <w:sz w:val="2"/>
                <w:szCs w:val="2"/>
              </w:rPr>
            </w:pPr>
          </w:p>
        </w:tc>
      </w:tr>
      <w:tr>
        <w:tblPrEx>
          <w:tblW w:w="0" w:type="auto"/>
          <w:tblInd w:w="110" w:type="dxa"/>
          <w:tblLayout w:type="fixed"/>
          <w:tblCellMar>
            <w:left w:w="0" w:type="dxa"/>
            <w:right w:w="0" w:type="dxa"/>
          </w:tblCellMar>
          <w:tblLook w:val="01E0"/>
        </w:tblPrEx>
        <w:trPr>
          <w:trHeight w:val="580"/>
        </w:trPr>
        <w:tc>
          <w:tcPr>
            <w:tcW w:w="1416" w:type="dxa"/>
            <w:vMerge/>
            <w:tcBorders>
              <w:top w:val="nil"/>
              <w:right w:val="nil"/>
            </w:tcBorders>
          </w:tcPr>
          <w:p w:rsidR="00E702F6">
            <w:pPr>
              <w:rPr>
                <w:sz w:val="2"/>
                <w:szCs w:val="2"/>
              </w:rPr>
            </w:pPr>
          </w:p>
        </w:tc>
        <w:tc>
          <w:tcPr>
            <w:tcW w:w="1703" w:type="dxa"/>
            <w:vMerge/>
            <w:tcBorders>
              <w:top w:val="nil"/>
              <w:left w:val="nil"/>
            </w:tcBorders>
          </w:tcPr>
          <w:p w:rsidR="00E702F6">
            <w:pPr>
              <w:rPr>
                <w:sz w:val="2"/>
                <w:szCs w:val="2"/>
              </w:rPr>
            </w:pPr>
          </w:p>
        </w:tc>
        <w:tc>
          <w:tcPr>
            <w:tcW w:w="1451" w:type="dxa"/>
          </w:tcPr>
          <w:p w:rsidR="00E702F6">
            <w:pPr>
              <w:pStyle w:val="TableParagraph"/>
              <w:spacing w:before="1"/>
              <w:rPr>
                <w:sz w:val="26"/>
              </w:rPr>
            </w:pPr>
          </w:p>
          <w:p w:rsidR="00E702F6">
            <w:pPr>
              <w:pStyle w:val="TableParagraph"/>
              <w:spacing w:line="242" w:lineRule="exact"/>
              <w:ind w:right="92"/>
              <w:jc w:val="right"/>
              <w:rPr>
                <w:sz w:val="20"/>
              </w:rPr>
            </w:pPr>
            <w:r>
              <w:rPr>
                <w:w w:val="95"/>
                <w:sz w:val="20"/>
              </w:rPr>
              <w:t>132.7</w:t>
            </w:r>
          </w:p>
        </w:tc>
        <w:tc>
          <w:tcPr>
            <w:tcW w:w="1448" w:type="dxa"/>
          </w:tcPr>
          <w:p w:rsidR="00E702F6">
            <w:pPr>
              <w:pStyle w:val="TableParagraph"/>
              <w:spacing w:before="1"/>
              <w:rPr>
                <w:sz w:val="26"/>
              </w:rPr>
            </w:pPr>
          </w:p>
          <w:p w:rsidR="00E702F6">
            <w:pPr>
              <w:pStyle w:val="TableParagraph"/>
              <w:spacing w:line="242" w:lineRule="exact"/>
              <w:ind w:right="105"/>
              <w:jc w:val="right"/>
              <w:rPr>
                <w:sz w:val="20"/>
              </w:rPr>
            </w:pPr>
            <w:r>
              <w:rPr>
                <w:w w:val="95"/>
                <w:sz w:val="20"/>
              </w:rPr>
              <w:t>40.2</w:t>
            </w:r>
          </w:p>
        </w:tc>
        <w:tc>
          <w:tcPr>
            <w:tcW w:w="1103" w:type="dxa"/>
          </w:tcPr>
          <w:p w:rsidR="00E702F6">
            <w:pPr>
              <w:pStyle w:val="TableParagraph"/>
              <w:spacing w:before="1"/>
              <w:rPr>
                <w:sz w:val="26"/>
              </w:rPr>
            </w:pPr>
          </w:p>
          <w:p w:rsidR="00E702F6">
            <w:pPr>
              <w:pStyle w:val="TableParagraph"/>
              <w:spacing w:line="242" w:lineRule="exact"/>
              <w:ind w:right="96"/>
              <w:jc w:val="right"/>
              <w:rPr>
                <w:sz w:val="20"/>
              </w:rPr>
            </w:pPr>
            <w:r>
              <w:rPr>
                <w:w w:val="95"/>
                <w:sz w:val="20"/>
              </w:rPr>
              <w:t>92.5</w:t>
            </w:r>
          </w:p>
        </w:tc>
        <w:tc>
          <w:tcPr>
            <w:tcW w:w="856" w:type="dxa"/>
          </w:tcPr>
          <w:p w:rsidR="00E702F6">
            <w:pPr>
              <w:pStyle w:val="TableParagraph"/>
              <w:spacing w:before="1"/>
              <w:rPr>
                <w:sz w:val="26"/>
              </w:rPr>
            </w:pPr>
          </w:p>
          <w:p w:rsidR="00E702F6">
            <w:pPr>
              <w:pStyle w:val="TableParagraph"/>
              <w:spacing w:line="242" w:lineRule="exact"/>
              <w:ind w:right="93"/>
              <w:jc w:val="right"/>
              <w:rPr>
                <w:sz w:val="20"/>
              </w:rPr>
            </w:pPr>
            <w:r>
              <w:rPr>
                <w:w w:val="95"/>
                <w:sz w:val="20"/>
              </w:rPr>
              <w:t>230.1</w:t>
            </w:r>
          </w:p>
        </w:tc>
        <w:tc>
          <w:tcPr>
            <w:tcW w:w="1471" w:type="dxa"/>
          </w:tcPr>
          <w:p w:rsidR="00E702F6">
            <w:pPr>
              <w:pStyle w:val="TableParagraph"/>
              <w:spacing w:before="1"/>
              <w:rPr>
                <w:sz w:val="26"/>
              </w:rPr>
            </w:pPr>
          </w:p>
          <w:p w:rsidR="00E702F6">
            <w:pPr>
              <w:pStyle w:val="TableParagraph"/>
              <w:spacing w:line="242" w:lineRule="exact"/>
              <w:ind w:right="93"/>
              <w:jc w:val="right"/>
              <w:rPr>
                <w:sz w:val="20"/>
              </w:rPr>
            </w:pPr>
            <w:r>
              <w:rPr>
                <w:w w:val="99"/>
                <w:sz w:val="20"/>
              </w:rPr>
              <w:t>4</w:t>
            </w:r>
          </w:p>
        </w:tc>
      </w:tr>
      <w:tr>
        <w:tblPrEx>
          <w:tblW w:w="0" w:type="auto"/>
          <w:tblInd w:w="110" w:type="dxa"/>
          <w:tblLayout w:type="fixed"/>
          <w:tblCellMar>
            <w:left w:w="0" w:type="dxa"/>
            <w:right w:w="0" w:type="dxa"/>
          </w:tblCellMar>
          <w:tblLook w:val="01E0"/>
        </w:tblPrEx>
        <w:trPr>
          <w:trHeight w:val="290"/>
        </w:trPr>
        <w:tc>
          <w:tcPr>
            <w:tcW w:w="1416" w:type="dxa"/>
            <w:vMerge/>
            <w:tcBorders>
              <w:top w:val="nil"/>
              <w:right w:val="nil"/>
            </w:tcBorders>
          </w:tcPr>
          <w:p w:rsidR="00E702F6">
            <w:pPr>
              <w:rPr>
                <w:sz w:val="2"/>
                <w:szCs w:val="2"/>
              </w:rPr>
            </w:pPr>
          </w:p>
        </w:tc>
        <w:tc>
          <w:tcPr>
            <w:tcW w:w="1703" w:type="dxa"/>
            <w:tcBorders>
              <w:left w:val="nil"/>
            </w:tcBorders>
          </w:tcPr>
          <w:p w:rsidR="00E702F6">
            <w:pPr>
              <w:pStyle w:val="TableParagraph"/>
              <w:spacing w:line="268" w:lineRule="exact"/>
              <w:ind w:left="112"/>
            </w:pPr>
            <w:r>
              <w:t>Net expenditure</w:t>
            </w:r>
          </w:p>
        </w:tc>
        <w:tc>
          <w:tcPr>
            <w:tcW w:w="1451" w:type="dxa"/>
          </w:tcPr>
          <w:p w:rsidR="00E702F6">
            <w:pPr>
              <w:pStyle w:val="TableParagraph"/>
              <w:spacing w:before="27" w:line="242" w:lineRule="exact"/>
              <w:ind w:right="94"/>
              <w:jc w:val="right"/>
              <w:rPr>
                <w:sz w:val="20"/>
              </w:rPr>
            </w:pPr>
            <w:r>
              <w:rPr>
                <w:w w:val="95"/>
                <w:sz w:val="20"/>
              </w:rPr>
              <w:t>132.7</w:t>
            </w:r>
          </w:p>
        </w:tc>
        <w:tc>
          <w:tcPr>
            <w:tcW w:w="1448" w:type="dxa"/>
          </w:tcPr>
          <w:p w:rsidR="00E702F6">
            <w:pPr>
              <w:pStyle w:val="TableParagraph"/>
              <w:spacing w:before="27" w:line="242" w:lineRule="exact"/>
              <w:ind w:right="105"/>
              <w:jc w:val="right"/>
              <w:rPr>
                <w:sz w:val="20"/>
              </w:rPr>
            </w:pPr>
            <w:r>
              <w:rPr>
                <w:w w:val="95"/>
                <w:sz w:val="20"/>
              </w:rPr>
              <w:t>40.2</w:t>
            </w:r>
          </w:p>
        </w:tc>
        <w:tc>
          <w:tcPr>
            <w:tcW w:w="1103" w:type="dxa"/>
          </w:tcPr>
          <w:p w:rsidR="00E702F6">
            <w:pPr>
              <w:pStyle w:val="TableParagraph"/>
              <w:spacing w:before="27" w:line="242" w:lineRule="exact"/>
              <w:ind w:right="96"/>
              <w:jc w:val="right"/>
              <w:rPr>
                <w:sz w:val="20"/>
              </w:rPr>
            </w:pPr>
            <w:r>
              <w:rPr>
                <w:w w:val="95"/>
                <w:sz w:val="20"/>
              </w:rPr>
              <w:t>92.5</w:t>
            </w:r>
          </w:p>
        </w:tc>
        <w:tc>
          <w:tcPr>
            <w:tcW w:w="856" w:type="dxa"/>
          </w:tcPr>
          <w:p w:rsidR="00E702F6">
            <w:pPr>
              <w:pStyle w:val="TableParagraph"/>
              <w:spacing w:before="27" w:line="242" w:lineRule="exact"/>
              <w:ind w:right="93"/>
              <w:jc w:val="right"/>
              <w:rPr>
                <w:sz w:val="20"/>
              </w:rPr>
            </w:pPr>
            <w:r>
              <w:rPr>
                <w:w w:val="95"/>
                <w:sz w:val="20"/>
              </w:rPr>
              <w:t>230.1</w:t>
            </w:r>
          </w:p>
        </w:tc>
        <w:tc>
          <w:tcPr>
            <w:tcW w:w="1471" w:type="dxa"/>
          </w:tcPr>
          <w:p w:rsidR="00E702F6">
            <w:pPr>
              <w:pStyle w:val="TableParagraph"/>
              <w:rPr>
                <w:rFonts w:ascii="Times New Roman"/>
                <w:sz w:val="20"/>
              </w:rPr>
            </w:pPr>
          </w:p>
        </w:tc>
      </w:tr>
    </w:tbl>
    <w:p w:rsidR="00E702F6">
      <w:pPr>
        <w:pStyle w:val="BodyText"/>
      </w:pPr>
    </w:p>
    <w:p w:rsidR="00E702F6">
      <w:pPr>
        <w:pStyle w:val="ListParagraph"/>
        <w:numPr>
          <w:ilvl w:val="0"/>
          <w:numId w:val="2"/>
        </w:numPr>
        <w:tabs>
          <w:tab w:val="left" w:pos="319"/>
        </w:tabs>
        <w:spacing w:before="179" w:line="259" w:lineRule="auto"/>
        <w:ind w:left="100" w:right="620" w:firstLine="0"/>
      </w:pPr>
      <w:r>
        <w:t>The Capital DEL budget includes £75m to cover new leases for properties transferred to GPA in 2020-21. HMLR intends to implement the revised IFRS16 Leases accounting standard in 2021-22, which will require these leases to be recognised as assets in the Sta</w:t>
      </w:r>
      <w:r>
        <w:t>tement of Financial Position. Additional Capital DEL funding was also provided to support the acceleration of the LLC programme, as well as HMLR’s wider digital</w:t>
      </w:r>
      <w:r>
        <w:rPr>
          <w:spacing w:val="-6"/>
        </w:rPr>
        <w:t xml:space="preserve"> </w:t>
      </w:r>
      <w:r>
        <w:t>investment.</w:t>
      </w:r>
    </w:p>
    <w:p w:rsidR="00E702F6">
      <w:pPr>
        <w:pStyle w:val="Heading4"/>
        <w:spacing w:before="160"/>
      </w:pPr>
      <w:r>
        <w:t>Resource AME</w:t>
      </w:r>
    </w:p>
    <w:p w:rsidR="00E702F6">
      <w:pPr>
        <w:pStyle w:val="BodyText"/>
        <w:spacing w:before="181"/>
        <w:ind w:left="100"/>
      </w:pPr>
      <w:r>
        <w:t xml:space="preserve">The table below compares HMLR’s Resource AME for 2021-22 with 2020-21 </w:t>
      </w:r>
      <w:r>
        <w:t>as follows:</w:t>
      </w:r>
    </w:p>
    <w:p w:rsidR="00E702F6">
      <w:pPr>
        <w:pStyle w:val="BodyText"/>
        <w:spacing w:after="1"/>
        <w:rPr>
          <w:sz w:val="15"/>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416"/>
        <w:gridCol w:w="1703"/>
        <w:gridCol w:w="1451"/>
        <w:gridCol w:w="1448"/>
        <w:gridCol w:w="1103"/>
        <w:gridCol w:w="856"/>
        <w:gridCol w:w="1471"/>
      </w:tblGrid>
      <w:tr>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316"/>
        </w:trPr>
        <w:tc>
          <w:tcPr>
            <w:tcW w:w="3119" w:type="dxa"/>
            <w:gridSpan w:val="2"/>
            <w:vMerge w:val="restart"/>
          </w:tcPr>
          <w:p w:rsidR="00E702F6">
            <w:pPr>
              <w:pStyle w:val="TableParagraph"/>
              <w:rPr>
                <w:rFonts w:ascii="Times New Roman"/>
                <w:sz w:val="20"/>
              </w:rPr>
            </w:pPr>
          </w:p>
        </w:tc>
        <w:tc>
          <w:tcPr>
            <w:tcW w:w="6329" w:type="dxa"/>
            <w:gridSpan w:val="5"/>
          </w:tcPr>
          <w:p w:rsidR="00E702F6">
            <w:pPr>
              <w:pStyle w:val="TableParagraph"/>
              <w:spacing w:before="54" w:line="242" w:lineRule="exact"/>
              <w:ind w:left="104"/>
              <w:rPr>
                <w:b/>
                <w:sz w:val="20"/>
              </w:rPr>
            </w:pPr>
            <w:r>
              <w:rPr>
                <w:b/>
                <w:sz w:val="20"/>
              </w:rPr>
              <w:t>Resource AME</w:t>
            </w:r>
          </w:p>
        </w:tc>
      </w:tr>
      <w:tr>
        <w:tblPrEx>
          <w:tblW w:w="0" w:type="auto"/>
          <w:tblInd w:w="110" w:type="dxa"/>
          <w:tblLayout w:type="fixed"/>
          <w:tblCellMar>
            <w:left w:w="0" w:type="dxa"/>
            <w:right w:w="0" w:type="dxa"/>
          </w:tblCellMar>
          <w:tblLook w:val="01E0"/>
        </w:tblPrEx>
        <w:trPr>
          <w:trHeight w:val="1631"/>
        </w:trPr>
        <w:tc>
          <w:tcPr>
            <w:tcW w:w="3119" w:type="dxa"/>
            <w:gridSpan w:val="2"/>
            <w:vMerge/>
            <w:tcBorders>
              <w:top w:val="nil"/>
            </w:tcBorders>
          </w:tcPr>
          <w:p w:rsidR="00E702F6">
            <w:pPr>
              <w:rPr>
                <w:sz w:val="2"/>
                <w:szCs w:val="2"/>
              </w:rPr>
            </w:pPr>
          </w:p>
        </w:tc>
        <w:tc>
          <w:tcPr>
            <w:tcW w:w="1451" w:type="dxa"/>
          </w:tcPr>
          <w:p w:rsidR="00E702F6">
            <w:pPr>
              <w:pStyle w:val="TableParagraph"/>
              <w:spacing w:before="8"/>
              <w:rPr>
                <w:sz w:val="23"/>
              </w:rPr>
            </w:pPr>
          </w:p>
          <w:p w:rsidR="00E702F6">
            <w:pPr>
              <w:pStyle w:val="TableParagraph"/>
              <w:ind w:left="104"/>
              <w:rPr>
                <w:sz w:val="20"/>
              </w:rPr>
            </w:pPr>
            <w:r>
              <w:rPr>
                <w:sz w:val="20"/>
              </w:rPr>
              <w:t>2021-22</w:t>
            </w:r>
          </w:p>
          <w:p w:rsidR="00E702F6">
            <w:pPr>
              <w:pStyle w:val="TableParagraph"/>
              <w:spacing w:before="20" w:line="259" w:lineRule="auto"/>
              <w:ind w:left="104" w:right="140"/>
              <w:rPr>
                <w:sz w:val="20"/>
              </w:rPr>
            </w:pPr>
            <w:r>
              <w:rPr>
                <w:sz w:val="20"/>
              </w:rPr>
              <w:t>Main Estimates budget sought</w:t>
            </w:r>
          </w:p>
        </w:tc>
        <w:tc>
          <w:tcPr>
            <w:tcW w:w="1448" w:type="dxa"/>
          </w:tcPr>
          <w:p w:rsidR="00E702F6">
            <w:pPr>
              <w:pStyle w:val="TableParagraph"/>
              <w:spacing w:before="27"/>
              <w:ind w:left="108"/>
              <w:rPr>
                <w:sz w:val="20"/>
              </w:rPr>
            </w:pPr>
            <w:r>
              <w:rPr>
                <w:sz w:val="20"/>
              </w:rPr>
              <w:t>2020-21</w:t>
            </w:r>
          </w:p>
          <w:p w:rsidR="00E702F6">
            <w:pPr>
              <w:pStyle w:val="TableParagraph"/>
              <w:spacing w:before="18" w:line="259" w:lineRule="auto"/>
              <w:ind w:left="108"/>
              <w:rPr>
                <w:sz w:val="20"/>
              </w:rPr>
            </w:pPr>
            <w:r>
              <w:rPr>
                <w:w w:val="95"/>
                <w:sz w:val="20"/>
              </w:rPr>
              <w:t xml:space="preserve">Supplementary </w:t>
            </w:r>
            <w:r>
              <w:rPr>
                <w:sz w:val="20"/>
              </w:rPr>
              <w:t>Estimates budget approved</w:t>
            </w:r>
          </w:p>
        </w:tc>
        <w:tc>
          <w:tcPr>
            <w:tcW w:w="1959" w:type="dxa"/>
            <w:gridSpan w:val="2"/>
          </w:tcPr>
          <w:p w:rsidR="00E702F6">
            <w:pPr>
              <w:pStyle w:val="TableParagraph"/>
              <w:rPr>
                <w:sz w:val="20"/>
              </w:rPr>
            </w:pPr>
          </w:p>
          <w:p w:rsidR="00E702F6">
            <w:pPr>
              <w:pStyle w:val="TableParagraph"/>
              <w:spacing w:before="4"/>
              <w:rPr>
                <w:sz w:val="24"/>
              </w:rPr>
            </w:pPr>
          </w:p>
          <w:p w:rsidR="00E702F6">
            <w:pPr>
              <w:pStyle w:val="TableParagraph"/>
              <w:ind w:left="117"/>
              <w:rPr>
                <w:sz w:val="20"/>
              </w:rPr>
            </w:pPr>
            <w:r>
              <w:rPr>
                <w:b/>
                <w:sz w:val="16"/>
              </w:rPr>
              <w:t xml:space="preserve">* </w:t>
            </w:r>
            <w:r>
              <w:rPr>
                <w:sz w:val="16"/>
              </w:rPr>
              <w:t>V</w:t>
            </w:r>
            <w:r>
              <w:rPr>
                <w:sz w:val="20"/>
              </w:rPr>
              <w:t>ariance</w:t>
            </w:r>
          </w:p>
        </w:tc>
        <w:tc>
          <w:tcPr>
            <w:tcW w:w="1471" w:type="dxa"/>
            <w:vMerge w:val="restart"/>
          </w:tcPr>
          <w:p w:rsidR="00E702F6">
            <w:pPr>
              <w:pStyle w:val="TableParagraph"/>
              <w:spacing w:before="13" w:line="259" w:lineRule="auto"/>
              <w:ind w:left="112" w:right="262"/>
              <w:rPr>
                <w:sz w:val="20"/>
              </w:rPr>
            </w:pPr>
            <w:r>
              <w:rPr>
                <w:sz w:val="20"/>
              </w:rPr>
              <w:t>Is variance significant? See explanation, note number</w:t>
            </w:r>
          </w:p>
        </w:tc>
      </w:tr>
      <w:tr>
        <w:tblPrEx>
          <w:tblW w:w="0" w:type="auto"/>
          <w:tblInd w:w="110" w:type="dxa"/>
          <w:tblLayout w:type="fixed"/>
          <w:tblCellMar>
            <w:left w:w="0" w:type="dxa"/>
            <w:right w:w="0" w:type="dxa"/>
          </w:tblCellMar>
          <w:tblLook w:val="01E0"/>
        </w:tblPrEx>
        <w:trPr>
          <w:trHeight w:val="290"/>
        </w:trPr>
        <w:tc>
          <w:tcPr>
            <w:tcW w:w="1416" w:type="dxa"/>
            <w:vMerge w:val="restart"/>
            <w:tcBorders>
              <w:right w:val="nil"/>
            </w:tcBorders>
          </w:tcPr>
          <w:p w:rsidR="00E702F6">
            <w:pPr>
              <w:pStyle w:val="TableParagraph"/>
              <w:spacing w:before="6"/>
              <w:rPr>
                <w:sz w:val="24"/>
              </w:rPr>
            </w:pPr>
          </w:p>
          <w:p w:rsidR="00E702F6">
            <w:pPr>
              <w:pStyle w:val="TableParagraph"/>
              <w:spacing w:line="259" w:lineRule="auto"/>
              <w:ind w:left="107" w:right="444"/>
              <w:rPr>
                <w:b/>
              </w:rPr>
            </w:pPr>
            <w:r>
              <w:rPr>
                <w:b/>
              </w:rPr>
              <w:t>Resource AME</w:t>
            </w:r>
          </w:p>
          <w:p w:rsidR="00E702F6">
            <w:pPr>
              <w:pStyle w:val="TableParagraph"/>
              <w:spacing w:before="1"/>
              <w:ind w:left="107"/>
            </w:pPr>
            <w:r>
              <w:t>A</w:t>
            </w:r>
          </w:p>
        </w:tc>
        <w:tc>
          <w:tcPr>
            <w:tcW w:w="1703" w:type="dxa"/>
            <w:tcBorders>
              <w:left w:val="nil"/>
              <w:bottom w:val="nil"/>
            </w:tcBorders>
          </w:tcPr>
          <w:p w:rsidR="00E702F6">
            <w:pPr>
              <w:pStyle w:val="TableParagraph"/>
              <w:rPr>
                <w:rFonts w:ascii="Times New Roman"/>
                <w:sz w:val="20"/>
              </w:rPr>
            </w:pPr>
          </w:p>
        </w:tc>
        <w:tc>
          <w:tcPr>
            <w:tcW w:w="4002" w:type="dxa"/>
            <w:gridSpan w:val="3"/>
          </w:tcPr>
          <w:p w:rsidR="00E702F6">
            <w:pPr>
              <w:pStyle w:val="TableParagraph"/>
              <w:spacing w:before="27" w:line="242" w:lineRule="exact"/>
              <w:ind w:left="104"/>
              <w:rPr>
                <w:sz w:val="20"/>
              </w:rPr>
            </w:pPr>
            <w:r>
              <w:rPr>
                <w:sz w:val="20"/>
              </w:rPr>
              <w:t>£million</w:t>
            </w:r>
          </w:p>
        </w:tc>
        <w:tc>
          <w:tcPr>
            <w:tcW w:w="856" w:type="dxa"/>
          </w:tcPr>
          <w:p w:rsidR="00E702F6">
            <w:pPr>
              <w:pStyle w:val="TableParagraph"/>
              <w:spacing w:before="27" w:line="242" w:lineRule="exact"/>
              <w:ind w:left="109"/>
              <w:rPr>
                <w:sz w:val="20"/>
              </w:rPr>
            </w:pPr>
            <w:r>
              <w:rPr>
                <w:w w:val="99"/>
                <w:sz w:val="20"/>
              </w:rPr>
              <w:t>%</w:t>
            </w:r>
          </w:p>
        </w:tc>
        <w:tc>
          <w:tcPr>
            <w:tcW w:w="1471" w:type="dxa"/>
            <w:vMerge/>
            <w:tcBorders>
              <w:top w:val="nil"/>
            </w:tcBorders>
          </w:tcPr>
          <w:p w:rsidR="00E702F6">
            <w:pPr>
              <w:rPr>
                <w:sz w:val="2"/>
                <w:szCs w:val="2"/>
              </w:rPr>
            </w:pPr>
          </w:p>
        </w:tc>
      </w:tr>
      <w:tr>
        <w:tblPrEx>
          <w:tblW w:w="0" w:type="auto"/>
          <w:tblInd w:w="110" w:type="dxa"/>
          <w:tblLayout w:type="fixed"/>
          <w:tblCellMar>
            <w:left w:w="0" w:type="dxa"/>
            <w:right w:w="0" w:type="dxa"/>
          </w:tblCellMar>
          <w:tblLook w:val="01E0"/>
        </w:tblPrEx>
        <w:trPr>
          <w:trHeight w:val="876"/>
        </w:trPr>
        <w:tc>
          <w:tcPr>
            <w:tcW w:w="1416" w:type="dxa"/>
            <w:vMerge/>
            <w:tcBorders>
              <w:top w:val="nil"/>
              <w:right w:val="nil"/>
            </w:tcBorders>
          </w:tcPr>
          <w:p w:rsidR="00E702F6">
            <w:pPr>
              <w:rPr>
                <w:sz w:val="2"/>
                <w:szCs w:val="2"/>
              </w:rPr>
            </w:pPr>
          </w:p>
        </w:tc>
        <w:tc>
          <w:tcPr>
            <w:tcW w:w="1703" w:type="dxa"/>
            <w:tcBorders>
              <w:top w:val="nil"/>
              <w:left w:val="nil"/>
              <w:bottom w:val="nil"/>
            </w:tcBorders>
          </w:tcPr>
          <w:p w:rsidR="00E702F6">
            <w:pPr>
              <w:pStyle w:val="TableParagraph"/>
            </w:pPr>
          </w:p>
          <w:p w:rsidR="00E702F6">
            <w:pPr>
              <w:pStyle w:val="TableParagraph"/>
              <w:spacing w:before="6"/>
              <w:rPr>
                <w:sz w:val="25"/>
              </w:rPr>
            </w:pPr>
          </w:p>
          <w:p w:rsidR="00E702F6">
            <w:pPr>
              <w:pStyle w:val="TableParagraph"/>
              <w:ind w:left="112"/>
            </w:pPr>
            <w:r>
              <w:t>Indemnity</w:t>
            </w:r>
          </w:p>
        </w:tc>
        <w:tc>
          <w:tcPr>
            <w:tcW w:w="1451"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spacing w:before="1"/>
              <w:ind w:right="93"/>
              <w:jc w:val="right"/>
              <w:rPr>
                <w:sz w:val="20"/>
              </w:rPr>
            </w:pPr>
            <w:r>
              <w:rPr>
                <w:w w:val="95"/>
                <w:sz w:val="20"/>
              </w:rPr>
              <w:t>12</w:t>
            </w:r>
          </w:p>
        </w:tc>
        <w:tc>
          <w:tcPr>
            <w:tcW w:w="1448"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spacing w:before="1"/>
              <w:ind w:right="103"/>
              <w:jc w:val="right"/>
              <w:rPr>
                <w:sz w:val="20"/>
              </w:rPr>
            </w:pPr>
            <w:r>
              <w:rPr>
                <w:w w:val="95"/>
                <w:sz w:val="20"/>
              </w:rPr>
              <w:t>12</w:t>
            </w:r>
          </w:p>
        </w:tc>
        <w:tc>
          <w:tcPr>
            <w:tcW w:w="1103"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spacing w:before="1"/>
              <w:ind w:right="94"/>
              <w:jc w:val="right"/>
              <w:rPr>
                <w:sz w:val="20"/>
              </w:rPr>
            </w:pPr>
            <w:r>
              <w:rPr>
                <w:w w:val="99"/>
                <w:sz w:val="20"/>
              </w:rPr>
              <w:t>0</w:t>
            </w:r>
          </w:p>
        </w:tc>
        <w:tc>
          <w:tcPr>
            <w:tcW w:w="856"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spacing w:before="1"/>
              <w:ind w:right="91"/>
              <w:jc w:val="right"/>
              <w:rPr>
                <w:sz w:val="20"/>
              </w:rPr>
            </w:pPr>
            <w:r>
              <w:rPr>
                <w:w w:val="99"/>
                <w:sz w:val="20"/>
              </w:rPr>
              <w:t>0</w:t>
            </w:r>
          </w:p>
        </w:tc>
        <w:tc>
          <w:tcPr>
            <w:tcW w:w="1471" w:type="dxa"/>
            <w:tcBorders>
              <w:bottom w:val="nil"/>
            </w:tcBorders>
          </w:tcPr>
          <w:p w:rsidR="00E702F6">
            <w:pPr>
              <w:pStyle w:val="TableParagraph"/>
              <w:rPr>
                <w:sz w:val="20"/>
              </w:rPr>
            </w:pPr>
          </w:p>
          <w:p w:rsidR="00E702F6">
            <w:pPr>
              <w:pStyle w:val="TableParagraph"/>
              <w:spacing w:before="10"/>
              <w:rPr>
                <w:sz w:val="29"/>
              </w:rPr>
            </w:pPr>
          </w:p>
          <w:p w:rsidR="00E702F6">
            <w:pPr>
              <w:pStyle w:val="TableParagraph"/>
              <w:spacing w:before="1"/>
              <w:ind w:right="94"/>
              <w:jc w:val="right"/>
              <w:rPr>
                <w:sz w:val="20"/>
              </w:rPr>
            </w:pPr>
            <w:r>
              <w:rPr>
                <w:w w:val="99"/>
                <w:sz w:val="20"/>
              </w:rPr>
              <w:t>N</w:t>
            </w:r>
          </w:p>
        </w:tc>
      </w:tr>
      <w:tr>
        <w:tblPrEx>
          <w:tblW w:w="0" w:type="auto"/>
          <w:tblInd w:w="110" w:type="dxa"/>
          <w:tblLayout w:type="fixed"/>
          <w:tblCellMar>
            <w:left w:w="0" w:type="dxa"/>
            <w:right w:w="0" w:type="dxa"/>
          </w:tblCellMar>
          <w:tblLook w:val="01E0"/>
        </w:tblPrEx>
        <w:trPr>
          <w:trHeight w:val="272"/>
        </w:trPr>
        <w:tc>
          <w:tcPr>
            <w:tcW w:w="1416" w:type="dxa"/>
            <w:vMerge/>
            <w:tcBorders>
              <w:top w:val="nil"/>
              <w:right w:val="nil"/>
            </w:tcBorders>
          </w:tcPr>
          <w:p w:rsidR="00E702F6">
            <w:pPr>
              <w:rPr>
                <w:sz w:val="2"/>
                <w:szCs w:val="2"/>
              </w:rPr>
            </w:pPr>
          </w:p>
        </w:tc>
        <w:tc>
          <w:tcPr>
            <w:tcW w:w="1703" w:type="dxa"/>
            <w:tcBorders>
              <w:top w:val="nil"/>
              <w:left w:val="nil"/>
            </w:tcBorders>
          </w:tcPr>
          <w:p w:rsidR="00E702F6">
            <w:pPr>
              <w:pStyle w:val="TableParagraph"/>
              <w:spacing w:line="252" w:lineRule="exact"/>
              <w:ind w:left="112"/>
            </w:pPr>
            <w:r>
              <w:t>Impairment</w:t>
            </w:r>
          </w:p>
        </w:tc>
        <w:tc>
          <w:tcPr>
            <w:tcW w:w="1451" w:type="dxa"/>
            <w:tcBorders>
              <w:top w:val="nil"/>
            </w:tcBorders>
          </w:tcPr>
          <w:p w:rsidR="00E702F6">
            <w:pPr>
              <w:pStyle w:val="TableParagraph"/>
              <w:spacing w:before="12" w:line="240" w:lineRule="exact"/>
              <w:ind w:right="93"/>
              <w:jc w:val="right"/>
              <w:rPr>
                <w:sz w:val="20"/>
              </w:rPr>
            </w:pPr>
            <w:r>
              <w:rPr>
                <w:w w:val="99"/>
                <w:sz w:val="20"/>
              </w:rPr>
              <w:t>0</w:t>
            </w:r>
          </w:p>
        </w:tc>
        <w:tc>
          <w:tcPr>
            <w:tcW w:w="1448" w:type="dxa"/>
            <w:tcBorders>
              <w:top w:val="nil"/>
            </w:tcBorders>
          </w:tcPr>
          <w:p w:rsidR="00E702F6">
            <w:pPr>
              <w:pStyle w:val="TableParagraph"/>
              <w:spacing w:before="12" w:line="240" w:lineRule="exact"/>
              <w:ind w:right="103"/>
              <w:jc w:val="right"/>
              <w:rPr>
                <w:sz w:val="20"/>
              </w:rPr>
            </w:pPr>
            <w:r>
              <w:rPr>
                <w:w w:val="95"/>
                <w:sz w:val="20"/>
              </w:rPr>
              <w:t>10</w:t>
            </w:r>
          </w:p>
        </w:tc>
        <w:tc>
          <w:tcPr>
            <w:tcW w:w="1103" w:type="dxa"/>
            <w:tcBorders>
              <w:top w:val="nil"/>
            </w:tcBorders>
          </w:tcPr>
          <w:p w:rsidR="00E702F6">
            <w:pPr>
              <w:pStyle w:val="TableParagraph"/>
              <w:spacing w:before="12" w:line="240" w:lineRule="exact"/>
              <w:ind w:right="96"/>
              <w:jc w:val="right"/>
              <w:rPr>
                <w:sz w:val="20"/>
              </w:rPr>
            </w:pPr>
            <w:r>
              <w:rPr>
                <w:w w:val="95"/>
                <w:sz w:val="20"/>
              </w:rPr>
              <w:t>(10)</w:t>
            </w:r>
          </w:p>
        </w:tc>
        <w:tc>
          <w:tcPr>
            <w:tcW w:w="856" w:type="dxa"/>
            <w:tcBorders>
              <w:top w:val="nil"/>
            </w:tcBorders>
          </w:tcPr>
          <w:p w:rsidR="00E702F6">
            <w:pPr>
              <w:pStyle w:val="TableParagraph"/>
              <w:spacing w:before="12" w:line="240" w:lineRule="exact"/>
              <w:ind w:right="91"/>
              <w:jc w:val="right"/>
              <w:rPr>
                <w:sz w:val="20"/>
              </w:rPr>
            </w:pPr>
            <w:r>
              <w:rPr>
                <w:w w:val="95"/>
                <w:sz w:val="20"/>
              </w:rPr>
              <w:t>N/A</w:t>
            </w:r>
          </w:p>
        </w:tc>
        <w:tc>
          <w:tcPr>
            <w:tcW w:w="1471" w:type="dxa"/>
            <w:tcBorders>
              <w:top w:val="nil"/>
            </w:tcBorders>
          </w:tcPr>
          <w:p w:rsidR="00E702F6">
            <w:pPr>
              <w:pStyle w:val="TableParagraph"/>
              <w:spacing w:before="12" w:line="240" w:lineRule="exact"/>
              <w:ind w:right="93"/>
              <w:jc w:val="right"/>
              <w:rPr>
                <w:sz w:val="20"/>
              </w:rPr>
            </w:pPr>
            <w:r>
              <w:rPr>
                <w:w w:val="99"/>
                <w:sz w:val="20"/>
              </w:rPr>
              <w:t>5</w:t>
            </w:r>
          </w:p>
        </w:tc>
      </w:tr>
      <w:tr>
        <w:tblPrEx>
          <w:tblW w:w="0" w:type="auto"/>
          <w:tblInd w:w="110" w:type="dxa"/>
          <w:tblLayout w:type="fixed"/>
          <w:tblCellMar>
            <w:left w:w="0" w:type="dxa"/>
            <w:right w:w="0" w:type="dxa"/>
          </w:tblCellMar>
          <w:tblLook w:val="01E0"/>
        </w:tblPrEx>
        <w:trPr>
          <w:trHeight w:val="292"/>
        </w:trPr>
        <w:tc>
          <w:tcPr>
            <w:tcW w:w="1416" w:type="dxa"/>
            <w:vMerge/>
            <w:tcBorders>
              <w:top w:val="nil"/>
              <w:right w:val="nil"/>
            </w:tcBorders>
          </w:tcPr>
          <w:p w:rsidR="00E702F6">
            <w:pPr>
              <w:rPr>
                <w:sz w:val="2"/>
                <w:szCs w:val="2"/>
              </w:rPr>
            </w:pPr>
          </w:p>
        </w:tc>
        <w:tc>
          <w:tcPr>
            <w:tcW w:w="1703" w:type="dxa"/>
            <w:tcBorders>
              <w:left w:val="nil"/>
            </w:tcBorders>
          </w:tcPr>
          <w:p w:rsidR="00E702F6">
            <w:pPr>
              <w:pStyle w:val="TableParagraph"/>
              <w:spacing w:before="1"/>
              <w:ind w:left="112"/>
            </w:pPr>
            <w:r>
              <w:t>Net expenditure</w:t>
            </w:r>
          </w:p>
        </w:tc>
        <w:tc>
          <w:tcPr>
            <w:tcW w:w="1451" w:type="dxa"/>
          </w:tcPr>
          <w:p w:rsidR="00E702F6">
            <w:pPr>
              <w:pStyle w:val="TableParagraph"/>
              <w:spacing w:before="30" w:line="242" w:lineRule="exact"/>
              <w:ind w:right="93"/>
              <w:jc w:val="right"/>
              <w:rPr>
                <w:sz w:val="20"/>
              </w:rPr>
            </w:pPr>
            <w:r>
              <w:rPr>
                <w:w w:val="95"/>
                <w:sz w:val="20"/>
              </w:rPr>
              <w:t>12</w:t>
            </w:r>
          </w:p>
        </w:tc>
        <w:tc>
          <w:tcPr>
            <w:tcW w:w="1448" w:type="dxa"/>
          </w:tcPr>
          <w:p w:rsidR="00E702F6">
            <w:pPr>
              <w:pStyle w:val="TableParagraph"/>
              <w:spacing w:before="30" w:line="242" w:lineRule="exact"/>
              <w:ind w:right="103"/>
              <w:jc w:val="right"/>
              <w:rPr>
                <w:sz w:val="20"/>
              </w:rPr>
            </w:pPr>
            <w:r>
              <w:rPr>
                <w:sz w:val="20"/>
              </w:rPr>
              <w:t>22</w:t>
            </w:r>
          </w:p>
        </w:tc>
        <w:tc>
          <w:tcPr>
            <w:tcW w:w="1103" w:type="dxa"/>
          </w:tcPr>
          <w:p w:rsidR="00E702F6">
            <w:pPr>
              <w:pStyle w:val="TableParagraph"/>
              <w:spacing w:before="30" w:line="242" w:lineRule="exact"/>
              <w:ind w:right="96"/>
              <w:jc w:val="right"/>
              <w:rPr>
                <w:sz w:val="20"/>
              </w:rPr>
            </w:pPr>
            <w:r>
              <w:rPr>
                <w:w w:val="95"/>
                <w:sz w:val="20"/>
              </w:rPr>
              <w:t>(10)</w:t>
            </w:r>
          </w:p>
        </w:tc>
        <w:tc>
          <w:tcPr>
            <w:tcW w:w="856" w:type="dxa"/>
          </w:tcPr>
          <w:p w:rsidR="00E702F6">
            <w:pPr>
              <w:pStyle w:val="TableParagraph"/>
              <w:spacing w:before="30" w:line="242" w:lineRule="exact"/>
              <w:ind w:right="93"/>
              <w:jc w:val="right"/>
              <w:rPr>
                <w:sz w:val="20"/>
              </w:rPr>
            </w:pPr>
            <w:r>
              <w:rPr>
                <w:sz w:val="20"/>
              </w:rPr>
              <w:t>(45.5)</w:t>
            </w:r>
          </w:p>
        </w:tc>
        <w:tc>
          <w:tcPr>
            <w:tcW w:w="1471" w:type="dxa"/>
          </w:tcPr>
          <w:p w:rsidR="00E702F6">
            <w:pPr>
              <w:pStyle w:val="TableParagraph"/>
              <w:rPr>
                <w:rFonts w:ascii="Times New Roman"/>
                <w:sz w:val="20"/>
              </w:rPr>
            </w:pPr>
          </w:p>
        </w:tc>
      </w:tr>
    </w:tbl>
    <w:p w:rsidR="00E702F6">
      <w:pPr>
        <w:rPr>
          <w:rFonts w:ascii="Times New Roman"/>
          <w:sz w:val="20"/>
        </w:rPr>
        <w:sectPr>
          <w:pgSz w:w="11910" w:h="16840"/>
          <w:pgMar w:top="1700" w:right="900" w:bottom="1200" w:left="1340" w:header="569" w:footer="1000" w:gutter="0"/>
          <w:cols w:space="720"/>
        </w:sectPr>
      </w:pPr>
    </w:p>
    <w:p w:rsidR="00E702F6">
      <w:pPr>
        <w:pStyle w:val="BodyText"/>
        <w:rPr>
          <w:sz w:val="20"/>
        </w:rPr>
      </w:pPr>
    </w:p>
    <w:p w:rsidR="00E702F6">
      <w:pPr>
        <w:pStyle w:val="BodyText"/>
        <w:rPr>
          <w:sz w:val="20"/>
        </w:rPr>
      </w:pPr>
    </w:p>
    <w:p w:rsidR="00E702F6">
      <w:pPr>
        <w:pStyle w:val="BodyText"/>
        <w:spacing w:before="11"/>
        <w:rPr>
          <w:sz w:val="24"/>
        </w:rPr>
      </w:pPr>
    </w:p>
    <w:p w:rsidR="00E702F6">
      <w:pPr>
        <w:pStyle w:val="ListParagraph"/>
        <w:numPr>
          <w:ilvl w:val="0"/>
          <w:numId w:val="2"/>
        </w:numPr>
        <w:tabs>
          <w:tab w:val="left" w:pos="324"/>
        </w:tabs>
        <w:spacing w:before="56"/>
        <w:ind w:left="100" w:right="796" w:firstLine="0"/>
      </w:pPr>
      <w:r>
        <w:t>The Resource AME budget in 2020-21 included £10m to cover potential impairments relating to HMLR’s freehold properties. These properties transferred in March 2021 to the Government Property Agency (GPA) and therefore no similar budget cover is required in</w:t>
      </w:r>
      <w:r>
        <w:rPr>
          <w:spacing w:val="-19"/>
        </w:rPr>
        <w:t xml:space="preserve"> </w:t>
      </w:r>
      <w:r>
        <w:t>2021-22.</w:t>
      </w:r>
    </w:p>
    <w:p w:rsidR="00E702F6">
      <w:pPr>
        <w:pStyle w:val="BodyText"/>
      </w:pPr>
    </w:p>
    <w:p w:rsidR="00E702F6">
      <w:pPr>
        <w:pStyle w:val="Heading3"/>
        <w:numPr>
          <w:ilvl w:val="1"/>
          <w:numId w:val="3"/>
        </w:numPr>
        <w:tabs>
          <w:tab w:val="left" w:pos="641"/>
        </w:tabs>
        <w:spacing w:before="181"/>
        <w:ind w:left="640" w:hanging="541"/>
      </w:pPr>
      <w:r>
        <w:rPr>
          <w:color w:val="2E5395"/>
        </w:rPr>
        <w:t>Ring fenced</w:t>
      </w:r>
      <w:r>
        <w:rPr>
          <w:color w:val="2E5395"/>
          <w:spacing w:val="-2"/>
        </w:rPr>
        <w:t xml:space="preserve"> </w:t>
      </w:r>
      <w:r>
        <w:rPr>
          <w:color w:val="2E5395"/>
        </w:rPr>
        <w:t>budgets</w:t>
      </w:r>
    </w:p>
    <w:p w:rsidR="00E702F6">
      <w:pPr>
        <w:pStyle w:val="BodyText"/>
        <w:spacing w:before="119" w:line="259" w:lineRule="auto"/>
        <w:ind w:left="100" w:right="881"/>
      </w:pPr>
      <w:r>
        <w:t>Within the totals, the following elements are ring fenced i.e. savings in these budgets may not be used to fund pressures on other budgets.</w:t>
      </w:r>
    </w:p>
    <w:p w:rsidR="00E702F6">
      <w:pPr>
        <w:pStyle w:val="Heading4"/>
        <w:spacing w:before="160"/>
      </w:pPr>
      <w:r>
        <w:t>Resource DEL</w:t>
      </w:r>
    </w:p>
    <w:p w:rsidR="00E702F6">
      <w:pPr>
        <w:pStyle w:val="BodyText"/>
        <w:spacing w:before="1"/>
        <w:rPr>
          <w:b/>
          <w:sz w:val="19"/>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650"/>
        <w:gridCol w:w="1733"/>
        <w:gridCol w:w="1037"/>
        <w:gridCol w:w="1014"/>
        <w:gridCol w:w="1201"/>
        <w:gridCol w:w="1175"/>
      </w:tblGrid>
      <w:tr>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12"/>
        </w:trPr>
        <w:tc>
          <w:tcPr>
            <w:tcW w:w="4383" w:type="dxa"/>
            <w:gridSpan w:val="2"/>
            <w:vMerge w:val="restart"/>
          </w:tcPr>
          <w:p w:rsidR="00E702F6">
            <w:pPr>
              <w:pStyle w:val="TableParagraph"/>
              <w:ind w:left="107" w:right="1649"/>
            </w:pPr>
            <w:r>
              <w:t>Ring fenced budgets Amounts sought for this year (Main Estimate 2021-22)</w:t>
            </w:r>
          </w:p>
        </w:tc>
        <w:tc>
          <w:tcPr>
            <w:tcW w:w="2051" w:type="dxa"/>
            <w:gridSpan w:val="2"/>
          </w:tcPr>
          <w:p w:rsidR="00E702F6">
            <w:pPr>
              <w:pStyle w:val="TableParagraph"/>
              <w:ind w:left="108" w:right="475"/>
            </w:pPr>
            <w:r>
              <w:t>Difference (+/-) compared to final budget last year (Supplementary</w:t>
            </w:r>
          </w:p>
          <w:p w:rsidR="00E702F6">
            <w:pPr>
              <w:pStyle w:val="TableParagraph"/>
              <w:spacing w:line="249" w:lineRule="exact"/>
              <w:ind w:left="108"/>
            </w:pPr>
            <w:r>
              <w:t>Estimate 2020-21)</w:t>
            </w:r>
          </w:p>
        </w:tc>
        <w:tc>
          <w:tcPr>
            <w:tcW w:w="2376" w:type="dxa"/>
            <w:gridSpan w:val="2"/>
          </w:tcPr>
          <w:p w:rsidR="00E702F6">
            <w:pPr>
              <w:pStyle w:val="TableParagraph"/>
              <w:ind w:left="107" w:right="317"/>
            </w:pPr>
            <w:r>
              <w:t>Difference (+/-) compared to original budget last year (Main Estimate 2020-</w:t>
            </w:r>
          </w:p>
          <w:p w:rsidR="00E702F6">
            <w:pPr>
              <w:pStyle w:val="TableParagraph"/>
              <w:ind w:left="107"/>
            </w:pPr>
            <w:r>
              <w:t>21)</w:t>
            </w:r>
          </w:p>
        </w:tc>
      </w:tr>
      <w:tr>
        <w:tblPrEx>
          <w:tblW w:w="0" w:type="auto"/>
          <w:tblInd w:w="110" w:type="dxa"/>
          <w:tblLayout w:type="fixed"/>
          <w:tblCellMar>
            <w:left w:w="0" w:type="dxa"/>
            <w:right w:w="0" w:type="dxa"/>
          </w:tblCellMar>
          <w:tblLook w:val="01E0"/>
        </w:tblPrEx>
        <w:trPr>
          <w:trHeight w:val="448"/>
        </w:trPr>
        <w:tc>
          <w:tcPr>
            <w:tcW w:w="4383" w:type="dxa"/>
            <w:gridSpan w:val="2"/>
            <w:vMerge/>
            <w:tcBorders>
              <w:top w:val="nil"/>
            </w:tcBorders>
          </w:tcPr>
          <w:p w:rsidR="00E702F6">
            <w:pPr>
              <w:rPr>
                <w:sz w:val="2"/>
                <w:szCs w:val="2"/>
              </w:rPr>
            </w:pPr>
          </w:p>
        </w:tc>
        <w:tc>
          <w:tcPr>
            <w:tcW w:w="1037" w:type="dxa"/>
          </w:tcPr>
          <w:p w:rsidR="00E702F6">
            <w:pPr>
              <w:pStyle w:val="TableParagraph"/>
              <w:spacing w:before="179" w:line="250" w:lineRule="exact"/>
              <w:ind w:left="108"/>
            </w:pPr>
            <w:r>
              <w:t>£m</w:t>
            </w:r>
          </w:p>
        </w:tc>
        <w:tc>
          <w:tcPr>
            <w:tcW w:w="1014" w:type="dxa"/>
          </w:tcPr>
          <w:p w:rsidR="00E702F6">
            <w:pPr>
              <w:pStyle w:val="TableParagraph"/>
              <w:spacing w:before="179" w:line="250" w:lineRule="exact"/>
              <w:ind w:left="107"/>
            </w:pPr>
            <w:r>
              <w:t>%</w:t>
            </w:r>
          </w:p>
        </w:tc>
        <w:tc>
          <w:tcPr>
            <w:tcW w:w="1201" w:type="dxa"/>
          </w:tcPr>
          <w:p w:rsidR="00E702F6">
            <w:pPr>
              <w:pStyle w:val="TableParagraph"/>
              <w:spacing w:before="179" w:line="250" w:lineRule="exact"/>
              <w:ind w:left="107"/>
            </w:pPr>
            <w:r>
              <w:t>£m</w:t>
            </w:r>
          </w:p>
        </w:tc>
        <w:tc>
          <w:tcPr>
            <w:tcW w:w="1175" w:type="dxa"/>
          </w:tcPr>
          <w:p w:rsidR="00E702F6">
            <w:pPr>
              <w:pStyle w:val="TableParagraph"/>
              <w:spacing w:before="179" w:line="250" w:lineRule="exact"/>
              <w:ind w:left="106"/>
            </w:pPr>
            <w:r>
              <w:t>%</w:t>
            </w:r>
          </w:p>
        </w:tc>
      </w:tr>
      <w:tr>
        <w:tblPrEx>
          <w:tblW w:w="0" w:type="auto"/>
          <w:tblInd w:w="110" w:type="dxa"/>
          <w:tblLayout w:type="fixed"/>
          <w:tblCellMar>
            <w:left w:w="0" w:type="dxa"/>
            <w:right w:w="0" w:type="dxa"/>
          </w:tblCellMar>
          <w:tblLook w:val="01E0"/>
        </w:tblPrEx>
        <w:trPr>
          <w:trHeight w:val="520"/>
        </w:trPr>
        <w:tc>
          <w:tcPr>
            <w:tcW w:w="2650" w:type="dxa"/>
          </w:tcPr>
          <w:p w:rsidR="00E702F6">
            <w:pPr>
              <w:pStyle w:val="TableParagraph"/>
              <w:spacing w:before="6"/>
              <w:rPr>
                <w:b/>
                <w:sz w:val="20"/>
              </w:rPr>
            </w:pPr>
          </w:p>
          <w:p w:rsidR="00E702F6">
            <w:pPr>
              <w:pStyle w:val="TableParagraph"/>
              <w:spacing w:before="1" w:line="249" w:lineRule="exact"/>
              <w:ind w:left="107"/>
            </w:pPr>
            <w:r>
              <w:t>Depreciation</w:t>
            </w:r>
          </w:p>
        </w:tc>
        <w:tc>
          <w:tcPr>
            <w:tcW w:w="1733" w:type="dxa"/>
          </w:tcPr>
          <w:p w:rsidR="00E702F6">
            <w:pPr>
              <w:pStyle w:val="TableParagraph"/>
              <w:spacing w:before="6"/>
              <w:rPr>
                <w:b/>
                <w:sz w:val="20"/>
              </w:rPr>
            </w:pPr>
          </w:p>
          <w:p w:rsidR="00E702F6">
            <w:pPr>
              <w:pStyle w:val="TableParagraph"/>
              <w:spacing w:before="1" w:line="249" w:lineRule="exact"/>
              <w:ind w:left="107"/>
            </w:pPr>
            <w:r>
              <w:t>£17.7m</w:t>
            </w:r>
          </w:p>
        </w:tc>
        <w:tc>
          <w:tcPr>
            <w:tcW w:w="1037" w:type="dxa"/>
          </w:tcPr>
          <w:p w:rsidR="00E702F6">
            <w:pPr>
              <w:pStyle w:val="TableParagraph"/>
              <w:spacing w:before="6"/>
              <w:rPr>
                <w:b/>
                <w:sz w:val="20"/>
              </w:rPr>
            </w:pPr>
          </w:p>
          <w:p w:rsidR="00E702F6">
            <w:pPr>
              <w:pStyle w:val="TableParagraph"/>
              <w:spacing w:before="1" w:line="249" w:lineRule="exact"/>
              <w:ind w:left="108"/>
            </w:pPr>
            <w:r>
              <w:t>£6.3m</w:t>
            </w:r>
          </w:p>
        </w:tc>
        <w:tc>
          <w:tcPr>
            <w:tcW w:w="1014" w:type="dxa"/>
          </w:tcPr>
          <w:p w:rsidR="00E702F6">
            <w:pPr>
              <w:pStyle w:val="TableParagraph"/>
              <w:spacing w:before="6"/>
              <w:rPr>
                <w:b/>
                <w:sz w:val="20"/>
              </w:rPr>
            </w:pPr>
          </w:p>
          <w:p w:rsidR="00E702F6">
            <w:pPr>
              <w:pStyle w:val="TableParagraph"/>
              <w:spacing w:before="1" w:line="249" w:lineRule="exact"/>
              <w:ind w:left="107"/>
            </w:pPr>
            <w:r>
              <w:t>55.3%</w:t>
            </w:r>
          </w:p>
        </w:tc>
        <w:tc>
          <w:tcPr>
            <w:tcW w:w="1201" w:type="dxa"/>
          </w:tcPr>
          <w:p w:rsidR="00E702F6">
            <w:pPr>
              <w:pStyle w:val="TableParagraph"/>
              <w:spacing w:before="6"/>
              <w:rPr>
                <w:b/>
                <w:sz w:val="20"/>
              </w:rPr>
            </w:pPr>
          </w:p>
          <w:p w:rsidR="00E702F6">
            <w:pPr>
              <w:pStyle w:val="TableParagraph"/>
              <w:spacing w:before="1" w:line="249" w:lineRule="exact"/>
              <w:ind w:left="107"/>
            </w:pPr>
            <w:r>
              <w:t>£6.3m</w:t>
            </w:r>
          </w:p>
        </w:tc>
        <w:tc>
          <w:tcPr>
            <w:tcW w:w="1175" w:type="dxa"/>
          </w:tcPr>
          <w:p w:rsidR="00E702F6">
            <w:pPr>
              <w:pStyle w:val="TableParagraph"/>
              <w:spacing w:before="6"/>
              <w:rPr>
                <w:b/>
                <w:sz w:val="20"/>
              </w:rPr>
            </w:pPr>
          </w:p>
          <w:p w:rsidR="00E702F6">
            <w:pPr>
              <w:pStyle w:val="TableParagraph"/>
              <w:spacing w:before="1" w:line="249" w:lineRule="exact"/>
              <w:ind w:left="106"/>
            </w:pPr>
            <w:r>
              <w:t>55.3%</w:t>
            </w:r>
          </w:p>
        </w:tc>
      </w:tr>
    </w:tbl>
    <w:p w:rsidR="00E702F6">
      <w:pPr>
        <w:pStyle w:val="BodyText"/>
        <w:spacing w:before="10"/>
        <w:rPr>
          <w:b/>
          <w:sz w:val="28"/>
        </w:rPr>
      </w:pPr>
    </w:p>
    <w:p w:rsidR="00E702F6">
      <w:pPr>
        <w:ind w:left="100"/>
        <w:rPr>
          <w:b/>
        </w:rPr>
      </w:pPr>
      <w:r>
        <w:rPr>
          <w:b/>
        </w:rPr>
        <w:t>Capital DEL</w:t>
      </w:r>
    </w:p>
    <w:p w:rsidR="00E702F6">
      <w:pPr>
        <w:pStyle w:val="BodyText"/>
        <w:spacing w:before="1"/>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020"/>
        <w:gridCol w:w="1510"/>
        <w:gridCol w:w="950"/>
        <w:gridCol w:w="1039"/>
        <w:gridCol w:w="1144"/>
        <w:gridCol w:w="1142"/>
      </w:tblGrid>
      <w:tr>
        <w:tblPrEx>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1612"/>
        </w:trPr>
        <w:tc>
          <w:tcPr>
            <w:tcW w:w="4530" w:type="dxa"/>
            <w:gridSpan w:val="2"/>
            <w:vMerge w:val="restart"/>
          </w:tcPr>
          <w:p w:rsidR="00E702F6">
            <w:pPr>
              <w:pStyle w:val="TableParagraph"/>
              <w:ind w:left="107" w:right="1796"/>
            </w:pPr>
            <w:r>
              <w:t>Ring fenced budgets Amounts sought for this year (Main Estimate 2021-22)</w:t>
            </w:r>
          </w:p>
        </w:tc>
        <w:tc>
          <w:tcPr>
            <w:tcW w:w="1989" w:type="dxa"/>
            <w:gridSpan w:val="2"/>
          </w:tcPr>
          <w:p w:rsidR="00E702F6">
            <w:pPr>
              <w:pStyle w:val="TableParagraph"/>
              <w:ind w:left="107" w:right="217"/>
            </w:pPr>
            <w:r>
              <w:t>Difference (+/-) compared to final budget last year (Supplementary Estimate 2020-21)</w:t>
            </w:r>
          </w:p>
        </w:tc>
        <w:tc>
          <w:tcPr>
            <w:tcW w:w="2286" w:type="dxa"/>
            <w:gridSpan w:val="2"/>
          </w:tcPr>
          <w:p w:rsidR="00E702F6">
            <w:pPr>
              <w:pStyle w:val="TableParagraph"/>
              <w:ind w:left="108" w:right="226"/>
            </w:pPr>
            <w:r>
              <w:t>Difference (+/-) compared to original budget last year (Main Estimate 2020-</w:t>
            </w:r>
          </w:p>
          <w:p w:rsidR="00E702F6">
            <w:pPr>
              <w:pStyle w:val="TableParagraph"/>
              <w:ind w:left="108"/>
            </w:pPr>
            <w:r>
              <w:t>21)</w:t>
            </w:r>
          </w:p>
        </w:tc>
      </w:tr>
      <w:tr>
        <w:tblPrEx>
          <w:tblW w:w="0" w:type="auto"/>
          <w:tblInd w:w="110" w:type="dxa"/>
          <w:tblLayout w:type="fixed"/>
          <w:tblCellMar>
            <w:left w:w="0" w:type="dxa"/>
            <w:right w:w="0" w:type="dxa"/>
          </w:tblCellMar>
          <w:tblLook w:val="01E0"/>
        </w:tblPrEx>
        <w:trPr>
          <w:trHeight w:val="537"/>
        </w:trPr>
        <w:tc>
          <w:tcPr>
            <w:tcW w:w="4530" w:type="dxa"/>
            <w:gridSpan w:val="2"/>
            <w:vMerge/>
            <w:tcBorders>
              <w:top w:val="nil"/>
            </w:tcBorders>
          </w:tcPr>
          <w:p w:rsidR="00E702F6">
            <w:pPr>
              <w:rPr>
                <w:sz w:val="2"/>
                <w:szCs w:val="2"/>
              </w:rPr>
            </w:pPr>
          </w:p>
        </w:tc>
        <w:tc>
          <w:tcPr>
            <w:tcW w:w="950" w:type="dxa"/>
          </w:tcPr>
          <w:p w:rsidR="00E702F6">
            <w:pPr>
              <w:pStyle w:val="TableParagraph"/>
              <w:spacing w:before="12"/>
              <w:rPr>
                <w:b/>
                <w:sz w:val="21"/>
              </w:rPr>
            </w:pPr>
          </w:p>
          <w:p w:rsidR="00E702F6">
            <w:pPr>
              <w:pStyle w:val="TableParagraph"/>
              <w:spacing w:line="249" w:lineRule="exact"/>
              <w:ind w:left="107"/>
            </w:pPr>
            <w:r>
              <w:t>£m</w:t>
            </w:r>
          </w:p>
        </w:tc>
        <w:tc>
          <w:tcPr>
            <w:tcW w:w="1039" w:type="dxa"/>
          </w:tcPr>
          <w:p w:rsidR="00E702F6">
            <w:pPr>
              <w:pStyle w:val="TableParagraph"/>
              <w:spacing w:before="12"/>
              <w:rPr>
                <w:b/>
                <w:sz w:val="21"/>
              </w:rPr>
            </w:pPr>
          </w:p>
          <w:p w:rsidR="00E702F6">
            <w:pPr>
              <w:pStyle w:val="TableParagraph"/>
              <w:spacing w:line="249" w:lineRule="exact"/>
              <w:ind w:left="107"/>
            </w:pPr>
            <w:r>
              <w:t>%</w:t>
            </w:r>
          </w:p>
        </w:tc>
        <w:tc>
          <w:tcPr>
            <w:tcW w:w="1144" w:type="dxa"/>
          </w:tcPr>
          <w:p w:rsidR="00E702F6">
            <w:pPr>
              <w:pStyle w:val="TableParagraph"/>
              <w:spacing w:before="12"/>
              <w:rPr>
                <w:b/>
                <w:sz w:val="21"/>
              </w:rPr>
            </w:pPr>
          </w:p>
          <w:p w:rsidR="00E702F6">
            <w:pPr>
              <w:pStyle w:val="TableParagraph"/>
              <w:spacing w:line="249" w:lineRule="exact"/>
              <w:ind w:left="108"/>
            </w:pPr>
            <w:r>
              <w:t>£m</w:t>
            </w:r>
          </w:p>
        </w:tc>
        <w:tc>
          <w:tcPr>
            <w:tcW w:w="1142" w:type="dxa"/>
          </w:tcPr>
          <w:p w:rsidR="00E702F6">
            <w:pPr>
              <w:pStyle w:val="TableParagraph"/>
              <w:spacing w:before="12"/>
              <w:rPr>
                <w:b/>
                <w:sz w:val="21"/>
              </w:rPr>
            </w:pPr>
          </w:p>
          <w:p w:rsidR="00E702F6">
            <w:pPr>
              <w:pStyle w:val="TableParagraph"/>
              <w:spacing w:line="249" w:lineRule="exact"/>
              <w:ind w:left="109"/>
            </w:pPr>
            <w:r>
              <w:t>%</w:t>
            </w:r>
          </w:p>
        </w:tc>
      </w:tr>
      <w:tr>
        <w:tblPrEx>
          <w:tblW w:w="0" w:type="auto"/>
          <w:tblInd w:w="110" w:type="dxa"/>
          <w:tblLayout w:type="fixed"/>
          <w:tblCellMar>
            <w:left w:w="0" w:type="dxa"/>
            <w:right w:w="0" w:type="dxa"/>
          </w:tblCellMar>
          <w:tblLook w:val="01E0"/>
        </w:tblPrEx>
        <w:trPr>
          <w:trHeight w:val="805"/>
        </w:trPr>
        <w:tc>
          <w:tcPr>
            <w:tcW w:w="3020" w:type="dxa"/>
          </w:tcPr>
          <w:p w:rsidR="00E702F6">
            <w:pPr>
              <w:pStyle w:val="TableParagraph"/>
              <w:rPr>
                <w:b/>
              </w:rPr>
            </w:pPr>
          </w:p>
          <w:p w:rsidR="00E702F6">
            <w:pPr>
              <w:pStyle w:val="TableParagraph"/>
              <w:spacing w:before="9"/>
              <w:rPr>
                <w:b/>
                <w:sz w:val="21"/>
              </w:rPr>
            </w:pPr>
          </w:p>
          <w:p w:rsidR="00E702F6">
            <w:pPr>
              <w:pStyle w:val="TableParagraph"/>
              <w:spacing w:line="252" w:lineRule="exact"/>
              <w:ind w:left="107"/>
            </w:pPr>
            <w:r>
              <w:t>Local Land Charges Programme</w:t>
            </w:r>
          </w:p>
        </w:tc>
        <w:tc>
          <w:tcPr>
            <w:tcW w:w="1510" w:type="dxa"/>
          </w:tcPr>
          <w:p w:rsidR="00E702F6">
            <w:pPr>
              <w:pStyle w:val="TableParagraph"/>
              <w:rPr>
                <w:b/>
              </w:rPr>
            </w:pPr>
          </w:p>
          <w:p w:rsidR="00E702F6">
            <w:pPr>
              <w:pStyle w:val="TableParagraph"/>
              <w:spacing w:before="9"/>
              <w:rPr>
                <w:b/>
                <w:sz w:val="21"/>
              </w:rPr>
            </w:pPr>
          </w:p>
          <w:p w:rsidR="00E702F6">
            <w:pPr>
              <w:pStyle w:val="TableParagraph"/>
              <w:spacing w:line="252" w:lineRule="exact"/>
              <w:ind w:left="107"/>
            </w:pPr>
            <w:r>
              <w:t>£28.4m</w:t>
            </w:r>
          </w:p>
        </w:tc>
        <w:tc>
          <w:tcPr>
            <w:tcW w:w="950" w:type="dxa"/>
          </w:tcPr>
          <w:p w:rsidR="00E702F6">
            <w:pPr>
              <w:pStyle w:val="TableParagraph"/>
              <w:rPr>
                <w:b/>
              </w:rPr>
            </w:pPr>
          </w:p>
          <w:p w:rsidR="00E702F6">
            <w:pPr>
              <w:pStyle w:val="TableParagraph"/>
              <w:spacing w:before="9"/>
              <w:rPr>
                <w:b/>
                <w:sz w:val="21"/>
              </w:rPr>
            </w:pPr>
          </w:p>
          <w:p w:rsidR="00E702F6">
            <w:pPr>
              <w:pStyle w:val="TableParagraph"/>
              <w:spacing w:line="252" w:lineRule="exact"/>
              <w:ind w:left="107"/>
            </w:pPr>
            <w:r>
              <w:t>N/A</w:t>
            </w:r>
          </w:p>
        </w:tc>
        <w:tc>
          <w:tcPr>
            <w:tcW w:w="1039" w:type="dxa"/>
          </w:tcPr>
          <w:p w:rsidR="00E702F6">
            <w:pPr>
              <w:pStyle w:val="TableParagraph"/>
              <w:rPr>
                <w:b/>
              </w:rPr>
            </w:pPr>
          </w:p>
          <w:p w:rsidR="00E702F6">
            <w:pPr>
              <w:pStyle w:val="TableParagraph"/>
              <w:spacing w:before="9"/>
              <w:rPr>
                <w:b/>
                <w:sz w:val="21"/>
              </w:rPr>
            </w:pPr>
          </w:p>
          <w:p w:rsidR="00E702F6">
            <w:pPr>
              <w:pStyle w:val="TableParagraph"/>
              <w:spacing w:line="252" w:lineRule="exact"/>
              <w:ind w:left="107"/>
            </w:pPr>
            <w:r>
              <w:t>N/A</w:t>
            </w:r>
          </w:p>
        </w:tc>
        <w:tc>
          <w:tcPr>
            <w:tcW w:w="1144" w:type="dxa"/>
          </w:tcPr>
          <w:p w:rsidR="00E702F6">
            <w:pPr>
              <w:pStyle w:val="TableParagraph"/>
              <w:rPr>
                <w:b/>
              </w:rPr>
            </w:pPr>
          </w:p>
          <w:p w:rsidR="00E702F6">
            <w:pPr>
              <w:pStyle w:val="TableParagraph"/>
              <w:spacing w:before="9"/>
              <w:rPr>
                <w:b/>
                <w:sz w:val="21"/>
              </w:rPr>
            </w:pPr>
          </w:p>
          <w:p w:rsidR="00E702F6">
            <w:pPr>
              <w:pStyle w:val="TableParagraph"/>
              <w:spacing w:line="252" w:lineRule="exact"/>
              <w:ind w:left="108"/>
            </w:pPr>
            <w:r>
              <w:t>N/A</w:t>
            </w:r>
          </w:p>
        </w:tc>
        <w:tc>
          <w:tcPr>
            <w:tcW w:w="1142" w:type="dxa"/>
          </w:tcPr>
          <w:p w:rsidR="00E702F6">
            <w:pPr>
              <w:pStyle w:val="TableParagraph"/>
              <w:rPr>
                <w:b/>
              </w:rPr>
            </w:pPr>
          </w:p>
          <w:p w:rsidR="00E702F6">
            <w:pPr>
              <w:pStyle w:val="TableParagraph"/>
              <w:spacing w:before="9"/>
              <w:rPr>
                <w:b/>
                <w:sz w:val="21"/>
              </w:rPr>
            </w:pPr>
          </w:p>
          <w:p w:rsidR="00E702F6">
            <w:pPr>
              <w:pStyle w:val="TableParagraph"/>
              <w:spacing w:line="252" w:lineRule="exact"/>
              <w:ind w:left="109"/>
            </w:pPr>
            <w:r>
              <w:t>N/A</w:t>
            </w:r>
          </w:p>
        </w:tc>
      </w:tr>
    </w:tbl>
    <w:p w:rsidR="00E702F6">
      <w:pPr>
        <w:pStyle w:val="BodyText"/>
        <w:rPr>
          <w:b/>
        </w:rPr>
      </w:pPr>
    </w:p>
    <w:p w:rsidR="00E702F6">
      <w:pPr>
        <w:pStyle w:val="BodyText"/>
        <w:rPr>
          <w:b/>
        </w:rPr>
      </w:pPr>
    </w:p>
    <w:p w:rsidR="00E702F6">
      <w:pPr>
        <w:pStyle w:val="ListParagraph"/>
        <w:numPr>
          <w:ilvl w:val="1"/>
          <w:numId w:val="3"/>
        </w:numPr>
        <w:tabs>
          <w:tab w:val="left" w:pos="641"/>
        </w:tabs>
        <w:spacing w:before="170"/>
        <w:ind w:left="640" w:hanging="541"/>
        <w:rPr>
          <w:rFonts w:ascii="Calibri Light"/>
          <w:sz w:val="28"/>
        </w:rPr>
      </w:pPr>
      <w:r>
        <w:rPr>
          <w:rFonts w:ascii="Calibri Light"/>
          <w:color w:val="2E5395"/>
          <w:sz w:val="28"/>
        </w:rPr>
        <w:t>Changes to contingent</w:t>
      </w:r>
      <w:r>
        <w:rPr>
          <w:rFonts w:ascii="Calibri Light"/>
          <w:color w:val="2E5395"/>
          <w:spacing w:val="-6"/>
          <w:sz w:val="28"/>
        </w:rPr>
        <w:t xml:space="preserve"> </w:t>
      </w:r>
      <w:r>
        <w:rPr>
          <w:rFonts w:ascii="Calibri Light"/>
          <w:color w:val="2E5395"/>
          <w:sz w:val="28"/>
        </w:rPr>
        <w:t>liabilities</w:t>
      </w:r>
    </w:p>
    <w:p w:rsidR="00E702F6">
      <w:pPr>
        <w:pStyle w:val="BodyText"/>
        <w:spacing w:before="119" w:line="259" w:lineRule="auto"/>
        <w:ind w:left="100" w:right="571"/>
      </w:pPr>
      <w:r>
        <w:t>The Land Registration Act 2002 places a legal liability on HMLR to indemnify for losses resulting from errors or omissions on the register of title. This includes errors resulting from frauds perpetrated by third parties. HMLR provides for these claims wit</w:t>
      </w:r>
      <w:r>
        <w:t>hin its Indemnity Fund, both for known claims and claims incurred but not reported.</w:t>
      </w:r>
    </w:p>
    <w:p w:rsidR="00E702F6">
      <w:pPr>
        <w:pStyle w:val="BodyText"/>
        <w:spacing w:before="160"/>
        <w:ind w:left="100"/>
      </w:pPr>
      <w:r>
        <w:t>The estimates and underlying assumptions supporting the valuation of the Indemnity Fund are</w:t>
      </w:r>
    </w:p>
    <w:p w:rsidR="00E702F6">
      <w:pPr>
        <w:pStyle w:val="BodyText"/>
        <w:spacing w:before="22"/>
        <w:ind w:left="100"/>
      </w:pPr>
      <w:r>
        <w:t>reviewed regularly by HMLR, supported by the Government Actuary’s Department. Th</w:t>
      </w:r>
      <w:r>
        <w:t>e latest review</w:t>
      </w:r>
    </w:p>
    <w:p w:rsidR="00E702F6">
      <w:pPr>
        <w:sectPr>
          <w:pgSz w:w="11910" w:h="16840"/>
          <w:pgMar w:top="1700" w:right="900" w:bottom="1200" w:left="1340" w:header="569" w:footer="1000" w:gutter="0"/>
          <w:cols w:space="720"/>
        </w:sectPr>
      </w:pPr>
    </w:p>
    <w:p w:rsidR="00E702F6">
      <w:pPr>
        <w:pStyle w:val="BodyText"/>
        <w:rPr>
          <w:sz w:val="20"/>
        </w:rPr>
      </w:pPr>
    </w:p>
    <w:p w:rsidR="00E702F6">
      <w:pPr>
        <w:pStyle w:val="BodyText"/>
        <w:rPr>
          <w:sz w:val="20"/>
        </w:rPr>
      </w:pPr>
    </w:p>
    <w:p w:rsidR="00E702F6">
      <w:pPr>
        <w:pStyle w:val="BodyText"/>
        <w:spacing w:before="11"/>
        <w:rPr>
          <w:sz w:val="24"/>
        </w:rPr>
      </w:pPr>
    </w:p>
    <w:p w:rsidR="00E702F6">
      <w:pPr>
        <w:pStyle w:val="BodyText"/>
        <w:spacing w:before="56" w:line="259" w:lineRule="auto"/>
        <w:ind w:left="100" w:right="966"/>
      </w:pPr>
      <w:r>
        <w:t>based on data up to the end of March 2021 valued the Indemnity Fund at £70.6m (£73.2m at 31 March 2020).</w:t>
      </w:r>
    </w:p>
    <w:p w:rsidR="00E702F6">
      <w:pPr>
        <w:pStyle w:val="Heading2"/>
        <w:numPr>
          <w:ilvl w:val="0"/>
          <w:numId w:val="1"/>
        </w:numPr>
        <w:tabs>
          <w:tab w:val="left" w:pos="628"/>
          <w:tab w:val="left" w:pos="629"/>
        </w:tabs>
        <w:spacing w:before="160"/>
        <w:ind w:hanging="529"/>
      </w:pPr>
      <w:r>
        <w:rPr>
          <w:color w:val="2E5395"/>
        </w:rPr>
        <w:t>Priorities and</w:t>
      </w:r>
      <w:r>
        <w:rPr>
          <w:color w:val="2E5395"/>
          <w:spacing w:val="-2"/>
        </w:rPr>
        <w:t xml:space="preserve"> </w:t>
      </w:r>
      <w:r>
        <w:rPr>
          <w:color w:val="2E5395"/>
        </w:rPr>
        <w:t>performance</w:t>
      </w:r>
    </w:p>
    <w:p w:rsidR="00E702F6">
      <w:pPr>
        <w:pStyle w:val="Heading3"/>
        <w:numPr>
          <w:ilvl w:val="1"/>
          <w:numId w:val="1"/>
        </w:numPr>
        <w:tabs>
          <w:tab w:val="left" w:pos="666"/>
          <w:tab w:val="left" w:pos="667"/>
        </w:tabs>
        <w:spacing w:before="190"/>
      </w:pPr>
      <w:r>
        <w:rPr>
          <w:color w:val="2E5395"/>
        </w:rPr>
        <w:t>Measures of performance against each</w:t>
      </w:r>
      <w:r>
        <w:rPr>
          <w:color w:val="2E5395"/>
          <w:spacing w:val="-6"/>
        </w:rPr>
        <w:t xml:space="preserve"> </w:t>
      </w:r>
      <w:r>
        <w:rPr>
          <w:color w:val="2E5395"/>
        </w:rPr>
        <w:t>priority</w:t>
      </w:r>
    </w:p>
    <w:p w:rsidR="00E702F6">
      <w:pPr>
        <w:pStyle w:val="BodyText"/>
        <w:spacing w:before="121" w:line="259" w:lineRule="auto"/>
        <w:ind w:left="100" w:right="573"/>
        <w:jc w:val="both"/>
      </w:pPr>
      <w:r>
        <w:t xml:space="preserve">HMLR has transitioned to a new corporate performance framework during this financial year. This is designed to support the organisational outcomes as set out in section 1.1. The framework contains 8 KPIs, which are set out in detail in our Annual Business </w:t>
      </w:r>
      <w:r>
        <w:t>Plan, due to be published shortly.</w:t>
      </w:r>
    </w:p>
    <w:p w:rsidR="00E702F6">
      <w:pPr>
        <w:pStyle w:val="Heading3"/>
        <w:numPr>
          <w:ilvl w:val="1"/>
          <w:numId w:val="1"/>
        </w:numPr>
        <w:tabs>
          <w:tab w:val="left" w:pos="641"/>
        </w:tabs>
        <w:spacing w:before="160"/>
        <w:ind w:left="640" w:hanging="541"/>
      </w:pPr>
      <w:r>
        <w:rPr>
          <w:color w:val="2E5395"/>
        </w:rPr>
        <w:t>Commentary on steps being taken to address performance</w:t>
      </w:r>
      <w:r>
        <w:rPr>
          <w:color w:val="2E5395"/>
          <w:spacing w:val="-13"/>
        </w:rPr>
        <w:t xml:space="preserve"> </w:t>
      </w:r>
      <w:r>
        <w:rPr>
          <w:color w:val="2E5395"/>
        </w:rPr>
        <w:t>issues</w:t>
      </w:r>
    </w:p>
    <w:p w:rsidR="00E702F6">
      <w:pPr>
        <w:pStyle w:val="BodyText"/>
        <w:spacing w:before="186"/>
        <w:ind w:left="100" w:right="931"/>
      </w:pPr>
      <w:r>
        <w:t>By the end of 2021-22, our focus is on reducing the waiting time for our most complex cases and over the subsequent years we will continue to drive down proces</w:t>
      </w:r>
      <w:r>
        <w:t>sing times. To deliver this, as outlined in our business plan, we will need to:</w:t>
      </w:r>
    </w:p>
    <w:p w:rsidR="00E702F6">
      <w:pPr>
        <w:pStyle w:val="ListParagraph"/>
        <w:numPr>
          <w:ilvl w:val="2"/>
          <w:numId w:val="1"/>
        </w:numPr>
        <w:tabs>
          <w:tab w:val="left" w:pos="820"/>
          <w:tab w:val="left" w:pos="821"/>
        </w:tabs>
        <w:spacing w:before="121"/>
        <w:ind w:right="607"/>
      </w:pPr>
      <w:r>
        <w:t>optimise our operational capacity and capability – we are investing some £10m in this priority, recruiting and training an additional 320 caseworkers, supporting other staff to</w:t>
      </w:r>
      <w:r>
        <w:t xml:space="preserve"> progress into more senior roles, and investing in our people as part of our on-going focus on driving up operational</w:t>
      </w:r>
      <w:r>
        <w:rPr>
          <w:spacing w:val="-3"/>
        </w:rPr>
        <w:t xml:space="preserve"> </w:t>
      </w:r>
      <w:r>
        <w:t>productivity;</w:t>
      </w:r>
    </w:p>
    <w:p w:rsidR="00E702F6">
      <w:pPr>
        <w:pStyle w:val="ListParagraph"/>
        <w:numPr>
          <w:ilvl w:val="2"/>
          <w:numId w:val="1"/>
        </w:numPr>
        <w:tabs>
          <w:tab w:val="left" w:pos="820"/>
          <w:tab w:val="left" w:pos="821"/>
        </w:tabs>
        <w:spacing w:before="119"/>
        <w:ind w:right="559"/>
      </w:pPr>
      <w:r>
        <w:t>align our transformation portfolio to accelerate the pace of digitisation and automation – this was always part of our plans</w:t>
      </w:r>
      <w:r>
        <w:t xml:space="preserve"> but dividing our transformation agenda into two phases will enable us to focus first on delivering changes that will have a direct impact on the time it takes to serve our</w:t>
      </w:r>
      <w:r>
        <w:rPr>
          <w:spacing w:val="-10"/>
        </w:rPr>
        <w:t xml:space="preserve"> </w:t>
      </w:r>
      <w:r>
        <w:t>customers.</w:t>
      </w:r>
    </w:p>
    <w:p w:rsidR="00E702F6">
      <w:pPr>
        <w:pStyle w:val="BodyText"/>
      </w:pPr>
    </w:p>
    <w:p w:rsidR="00E702F6">
      <w:pPr>
        <w:pStyle w:val="BodyText"/>
        <w:spacing w:before="8"/>
        <w:rPr>
          <w:sz w:val="24"/>
        </w:rPr>
      </w:pPr>
    </w:p>
    <w:p w:rsidR="00E702F6">
      <w:pPr>
        <w:pStyle w:val="Heading3"/>
        <w:numPr>
          <w:ilvl w:val="1"/>
          <w:numId w:val="1"/>
        </w:numPr>
        <w:tabs>
          <w:tab w:val="left" w:pos="641"/>
        </w:tabs>
        <w:ind w:left="640" w:hanging="541"/>
      </w:pPr>
      <w:r>
        <w:rPr>
          <w:color w:val="2E5395"/>
        </w:rPr>
        <w:t>Major</w:t>
      </w:r>
      <w:r>
        <w:rPr>
          <w:color w:val="2E5395"/>
          <w:spacing w:val="-2"/>
        </w:rPr>
        <w:t xml:space="preserve"> </w:t>
      </w:r>
      <w:r>
        <w:rPr>
          <w:color w:val="2E5395"/>
        </w:rPr>
        <w:t>projects</w:t>
      </w:r>
    </w:p>
    <w:p w:rsidR="00E702F6">
      <w:pPr>
        <w:pStyle w:val="BodyText"/>
        <w:spacing w:before="189" w:line="259" w:lineRule="auto"/>
        <w:ind w:left="100" w:right="606"/>
      </w:pPr>
      <w:r>
        <w:t>HMLR currently has 1 project which is classified on the Government Major Project Portfolio (GMPP); the Local Land Charges (LLC) Programme. The LLC programme is run, in partnership with local authorities, in England to standardise and migrate information he</w:t>
      </w:r>
      <w:r>
        <w:t xml:space="preserve">ld about local land charges in each authority to one accessible, national register. (Further details can be found </w:t>
      </w:r>
      <w:r>
        <w:fldChar w:fldCharType="begin"/>
      </w:r>
      <w:r>
        <w:instrText xml:space="preserve"> HYPERLINK "https://www.gov.uk/government/publications/hm-land-registry-local-land-charges-programme/local-land-charges-programme" </w:instrText>
      </w:r>
      <w:r>
        <w:fldChar w:fldCharType="separate"/>
      </w:r>
      <w:r>
        <w:rPr>
          <w:color w:val="0462C1"/>
          <w:u w:val="single" w:color="0462C1"/>
        </w:rPr>
        <w:t>here</w:t>
      </w:r>
      <w:r>
        <w:fldChar w:fldCharType="end"/>
      </w:r>
      <w:r>
        <w:t>)</w:t>
      </w:r>
      <w:r>
        <w:rPr>
          <w:vertAlign w:val="superscript"/>
        </w:rPr>
        <w:t>1</w:t>
      </w:r>
    </w:p>
    <w:p w:rsidR="00E702F6">
      <w:pPr>
        <w:pStyle w:val="BodyText"/>
        <w:spacing w:before="4"/>
        <w:rPr>
          <w:sz w:val="8"/>
        </w:rPr>
      </w:pPr>
    </w:p>
    <w:p w:rsidR="00E702F6">
      <w:pPr>
        <w:pStyle w:val="BodyText"/>
        <w:spacing w:before="56" w:line="259" w:lineRule="auto"/>
        <w:ind w:left="100" w:right="977"/>
      </w:pPr>
      <w:r>
        <w:t xml:space="preserve">The Accounting Officer Major Project Assessment for the Local Land Charges Programme can be found </w:t>
      </w:r>
      <w:r>
        <w:fldChar w:fldCharType="begin"/>
      </w:r>
      <w:r>
        <w:instrText xml:space="preserve"> HYPERLINK "https://www.gov.uk/government/publications/hm-land-registry-local-land-charges-programme/accounting-officer-memorandum-local-land-charges-programme" </w:instrText>
      </w:r>
      <w:r>
        <w:fldChar w:fldCharType="separate"/>
      </w:r>
      <w:r>
        <w:rPr>
          <w:color w:val="0462C1"/>
          <w:u w:val="single" w:color="0462C1"/>
        </w:rPr>
        <w:t>here</w:t>
      </w:r>
      <w:r>
        <w:fldChar w:fldCharType="end"/>
      </w:r>
      <w:r>
        <w:t>.</w:t>
      </w:r>
      <w:r>
        <w:rPr>
          <w:vertAlign w:val="superscript"/>
        </w:rPr>
        <w:t>2</w:t>
      </w:r>
    </w:p>
    <w:p w:rsidR="00E702F6">
      <w:pPr>
        <w:pStyle w:val="BodyText"/>
        <w:spacing w:before="11"/>
        <w:rPr>
          <w:sz w:val="16"/>
        </w:rPr>
      </w:pPr>
    </w:p>
    <w:p w:rsidR="00E702F6">
      <w:pPr>
        <w:pStyle w:val="Heading2"/>
        <w:numPr>
          <w:ilvl w:val="0"/>
          <w:numId w:val="1"/>
        </w:numPr>
        <w:tabs>
          <w:tab w:val="left" w:pos="628"/>
          <w:tab w:val="left" w:pos="629"/>
        </w:tabs>
        <w:ind w:hanging="529"/>
      </w:pPr>
      <w:r>
        <w:rPr>
          <w:color w:val="2E5395"/>
        </w:rPr>
        <w:t>Other</w:t>
      </w:r>
      <w:r>
        <w:rPr>
          <w:color w:val="2E5395"/>
          <w:spacing w:val="1"/>
        </w:rPr>
        <w:t xml:space="preserve"> </w:t>
      </w:r>
      <w:r>
        <w:rPr>
          <w:color w:val="2E5395"/>
        </w:rPr>
        <w:t>Information</w:t>
      </w:r>
    </w:p>
    <w:p w:rsidR="00E702F6">
      <w:pPr>
        <w:pStyle w:val="Heading3"/>
        <w:numPr>
          <w:ilvl w:val="1"/>
          <w:numId w:val="1"/>
        </w:numPr>
        <w:tabs>
          <w:tab w:val="left" w:pos="516"/>
        </w:tabs>
        <w:spacing w:before="159"/>
        <w:ind w:left="515" w:hanging="416"/>
      </w:pPr>
      <w:r>
        <w:rPr>
          <w:color w:val="2E5395"/>
        </w:rPr>
        <w:t>Additional specific information required by the select</w:t>
      </w:r>
      <w:r>
        <w:rPr>
          <w:color w:val="2E5395"/>
          <w:spacing w:val="-9"/>
        </w:rPr>
        <w:t xml:space="preserve"> </w:t>
      </w:r>
      <w:r>
        <w:rPr>
          <w:color w:val="2E5395"/>
        </w:rPr>
        <w:t>committee</w:t>
      </w:r>
    </w:p>
    <w:p w:rsidR="00E702F6">
      <w:pPr>
        <w:pStyle w:val="BodyText"/>
        <w:spacing w:before="121" w:line="256" w:lineRule="auto"/>
        <w:ind w:left="100" w:right="1190"/>
      </w:pPr>
      <w:r>
        <w:t xml:space="preserve">No additional information has been requested by the Business, </w:t>
      </w:r>
      <w:r>
        <w:t>Energy</w:t>
      </w:r>
      <w:r>
        <w:t xml:space="preserve"> and Industrial Strategy Committee.</w:t>
      </w:r>
    </w:p>
    <w:p w:rsidR="00E702F6">
      <w:pPr>
        <w:pStyle w:val="BodyText"/>
        <w:spacing w:before="7"/>
        <w:rPr>
          <w:sz w:val="28"/>
        </w:rPr>
      </w:pPr>
      <w:r>
        <w:pict>
          <v:shape id="_x0000_s1025" style="height:0.1pt;margin-left:1in;margin-top:19.8pt;mso-position-horizontal-relative:page;mso-wrap-distance-left:0;mso-wrap-distance-right:0;position:absolute;width:144.05pt;z-index:-251657216" coordorigin="1440,396" coordsize="2881,21600" path="m1440,396l4321,396e" filled="f" strokeweight="0.72pt">
            <v:path arrowok="t"/>
            <w10:wrap type="topAndBottom"/>
          </v:shape>
        </w:pict>
      </w:r>
    </w:p>
    <w:p w:rsidR="00E702F6">
      <w:pPr>
        <w:spacing w:before="69"/>
        <w:ind w:left="100" w:right="748"/>
        <w:rPr>
          <w:sz w:val="20"/>
        </w:rPr>
      </w:pPr>
      <w:r>
        <w:rPr>
          <w:position w:val="7"/>
          <w:sz w:val="13"/>
        </w:rPr>
        <w:t xml:space="preserve">1 </w:t>
      </w:r>
      <w:r>
        <w:fldChar w:fldCharType="begin"/>
      </w:r>
      <w:r>
        <w:instrText xml:space="preserve"> HYPERLINK "https://www.gov.uk/government/publications/hm-land-registry-local-land-charges-programme/local-land-charges-programme" </w:instrText>
      </w:r>
      <w:r>
        <w:fldChar w:fldCharType="separate"/>
      </w:r>
      <w:r>
        <w:rPr>
          <w:color w:val="0462C1"/>
          <w:sz w:val="20"/>
          <w:u w:val="single" w:color="0462C1"/>
        </w:rPr>
        <w:t>https://www</w:t>
      </w:r>
      <w:r>
        <w:rPr>
          <w:color w:val="0462C1"/>
          <w:sz w:val="20"/>
          <w:u w:val="single" w:color="0462C1"/>
        </w:rPr>
        <w:t>.gov.uk/government/publications/hm-land-registry-local-land-charges-programme/local-land-</w:t>
      </w:r>
      <w:r>
        <w:fldChar w:fldCharType="end"/>
      </w:r>
      <w:r>
        <w:rPr>
          <w:color w:val="0462C1"/>
          <w:sz w:val="20"/>
        </w:rPr>
        <w:t xml:space="preserve"> </w:t>
      </w:r>
      <w:r>
        <w:fldChar w:fldCharType="begin"/>
      </w:r>
      <w:r>
        <w:instrText xml:space="preserve"> HYPERLINK "https://www.gov.uk/government/publications/hm-land-registry-local-land-charges-programme/local-land-charges-programme" </w:instrText>
      </w:r>
      <w:r>
        <w:fldChar w:fldCharType="separate"/>
      </w:r>
      <w:r>
        <w:rPr>
          <w:color w:val="0462C1"/>
          <w:sz w:val="20"/>
          <w:u w:val="single" w:color="0462C1"/>
        </w:rPr>
        <w:t>charges-programme</w:t>
      </w:r>
      <w:r>
        <w:fldChar w:fldCharType="end"/>
      </w:r>
    </w:p>
    <w:p w:rsidR="00E702F6">
      <w:pPr>
        <w:ind w:left="100" w:right="647"/>
        <w:rPr>
          <w:sz w:val="20"/>
        </w:rPr>
      </w:pPr>
      <w:r>
        <w:rPr>
          <w:position w:val="7"/>
          <w:sz w:val="13"/>
        </w:rPr>
        <w:t xml:space="preserve">2 </w:t>
      </w:r>
      <w:r>
        <w:fldChar w:fldCharType="begin"/>
      </w:r>
      <w:r>
        <w:instrText xml:space="preserve"> HYPERLINK "https://www.gov.uk/government/publications/hm-land-registry-local-land-charges-programme/accounting-officer-memorandum-local-land-charges-programme" </w:instrText>
      </w:r>
      <w:r>
        <w:fldChar w:fldCharType="separate"/>
      </w:r>
      <w:r>
        <w:rPr>
          <w:color w:val="0462C1"/>
          <w:sz w:val="20"/>
          <w:u w:val="single" w:color="0462C1"/>
        </w:rPr>
        <w:t>https://www.gov.uk/government/publications/hm-land-registry-local-land-charges-programme/accountin</w:t>
      </w:r>
      <w:r>
        <w:rPr>
          <w:color w:val="0462C1"/>
          <w:sz w:val="20"/>
          <w:u w:val="single" w:color="0462C1"/>
        </w:rPr>
        <w:t>g-</w:t>
      </w:r>
      <w:r>
        <w:fldChar w:fldCharType="end"/>
      </w:r>
      <w:r>
        <w:rPr>
          <w:color w:val="0462C1"/>
          <w:sz w:val="20"/>
        </w:rPr>
        <w:t xml:space="preserve"> </w:t>
      </w:r>
      <w:r>
        <w:fldChar w:fldCharType="begin"/>
      </w:r>
      <w:r>
        <w:instrText xml:space="preserve"> HYPERLINK "https://www.gov.uk/government/publications/hm-land-registry-local-land-charges-programme/accounting-officer-memorandum-local-land-charges-programme" </w:instrText>
      </w:r>
      <w:r>
        <w:fldChar w:fldCharType="separate"/>
      </w:r>
      <w:r>
        <w:rPr>
          <w:color w:val="0462C1"/>
          <w:sz w:val="20"/>
          <w:u w:val="single" w:color="0462C1"/>
        </w:rPr>
        <w:t>officer-memorandum-local-land-charges-programme</w:t>
      </w:r>
      <w:r>
        <w:fldChar w:fldCharType="end"/>
      </w:r>
    </w:p>
    <w:p w:rsidR="00E702F6">
      <w:pPr>
        <w:rPr>
          <w:sz w:val="20"/>
        </w:rPr>
        <w:sectPr>
          <w:pgSz w:w="11910" w:h="16840"/>
          <w:pgMar w:top="1700" w:right="900" w:bottom="1200" w:left="1340" w:header="569" w:footer="1000" w:gutter="0"/>
          <w:cols w:space="720"/>
        </w:sectPr>
      </w:pPr>
    </w:p>
    <w:p w:rsidR="00E702F6">
      <w:pPr>
        <w:pStyle w:val="BodyText"/>
        <w:rPr>
          <w:sz w:val="20"/>
        </w:rPr>
      </w:pPr>
    </w:p>
    <w:p w:rsidR="00E702F6">
      <w:pPr>
        <w:pStyle w:val="BodyText"/>
        <w:rPr>
          <w:sz w:val="20"/>
        </w:rPr>
      </w:pPr>
    </w:p>
    <w:p w:rsidR="00E702F6">
      <w:pPr>
        <w:pStyle w:val="BodyText"/>
        <w:spacing w:before="6"/>
        <w:rPr>
          <w:sz w:val="26"/>
        </w:rPr>
      </w:pPr>
    </w:p>
    <w:p w:rsidR="00E702F6">
      <w:pPr>
        <w:pStyle w:val="Heading2"/>
        <w:ind w:left="100" w:firstLine="0"/>
      </w:pPr>
      <w:r>
        <w:rPr>
          <w:color w:val="2E5395"/>
        </w:rPr>
        <w:t>Accounting Officer Approval</w:t>
      </w:r>
    </w:p>
    <w:p w:rsidR="00E702F6">
      <w:pPr>
        <w:pStyle w:val="BodyText"/>
        <w:spacing w:before="62" w:line="256" w:lineRule="auto"/>
        <w:ind w:left="100" w:right="798"/>
      </w:pPr>
      <w:r>
        <w:t>This memorandum has been prepared according to the requirements and guidance set out by HM Treasury and the House of Commons Scrutiny Unit, available on the Scrutiny Unit website.</w:t>
      </w:r>
    </w:p>
    <w:p w:rsidR="00E702F6">
      <w:pPr>
        <w:pStyle w:val="BodyText"/>
        <w:spacing w:before="165" w:line="259" w:lineRule="auto"/>
        <w:ind w:left="100" w:right="1355"/>
      </w:pPr>
      <w:r>
        <w:t>The information in this Estimates Memorandum has</w:t>
      </w:r>
      <w:r>
        <w:t xml:space="preserve"> been approved by me as Departmental Accounting Officer.</w:t>
      </w:r>
    </w:p>
    <w:p w:rsidR="00E702F6">
      <w:pPr>
        <w:pStyle w:val="BodyText"/>
        <w:rPr>
          <w:sz w:val="20"/>
        </w:rPr>
      </w:pPr>
    </w:p>
    <w:p w:rsidR="00E702F6">
      <w:pPr>
        <w:pStyle w:val="BodyText"/>
        <w:rPr>
          <w:sz w:val="20"/>
        </w:rPr>
      </w:pPr>
    </w:p>
    <w:p w:rsidR="00E702F6">
      <w:pPr>
        <w:pStyle w:val="BodyText"/>
        <w:spacing w:before="1"/>
        <w:rPr>
          <w:sz w:val="26"/>
        </w:rPr>
      </w:pPr>
      <w:r>
        <w:rPr>
          <w:noProof/>
        </w:rPr>
        <w:drawing>
          <wp:anchor distT="0" distB="0" distL="0" distR="0" simplePos="0" relativeHeight="251658240" behindDoc="0" locked="0" layoutInCell="1" allowOverlap="1">
            <wp:simplePos x="0" y="0"/>
            <wp:positionH relativeFrom="page">
              <wp:posOffset>1071398</wp:posOffset>
            </wp:positionH>
            <wp:positionV relativeFrom="paragraph">
              <wp:posOffset>227286</wp:posOffset>
            </wp:positionV>
            <wp:extent cx="2017167" cy="420624"/>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xmlns:r="http://schemas.openxmlformats.org/officeDocument/2006/relationships" r:embed="rId6" cstate="print"/>
                    <a:stretch>
                      <a:fillRect/>
                    </a:stretch>
                  </pic:blipFill>
                  <pic:spPr>
                    <a:xfrm>
                      <a:off x="0" y="0"/>
                      <a:ext cx="2017167" cy="420624"/>
                    </a:xfrm>
                    <a:prstGeom prst="rect">
                      <a:avLst/>
                    </a:prstGeom>
                  </pic:spPr>
                </pic:pic>
              </a:graphicData>
            </a:graphic>
          </wp:anchor>
        </w:drawing>
      </w:r>
    </w:p>
    <w:p w:rsidR="00E702F6">
      <w:pPr>
        <w:pStyle w:val="BodyText"/>
      </w:pPr>
    </w:p>
    <w:p w:rsidR="00E702F6">
      <w:pPr>
        <w:pStyle w:val="BodyText"/>
        <w:spacing w:before="2"/>
        <w:rPr>
          <w:sz w:val="21"/>
        </w:rPr>
      </w:pPr>
    </w:p>
    <w:p w:rsidR="00E702F6">
      <w:pPr>
        <w:spacing w:before="1" w:line="391" w:lineRule="auto"/>
        <w:ind w:left="100" w:right="7735"/>
        <w:rPr>
          <w:sz w:val="24"/>
        </w:rPr>
      </w:pPr>
      <w:r>
        <w:rPr>
          <w:sz w:val="24"/>
        </w:rPr>
        <w:t>Simon Hayes Accounting Officer HM Land Registry 04 May 2021</w:t>
      </w:r>
    </w:p>
    <w:sectPr>
      <w:pgSz w:w="11910" w:h="16840"/>
      <w:pgMar w:top="1700" w:right="900" w:bottom="1200" w:left="1340" w:header="569" w:footer="100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2F6">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height:13.05pt;margin-left:514.9pt;margin-top:780.9pt;mso-position-horizontal-relative:page;mso-position-vertical-relative:page;position:absolute;width:11.6pt;z-index:-251656192" filled="f" stroked="f">
          <v:textbox inset="0,0,0,0">
            <w:txbxContent>
              <w:p w:rsidR="00E702F6">
                <w:pPr>
                  <w:pStyle w:val="BodyText"/>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02F6">
    <w:pPr>
      <w:pStyle w:val="BodyText"/>
      <w:spacing w:line="14" w:lineRule="auto"/>
      <w:rPr>
        <w:sz w:val="20"/>
      </w:rPr>
    </w:pPr>
    <w:r>
      <w:rPr>
        <w:noProof/>
      </w:rPr>
      <w:drawing>
        <wp:anchor distT="0" distB="0" distL="0" distR="0" simplePos="0" relativeHeight="251658240" behindDoc="1" locked="0" layoutInCell="1" allowOverlap="1">
          <wp:simplePos x="0" y="0"/>
          <wp:positionH relativeFrom="page">
            <wp:posOffset>6336665</wp:posOffset>
          </wp:positionH>
          <wp:positionV relativeFrom="page">
            <wp:posOffset>361060</wp:posOffset>
          </wp:positionV>
          <wp:extent cx="758825" cy="72453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xmlns:r="http://schemas.openxmlformats.org/officeDocument/2006/relationships" r:embed="rId1" cstate="print"/>
                  <a:stretch>
                    <a:fillRect/>
                  </a:stretch>
                </pic:blipFill>
                <pic:spPr>
                  <a:xfrm>
                    <a:off x="0" y="0"/>
                    <a:ext cx="758825" cy="724534"/>
                  </a:xfrm>
                  <a:prstGeom prst="rect">
                    <a:avLst/>
                  </a:prstGeom>
                </pic:spPr>
              </pic:pic>
            </a:graphicData>
          </a:graphic>
        </wp:anchor>
      </w:drawing>
    </w:r>
    <w:r>
      <w:rPr>
        <w:noProof/>
      </w:rPr>
      <w:drawing>
        <wp:anchor distT="0" distB="0" distL="0" distR="0" simplePos="0" relativeHeight="251659264" behindDoc="1" locked="0" layoutInCell="1" allowOverlap="1">
          <wp:simplePos x="0" y="0"/>
          <wp:positionH relativeFrom="page">
            <wp:posOffset>860425</wp:posOffset>
          </wp:positionH>
          <wp:positionV relativeFrom="page">
            <wp:posOffset>478789</wp:posOffset>
          </wp:positionV>
          <wp:extent cx="2527680" cy="348615"/>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xmlns:r="http://schemas.openxmlformats.org/officeDocument/2006/relationships" r:embed="rId2" cstate="print"/>
                  <a:stretch>
                    <a:fillRect/>
                  </a:stretch>
                </pic:blipFill>
                <pic:spPr>
                  <a:xfrm>
                    <a:off x="0" y="0"/>
                    <a:ext cx="2527680" cy="34861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98D6DC9"/>
    <w:multiLevelType w:val="hybridMultilevel"/>
    <w:tmpl w:val="FDFAF3AA"/>
    <w:lvl w:ilvl="0">
      <w:start w:val="1"/>
      <w:numFmt w:val="decimal"/>
      <w:lvlText w:val="%1."/>
      <w:lvlJc w:val="left"/>
      <w:pPr>
        <w:ind w:left="458" w:hanging="358"/>
      </w:pPr>
      <w:rPr>
        <w:rFonts w:ascii="Calibri" w:eastAsia="Calibri" w:hAnsi="Calibri" w:cs="Calibri" w:hint="default"/>
        <w:w w:val="100"/>
        <w:sz w:val="22"/>
        <w:szCs w:val="22"/>
        <w:lang w:val="en-GB" w:eastAsia="en-GB" w:bidi="en-GB"/>
      </w:rPr>
    </w:lvl>
    <w:lvl w:ilvl="1">
      <w:start w:val="0"/>
      <w:numFmt w:val="bullet"/>
      <w:lvlText w:val="•"/>
      <w:lvlJc w:val="left"/>
      <w:pPr>
        <w:ind w:left="1380" w:hanging="358"/>
      </w:pPr>
      <w:rPr>
        <w:rFonts w:hint="default"/>
        <w:lang w:val="en-GB" w:eastAsia="en-GB" w:bidi="en-GB"/>
      </w:rPr>
    </w:lvl>
    <w:lvl w:ilvl="2">
      <w:start w:val="0"/>
      <w:numFmt w:val="bullet"/>
      <w:lvlText w:val="•"/>
      <w:lvlJc w:val="left"/>
      <w:pPr>
        <w:ind w:left="2301" w:hanging="358"/>
      </w:pPr>
      <w:rPr>
        <w:rFonts w:hint="default"/>
        <w:lang w:val="en-GB" w:eastAsia="en-GB" w:bidi="en-GB"/>
      </w:rPr>
    </w:lvl>
    <w:lvl w:ilvl="3">
      <w:start w:val="0"/>
      <w:numFmt w:val="bullet"/>
      <w:lvlText w:val="•"/>
      <w:lvlJc w:val="left"/>
      <w:pPr>
        <w:ind w:left="3221" w:hanging="358"/>
      </w:pPr>
      <w:rPr>
        <w:rFonts w:hint="default"/>
        <w:lang w:val="en-GB" w:eastAsia="en-GB" w:bidi="en-GB"/>
      </w:rPr>
    </w:lvl>
    <w:lvl w:ilvl="4">
      <w:start w:val="0"/>
      <w:numFmt w:val="bullet"/>
      <w:lvlText w:val="•"/>
      <w:lvlJc w:val="left"/>
      <w:pPr>
        <w:ind w:left="4142" w:hanging="358"/>
      </w:pPr>
      <w:rPr>
        <w:rFonts w:hint="default"/>
        <w:lang w:val="en-GB" w:eastAsia="en-GB" w:bidi="en-GB"/>
      </w:rPr>
    </w:lvl>
    <w:lvl w:ilvl="5">
      <w:start w:val="0"/>
      <w:numFmt w:val="bullet"/>
      <w:lvlText w:val="•"/>
      <w:lvlJc w:val="left"/>
      <w:pPr>
        <w:ind w:left="5063" w:hanging="358"/>
      </w:pPr>
      <w:rPr>
        <w:rFonts w:hint="default"/>
        <w:lang w:val="en-GB" w:eastAsia="en-GB" w:bidi="en-GB"/>
      </w:rPr>
    </w:lvl>
    <w:lvl w:ilvl="6">
      <w:start w:val="0"/>
      <w:numFmt w:val="bullet"/>
      <w:lvlText w:val="•"/>
      <w:lvlJc w:val="left"/>
      <w:pPr>
        <w:ind w:left="5983" w:hanging="358"/>
      </w:pPr>
      <w:rPr>
        <w:rFonts w:hint="default"/>
        <w:lang w:val="en-GB" w:eastAsia="en-GB" w:bidi="en-GB"/>
      </w:rPr>
    </w:lvl>
    <w:lvl w:ilvl="7">
      <w:start w:val="0"/>
      <w:numFmt w:val="bullet"/>
      <w:lvlText w:val="•"/>
      <w:lvlJc w:val="left"/>
      <w:pPr>
        <w:ind w:left="6904" w:hanging="358"/>
      </w:pPr>
      <w:rPr>
        <w:rFonts w:hint="default"/>
        <w:lang w:val="en-GB" w:eastAsia="en-GB" w:bidi="en-GB"/>
      </w:rPr>
    </w:lvl>
    <w:lvl w:ilvl="8">
      <w:start w:val="0"/>
      <w:numFmt w:val="bullet"/>
      <w:lvlText w:val="•"/>
      <w:lvlJc w:val="left"/>
      <w:pPr>
        <w:ind w:left="7825" w:hanging="358"/>
      </w:pPr>
      <w:rPr>
        <w:rFonts w:hint="default"/>
        <w:lang w:val="en-GB" w:eastAsia="en-GB" w:bidi="en-GB"/>
      </w:rPr>
    </w:lvl>
  </w:abstractNum>
  <w:abstractNum w:abstractNumId="1">
    <w:nsid w:val="25462E43"/>
    <w:multiLevelType w:val="multilevel"/>
    <w:tmpl w:val="DE3AEC82"/>
    <w:lvl w:ilvl="0">
      <w:start w:val="3"/>
      <w:numFmt w:val="decimal"/>
      <w:lvlText w:val="%1."/>
      <w:lvlJc w:val="left"/>
      <w:pPr>
        <w:ind w:left="628" w:hanging="528"/>
      </w:pPr>
      <w:rPr>
        <w:rFonts w:ascii="Calibri Light" w:eastAsia="Calibri Light" w:hAnsi="Calibri Light" w:cs="Calibri Light" w:hint="default"/>
        <w:color w:val="2E5395"/>
        <w:spacing w:val="-1"/>
        <w:w w:val="99"/>
        <w:sz w:val="32"/>
        <w:szCs w:val="32"/>
        <w:lang w:val="en-GB" w:eastAsia="en-GB" w:bidi="en-GB"/>
      </w:rPr>
    </w:lvl>
    <w:lvl w:ilvl="1">
      <w:start w:val="1"/>
      <w:numFmt w:val="decimal"/>
      <w:lvlText w:val="%1.%2"/>
      <w:lvlJc w:val="left"/>
      <w:pPr>
        <w:ind w:left="666" w:hanging="567"/>
      </w:pPr>
      <w:rPr>
        <w:rFonts w:ascii="Calibri Light" w:eastAsia="Calibri Light" w:hAnsi="Calibri Light" w:cs="Calibri Light" w:hint="default"/>
        <w:color w:val="2E5395"/>
        <w:spacing w:val="-1"/>
        <w:w w:val="100"/>
        <w:sz w:val="28"/>
        <w:szCs w:val="28"/>
        <w:lang w:val="en-GB" w:eastAsia="en-GB" w:bidi="en-GB"/>
      </w:rPr>
    </w:lvl>
    <w:lvl w:ilvl="2">
      <w:start w:val="0"/>
      <w:numFmt w:val="bullet"/>
      <w:lvlText w:val=""/>
      <w:lvlJc w:val="left"/>
      <w:pPr>
        <w:ind w:left="820" w:hanging="360"/>
      </w:pPr>
      <w:rPr>
        <w:rFonts w:ascii="Symbol" w:eastAsia="Symbol" w:hAnsi="Symbol" w:cs="Symbol" w:hint="default"/>
        <w:w w:val="99"/>
        <w:sz w:val="20"/>
        <w:szCs w:val="20"/>
        <w:lang w:val="en-GB" w:eastAsia="en-GB" w:bidi="en-GB"/>
      </w:rPr>
    </w:lvl>
    <w:lvl w:ilvl="3">
      <w:start w:val="0"/>
      <w:numFmt w:val="bullet"/>
      <w:lvlText w:val="•"/>
      <w:lvlJc w:val="left"/>
      <w:pPr>
        <w:ind w:left="820" w:hanging="360"/>
      </w:pPr>
      <w:rPr>
        <w:rFonts w:hint="default"/>
        <w:lang w:val="en-GB" w:eastAsia="en-GB" w:bidi="en-GB"/>
      </w:rPr>
    </w:lvl>
    <w:lvl w:ilvl="4">
      <w:start w:val="0"/>
      <w:numFmt w:val="bullet"/>
      <w:lvlText w:val="•"/>
      <w:lvlJc w:val="left"/>
      <w:pPr>
        <w:ind w:left="2083" w:hanging="360"/>
      </w:pPr>
      <w:rPr>
        <w:rFonts w:hint="default"/>
        <w:lang w:val="en-GB" w:eastAsia="en-GB" w:bidi="en-GB"/>
      </w:rPr>
    </w:lvl>
    <w:lvl w:ilvl="5">
      <w:start w:val="0"/>
      <w:numFmt w:val="bullet"/>
      <w:lvlText w:val="•"/>
      <w:lvlJc w:val="left"/>
      <w:pPr>
        <w:ind w:left="3347" w:hanging="360"/>
      </w:pPr>
      <w:rPr>
        <w:rFonts w:hint="default"/>
        <w:lang w:val="en-GB" w:eastAsia="en-GB" w:bidi="en-GB"/>
      </w:rPr>
    </w:lvl>
    <w:lvl w:ilvl="6">
      <w:start w:val="0"/>
      <w:numFmt w:val="bullet"/>
      <w:lvlText w:val="•"/>
      <w:lvlJc w:val="left"/>
      <w:pPr>
        <w:ind w:left="4611" w:hanging="360"/>
      </w:pPr>
      <w:rPr>
        <w:rFonts w:hint="default"/>
        <w:lang w:val="en-GB" w:eastAsia="en-GB" w:bidi="en-GB"/>
      </w:rPr>
    </w:lvl>
    <w:lvl w:ilvl="7">
      <w:start w:val="0"/>
      <w:numFmt w:val="bullet"/>
      <w:lvlText w:val="•"/>
      <w:lvlJc w:val="left"/>
      <w:pPr>
        <w:ind w:left="5875" w:hanging="360"/>
      </w:pPr>
      <w:rPr>
        <w:rFonts w:hint="default"/>
        <w:lang w:val="en-GB" w:eastAsia="en-GB" w:bidi="en-GB"/>
      </w:rPr>
    </w:lvl>
    <w:lvl w:ilvl="8">
      <w:start w:val="0"/>
      <w:numFmt w:val="bullet"/>
      <w:lvlText w:val="•"/>
      <w:lvlJc w:val="left"/>
      <w:pPr>
        <w:ind w:left="7138" w:hanging="360"/>
      </w:pPr>
      <w:rPr>
        <w:rFonts w:hint="default"/>
        <w:lang w:val="en-GB" w:eastAsia="en-GB" w:bidi="en-GB"/>
      </w:rPr>
    </w:lvl>
  </w:abstractNum>
  <w:abstractNum w:abstractNumId="2">
    <w:nsid w:val="65761D10"/>
    <w:multiLevelType w:val="multilevel"/>
    <w:tmpl w:val="FA900EB4"/>
    <w:lvl w:ilvl="0">
      <w:start w:val="1"/>
      <w:numFmt w:val="decimal"/>
      <w:lvlText w:val="%1"/>
      <w:lvlJc w:val="left"/>
      <w:pPr>
        <w:ind w:left="695" w:hanging="596"/>
      </w:pPr>
      <w:rPr>
        <w:rFonts w:ascii="Calibri Light" w:eastAsia="Calibri Light" w:hAnsi="Calibri Light" w:cs="Calibri Light" w:hint="default"/>
        <w:color w:val="2E5395"/>
        <w:w w:val="99"/>
        <w:sz w:val="32"/>
        <w:szCs w:val="32"/>
        <w:lang w:val="en-GB" w:eastAsia="en-GB" w:bidi="en-GB"/>
      </w:rPr>
    </w:lvl>
    <w:lvl w:ilvl="1">
      <w:start w:val="1"/>
      <w:numFmt w:val="decimal"/>
      <w:lvlText w:val="%1.%2"/>
      <w:lvlJc w:val="left"/>
      <w:pPr>
        <w:ind w:left="702" w:hanging="603"/>
      </w:pPr>
      <w:rPr>
        <w:rFonts w:ascii="Calibri Light" w:eastAsia="Calibri Light" w:hAnsi="Calibri Light" w:cs="Calibri Light" w:hint="default"/>
        <w:color w:val="2E5395"/>
        <w:w w:val="100"/>
        <w:sz w:val="28"/>
        <w:szCs w:val="28"/>
        <w:lang w:val="en-GB" w:eastAsia="en-GB" w:bidi="en-GB"/>
      </w:rPr>
    </w:lvl>
    <w:lvl w:ilvl="2">
      <w:start w:val="0"/>
      <w:numFmt w:val="bullet"/>
      <w:lvlText w:val=""/>
      <w:lvlJc w:val="left"/>
      <w:pPr>
        <w:ind w:left="820" w:hanging="360"/>
      </w:pPr>
      <w:rPr>
        <w:rFonts w:hint="default"/>
        <w:w w:val="100"/>
        <w:lang w:val="en-GB" w:eastAsia="en-GB" w:bidi="en-GB"/>
      </w:rPr>
    </w:lvl>
    <w:lvl w:ilvl="3">
      <w:start w:val="0"/>
      <w:numFmt w:val="bullet"/>
      <w:lvlText w:val="•"/>
      <w:lvlJc w:val="left"/>
      <w:pPr>
        <w:ind w:left="1925" w:hanging="360"/>
      </w:pPr>
      <w:rPr>
        <w:rFonts w:hint="default"/>
        <w:lang w:val="en-GB" w:eastAsia="en-GB" w:bidi="en-GB"/>
      </w:rPr>
    </w:lvl>
    <w:lvl w:ilvl="4">
      <w:start w:val="0"/>
      <w:numFmt w:val="bullet"/>
      <w:lvlText w:val="•"/>
      <w:lvlJc w:val="left"/>
      <w:pPr>
        <w:ind w:left="3031" w:hanging="360"/>
      </w:pPr>
      <w:rPr>
        <w:rFonts w:hint="default"/>
        <w:lang w:val="en-GB" w:eastAsia="en-GB" w:bidi="en-GB"/>
      </w:rPr>
    </w:lvl>
    <w:lvl w:ilvl="5">
      <w:start w:val="0"/>
      <w:numFmt w:val="bullet"/>
      <w:lvlText w:val="•"/>
      <w:lvlJc w:val="left"/>
      <w:pPr>
        <w:ind w:left="4137" w:hanging="360"/>
      </w:pPr>
      <w:rPr>
        <w:rFonts w:hint="default"/>
        <w:lang w:val="en-GB" w:eastAsia="en-GB" w:bidi="en-GB"/>
      </w:rPr>
    </w:lvl>
    <w:lvl w:ilvl="6">
      <w:start w:val="0"/>
      <w:numFmt w:val="bullet"/>
      <w:lvlText w:val="•"/>
      <w:lvlJc w:val="left"/>
      <w:pPr>
        <w:ind w:left="5243" w:hanging="360"/>
      </w:pPr>
      <w:rPr>
        <w:rFonts w:hint="default"/>
        <w:lang w:val="en-GB" w:eastAsia="en-GB" w:bidi="en-GB"/>
      </w:rPr>
    </w:lvl>
    <w:lvl w:ilvl="7">
      <w:start w:val="0"/>
      <w:numFmt w:val="bullet"/>
      <w:lvlText w:val="•"/>
      <w:lvlJc w:val="left"/>
      <w:pPr>
        <w:ind w:left="6349" w:hanging="360"/>
      </w:pPr>
      <w:rPr>
        <w:rFonts w:hint="default"/>
        <w:lang w:val="en-GB" w:eastAsia="en-GB" w:bidi="en-GB"/>
      </w:rPr>
    </w:lvl>
    <w:lvl w:ilvl="8">
      <w:start w:val="0"/>
      <w:numFmt w:val="bullet"/>
      <w:lvlText w:val="•"/>
      <w:lvlJc w:val="left"/>
      <w:pPr>
        <w:ind w:left="7454" w:hanging="360"/>
      </w:pPr>
      <w:rPr>
        <w:rFonts w:hint="default"/>
        <w:lang w:val="en-GB" w:eastAsia="en-GB" w:bidi="en-GB"/>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oNotTrackMoves/>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alibri" w:eastAsia="Calibri" w:hAnsi="Calibri" w:cs="Calibri"/>
      <w:lang w:val="en-GB" w:eastAsia="en-GB" w:bidi="en-GB"/>
    </w:rPr>
  </w:style>
  <w:style w:type="paragraph" w:styleId="Heading1">
    <w:name w:val="heading 1"/>
    <w:basedOn w:val="Normal"/>
    <w:uiPriority w:val="9"/>
    <w:qFormat/>
    <w:pPr>
      <w:ind w:left="100"/>
      <w:outlineLvl w:val="0"/>
    </w:pPr>
    <w:rPr>
      <w:b/>
      <w:bCs/>
      <w:sz w:val="72"/>
      <w:szCs w:val="72"/>
    </w:rPr>
  </w:style>
  <w:style w:type="paragraph" w:styleId="Heading2">
    <w:name w:val="heading 2"/>
    <w:basedOn w:val="Normal"/>
    <w:uiPriority w:val="9"/>
    <w:unhideWhenUsed/>
    <w:qFormat/>
    <w:pPr>
      <w:spacing w:before="35"/>
      <w:ind w:left="628" w:hanging="529"/>
      <w:outlineLvl w:val="1"/>
    </w:pPr>
    <w:rPr>
      <w:rFonts w:ascii="Calibri Light" w:eastAsia="Calibri Light" w:hAnsi="Calibri Light" w:cs="Calibri Light"/>
      <w:sz w:val="32"/>
      <w:szCs w:val="32"/>
    </w:rPr>
  </w:style>
  <w:style w:type="paragraph" w:styleId="Heading3">
    <w:name w:val="heading 3"/>
    <w:basedOn w:val="Normal"/>
    <w:uiPriority w:val="9"/>
    <w:unhideWhenUsed/>
    <w:qFormat/>
    <w:pPr>
      <w:ind w:left="640" w:hanging="541"/>
      <w:outlineLvl w:val="2"/>
    </w:pPr>
    <w:rPr>
      <w:rFonts w:ascii="Calibri Light" w:eastAsia="Calibri Light" w:hAnsi="Calibri Light" w:cs="Calibri Light"/>
      <w:sz w:val="28"/>
      <w:szCs w:val="28"/>
    </w:rPr>
  </w:style>
  <w:style w:type="paragraph" w:styleId="Heading4">
    <w:name w:val="heading 4"/>
    <w:basedOn w:val="Normal"/>
    <w:uiPriority w:val="9"/>
    <w:unhideWhenUsed/>
    <w:qFormat/>
    <w:pPr>
      <w:ind w:left="10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640" w:hanging="54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E6B28"/>
    <w:pPr>
      <w:tabs>
        <w:tab w:val="center" w:pos="4513"/>
        <w:tab w:val="right" w:pos="9026"/>
      </w:tabs>
    </w:pPr>
  </w:style>
  <w:style w:type="character" w:customStyle="1" w:styleId="HeaderChar">
    <w:name w:val="Header Char"/>
    <w:basedOn w:val="DefaultParagraphFont"/>
    <w:link w:val="Header"/>
    <w:uiPriority w:val="99"/>
    <w:rsid w:val="000E6B28"/>
    <w:rPr>
      <w:rFonts w:ascii="Calibri" w:eastAsia="Calibri" w:hAnsi="Calibri" w:cs="Calibri"/>
      <w:lang w:val="en-GB" w:eastAsia="en-GB" w:bidi="en-GB"/>
    </w:rPr>
  </w:style>
  <w:style w:type="paragraph" w:styleId="Footer">
    <w:name w:val="footer"/>
    <w:basedOn w:val="Normal"/>
    <w:link w:val="FooterChar"/>
    <w:uiPriority w:val="99"/>
    <w:unhideWhenUsed/>
    <w:rsid w:val="000E6B28"/>
    <w:pPr>
      <w:tabs>
        <w:tab w:val="center" w:pos="4513"/>
        <w:tab w:val="right" w:pos="9026"/>
      </w:tabs>
    </w:pPr>
  </w:style>
  <w:style w:type="character" w:customStyle="1" w:styleId="FooterChar">
    <w:name w:val="Footer Char"/>
    <w:basedOn w:val="DefaultParagraphFont"/>
    <w:link w:val="Footer"/>
    <w:uiPriority w:val="99"/>
    <w:rsid w:val="000E6B28"/>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image" Target="media/image3.jpe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