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3.4.0.0 -->
  <w:body>
    <w:p>
      <w:pPr>
        <w:pStyle w:val="Heading1"/>
        <w:spacing w:before="81" w:line="408" w:lineRule="auto"/>
        <w:ind w:left="400" w:right="2160" w:firstLine="0"/>
        <w:rPr>
          <w:b w:val="0"/>
        </w:rPr>
      </w:pPr>
      <w:r>
        <w:rPr>
          <w:b w:val="0"/>
          <w:color w:val="2E5395"/>
        </w:rPr>
        <w:t>Department for Business, Energy and Industrial Strategy (BEIS) Main Estimate 2021-22: Estimates memorandum</w:t>
      </w:r>
    </w:p>
    <w:p>
      <w:pPr>
        <w:pStyle w:val="ListParagraph"/>
        <w:numPr>
          <w:ilvl w:val="0"/>
          <w:numId w:val="13"/>
        </w:numPr>
        <w:tabs>
          <w:tab w:val="left" w:pos="1120"/>
          <w:tab w:val="left" w:pos="1121"/>
        </w:tabs>
        <w:spacing w:before="285" w:after="0" w:line="240" w:lineRule="auto"/>
        <w:ind w:left="1120" w:right="0" w:hanging="721"/>
        <w:jc w:val="left"/>
        <w:rPr>
          <w:rFonts w:ascii="Calibri Light"/>
          <w:b w:val="0"/>
          <w:sz w:val="32"/>
        </w:rPr>
      </w:pPr>
      <w:r>
        <w:rPr>
          <w:rFonts w:ascii="Calibri Light"/>
          <w:b w:val="0"/>
          <w:color w:val="2E5395"/>
          <w:sz w:val="32"/>
        </w:rPr>
        <w:t>Overview</w:t>
      </w:r>
    </w:p>
    <w:p>
      <w:pPr>
        <w:pStyle w:val="BodyText"/>
        <w:spacing w:before="4"/>
        <w:rPr>
          <w:rFonts w:ascii="Calibri Light"/>
          <w:b w:val="0"/>
          <w:sz w:val="39"/>
        </w:rPr>
      </w:pPr>
    </w:p>
    <w:p>
      <w:pPr>
        <w:pStyle w:val="ListParagraph"/>
        <w:numPr>
          <w:ilvl w:val="1"/>
          <w:numId w:val="13"/>
        </w:numPr>
        <w:tabs>
          <w:tab w:val="left" w:pos="1120"/>
          <w:tab w:val="left" w:pos="1121"/>
        </w:tabs>
        <w:spacing w:before="0" w:after="0" w:line="240" w:lineRule="auto"/>
        <w:ind w:left="1120" w:right="0" w:hanging="721"/>
        <w:jc w:val="left"/>
        <w:rPr>
          <w:rFonts w:ascii="Calibri Light"/>
          <w:b w:val="0"/>
          <w:color w:val="2E5395"/>
          <w:sz w:val="28"/>
        </w:rPr>
      </w:pPr>
      <w:r>
        <w:rPr>
          <w:rFonts w:ascii="Calibri Light"/>
          <w:b w:val="0"/>
          <w:color w:val="2E5395"/>
          <w:sz w:val="28"/>
        </w:rPr>
        <w:t>Objectives</w:t>
      </w:r>
    </w:p>
    <w:p>
      <w:pPr>
        <w:pStyle w:val="BodyText"/>
        <w:spacing w:before="1"/>
        <w:rPr>
          <w:rFonts w:ascii="Calibri Light"/>
          <w:b w:val="0"/>
          <w:sz w:val="25"/>
        </w:rPr>
      </w:pPr>
    </w:p>
    <w:p>
      <w:pPr>
        <w:pStyle w:val="BodyText"/>
        <w:ind w:left="400" w:right="1931"/>
      </w:pPr>
      <w:r>
        <w:t>The Department for Business, Energy and Industrial Strategy (BEIS) has the following priority outcomes:-</w:t>
      </w:r>
    </w:p>
    <w:p>
      <w:pPr>
        <w:pStyle w:val="BodyText"/>
        <w:spacing w:before="10"/>
      </w:pPr>
    </w:p>
    <w:p>
      <w:pPr>
        <w:pStyle w:val="ListParagraph"/>
        <w:numPr>
          <w:ilvl w:val="2"/>
          <w:numId w:val="13"/>
        </w:numPr>
        <w:tabs>
          <w:tab w:val="left" w:pos="1120"/>
        </w:tabs>
        <w:spacing w:before="0" w:after="0" w:line="240" w:lineRule="auto"/>
        <w:ind w:left="1120" w:right="1475" w:hanging="360"/>
        <w:jc w:val="left"/>
        <w:rPr>
          <w:sz w:val="22"/>
        </w:rPr>
      </w:pPr>
      <w:r>
        <w:rPr>
          <w:sz w:val="22"/>
        </w:rPr>
        <w:t>Fight Covid-19 by helping businesses to bounce back from the impacts of Covid-19, supporting a safe return to work and accelerating the development and manufacture of a vaccine</w:t>
      </w:r>
    </w:p>
    <w:p>
      <w:pPr>
        <w:pStyle w:val="ListParagraph"/>
        <w:numPr>
          <w:ilvl w:val="2"/>
          <w:numId w:val="13"/>
        </w:numPr>
        <w:tabs>
          <w:tab w:val="left" w:pos="1120"/>
        </w:tabs>
        <w:spacing w:before="1" w:after="0" w:line="240" w:lineRule="auto"/>
        <w:ind w:left="1120" w:right="1831" w:hanging="360"/>
        <w:jc w:val="left"/>
        <w:rPr>
          <w:sz w:val="22"/>
        </w:rPr>
      </w:pPr>
      <w:r>
        <w:rPr>
          <w:sz w:val="22"/>
        </w:rPr>
        <w:t>Unleash innovation and accelerate science and technology throughout the country to increase productivity and UK global</w:t>
      </w:r>
      <w:r>
        <w:rPr>
          <w:spacing w:val="-8"/>
          <w:sz w:val="22"/>
        </w:rPr>
        <w:t xml:space="preserve"> </w:t>
      </w:r>
      <w:r>
        <w:rPr>
          <w:sz w:val="22"/>
        </w:rPr>
        <w:t>influence</w:t>
      </w:r>
    </w:p>
    <w:p>
      <w:pPr>
        <w:pStyle w:val="ListParagraph"/>
        <w:numPr>
          <w:ilvl w:val="2"/>
          <w:numId w:val="13"/>
        </w:numPr>
        <w:tabs>
          <w:tab w:val="left" w:pos="1120"/>
        </w:tabs>
        <w:spacing w:before="0" w:after="0" w:line="240" w:lineRule="auto"/>
        <w:ind w:left="1120" w:right="0" w:hanging="360"/>
        <w:jc w:val="left"/>
        <w:rPr>
          <w:sz w:val="22"/>
        </w:rPr>
      </w:pPr>
      <w:r>
        <w:rPr>
          <w:sz w:val="22"/>
        </w:rPr>
        <w:t>Back business by making the UK the best place in the world to start and grow a</w:t>
      </w:r>
      <w:r>
        <w:rPr>
          <w:spacing w:val="-23"/>
          <w:sz w:val="22"/>
        </w:rPr>
        <w:t xml:space="preserve"> </w:t>
      </w:r>
      <w:r>
        <w:rPr>
          <w:sz w:val="22"/>
        </w:rPr>
        <w:t>business</w:t>
      </w:r>
    </w:p>
    <w:p>
      <w:pPr>
        <w:pStyle w:val="ListParagraph"/>
        <w:numPr>
          <w:ilvl w:val="2"/>
          <w:numId w:val="13"/>
        </w:numPr>
        <w:tabs>
          <w:tab w:val="left" w:pos="1120"/>
        </w:tabs>
        <w:spacing w:before="1" w:after="0" w:line="240" w:lineRule="auto"/>
        <w:ind w:left="1120" w:right="0" w:hanging="360"/>
        <w:jc w:val="left"/>
        <w:rPr>
          <w:sz w:val="22"/>
        </w:rPr>
      </w:pPr>
      <w:r>
        <w:rPr>
          <w:sz w:val="22"/>
        </w:rPr>
        <w:t>Tackle Climate Change: Reduce UK Greenhouse gas emissions to Net Zero by</w:t>
      </w:r>
      <w:r>
        <w:rPr>
          <w:spacing w:val="-16"/>
          <w:sz w:val="22"/>
        </w:rPr>
        <w:t xml:space="preserve"> </w:t>
      </w:r>
      <w:r>
        <w:rPr>
          <w:sz w:val="22"/>
        </w:rPr>
        <w:t>2050</w:t>
      </w:r>
    </w:p>
    <w:p>
      <w:pPr>
        <w:pStyle w:val="BodyText"/>
      </w:pPr>
    </w:p>
    <w:p>
      <w:pPr>
        <w:pStyle w:val="BodyText"/>
        <w:spacing w:before="10"/>
      </w:pPr>
    </w:p>
    <w:p>
      <w:pPr>
        <w:pStyle w:val="BodyText"/>
        <w:ind w:left="400"/>
      </w:pPr>
      <w:r>
        <w:t>Details of which spending programmes relate to which priorities is given at Section 3.1.</w:t>
      </w:r>
    </w:p>
    <w:p>
      <w:pPr>
        <w:pStyle w:val="BodyText"/>
        <w:spacing w:before="5"/>
        <w:rPr>
          <w:sz w:val="25"/>
        </w:rPr>
      </w:pPr>
    </w:p>
    <w:p>
      <w:pPr>
        <w:pStyle w:val="ListParagraph"/>
        <w:numPr>
          <w:ilvl w:val="1"/>
          <w:numId w:val="13"/>
        </w:numPr>
        <w:tabs>
          <w:tab w:val="left" w:pos="1120"/>
          <w:tab w:val="left" w:pos="1121"/>
        </w:tabs>
        <w:spacing w:before="0" w:after="0" w:line="240" w:lineRule="auto"/>
        <w:ind w:left="1120" w:right="0" w:hanging="721"/>
        <w:jc w:val="left"/>
        <w:rPr>
          <w:rFonts w:ascii="Calibri Light"/>
          <w:b w:val="0"/>
          <w:color w:val="2E5395"/>
          <w:sz w:val="28"/>
        </w:rPr>
      </w:pPr>
      <w:r>
        <w:rPr>
          <w:rFonts w:ascii="Calibri Light"/>
          <w:b w:val="0"/>
          <w:color w:val="2E5395"/>
          <w:sz w:val="28"/>
        </w:rPr>
        <w:t>Spending</w:t>
      </w:r>
      <w:r>
        <w:rPr>
          <w:rFonts w:ascii="Calibri Light"/>
          <w:b w:val="0"/>
          <w:color w:val="2E5395"/>
          <w:spacing w:val="-1"/>
          <w:sz w:val="28"/>
        </w:rPr>
        <w:t xml:space="preserve"> </w:t>
      </w:r>
      <w:r>
        <w:rPr>
          <w:rFonts w:ascii="Calibri Light"/>
          <w:b w:val="0"/>
          <w:color w:val="2E5395"/>
          <w:sz w:val="28"/>
        </w:rPr>
        <w:t>controls</w:t>
      </w:r>
    </w:p>
    <w:p>
      <w:pPr>
        <w:pStyle w:val="BodyText"/>
        <w:spacing w:before="27" w:line="256" w:lineRule="auto"/>
        <w:ind w:left="400" w:right="1903"/>
      </w:pPr>
      <w:r>
        <w:t>BEIS’s spending is broken down into several different spending totals, for which Parliament’s approval is sought.</w:t>
      </w:r>
    </w:p>
    <w:p>
      <w:pPr>
        <w:pStyle w:val="BodyText"/>
        <w:spacing w:before="165"/>
        <w:ind w:left="400"/>
      </w:pPr>
      <w:r>
        <w:t>The spending totals which Parliament votes are:</w:t>
      </w:r>
    </w:p>
    <w:p>
      <w:pPr>
        <w:pStyle w:val="ListParagraph"/>
        <w:numPr>
          <w:ilvl w:val="0"/>
          <w:numId w:val="12"/>
        </w:numPr>
        <w:tabs>
          <w:tab w:val="left" w:pos="1119"/>
          <w:tab w:val="left" w:pos="1120"/>
        </w:tabs>
        <w:spacing w:before="180" w:after="0" w:line="240" w:lineRule="auto"/>
        <w:ind w:left="1120" w:right="0" w:hanging="360"/>
        <w:jc w:val="left"/>
        <w:rPr>
          <w:sz w:val="22"/>
        </w:rPr>
      </w:pPr>
      <w:r>
        <w:rPr>
          <w:sz w:val="22"/>
        </w:rPr>
        <w:t>Resource Departmental Expenditure Limit (“</w:t>
      </w:r>
      <w:r>
        <w:rPr>
          <w:b/>
          <w:sz w:val="22"/>
        </w:rPr>
        <w:t>Resource DEL</w:t>
      </w:r>
      <w:r>
        <w:rPr>
          <w:sz w:val="22"/>
        </w:rPr>
        <w:t>”) - day to day running</w:t>
      </w:r>
      <w:r>
        <w:rPr>
          <w:spacing w:val="-12"/>
          <w:sz w:val="22"/>
        </w:rPr>
        <w:t xml:space="preserve"> </w:t>
      </w:r>
      <w:r>
        <w:rPr>
          <w:sz w:val="22"/>
        </w:rPr>
        <w:t>costs;</w:t>
      </w:r>
    </w:p>
    <w:p>
      <w:pPr>
        <w:pStyle w:val="ListParagraph"/>
        <w:numPr>
          <w:ilvl w:val="0"/>
          <w:numId w:val="12"/>
        </w:numPr>
        <w:tabs>
          <w:tab w:val="left" w:pos="1119"/>
          <w:tab w:val="left" w:pos="1120"/>
        </w:tabs>
        <w:spacing w:before="23" w:after="0" w:line="256" w:lineRule="auto"/>
        <w:ind w:left="1120" w:right="1794" w:hanging="360"/>
        <w:jc w:val="left"/>
        <w:rPr>
          <w:sz w:val="22"/>
        </w:rPr>
      </w:pPr>
      <w:r>
        <w:rPr>
          <w:sz w:val="22"/>
        </w:rPr>
        <w:t>Capital Departmental Expenditure Limit (“</w:t>
      </w:r>
      <w:r>
        <w:rPr>
          <w:b/>
          <w:sz w:val="22"/>
        </w:rPr>
        <w:t>Capital DEL</w:t>
      </w:r>
      <w:r>
        <w:rPr>
          <w:sz w:val="22"/>
        </w:rPr>
        <w:t>”) - investment in infrastructure, Research and</w:t>
      </w:r>
      <w:r>
        <w:rPr>
          <w:spacing w:val="-5"/>
          <w:sz w:val="22"/>
        </w:rPr>
        <w:t xml:space="preserve"> </w:t>
      </w:r>
      <w:r>
        <w:rPr>
          <w:sz w:val="22"/>
        </w:rPr>
        <w:t>Development;</w:t>
      </w:r>
    </w:p>
    <w:p>
      <w:pPr>
        <w:pStyle w:val="ListParagraph"/>
        <w:numPr>
          <w:ilvl w:val="0"/>
          <w:numId w:val="12"/>
        </w:numPr>
        <w:tabs>
          <w:tab w:val="left" w:pos="1119"/>
          <w:tab w:val="left" w:pos="1120"/>
        </w:tabs>
        <w:spacing w:before="4" w:after="0" w:line="259" w:lineRule="auto"/>
        <w:ind w:left="1120" w:right="1177" w:hanging="360"/>
        <w:jc w:val="left"/>
        <w:rPr>
          <w:sz w:val="22"/>
        </w:rPr>
      </w:pPr>
      <w:r>
        <w:rPr>
          <w:sz w:val="22"/>
        </w:rPr>
        <w:t>Resource Annually Managed Expenditure (“</w:t>
      </w:r>
      <w:r>
        <w:rPr>
          <w:b/>
          <w:sz w:val="22"/>
        </w:rPr>
        <w:t>Resource AME</w:t>
      </w:r>
      <w:r>
        <w:rPr>
          <w:sz w:val="22"/>
        </w:rPr>
        <w:t>”) - less predictable day to day spending: in BEIS’s case, mainly the Renewable Heat Incentive, redundancy and shared parental leave payments and movements in the value of nuclear decommissioning and other provisions and movements in the fair value of liabilities incurred for Contracts for Difference (CFD) for the supply of low carbon electricity;</w:t>
      </w:r>
      <w:r>
        <w:rPr>
          <w:spacing w:val="-10"/>
          <w:sz w:val="22"/>
        </w:rPr>
        <w:t xml:space="preserve"> </w:t>
      </w:r>
      <w:r>
        <w:rPr>
          <w:sz w:val="22"/>
        </w:rPr>
        <w:t>and</w:t>
      </w:r>
    </w:p>
    <w:p>
      <w:pPr>
        <w:pStyle w:val="ListParagraph"/>
        <w:numPr>
          <w:ilvl w:val="0"/>
          <w:numId w:val="12"/>
        </w:numPr>
        <w:tabs>
          <w:tab w:val="left" w:pos="1120"/>
        </w:tabs>
        <w:spacing w:before="0" w:after="0" w:line="259" w:lineRule="auto"/>
        <w:ind w:left="1120" w:right="1623" w:hanging="360"/>
        <w:jc w:val="both"/>
        <w:rPr>
          <w:sz w:val="22"/>
        </w:rPr>
      </w:pPr>
      <w:r>
        <w:rPr>
          <w:sz w:val="22"/>
        </w:rPr>
        <w:t>Capital Annually Managed Expenditure (“</w:t>
      </w:r>
      <w:r>
        <w:rPr>
          <w:b/>
          <w:sz w:val="22"/>
        </w:rPr>
        <w:t>Capital AME</w:t>
      </w:r>
      <w:r>
        <w:rPr>
          <w:sz w:val="22"/>
        </w:rPr>
        <w:t>”) - largely movements in the Post Office Working Capital Loan and surpluses in Coal Pension schemes, plus in 2020-21 the financial guarantees provided to lenders for Coronavirus business loan</w:t>
      </w:r>
      <w:r>
        <w:rPr>
          <w:spacing w:val="-24"/>
          <w:sz w:val="22"/>
        </w:rPr>
        <w:t xml:space="preserve"> </w:t>
      </w:r>
      <w:r>
        <w:rPr>
          <w:sz w:val="22"/>
        </w:rPr>
        <w:t>schemes.</w:t>
      </w:r>
    </w:p>
    <w:p>
      <w:pPr>
        <w:pStyle w:val="BodyText"/>
        <w:spacing w:before="159" w:line="256" w:lineRule="auto"/>
        <w:ind w:left="400" w:right="1360"/>
      </w:pPr>
      <w:r>
        <w:t>In addition, Parliament votes a net cash requirement, designed to cover the elements of the above budgets which require BEIS to pay out cash in-year.</w:t>
      </w:r>
    </w:p>
    <w:p>
      <w:pPr>
        <w:pStyle w:val="BodyText"/>
      </w:pPr>
    </w:p>
    <w:p>
      <w:pPr>
        <w:pStyle w:val="BodyText"/>
        <w:spacing w:before="1"/>
        <w:rPr>
          <w:sz w:val="25"/>
        </w:rPr>
      </w:pPr>
    </w:p>
    <w:p>
      <w:pPr>
        <w:pStyle w:val="ListParagraph"/>
        <w:numPr>
          <w:ilvl w:val="1"/>
          <w:numId w:val="13"/>
        </w:numPr>
        <w:tabs>
          <w:tab w:val="left" w:pos="1120"/>
          <w:tab w:val="left" w:pos="1121"/>
        </w:tabs>
        <w:spacing w:before="0" w:after="0" w:line="240" w:lineRule="auto"/>
        <w:ind w:left="1120" w:right="0" w:hanging="721"/>
        <w:jc w:val="left"/>
        <w:rPr>
          <w:rFonts w:ascii="Calibri Light"/>
          <w:b w:val="0"/>
          <w:color w:val="2E5395"/>
          <w:sz w:val="28"/>
        </w:rPr>
      </w:pPr>
      <w:r>
        <w:rPr>
          <w:rFonts w:ascii="Calibri Light"/>
          <w:b w:val="0"/>
          <w:color w:val="2E5395"/>
          <w:sz w:val="28"/>
        </w:rPr>
        <w:t>Main areas of</w:t>
      </w:r>
      <w:r>
        <w:rPr>
          <w:rFonts w:ascii="Calibri Light"/>
          <w:b w:val="0"/>
          <w:color w:val="2E5395"/>
          <w:spacing w:val="-8"/>
          <w:sz w:val="28"/>
        </w:rPr>
        <w:t xml:space="preserve"> </w:t>
      </w:r>
      <w:r>
        <w:rPr>
          <w:rFonts w:ascii="Calibri Light"/>
          <w:b w:val="0"/>
          <w:color w:val="2E5395"/>
          <w:sz w:val="28"/>
        </w:rPr>
        <w:t>spending</w:t>
      </w:r>
    </w:p>
    <w:p>
      <w:pPr>
        <w:pStyle w:val="BodyText"/>
        <w:spacing w:before="25" w:line="259" w:lineRule="auto"/>
        <w:ind w:left="400" w:right="1288"/>
      </w:pPr>
      <w:r>
        <w:t>The graphic below shows the main components of BEIS’s proposed budget for the new financial year, included in the latest Main Estimate, and the proportions of funds spent on its main activities.</w:t>
      </w:r>
    </w:p>
    <w:p>
      <w:pPr>
        <w:spacing w:after="0" w:line="259" w:lineRule="auto"/>
        <w:sectPr>
          <w:type w:val="continuous"/>
          <w:pgSz w:w="11910" w:h="16840"/>
          <w:pgMar w:top="1580" w:right="280" w:bottom="280" w:left="1040" w:header="720" w:footer="720"/>
          <w:cols w:space="720"/>
        </w:sectPr>
      </w:pPr>
    </w:p>
    <w:p>
      <w:pPr>
        <w:pStyle w:val="BodyText"/>
        <w:spacing w:before="4"/>
        <w:rPr>
          <w:sz w:val="10"/>
        </w:rPr>
      </w:pPr>
    </w:p>
    <w:p>
      <w:pPr>
        <w:spacing w:before="89"/>
        <w:ind w:left="2033" w:right="0" w:firstLine="0"/>
        <w:jc w:val="left"/>
        <w:rPr>
          <w:rFonts w:ascii="Arial" w:hAnsi="Arial"/>
          <w:b/>
          <w:sz w:val="23"/>
        </w:rPr>
      </w:pPr>
      <w:r>
        <w:rPr>
          <w:rFonts w:ascii="Arial" w:hAnsi="Arial"/>
          <w:b/>
          <w:w w:val="105"/>
          <w:sz w:val="23"/>
        </w:rPr>
        <w:t xml:space="preserve">Resource DEL: total budget </w:t>
      </w:r>
      <w:r>
        <w:rPr>
          <w:rFonts w:ascii="Times New Roman" w:hAnsi="Times New Roman"/>
          <w:w w:val="105"/>
          <w:sz w:val="26"/>
        </w:rPr>
        <w:t xml:space="preserve">£8.8 </w:t>
      </w:r>
      <w:r>
        <w:rPr>
          <w:rFonts w:ascii="Arial" w:hAnsi="Arial"/>
          <w:b/>
          <w:w w:val="105"/>
          <w:sz w:val="23"/>
        </w:rPr>
        <w:t>billion, 2021-22</w:t>
      </w: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7"/>
        </w:rPr>
      </w:pPr>
    </w:p>
    <w:p>
      <w:pPr>
        <w:spacing w:after="0"/>
        <w:rPr>
          <w:rFonts w:ascii="Arial"/>
          <w:sz w:val="27"/>
        </w:rPr>
        <w:sectPr>
          <w:pgSz w:w="11910" w:h="16840"/>
          <w:pgMar w:top="1580" w:right="280" w:bottom="280" w:left="1040" w:header="720" w:footer="720"/>
          <w:cols w:space="720"/>
        </w:sectPr>
      </w:pPr>
    </w:p>
    <w:p>
      <w:pPr>
        <w:pStyle w:val="BodyText"/>
        <w:rPr>
          <w:rFonts w:ascii="Arial"/>
          <w:b/>
          <w:sz w:val="18"/>
        </w:rPr>
      </w:pPr>
    </w:p>
    <w:p>
      <w:pPr>
        <w:spacing w:before="104"/>
        <w:ind w:left="0" w:right="0" w:firstLine="0"/>
        <w:jc w:val="right"/>
        <w:rPr>
          <w:rFonts w:ascii="Arial"/>
          <w:sz w:val="16"/>
        </w:rPr>
      </w:pPr>
      <w:r>
        <w:rPr>
          <w:rFonts w:ascii="Arial"/>
          <w:color w:val="F9FBF9"/>
          <w:sz w:val="16"/>
          <w:shd w:val="clear" w:color="auto" w:fill="244277"/>
        </w:rPr>
        <w:t>Coronavirus business loans</w:t>
      </w:r>
    </w:p>
    <w:p>
      <w:pPr>
        <w:spacing w:before="95" w:line="283" w:lineRule="auto"/>
        <w:ind w:left="662" w:right="1900" w:hanging="387"/>
        <w:jc w:val="left"/>
        <w:rPr>
          <w:rFonts w:ascii="Arial"/>
          <w:sz w:val="16"/>
        </w:rPr>
      </w:pPr>
      <w:r>
        <w:br w:type="column"/>
      </w:r>
      <w:r>
        <w:rPr>
          <w:rFonts w:ascii="Arial"/>
          <w:color w:val="F9FBF9"/>
          <w:w w:val="105"/>
          <w:sz w:val="16"/>
          <w:shd w:val="clear" w:color="auto" w:fill="626262"/>
        </w:rPr>
        <w:t>Other core department</w:t>
      </w:r>
      <w:r>
        <w:rPr>
          <w:rFonts w:ascii="Arial"/>
          <w:color w:val="F9FBF9"/>
          <w:w w:val="105"/>
          <w:sz w:val="16"/>
        </w:rPr>
        <w:t xml:space="preserve"> </w:t>
      </w:r>
      <w:r>
        <w:rPr>
          <w:rFonts w:ascii="Arial"/>
          <w:color w:val="F9FBF9"/>
          <w:w w:val="105"/>
          <w:sz w:val="16"/>
          <w:shd w:val="clear" w:color="auto" w:fill="626262"/>
        </w:rPr>
        <w:t>programmes</w:t>
      </w:r>
    </w:p>
    <w:p>
      <w:pPr>
        <w:spacing w:after="0" w:line="283" w:lineRule="auto"/>
        <w:jc w:val="left"/>
        <w:rPr>
          <w:rFonts w:ascii="Arial"/>
          <w:sz w:val="16"/>
        </w:rPr>
        <w:sectPr>
          <w:type w:val="continuous"/>
          <w:pgSz w:w="11910" w:h="16840"/>
          <w:pgMar w:top="1580" w:right="280" w:bottom="280" w:left="1040" w:header="720" w:footer="720"/>
          <w:cols w:num="2" w:space="720" w:equalWidth="0">
            <w:col w:w="6664" w:space="40"/>
            <w:col w:w="3886"/>
          </w:cols>
        </w:sectPr>
      </w:pPr>
    </w:p>
    <w:p>
      <w:pPr>
        <w:pStyle w:val="BodyText"/>
        <w:rPr>
          <w:rFonts w:ascii="Arial"/>
          <w:sz w:val="20"/>
        </w:rPr>
      </w:pPr>
    </w:p>
    <w:p>
      <w:pPr>
        <w:pStyle w:val="BodyText"/>
        <w:rPr>
          <w:rFonts w:ascii="Arial"/>
          <w:sz w:val="20"/>
        </w:rPr>
      </w:pPr>
    </w:p>
    <w:p>
      <w:pPr>
        <w:pStyle w:val="BodyText"/>
        <w:rPr>
          <w:rFonts w:ascii="Arial"/>
          <w:sz w:val="20"/>
        </w:rPr>
      </w:pPr>
    </w:p>
    <w:p>
      <w:pPr>
        <w:pStyle w:val="BodyText"/>
        <w:spacing w:before="5"/>
        <w:rPr>
          <w:rFonts w:ascii="Arial"/>
          <w:sz w:val="18"/>
        </w:rPr>
      </w:pPr>
    </w:p>
    <w:p>
      <w:pPr>
        <w:spacing w:before="0" w:line="288" w:lineRule="auto"/>
        <w:ind w:left="6008" w:right="2423" w:firstLine="365"/>
        <w:jc w:val="left"/>
        <w:rPr>
          <w:rFonts w:ascii="Arial"/>
          <w:sz w:val="16"/>
        </w:rPr>
      </w:pPr>
      <w:r>
        <w:rPr>
          <w:rFonts w:ascii="Arial"/>
          <w:color w:val="F9FBF9"/>
          <w:sz w:val="16"/>
          <w:shd w:val="clear" w:color="auto" w:fill="FBBF03"/>
        </w:rPr>
        <w:t>Nuclear</w:t>
      </w:r>
      <w:r>
        <w:rPr>
          <w:rFonts w:ascii="Arial"/>
          <w:color w:val="F9FBF9"/>
          <w:sz w:val="16"/>
        </w:rPr>
        <w:t xml:space="preserve"> </w:t>
      </w:r>
      <w:r>
        <w:rPr>
          <w:rFonts w:ascii="Arial"/>
          <w:color w:val="F9FBF9"/>
          <w:sz w:val="16"/>
          <w:shd w:val="clear" w:color="auto" w:fill="FBBF03"/>
        </w:rPr>
        <w:t>Decommissioning</w:t>
      </w:r>
    </w:p>
    <w:p>
      <w:pPr>
        <w:tabs>
          <w:tab w:val="left" w:pos="7888"/>
        </w:tabs>
        <w:spacing w:before="5"/>
        <w:ind w:left="6069" w:right="0" w:firstLine="0"/>
        <w:jc w:val="left"/>
        <w:rPr>
          <w:rFonts w:ascii="Arial"/>
          <w:sz w:val="16"/>
        </w:rPr>
      </w:pPr>
      <w:r>
        <w:rPr>
          <w:rFonts w:ascii="Arial"/>
          <w:color w:val="F9FBF9"/>
          <w:position w:val="1"/>
          <w:sz w:val="16"/>
          <w:shd w:val="clear" w:color="auto" w:fill="FBBF03"/>
        </w:rPr>
        <w:t>Authority</w:t>
      </w:r>
      <w:r>
        <w:rPr>
          <w:rFonts w:ascii="Arial"/>
          <w:color w:val="F9FBF9"/>
          <w:spacing w:val="16"/>
          <w:position w:val="1"/>
          <w:sz w:val="16"/>
          <w:shd w:val="clear" w:color="auto" w:fill="FBBF03"/>
        </w:rPr>
        <w:t xml:space="preserve"> </w:t>
      </w:r>
      <w:r>
        <w:rPr>
          <w:rFonts w:ascii="Arial"/>
          <w:color w:val="F9FBF9"/>
          <w:position w:val="1"/>
          <w:sz w:val="16"/>
          <w:shd w:val="clear" w:color="auto" w:fill="FBBF03"/>
        </w:rPr>
        <w:t>(NOA)</w:t>
      </w:r>
      <w:r>
        <w:rPr>
          <w:rFonts w:ascii="Arial"/>
          <w:color w:val="F9FBF9"/>
          <w:position w:val="1"/>
          <w:sz w:val="16"/>
        </w:rPr>
        <w:tab/>
      </w:r>
      <w:r>
        <w:rPr>
          <w:rFonts w:ascii="Arial"/>
          <w:color w:val="F9FBF9"/>
          <w:sz w:val="16"/>
          <w:shd w:val="clear" w:color="auto" w:fill="EB7C2F"/>
        </w:rPr>
        <w:t>Depreciation</w:t>
      </w:r>
    </w:p>
    <w:p>
      <w:pPr>
        <w:pStyle w:val="BodyText"/>
        <w:spacing w:before="2"/>
        <w:rPr>
          <w:rFonts w:ascii="Arial"/>
          <w:sz w:val="14"/>
        </w:rPr>
      </w:pPr>
    </w:p>
    <w:p>
      <w:pPr>
        <w:spacing w:before="95" w:line="288" w:lineRule="auto"/>
        <w:ind w:left="7880" w:right="2062" w:firstLine="45"/>
        <w:jc w:val="both"/>
        <w:rPr>
          <w:rFonts w:ascii="Arial"/>
          <w:sz w:val="16"/>
        </w:rPr>
      </w:pPr>
      <w:r>
        <w:rPr>
          <w:rFonts w:ascii="Arial"/>
          <w:color w:val="F9FBF9"/>
          <w:w w:val="105"/>
          <w:sz w:val="16"/>
          <w:shd w:val="clear" w:color="auto" w:fill="A3A3A3"/>
        </w:rPr>
        <w:t>Historic</w:t>
      </w:r>
      <w:r>
        <w:rPr>
          <w:rFonts w:ascii="Arial"/>
          <w:color w:val="F9FBF9"/>
          <w:w w:val="105"/>
          <w:sz w:val="16"/>
        </w:rPr>
        <w:t xml:space="preserve"> </w:t>
      </w:r>
      <w:r>
        <w:rPr>
          <w:rFonts w:ascii="Arial"/>
          <w:color w:val="F9FBF9"/>
          <w:w w:val="105"/>
          <w:sz w:val="16"/>
          <w:shd w:val="clear" w:color="auto" w:fill="A3A3A3"/>
        </w:rPr>
        <w:t>energy</w:t>
      </w:r>
      <w:r>
        <w:rPr>
          <w:rFonts w:ascii="Arial"/>
          <w:color w:val="F9FBF9"/>
          <w:w w:val="105"/>
          <w:sz w:val="16"/>
        </w:rPr>
        <w:t xml:space="preserve"> </w:t>
      </w:r>
      <w:r>
        <w:rPr>
          <w:rFonts w:ascii="Arial"/>
          <w:color w:val="F9FBF9"/>
          <w:w w:val="105"/>
          <w:sz w:val="16"/>
          <w:shd w:val="clear" w:color="auto" w:fill="A3A3A3"/>
        </w:rPr>
        <w:t>liabilities</w:t>
      </w:r>
    </w:p>
    <w:p>
      <w:pPr>
        <w:spacing w:after="0" w:line="288" w:lineRule="auto"/>
        <w:jc w:val="both"/>
        <w:rPr>
          <w:rFonts w:ascii="Arial"/>
          <w:sz w:val="16"/>
        </w:rPr>
        <w:sectPr>
          <w:type w:val="continuous"/>
          <w:pgSz w:w="11910" w:h="16840"/>
          <w:pgMar w:top="1580" w:right="280" w:bottom="280" w:left="1040" w:header="720" w:footer="720"/>
          <w:cols w:space="720"/>
        </w:sectPr>
      </w:pPr>
    </w:p>
    <w:p>
      <w:pPr>
        <w:pStyle w:val="BodyText"/>
        <w:rPr>
          <w:rFonts w:ascii="Arial"/>
          <w:sz w:val="18"/>
        </w:rPr>
      </w:pPr>
    </w:p>
    <w:p>
      <w:pPr>
        <w:spacing w:before="159"/>
        <w:ind w:left="610" w:right="0" w:firstLine="0"/>
        <w:jc w:val="left"/>
        <w:rPr>
          <w:rFonts w:ascii="Arial"/>
          <w:sz w:val="16"/>
        </w:rPr>
      </w:pPr>
      <w:r>
        <w:rPr>
          <w:rFonts w:ascii="Arial"/>
          <w:color w:val="F9FBF9"/>
          <w:sz w:val="16"/>
          <w:shd w:val="clear" w:color="auto" w:fill="9C460C"/>
        </w:rPr>
        <w:t>Covid-19 business support grants</w:t>
      </w:r>
    </w:p>
    <w:p>
      <w:pPr>
        <w:spacing w:before="145" w:line="288" w:lineRule="auto"/>
        <w:ind w:left="610" w:right="-6" w:firstLine="0"/>
        <w:jc w:val="left"/>
        <w:rPr>
          <w:rFonts w:ascii="Arial"/>
          <w:sz w:val="16"/>
        </w:rPr>
      </w:pPr>
      <w:r>
        <w:br w:type="column"/>
      </w:r>
      <w:r>
        <w:rPr>
          <w:rFonts w:ascii="Arial"/>
          <w:color w:val="F9FBF9"/>
          <w:w w:val="100"/>
          <w:sz w:val="16"/>
          <w:shd w:val="clear" w:color="auto" w:fill="6EAC44"/>
        </w:rPr>
        <w:t xml:space="preserve"> </w:t>
      </w:r>
      <w:r>
        <w:rPr>
          <w:rFonts w:ascii="Arial"/>
          <w:color w:val="F9FBF9"/>
          <w:w w:val="95"/>
          <w:sz w:val="16"/>
          <w:shd w:val="clear" w:color="auto" w:fill="6EAC44"/>
        </w:rPr>
        <w:t>Vaccines</w:t>
      </w:r>
      <w:r>
        <w:rPr>
          <w:rFonts w:ascii="Arial"/>
          <w:color w:val="F9FBF9"/>
          <w:w w:val="95"/>
          <w:sz w:val="16"/>
        </w:rPr>
        <w:t xml:space="preserve"> </w:t>
      </w:r>
      <w:r>
        <w:rPr>
          <w:rFonts w:ascii="Arial"/>
          <w:color w:val="F9FBF9"/>
          <w:w w:val="95"/>
          <w:sz w:val="16"/>
          <w:shd w:val="clear" w:color="auto" w:fill="6EAC44"/>
        </w:rPr>
        <w:t>Taskforce</w:t>
      </w:r>
    </w:p>
    <w:p>
      <w:pPr>
        <w:spacing w:before="145" w:line="288" w:lineRule="auto"/>
        <w:ind w:left="763" w:right="-10" w:hanging="163"/>
        <w:jc w:val="left"/>
        <w:rPr>
          <w:rFonts w:ascii="Arial"/>
          <w:sz w:val="16"/>
        </w:rPr>
      </w:pPr>
      <w:r>
        <w:br w:type="column"/>
      </w:r>
      <w:r>
        <w:rPr>
          <w:rFonts w:ascii="Arial"/>
          <w:color w:val="F9FBF9"/>
          <w:sz w:val="16"/>
          <w:shd w:val="clear" w:color="auto" w:fill="4272C3"/>
        </w:rPr>
        <w:t>Core and</w:t>
      </w:r>
      <w:r>
        <w:rPr>
          <w:rFonts w:ascii="Arial"/>
          <w:color w:val="F9FBF9"/>
          <w:spacing w:val="-27"/>
          <w:sz w:val="16"/>
          <w:shd w:val="clear" w:color="auto" w:fill="4272C3"/>
        </w:rPr>
        <w:t xml:space="preserve"> </w:t>
      </w:r>
      <w:r>
        <w:rPr>
          <w:rFonts w:ascii="Arial"/>
          <w:color w:val="F9FBF9"/>
          <w:sz w:val="16"/>
          <w:shd w:val="clear" w:color="auto" w:fill="4272C3"/>
        </w:rPr>
        <w:t>agency</w:t>
      </w:r>
      <w:r>
        <w:rPr>
          <w:rFonts w:ascii="Arial"/>
          <w:color w:val="F9FBF9"/>
          <w:sz w:val="16"/>
        </w:rPr>
        <w:t xml:space="preserve"> </w:t>
      </w:r>
      <w:r>
        <w:rPr>
          <w:rFonts w:ascii="Arial"/>
          <w:color w:val="F9FBF9"/>
          <w:sz w:val="16"/>
          <w:shd w:val="clear" w:color="auto" w:fill="4272C3"/>
        </w:rPr>
        <w:t>Admin</w:t>
      </w:r>
      <w:r>
        <w:rPr>
          <w:rFonts w:ascii="Arial"/>
          <w:color w:val="F9FBF9"/>
          <w:spacing w:val="4"/>
          <w:sz w:val="16"/>
          <w:shd w:val="clear" w:color="auto" w:fill="4272C3"/>
        </w:rPr>
        <w:t xml:space="preserve"> </w:t>
      </w:r>
      <w:r>
        <w:rPr>
          <w:rFonts w:ascii="Arial"/>
          <w:color w:val="F9FBF9"/>
          <w:sz w:val="16"/>
          <w:shd w:val="clear" w:color="auto" w:fill="4272C3"/>
        </w:rPr>
        <w:t>costs</w:t>
      </w:r>
    </w:p>
    <w:p>
      <w:pPr>
        <w:spacing w:before="150"/>
        <w:ind w:left="610" w:right="0" w:firstLine="0"/>
        <w:jc w:val="left"/>
        <w:rPr>
          <w:rFonts w:ascii="Arial"/>
          <w:sz w:val="16"/>
        </w:rPr>
      </w:pPr>
      <w:r>
        <w:br w:type="column"/>
      </w:r>
      <w:r>
        <w:rPr>
          <w:rFonts w:ascii="Arial"/>
          <w:color w:val="F9FBF9"/>
          <w:w w:val="105"/>
          <w:sz w:val="16"/>
          <w:shd w:val="clear" w:color="auto" w:fill="599AD4"/>
        </w:rPr>
        <w:t>Other</w:t>
      </w:r>
      <w:r>
        <w:rPr>
          <w:rFonts w:ascii="Arial"/>
          <w:color w:val="F9FBF9"/>
          <w:spacing w:val="-3"/>
          <w:w w:val="105"/>
          <w:sz w:val="16"/>
          <w:shd w:val="clear" w:color="auto" w:fill="599AD4"/>
        </w:rPr>
        <w:t xml:space="preserve"> </w:t>
      </w:r>
      <w:r>
        <w:rPr>
          <w:rFonts w:ascii="Arial"/>
          <w:color w:val="F9FBF9"/>
          <w:w w:val="105"/>
          <w:sz w:val="16"/>
          <w:shd w:val="clear" w:color="auto" w:fill="599AD4"/>
        </w:rPr>
        <w:t>partner</w:t>
      </w:r>
    </w:p>
    <w:p>
      <w:pPr>
        <w:spacing w:before="37"/>
        <w:ind w:left="610" w:right="0" w:firstLine="0"/>
        <w:jc w:val="left"/>
        <w:rPr>
          <w:rFonts w:ascii="Arial"/>
          <w:sz w:val="16"/>
        </w:rPr>
      </w:pPr>
      <w:r>
        <w:rPr>
          <w:rFonts w:ascii="Arial"/>
          <w:color w:val="F9FBF9"/>
          <w:spacing w:val="-23"/>
          <w:w w:val="100"/>
          <w:sz w:val="16"/>
          <w:shd w:val="clear" w:color="auto" w:fill="599AD4"/>
        </w:rPr>
        <w:t xml:space="preserve"> </w:t>
      </w:r>
      <w:r>
        <w:rPr>
          <w:rFonts w:ascii="Arial"/>
          <w:color w:val="F9FBF9"/>
          <w:sz w:val="16"/>
          <w:shd w:val="clear" w:color="auto" w:fill="599AD4"/>
        </w:rPr>
        <w:t>organisations</w:t>
      </w:r>
    </w:p>
    <w:p>
      <w:pPr>
        <w:spacing w:after="0"/>
        <w:jc w:val="left"/>
        <w:rPr>
          <w:rFonts w:ascii="Arial"/>
          <w:sz w:val="16"/>
        </w:rPr>
        <w:sectPr>
          <w:type w:val="continuous"/>
          <w:pgSz w:w="11910" w:h="16840"/>
          <w:pgMar w:top="1580" w:right="280" w:bottom="280" w:left="1040" w:header="720" w:footer="720"/>
          <w:cols w:num="4" w:space="720" w:equalWidth="0">
            <w:col w:w="3065" w:space="1016"/>
            <w:col w:w="1292" w:space="39"/>
            <w:col w:w="1802" w:space="59"/>
            <w:col w:w="3317"/>
          </w:cols>
        </w:sectPr>
      </w:pPr>
    </w:p>
    <w:p>
      <w:pPr>
        <w:pStyle w:val="BodyText"/>
        <w:rPr>
          <w:rFonts w:ascii="Arial"/>
          <w:sz w:val="20"/>
        </w:rPr>
      </w:pPr>
    </w:p>
    <w:p>
      <w:pPr>
        <w:pStyle w:val="BodyText"/>
        <w:rPr>
          <w:rFonts w:ascii="Arial"/>
          <w:sz w:val="20"/>
        </w:rPr>
      </w:pPr>
    </w:p>
    <w:p>
      <w:pPr>
        <w:pStyle w:val="BodyText"/>
        <w:rPr>
          <w:rFonts w:ascii="Arial"/>
          <w:sz w:val="20"/>
        </w:rPr>
      </w:pPr>
    </w:p>
    <w:p>
      <w:pPr>
        <w:pStyle w:val="BodyText"/>
        <w:spacing w:before="6"/>
        <w:rPr>
          <w:rFonts w:ascii="Arial"/>
          <w:sz w:val="21"/>
        </w:rPr>
      </w:pPr>
    </w:p>
    <w:p>
      <w:pPr>
        <w:spacing w:before="93"/>
        <w:ind w:left="2102" w:right="0" w:firstLine="0"/>
        <w:jc w:val="left"/>
        <w:rPr>
          <w:rFonts w:ascii="Arial" w:hAnsi="Arial"/>
          <w:b/>
          <w:sz w:val="23"/>
        </w:rPr>
      </w:pPr>
      <w:r>
        <w:rPr>
          <w:rFonts w:ascii="Arial" w:hAnsi="Arial"/>
          <w:b/>
          <w:color w:val="575757"/>
          <w:sz w:val="23"/>
        </w:rPr>
        <w:t>Capital DEL: total budget £16.7 billion, 2021-22</w:t>
      </w: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spacing w:before="7"/>
        <w:rPr>
          <w:rFonts w:ascii="Arial"/>
          <w:b/>
          <w:sz w:val="27"/>
        </w:rPr>
      </w:pPr>
    </w:p>
    <w:p>
      <w:pPr>
        <w:spacing w:after="0"/>
        <w:rPr>
          <w:rFonts w:ascii="Arial"/>
          <w:sz w:val="27"/>
        </w:rPr>
        <w:sectPr>
          <w:type w:val="continuous"/>
          <w:pgSz w:w="11910" w:h="16840"/>
          <w:pgMar w:top="1580" w:right="280" w:bottom="280" w:left="1040" w:header="720" w:footer="720"/>
          <w:cols w:space="720"/>
        </w:sectPr>
      </w:pPr>
    </w:p>
    <w:p>
      <w:pPr>
        <w:spacing w:before="95" w:line="285" w:lineRule="auto"/>
        <w:ind w:left="5970" w:right="0" w:hanging="20"/>
        <w:jc w:val="center"/>
        <w:rPr>
          <w:rFonts w:ascii="Arial"/>
          <w:sz w:val="16"/>
        </w:rPr>
      </w:pPr>
      <w:r>
        <w:rPr>
          <w:rFonts w:ascii="Arial"/>
          <w:color w:val="F9FBF9"/>
          <w:w w:val="105"/>
          <w:sz w:val="16"/>
          <w:shd w:val="clear" w:color="auto" w:fill="EB7C2F"/>
        </w:rPr>
        <w:t>Nuclear</w:t>
      </w:r>
      <w:r>
        <w:rPr>
          <w:rFonts w:ascii="Arial"/>
          <w:color w:val="F9FBF9"/>
          <w:w w:val="105"/>
          <w:sz w:val="16"/>
        </w:rPr>
        <w:t xml:space="preserve"> </w:t>
      </w:r>
      <w:r>
        <w:rPr>
          <w:rFonts w:ascii="Arial"/>
          <w:color w:val="F9FBF9"/>
          <w:sz w:val="16"/>
          <w:shd w:val="clear" w:color="auto" w:fill="EB7C2F"/>
        </w:rPr>
        <w:t>Decommissioning</w:t>
      </w:r>
      <w:r>
        <w:rPr>
          <w:rFonts w:ascii="Arial"/>
          <w:color w:val="F9FBF9"/>
          <w:sz w:val="16"/>
        </w:rPr>
        <w:t xml:space="preserve"> </w:t>
      </w:r>
      <w:r>
        <w:rPr>
          <w:rFonts w:ascii="Arial"/>
          <w:color w:val="F9FBF9"/>
          <w:w w:val="105"/>
          <w:sz w:val="16"/>
          <w:shd w:val="clear" w:color="auto" w:fill="EB7C2F"/>
        </w:rPr>
        <w:t>Authority (NOA</w:t>
      </w:r>
      <w:r>
        <w:rPr>
          <w:rFonts w:ascii="Arial"/>
          <w:color w:val="F9FBF9"/>
          <w:w w:val="105"/>
          <w:sz w:val="16"/>
        </w:rPr>
        <w:t>)</w:t>
      </w:r>
    </w:p>
    <w:p>
      <w:pPr>
        <w:spacing w:before="95" w:line="288" w:lineRule="auto"/>
        <w:ind w:left="520" w:right="1844" w:firstLine="70"/>
        <w:jc w:val="both"/>
        <w:rPr>
          <w:rFonts w:ascii="Arial"/>
          <w:sz w:val="16"/>
        </w:rPr>
      </w:pPr>
      <w:r>
        <w:br w:type="column"/>
      </w:r>
      <w:r>
        <w:rPr>
          <w:rFonts w:ascii="Arial"/>
          <w:color w:val="F9FBF9"/>
          <w:w w:val="105"/>
          <w:sz w:val="16"/>
          <w:shd w:val="clear" w:color="auto" w:fill="626262"/>
        </w:rPr>
        <w:t>Other core</w:t>
      </w:r>
      <w:r>
        <w:rPr>
          <w:rFonts w:ascii="Arial"/>
          <w:color w:val="F9FBF9"/>
          <w:w w:val="105"/>
          <w:sz w:val="16"/>
        </w:rPr>
        <w:t xml:space="preserve"> </w:t>
      </w:r>
      <w:r>
        <w:rPr>
          <w:rFonts w:ascii="Arial"/>
          <w:color w:val="F9FBF9"/>
          <w:w w:val="105"/>
          <w:sz w:val="16"/>
          <w:shd w:val="clear" w:color="auto" w:fill="626262"/>
        </w:rPr>
        <w:t>Department</w:t>
      </w:r>
      <w:r>
        <w:rPr>
          <w:rFonts w:ascii="Arial"/>
          <w:color w:val="F9FBF9"/>
          <w:w w:val="105"/>
          <w:sz w:val="16"/>
        </w:rPr>
        <w:t xml:space="preserve"> </w:t>
      </w:r>
      <w:r>
        <w:rPr>
          <w:rFonts w:ascii="Arial"/>
          <w:color w:val="F9FBF9"/>
          <w:sz w:val="16"/>
          <w:shd w:val="clear" w:color="auto" w:fill="626262"/>
        </w:rPr>
        <w:t>programmes</w:t>
      </w:r>
    </w:p>
    <w:p>
      <w:pPr>
        <w:spacing w:after="0" w:line="288" w:lineRule="auto"/>
        <w:jc w:val="both"/>
        <w:rPr>
          <w:rFonts w:ascii="Arial"/>
          <w:sz w:val="16"/>
        </w:rPr>
        <w:sectPr>
          <w:type w:val="continuous"/>
          <w:pgSz w:w="11910" w:h="16840"/>
          <w:pgMar w:top="1580" w:right="280" w:bottom="280" w:left="1040" w:header="720" w:footer="720"/>
          <w:cols w:num="2" w:space="720" w:equalWidth="0">
            <w:col w:w="7273" w:space="40"/>
            <w:col w:w="3277"/>
          </w:cols>
        </w:sectPr>
      </w:pPr>
    </w:p>
    <w:p>
      <w:pPr>
        <w:pStyle w:val="BodyText"/>
        <w:rPr>
          <w:rFonts w:ascii="Arial"/>
          <w:sz w:val="20"/>
        </w:rPr>
      </w:pPr>
    </w:p>
    <w:p>
      <w:pPr>
        <w:pStyle w:val="BodyText"/>
        <w:spacing w:before="4"/>
        <w:rPr>
          <w:rFonts w:ascii="Arial"/>
          <w:sz w:val="27"/>
        </w:rPr>
      </w:pPr>
    </w:p>
    <w:p>
      <w:pPr>
        <w:tabs>
          <w:tab w:val="left" w:pos="8215"/>
        </w:tabs>
        <w:spacing w:before="95"/>
        <w:ind w:left="7282" w:right="0" w:firstLine="0"/>
        <w:jc w:val="left"/>
        <w:rPr>
          <w:rFonts w:ascii="Arial"/>
          <w:sz w:val="16"/>
        </w:rPr>
      </w:pPr>
      <w:r>
        <w:rPr>
          <w:rFonts w:ascii="Arial"/>
          <w:color w:val="F9FBF9"/>
          <w:w w:val="105"/>
          <w:sz w:val="16"/>
          <w:shd w:val="clear" w:color="auto" w:fill="9C460C"/>
        </w:rPr>
        <w:t>Other</w:t>
      </w:r>
      <w:r>
        <w:rPr>
          <w:rFonts w:ascii="Arial"/>
          <w:color w:val="F9FBF9"/>
          <w:w w:val="105"/>
          <w:sz w:val="16"/>
        </w:rPr>
        <w:tab/>
      </w:r>
      <w:r>
        <w:rPr>
          <w:rFonts w:ascii="Arial"/>
          <w:color w:val="F9FBF9"/>
          <w:w w:val="105"/>
          <w:sz w:val="16"/>
          <w:shd w:val="clear" w:color="auto" w:fill="244277"/>
        </w:rPr>
        <w:t>British</w:t>
      </w:r>
    </w:p>
    <w:p>
      <w:pPr>
        <w:tabs>
          <w:tab w:val="left" w:pos="8133"/>
          <w:tab w:val="left" w:pos="8268"/>
        </w:tabs>
        <w:spacing w:before="37" w:line="288" w:lineRule="auto"/>
        <w:ind w:left="7006" w:right="1833" w:firstLine="215"/>
        <w:jc w:val="left"/>
        <w:rPr>
          <w:rFonts w:ascii="Arial"/>
          <w:sz w:val="16"/>
        </w:rPr>
      </w:pPr>
      <w:r>
        <w:pict>
          <v:group id="_x0000_i1025" style="height:45.55pt;mso-position-horizontal-relative:page;width:105.35pt" coordorigin="7859,507" coordsize="2107,911">
            <v:line id="_x0000_s1026" style="position:absolute" from="7859,519" to="9931,519" strokecolor="black" strokeweight="1.2pt">
              <v:stroke dashstyle="solid"/>
            </v:line>
            <v:line id="_x0000_s1027" style="position:absolute" from="9099,509" to="9099,1417" strokecolor="black" strokeweight="0.24pt">
              <v:stroke dashstyle="solid"/>
            </v:line>
            <v:shapetype id="_x0000_t202" coordsize="21600,21600" o:spt="202" path="m,l,21600r21600,l21600,xe">
              <v:stroke joinstyle="miter"/>
              <v:path gradientshapeok="t" o:connecttype="rect"/>
            </v:shapetype>
            <v:shape id="_x0000_i1028" type="#_x0000_t202" style="height:400;width:706">
              <v:textbox inset="0,0,0,0">
                <w:txbxContent>
                  <w:p>
                    <w:pPr>
                      <w:spacing w:before="0" w:line="179" w:lineRule="exact"/>
                      <w:ind w:left="0" w:right="18" w:firstLine="0"/>
                      <w:jc w:val="center"/>
                      <w:rPr>
                        <w:rFonts w:ascii="Arial"/>
                        <w:sz w:val="16"/>
                      </w:rPr>
                    </w:pPr>
                    <w:r>
                      <w:rPr>
                        <w:rFonts w:ascii="Arial"/>
                        <w:color w:val="F9FBF9"/>
                        <w:sz w:val="16"/>
                        <w:shd w:val="clear" w:color="auto" w:fill="FBBF03"/>
                      </w:rPr>
                      <w:t>Salix</w:t>
                    </w:r>
                    <w:r>
                      <w:rPr>
                        <w:rFonts w:ascii="Arial"/>
                        <w:color w:val="F9FBF9"/>
                        <w:spacing w:val="-16"/>
                        <w:sz w:val="16"/>
                        <w:shd w:val="clear" w:color="auto" w:fill="FBBF03"/>
                      </w:rPr>
                      <w:t xml:space="preserve"> </w:t>
                    </w:r>
                    <w:r>
                      <w:rPr>
                        <w:rFonts w:ascii="Arial"/>
                        <w:color w:val="F9FBF9"/>
                        <w:sz w:val="16"/>
                        <w:shd w:val="clear" w:color="auto" w:fill="FBBF03"/>
                      </w:rPr>
                      <w:t>(Ne</w:t>
                    </w:r>
                    <w:r>
                      <w:rPr>
                        <w:rFonts w:ascii="Arial"/>
                        <w:color w:val="F9FBF9"/>
                        <w:sz w:val="16"/>
                      </w:rPr>
                      <w:t>t</w:t>
                    </w:r>
                  </w:p>
                  <w:p>
                    <w:pPr>
                      <w:spacing w:before="37"/>
                      <w:ind w:left="0" w:right="17" w:firstLine="0"/>
                      <w:jc w:val="center"/>
                      <w:rPr>
                        <w:rFonts w:ascii="Arial"/>
                        <w:sz w:val="16"/>
                      </w:rPr>
                    </w:pPr>
                    <w:r>
                      <w:rPr>
                        <w:rFonts w:ascii="Arial"/>
                        <w:color w:val="F9FBF9"/>
                        <w:sz w:val="16"/>
                        <w:shd w:val="clear" w:color="auto" w:fill="FBBF03"/>
                      </w:rPr>
                      <w:t>Zero)</w:t>
                    </w:r>
                  </w:p>
                </w:txbxContent>
              </v:textbox>
            </v:shape>
            <v:shape id="_x0000_i1029" type="#_x0000_t202" style="height:622;width:670">
              <v:textbox inset="0,0,0,0">
                <w:txbxContent>
                  <w:p>
                    <w:pPr>
                      <w:spacing w:before="0" w:line="283" w:lineRule="auto"/>
                      <w:ind w:left="45" w:right="0" w:hanging="46"/>
                      <w:jc w:val="left"/>
                      <w:rPr>
                        <w:rFonts w:ascii="Arial"/>
                        <w:sz w:val="16"/>
                      </w:rPr>
                    </w:pPr>
                    <w:r>
                      <w:rPr>
                        <w:rFonts w:ascii="Arial"/>
                        <w:color w:val="F9FBF9"/>
                        <w:sz w:val="16"/>
                        <w:shd w:val="clear" w:color="auto" w:fill="6EAC44"/>
                      </w:rPr>
                      <w:t>lnterna..</w:t>
                    </w:r>
                    <w:r>
                      <w:rPr>
                        <w:rFonts w:ascii="Arial"/>
                        <w:color w:val="F9FBF9"/>
                        <w:sz w:val="16"/>
                      </w:rPr>
                      <w:t xml:space="preserve">. </w:t>
                    </w:r>
                    <w:r>
                      <w:rPr>
                        <w:rFonts w:ascii="Arial"/>
                        <w:color w:val="F9FBF9"/>
                        <w:sz w:val="16"/>
                        <w:shd w:val="clear" w:color="auto" w:fill="6EAC44"/>
                      </w:rPr>
                      <w:t>Climate</w:t>
                    </w:r>
                  </w:p>
                  <w:p>
                    <w:pPr>
                      <w:spacing w:before="3"/>
                      <w:ind w:left="141" w:right="0" w:firstLine="0"/>
                      <w:jc w:val="left"/>
                      <w:rPr>
                        <w:rFonts w:ascii="Arial"/>
                        <w:sz w:val="16"/>
                      </w:rPr>
                    </w:pPr>
                    <w:r>
                      <w:rPr>
                        <w:rFonts w:ascii="Arial"/>
                        <w:color w:val="F9FBF9"/>
                        <w:sz w:val="16"/>
                        <w:shd w:val="clear" w:color="auto" w:fill="6EAC44"/>
                      </w:rPr>
                      <w:t>Fund</w:t>
                    </w:r>
                  </w:p>
                </w:txbxContent>
              </v:textbox>
            </v:shape>
          </v:group>
        </w:pict>
      </w:r>
      <w:r>
        <w:rPr>
          <w:rFonts w:ascii="Arial"/>
          <w:color w:val="F9FBF9"/>
          <w:sz w:val="16"/>
          <w:shd w:val="clear" w:color="auto" w:fill="9C460C"/>
        </w:rPr>
        <w:t>partner</w:t>
      </w:r>
      <w:r>
        <w:rPr>
          <w:rFonts w:ascii="Arial"/>
          <w:color w:val="F9FBF9"/>
          <w:sz w:val="16"/>
        </w:rPr>
        <w:tab/>
      </w:r>
      <w:r>
        <w:rPr>
          <w:rFonts w:ascii="Arial"/>
          <w:color w:val="F9FBF9"/>
          <w:w w:val="95"/>
          <w:sz w:val="16"/>
          <w:shd w:val="clear" w:color="auto" w:fill="244277"/>
        </w:rPr>
        <w:t>Business</w:t>
      </w:r>
      <w:r>
        <w:rPr>
          <w:rFonts w:ascii="Arial"/>
          <w:color w:val="F9FBF9"/>
          <w:w w:val="95"/>
          <w:sz w:val="16"/>
        </w:rPr>
        <w:t xml:space="preserve"> </w:t>
      </w:r>
      <w:r>
        <w:rPr>
          <w:rFonts w:ascii="Arial"/>
          <w:color w:val="F9FBF9"/>
          <w:sz w:val="16"/>
          <w:shd w:val="clear" w:color="auto" w:fill="9C460C"/>
        </w:rPr>
        <w:t>organisations</w:t>
      </w:r>
      <w:r>
        <w:rPr>
          <w:rFonts w:ascii="Arial"/>
          <w:color w:val="F9FBF9"/>
          <w:sz w:val="16"/>
        </w:rPr>
        <w:tab/>
        <w:tab/>
      </w:r>
      <w:r>
        <w:rPr>
          <w:rFonts w:ascii="Arial"/>
          <w:color w:val="F9FBF9"/>
          <w:sz w:val="16"/>
          <w:shd w:val="clear" w:color="auto" w:fill="244277"/>
        </w:rPr>
        <w:t>Bank</w:t>
      </w:r>
    </w:p>
    <w:p>
      <w:pPr>
        <w:pStyle w:val="BodyText"/>
        <w:rPr>
          <w:rFonts w:ascii="Arial"/>
          <w:sz w:val="20"/>
        </w:rPr>
      </w:pPr>
    </w:p>
    <w:p>
      <w:pPr>
        <w:pStyle w:val="BodyText"/>
        <w:spacing w:before="9"/>
        <w:rPr>
          <w:rFonts w:ascii="Arial"/>
          <w:sz w:val="17"/>
        </w:rPr>
      </w:pPr>
    </w:p>
    <w:p>
      <w:pPr>
        <w:spacing w:after="0"/>
        <w:rPr>
          <w:rFonts w:ascii="Arial"/>
          <w:sz w:val="17"/>
        </w:rPr>
        <w:sectPr>
          <w:type w:val="continuous"/>
          <w:pgSz w:w="11910" w:h="16840"/>
          <w:pgMar w:top="1580" w:right="280" w:bottom="280" w:left="1040" w:header="720" w:footer="720"/>
          <w:cols w:space="720"/>
        </w:sectPr>
      </w:pPr>
    </w:p>
    <w:p>
      <w:pPr>
        <w:pStyle w:val="BodyText"/>
        <w:spacing w:before="7"/>
        <w:rPr>
          <w:rFonts w:ascii="Arial"/>
          <w:sz w:val="26"/>
        </w:rPr>
      </w:pPr>
    </w:p>
    <w:p>
      <w:pPr>
        <w:tabs>
          <w:tab w:val="left" w:pos="3480"/>
        </w:tabs>
        <w:spacing w:before="1"/>
        <w:ind w:left="610" w:right="0" w:firstLine="0"/>
        <w:jc w:val="left"/>
        <w:rPr>
          <w:rFonts w:ascii="Arial"/>
          <w:sz w:val="16"/>
        </w:rPr>
      </w:pPr>
      <w:r>
        <w:rPr>
          <w:rFonts w:ascii="Arial"/>
          <w:color w:val="F9FBF9"/>
          <w:sz w:val="16"/>
          <w:shd w:val="clear" w:color="auto" w:fill="4272C3"/>
        </w:rPr>
        <w:t>UK</w:t>
      </w:r>
      <w:r>
        <w:rPr>
          <w:rFonts w:ascii="Arial"/>
          <w:color w:val="F9FBF9"/>
          <w:spacing w:val="-15"/>
          <w:sz w:val="16"/>
          <w:shd w:val="clear" w:color="auto" w:fill="4272C3"/>
        </w:rPr>
        <w:t xml:space="preserve"> </w:t>
      </w:r>
      <w:r>
        <w:rPr>
          <w:rFonts w:ascii="Arial"/>
          <w:color w:val="F9FBF9"/>
          <w:sz w:val="16"/>
          <w:shd w:val="clear" w:color="auto" w:fill="4272C3"/>
        </w:rPr>
        <w:t>Research</w:t>
      </w:r>
      <w:r>
        <w:rPr>
          <w:rFonts w:ascii="Arial"/>
          <w:color w:val="F9FBF9"/>
          <w:spacing w:val="-8"/>
          <w:sz w:val="16"/>
          <w:shd w:val="clear" w:color="auto" w:fill="4272C3"/>
        </w:rPr>
        <w:t xml:space="preserve"> </w:t>
      </w:r>
      <w:r>
        <w:rPr>
          <w:rFonts w:ascii="Arial"/>
          <w:color w:val="F9FBF9"/>
          <w:sz w:val="16"/>
          <w:shd w:val="clear" w:color="auto" w:fill="4272C3"/>
        </w:rPr>
        <w:t>and</w:t>
      </w:r>
      <w:r>
        <w:rPr>
          <w:rFonts w:ascii="Arial"/>
          <w:color w:val="F9FBF9"/>
          <w:spacing w:val="-15"/>
          <w:sz w:val="16"/>
          <w:shd w:val="clear" w:color="auto" w:fill="4272C3"/>
        </w:rPr>
        <w:t xml:space="preserve"> </w:t>
      </w:r>
      <w:r>
        <w:rPr>
          <w:rFonts w:ascii="Arial"/>
          <w:color w:val="F9FBF9"/>
          <w:sz w:val="16"/>
          <w:shd w:val="clear" w:color="auto" w:fill="4272C3"/>
        </w:rPr>
        <w:t>Innovation</w:t>
      </w:r>
      <w:r>
        <w:rPr>
          <w:rFonts w:ascii="Arial"/>
          <w:color w:val="F9FBF9"/>
          <w:spacing w:val="-4"/>
          <w:sz w:val="16"/>
          <w:shd w:val="clear" w:color="auto" w:fill="4272C3"/>
        </w:rPr>
        <w:t xml:space="preserve"> </w:t>
      </w:r>
      <w:r>
        <w:rPr>
          <w:rFonts w:ascii="Arial"/>
          <w:color w:val="F9FBF9"/>
          <w:sz w:val="16"/>
          <w:shd w:val="clear" w:color="auto" w:fill="4272C3"/>
        </w:rPr>
        <w:t>(UKRI)</w:t>
      </w:r>
      <w:r>
        <w:rPr>
          <w:rFonts w:ascii="Arial"/>
          <w:color w:val="F9FBF9"/>
          <w:sz w:val="16"/>
        </w:rPr>
        <w:tab/>
      </w:r>
      <w:r>
        <w:rPr>
          <w:rFonts w:ascii="Arial"/>
          <w:color w:val="F9FBF9"/>
          <w:sz w:val="16"/>
          <w:shd w:val="clear" w:color="auto" w:fill="599AD4"/>
        </w:rPr>
        <w:t xml:space="preserve">Science </w:t>
      </w:r>
      <w:r>
        <w:rPr>
          <w:rFonts w:ascii="Arial"/>
          <w:color w:val="F9FBF9"/>
          <w:sz w:val="17"/>
          <w:shd w:val="clear" w:color="auto" w:fill="599AD4"/>
        </w:rPr>
        <w:t>&amp;</w:t>
      </w:r>
      <w:r>
        <w:rPr>
          <w:rFonts w:ascii="Arial"/>
          <w:color w:val="F9FBF9"/>
          <w:spacing w:val="-40"/>
          <w:sz w:val="17"/>
          <w:shd w:val="clear" w:color="auto" w:fill="599AD4"/>
        </w:rPr>
        <w:t xml:space="preserve"> </w:t>
      </w:r>
      <w:r>
        <w:rPr>
          <w:rFonts w:ascii="Arial"/>
          <w:color w:val="F9FBF9"/>
          <w:sz w:val="16"/>
          <w:shd w:val="clear" w:color="auto" w:fill="599AD4"/>
        </w:rPr>
        <w:t>Research</w:t>
      </w:r>
    </w:p>
    <w:p>
      <w:pPr>
        <w:spacing w:before="95" w:line="295" w:lineRule="auto"/>
        <w:ind w:left="610" w:right="3950" w:firstLine="13"/>
        <w:jc w:val="left"/>
        <w:rPr>
          <w:rFonts w:ascii="Arial"/>
          <w:sz w:val="16"/>
        </w:rPr>
      </w:pPr>
      <w:r>
        <w:br w:type="column"/>
      </w:r>
      <w:r>
        <w:rPr>
          <w:rFonts w:ascii="Arial"/>
          <w:color w:val="F9FBF9"/>
          <w:sz w:val="16"/>
          <w:shd w:val="clear" w:color="auto" w:fill="A3A3A3"/>
        </w:rPr>
        <w:t>Net Zero</w:t>
      </w:r>
      <w:r>
        <w:rPr>
          <w:rFonts w:ascii="Arial"/>
          <w:color w:val="F9FBF9"/>
          <w:sz w:val="16"/>
        </w:rPr>
        <w:t xml:space="preserve"> </w:t>
      </w:r>
      <w:r>
        <w:rPr>
          <w:rFonts w:ascii="Arial"/>
          <w:color w:val="F9FBF9"/>
          <w:sz w:val="16"/>
          <w:shd w:val="clear" w:color="auto" w:fill="A3A3A3"/>
        </w:rPr>
        <w:t>Buildings</w:t>
      </w:r>
    </w:p>
    <w:p>
      <w:pPr>
        <w:spacing w:after="0" w:line="295" w:lineRule="auto"/>
        <w:jc w:val="left"/>
        <w:rPr>
          <w:rFonts w:ascii="Arial"/>
          <w:sz w:val="16"/>
        </w:rPr>
        <w:sectPr>
          <w:type w:val="continuous"/>
          <w:pgSz w:w="11910" w:h="16840"/>
          <w:pgMar w:top="1580" w:right="280" w:bottom="280" w:left="1040" w:header="720" w:footer="720"/>
          <w:cols w:num="2" w:space="720" w:equalWidth="0">
            <w:col w:w="4931" w:space="429"/>
            <w:col w:w="5230"/>
          </w:cols>
        </w:sectPr>
      </w:pPr>
    </w:p>
    <w:p>
      <w:pPr>
        <w:pStyle w:val="Heading2"/>
        <w:numPr>
          <w:ilvl w:val="1"/>
          <w:numId w:val="13"/>
        </w:numPr>
        <w:tabs>
          <w:tab w:val="left" w:pos="1120"/>
          <w:tab w:val="left" w:pos="1121"/>
        </w:tabs>
        <w:spacing w:before="23" w:after="0" w:line="240" w:lineRule="auto"/>
        <w:ind w:left="1120" w:right="0" w:hanging="721"/>
        <w:jc w:val="left"/>
        <w:rPr>
          <w:b w:val="0"/>
          <w:color w:val="2F5495"/>
        </w:rPr>
      </w:pPr>
      <w:r>
        <w:rPr>
          <w:b w:val="0"/>
          <w:color w:val="2F5495"/>
        </w:rPr>
        <w:t>Comparison of spending totals</w:t>
      </w:r>
      <w:r>
        <w:rPr>
          <w:b w:val="0"/>
          <w:color w:val="2F5495"/>
          <w:spacing w:val="-7"/>
        </w:rPr>
        <w:t xml:space="preserve"> </w:t>
      </w:r>
      <w:r>
        <w:rPr>
          <w:b w:val="0"/>
          <w:color w:val="2F5495"/>
        </w:rPr>
        <w:t>sought</w:t>
      </w:r>
    </w:p>
    <w:p>
      <w:pPr>
        <w:pStyle w:val="BodyText"/>
        <w:spacing w:before="25"/>
        <w:ind w:left="400"/>
      </w:pPr>
      <w:r>
        <w:t>The table and graphic below show how the totals sought for BEIS compare with last year:</w:t>
      </w:r>
    </w:p>
    <w:p>
      <w:pPr>
        <w:pStyle w:val="BodyText"/>
        <w:spacing w:before="2"/>
        <w:rPr>
          <w:sz w:val="19"/>
        </w:rPr>
      </w:pPr>
    </w:p>
    <w:tbl>
      <w:tblPr>
        <w:tblW w:w="0" w:type="auto"/>
        <w:jc w:val="left"/>
        <w:tblInd w:w="4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25"/>
        <w:gridCol w:w="1402"/>
        <w:gridCol w:w="1551"/>
        <w:gridCol w:w="1402"/>
        <w:gridCol w:w="1637"/>
        <w:gridCol w:w="1402"/>
      </w:tblGrid>
      <w:tr>
        <w:tblPrEx>
          <w:tblW w:w="0" w:type="auto"/>
          <w:jc w:val="left"/>
          <w:tblInd w:w="4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1725"/>
          <w:jc w:val="left"/>
        </w:trPr>
        <w:tc>
          <w:tcPr>
            <w:tcW w:w="3027" w:type="dxa"/>
            <w:gridSpan w:val="2"/>
            <w:vMerge w:val="restart"/>
          </w:tcPr>
          <w:p>
            <w:pPr>
              <w:pStyle w:val="TableParagraph"/>
              <w:ind w:left="107"/>
              <w:rPr>
                <w:rFonts w:ascii="Verdana"/>
                <w:b/>
                <w:sz w:val="19"/>
              </w:rPr>
            </w:pPr>
            <w:r>
              <w:rPr>
                <w:rFonts w:ascii="Verdana"/>
                <w:b/>
                <w:color w:val="333333"/>
                <w:sz w:val="19"/>
              </w:rPr>
              <w:t>Spending total</w:t>
            </w:r>
          </w:p>
          <w:p>
            <w:pPr>
              <w:pStyle w:val="TableParagraph"/>
              <w:spacing w:before="180" w:line="424" w:lineRule="auto"/>
              <w:ind w:left="107" w:right="142"/>
              <w:rPr>
                <w:rFonts w:ascii="Verdana"/>
                <w:b/>
                <w:sz w:val="19"/>
              </w:rPr>
            </w:pPr>
            <w:r>
              <w:rPr>
                <w:rFonts w:ascii="Verdana"/>
                <w:b/>
                <w:color w:val="333333"/>
                <w:sz w:val="19"/>
              </w:rPr>
              <w:t>Amounts sought this year (Main Estimate 2021-22)</w:t>
            </w:r>
          </w:p>
        </w:tc>
        <w:tc>
          <w:tcPr>
            <w:tcW w:w="2953" w:type="dxa"/>
            <w:gridSpan w:val="2"/>
          </w:tcPr>
          <w:p>
            <w:pPr>
              <w:pStyle w:val="TableParagraph"/>
              <w:spacing w:line="259" w:lineRule="auto"/>
              <w:ind w:left="107" w:right="102"/>
              <w:rPr>
                <w:rFonts w:ascii="Verdana"/>
                <w:b/>
                <w:sz w:val="19"/>
              </w:rPr>
            </w:pPr>
            <w:r>
              <w:rPr>
                <w:rFonts w:ascii="Verdana"/>
                <w:b/>
                <w:color w:val="333333"/>
                <w:sz w:val="19"/>
              </w:rPr>
              <w:t>Compared to final budget last year</w:t>
            </w:r>
          </w:p>
          <w:p>
            <w:pPr>
              <w:pStyle w:val="TableParagraph"/>
              <w:spacing w:before="159" w:line="259" w:lineRule="auto"/>
              <w:ind w:left="107" w:right="108"/>
              <w:rPr>
                <w:rFonts w:ascii="Verdana"/>
                <w:b/>
                <w:sz w:val="19"/>
              </w:rPr>
            </w:pPr>
            <w:r>
              <w:rPr>
                <w:rFonts w:ascii="Verdana"/>
                <w:b/>
                <w:color w:val="333333"/>
                <w:sz w:val="19"/>
              </w:rPr>
              <w:t>(Supplementary Estimate 2020-21)</w:t>
            </w:r>
          </w:p>
        </w:tc>
        <w:tc>
          <w:tcPr>
            <w:tcW w:w="3039" w:type="dxa"/>
            <w:gridSpan w:val="2"/>
          </w:tcPr>
          <w:p>
            <w:pPr>
              <w:pStyle w:val="TableParagraph"/>
              <w:spacing w:line="259" w:lineRule="auto"/>
              <w:ind w:left="106" w:right="659"/>
              <w:rPr>
                <w:rFonts w:ascii="Verdana"/>
                <w:b/>
                <w:sz w:val="19"/>
              </w:rPr>
            </w:pPr>
            <w:r>
              <w:rPr>
                <w:rFonts w:ascii="Verdana"/>
                <w:b/>
                <w:color w:val="333333"/>
                <w:sz w:val="19"/>
              </w:rPr>
              <w:t>Compared to original budget last year</w:t>
            </w:r>
          </w:p>
          <w:p>
            <w:pPr>
              <w:pStyle w:val="TableParagraph"/>
              <w:spacing w:before="159"/>
              <w:ind w:left="106"/>
              <w:rPr>
                <w:rFonts w:ascii="Verdana"/>
                <w:b/>
                <w:sz w:val="19"/>
              </w:rPr>
            </w:pPr>
            <w:r>
              <w:rPr>
                <w:rFonts w:ascii="Verdana"/>
                <w:b/>
                <w:color w:val="333333"/>
                <w:sz w:val="19"/>
              </w:rPr>
              <w:t>(Main Estimate 2020-21)</w:t>
            </w:r>
          </w:p>
        </w:tc>
      </w:tr>
      <w:tr>
        <w:tblPrEx>
          <w:tblW w:w="0" w:type="auto"/>
          <w:jc w:val="left"/>
          <w:tblInd w:w="410" w:type="dxa"/>
          <w:tblLayout w:type="fixed"/>
          <w:tblCellMar>
            <w:top w:w="0" w:type="dxa"/>
            <w:left w:w="0" w:type="dxa"/>
            <w:bottom w:w="0" w:type="dxa"/>
            <w:right w:w="0" w:type="dxa"/>
          </w:tblCellMar>
          <w:tblLook w:val="01E0"/>
        </w:tblPrEx>
        <w:trPr>
          <w:trHeight w:val="410"/>
          <w:jc w:val="left"/>
        </w:trPr>
        <w:tc>
          <w:tcPr>
            <w:tcW w:w="3027" w:type="dxa"/>
            <w:gridSpan w:val="2"/>
            <w:vMerge/>
            <w:tcBorders>
              <w:top w:val="nil"/>
            </w:tcBorders>
          </w:tcPr>
          <w:p>
            <w:pPr>
              <w:rPr>
                <w:sz w:val="2"/>
                <w:szCs w:val="2"/>
              </w:rPr>
            </w:pPr>
          </w:p>
        </w:tc>
        <w:tc>
          <w:tcPr>
            <w:tcW w:w="1551" w:type="dxa"/>
          </w:tcPr>
          <w:p>
            <w:pPr>
              <w:pStyle w:val="TableParagraph"/>
              <w:ind w:left="107"/>
              <w:rPr>
                <w:rFonts w:ascii="Verdana" w:hAnsi="Verdana"/>
                <w:b/>
                <w:sz w:val="19"/>
              </w:rPr>
            </w:pPr>
            <w:r>
              <w:rPr>
                <w:rFonts w:ascii="Verdana" w:hAnsi="Verdana"/>
                <w:b/>
                <w:color w:val="333333"/>
                <w:sz w:val="19"/>
              </w:rPr>
              <w:t>£m</w:t>
            </w:r>
          </w:p>
        </w:tc>
        <w:tc>
          <w:tcPr>
            <w:tcW w:w="1402" w:type="dxa"/>
          </w:tcPr>
          <w:p>
            <w:pPr>
              <w:pStyle w:val="TableParagraph"/>
              <w:ind w:left="106"/>
              <w:rPr>
                <w:rFonts w:ascii="Verdana"/>
                <w:b/>
                <w:sz w:val="19"/>
              </w:rPr>
            </w:pPr>
            <w:r>
              <w:rPr>
                <w:rFonts w:ascii="Verdana"/>
                <w:b/>
                <w:color w:val="333333"/>
                <w:w w:val="99"/>
                <w:sz w:val="19"/>
              </w:rPr>
              <w:t>%</w:t>
            </w:r>
          </w:p>
        </w:tc>
        <w:tc>
          <w:tcPr>
            <w:tcW w:w="1637" w:type="dxa"/>
          </w:tcPr>
          <w:p>
            <w:pPr>
              <w:pStyle w:val="TableParagraph"/>
              <w:ind w:left="106"/>
              <w:rPr>
                <w:rFonts w:ascii="Verdana" w:hAnsi="Verdana"/>
                <w:b/>
                <w:sz w:val="19"/>
              </w:rPr>
            </w:pPr>
            <w:r>
              <w:rPr>
                <w:rFonts w:ascii="Verdana" w:hAnsi="Verdana"/>
                <w:b/>
                <w:color w:val="333333"/>
                <w:sz w:val="19"/>
              </w:rPr>
              <w:t>£m</w:t>
            </w:r>
          </w:p>
        </w:tc>
        <w:tc>
          <w:tcPr>
            <w:tcW w:w="1402" w:type="dxa"/>
          </w:tcPr>
          <w:p>
            <w:pPr>
              <w:pStyle w:val="TableParagraph"/>
              <w:ind w:left="106"/>
              <w:rPr>
                <w:rFonts w:ascii="Verdana"/>
                <w:b/>
                <w:sz w:val="19"/>
              </w:rPr>
            </w:pPr>
            <w:r>
              <w:rPr>
                <w:rFonts w:ascii="Verdana"/>
                <w:b/>
                <w:color w:val="333333"/>
                <w:w w:val="99"/>
                <w:sz w:val="19"/>
              </w:rPr>
              <w:t>%</w:t>
            </w:r>
          </w:p>
        </w:tc>
      </w:tr>
      <w:tr>
        <w:tblPrEx>
          <w:tblW w:w="0" w:type="auto"/>
          <w:jc w:val="left"/>
          <w:tblInd w:w="410" w:type="dxa"/>
          <w:tblLayout w:type="fixed"/>
          <w:tblCellMar>
            <w:top w:w="0" w:type="dxa"/>
            <w:left w:w="0" w:type="dxa"/>
            <w:bottom w:w="0" w:type="dxa"/>
            <w:right w:w="0" w:type="dxa"/>
          </w:tblCellMar>
          <w:tblLook w:val="01E0"/>
        </w:tblPrEx>
        <w:trPr>
          <w:trHeight w:val="410"/>
          <w:jc w:val="left"/>
        </w:trPr>
        <w:tc>
          <w:tcPr>
            <w:tcW w:w="1625" w:type="dxa"/>
          </w:tcPr>
          <w:p>
            <w:pPr>
              <w:pStyle w:val="TableParagraph"/>
              <w:ind w:left="107"/>
              <w:rPr>
                <w:rFonts w:ascii="Verdana"/>
                <w:sz w:val="19"/>
              </w:rPr>
            </w:pPr>
            <w:r>
              <w:rPr>
                <w:rFonts w:ascii="Verdana"/>
                <w:color w:val="333333"/>
                <w:sz w:val="19"/>
              </w:rPr>
              <w:t>Resource DEL</w:t>
            </w:r>
          </w:p>
        </w:tc>
        <w:tc>
          <w:tcPr>
            <w:tcW w:w="1402" w:type="dxa"/>
          </w:tcPr>
          <w:p>
            <w:pPr>
              <w:pStyle w:val="TableParagraph"/>
              <w:ind w:left="107"/>
              <w:rPr>
                <w:rFonts w:ascii="Verdana" w:hAnsi="Verdana"/>
                <w:sz w:val="19"/>
              </w:rPr>
            </w:pPr>
            <w:r>
              <w:rPr>
                <w:rFonts w:ascii="Verdana" w:hAnsi="Verdana"/>
                <w:color w:val="333333"/>
                <w:sz w:val="19"/>
              </w:rPr>
              <w:t>£8,754.1m</w:t>
            </w:r>
          </w:p>
        </w:tc>
        <w:tc>
          <w:tcPr>
            <w:tcW w:w="1551" w:type="dxa"/>
          </w:tcPr>
          <w:p>
            <w:pPr>
              <w:pStyle w:val="TableParagraph"/>
              <w:ind w:left="106"/>
              <w:rPr>
                <w:rFonts w:ascii="Verdana" w:hAnsi="Verdana"/>
                <w:sz w:val="19"/>
              </w:rPr>
            </w:pPr>
            <w:r>
              <w:rPr>
                <w:rFonts w:ascii="Verdana" w:hAnsi="Verdana"/>
                <w:color w:val="333333"/>
                <w:sz w:val="19"/>
              </w:rPr>
              <w:t>-£19,159.0m</w:t>
            </w:r>
          </w:p>
        </w:tc>
        <w:tc>
          <w:tcPr>
            <w:tcW w:w="1402" w:type="dxa"/>
          </w:tcPr>
          <w:p>
            <w:pPr>
              <w:pStyle w:val="TableParagraph"/>
              <w:ind w:left="105"/>
              <w:rPr>
                <w:rFonts w:ascii="Verdana"/>
                <w:sz w:val="19"/>
              </w:rPr>
            </w:pPr>
            <w:r>
              <w:rPr>
                <w:rFonts w:ascii="Verdana"/>
                <w:color w:val="333333"/>
                <w:sz w:val="19"/>
              </w:rPr>
              <w:t>-68.6%</w:t>
            </w:r>
          </w:p>
        </w:tc>
        <w:tc>
          <w:tcPr>
            <w:tcW w:w="1637" w:type="dxa"/>
          </w:tcPr>
          <w:p>
            <w:pPr>
              <w:pStyle w:val="TableParagraph"/>
              <w:ind w:left="106"/>
              <w:rPr>
                <w:rFonts w:ascii="Verdana" w:hAnsi="Verdana"/>
                <w:sz w:val="19"/>
              </w:rPr>
            </w:pPr>
            <w:r>
              <w:rPr>
                <w:rFonts w:ascii="Verdana" w:hAnsi="Verdana"/>
                <w:color w:val="333333"/>
                <w:sz w:val="19"/>
              </w:rPr>
              <w:t>-£7,186.7m</w:t>
            </w:r>
          </w:p>
        </w:tc>
        <w:tc>
          <w:tcPr>
            <w:tcW w:w="1402" w:type="dxa"/>
          </w:tcPr>
          <w:p>
            <w:pPr>
              <w:pStyle w:val="TableParagraph"/>
              <w:ind w:left="106"/>
              <w:rPr>
                <w:rFonts w:ascii="Verdana"/>
                <w:sz w:val="19"/>
              </w:rPr>
            </w:pPr>
            <w:r>
              <w:rPr>
                <w:rFonts w:ascii="Verdana"/>
                <w:color w:val="333333"/>
                <w:sz w:val="19"/>
              </w:rPr>
              <w:t>-45.1%</w:t>
            </w:r>
          </w:p>
        </w:tc>
      </w:tr>
      <w:tr>
        <w:tblPrEx>
          <w:tblW w:w="0" w:type="auto"/>
          <w:jc w:val="left"/>
          <w:tblInd w:w="410" w:type="dxa"/>
          <w:tblLayout w:type="fixed"/>
          <w:tblCellMar>
            <w:top w:w="0" w:type="dxa"/>
            <w:left w:w="0" w:type="dxa"/>
            <w:bottom w:w="0" w:type="dxa"/>
            <w:right w:w="0" w:type="dxa"/>
          </w:tblCellMar>
          <w:tblLook w:val="01E0"/>
        </w:tblPrEx>
        <w:trPr>
          <w:trHeight w:val="407"/>
          <w:jc w:val="left"/>
        </w:trPr>
        <w:tc>
          <w:tcPr>
            <w:tcW w:w="1625" w:type="dxa"/>
          </w:tcPr>
          <w:p>
            <w:pPr>
              <w:pStyle w:val="TableParagraph"/>
              <w:ind w:left="107"/>
              <w:rPr>
                <w:rFonts w:ascii="Verdana"/>
                <w:sz w:val="19"/>
              </w:rPr>
            </w:pPr>
            <w:r>
              <w:rPr>
                <w:rFonts w:ascii="Verdana"/>
                <w:color w:val="333333"/>
                <w:sz w:val="19"/>
              </w:rPr>
              <w:t>Capital DEL</w:t>
            </w:r>
          </w:p>
        </w:tc>
        <w:tc>
          <w:tcPr>
            <w:tcW w:w="1402" w:type="dxa"/>
          </w:tcPr>
          <w:p>
            <w:pPr>
              <w:pStyle w:val="TableParagraph"/>
              <w:ind w:left="108"/>
              <w:rPr>
                <w:rFonts w:ascii="Verdana" w:hAnsi="Verdana"/>
                <w:sz w:val="19"/>
              </w:rPr>
            </w:pPr>
            <w:r>
              <w:rPr>
                <w:rFonts w:ascii="Verdana" w:hAnsi="Verdana"/>
                <w:color w:val="333333"/>
                <w:sz w:val="19"/>
              </w:rPr>
              <w:t>£16,665.2m</w:t>
            </w:r>
          </w:p>
        </w:tc>
        <w:tc>
          <w:tcPr>
            <w:tcW w:w="1551" w:type="dxa"/>
          </w:tcPr>
          <w:p>
            <w:pPr>
              <w:pStyle w:val="TableParagraph"/>
              <w:ind w:left="108"/>
              <w:rPr>
                <w:rFonts w:ascii="Verdana" w:hAnsi="Verdana"/>
                <w:sz w:val="19"/>
              </w:rPr>
            </w:pPr>
            <w:r>
              <w:rPr>
                <w:rFonts w:ascii="Verdana" w:hAnsi="Verdana"/>
                <w:color w:val="333333"/>
                <w:sz w:val="19"/>
              </w:rPr>
              <w:t>-£4,474.2m</w:t>
            </w:r>
          </w:p>
        </w:tc>
        <w:tc>
          <w:tcPr>
            <w:tcW w:w="1402" w:type="dxa"/>
          </w:tcPr>
          <w:p>
            <w:pPr>
              <w:pStyle w:val="TableParagraph"/>
              <w:ind w:left="107"/>
              <w:rPr>
                <w:rFonts w:ascii="Verdana"/>
                <w:sz w:val="19"/>
              </w:rPr>
            </w:pPr>
            <w:r>
              <w:rPr>
                <w:rFonts w:ascii="Verdana"/>
                <w:color w:val="333333"/>
                <w:sz w:val="19"/>
              </w:rPr>
              <w:t>-21.2%</w:t>
            </w:r>
          </w:p>
        </w:tc>
        <w:tc>
          <w:tcPr>
            <w:tcW w:w="1637" w:type="dxa"/>
          </w:tcPr>
          <w:p>
            <w:pPr>
              <w:pStyle w:val="TableParagraph"/>
              <w:ind w:left="107"/>
              <w:rPr>
                <w:rFonts w:ascii="Verdana" w:hAnsi="Verdana"/>
                <w:sz w:val="19"/>
              </w:rPr>
            </w:pPr>
            <w:r>
              <w:rPr>
                <w:rFonts w:ascii="Verdana" w:hAnsi="Verdana"/>
                <w:color w:val="333333"/>
                <w:sz w:val="19"/>
              </w:rPr>
              <w:t>+£3,142.3m</w:t>
            </w:r>
          </w:p>
        </w:tc>
        <w:tc>
          <w:tcPr>
            <w:tcW w:w="1402" w:type="dxa"/>
          </w:tcPr>
          <w:p>
            <w:pPr>
              <w:pStyle w:val="TableParagraph"/>
              <w:ind w:left="106"/>
              <w:rPr>
                <w:rFonts w:ascii="Verdana"/>
                <w:sz w:val="19"/>
              </w:rPr>
            </w:pPr>
            <w:r>
              <w:rPr>
                <w:rFonts w:ascii="Verdana"/>
                <w:color w:val="333333"/>
                <w:sz w:val="19"/>
              </w:rPr>
              <w:t>+23.2%</w:t>
            </w:r>
          </w:p>
        </w:tc>
      </w:tr>
      <w:tr>
        <w:tblPrEx>
          <w:tblW w:w="0" w:type="auto"/>
          <w:jc w:val="left"/>
          <w:tblInd w:w="410" w:type="dxa"/>
          <w:tblLayout w:type="fixed"/>
          <w:tblCellMar>
            <w:top w:w="0" w:type="dxa"/>
            <w:left w:w="0" w:type="dxa"/>
            <w:bottom w:w="0" w:type="dxa"/>
            <w:right w:w="0" w:type="dxa"/>
          </w:tblCellMar>
          <w:tblLook w:val="01E0"/>
        </w:tblPrEx>
        <w:trPr>
          <w:trHeight w:val="410"/>
          <w:jc w:val="left"/>
        </w:trPr>
        <w:tc>
          <w:tcPr>
            <w:tcW w:w="1625" w:type="dxa"/>
          </w:tcPr>
          <w:p>
            <w:pPr>
              <w:pStyle w:val="TableParagraph"/>
              <w:ind w:left="107"/>
              <w:rPr>
                <w:rFonts w:ascii="Verdana"/>
                <w:sz w:val="19"/>
              </w:rPr>
            </w:pPr>
            <w:r>
              <w:rPr>
                <w:rFonts w:ascii="Verdana"/>
                <w:color w:val="333333"/>
                <w:sz w:val="19"/>
              </w:rPr>
              <w:t>Resource AME</w:t>
            </w:r>
          </w:p>
        </w:tc>
        <w:tc>
          <w:tcPr>
            <w:tcW w:w="1402" w:type="dxa"/>
          </w:tcPr>
          <w:p>
            <w:pPr>
              <w:pStyle w:val="TableParagraph"/>
              <w:ind w:left="107"/>
              <w:rPr>
                <w:rFonts w:ascii="Verdana" w:hAnsi="Verdana"/>
                <w:sz w:val="19"/>
              </w:rPr>
            </w:pPr>
            <w:r>
              <w:rPr>
                <w:rFonts w:ascii="Verdana" w:hAnsi="Verdana"/>
                <w:color w:val="333333"/>
                <w:sz w:val="19"/>
              </w:rPr>
              <w:t>£26,322.4m</w:t>
            </w:r>
          </w:p>
        </w:tc>
        <w:tc>
          <w:tcPr>
            <w:tcW w:w="1551" w:type="dxa"/>
          </w:tcPr>
          <w:p>
            <w:pPr>
              <w:pStyle w:val="TableParagraph"/>
              <w:ind w:left="107"/>
              <w:rPr>
                <w:rFonts w:ascii="Verdana"/>
                <w:sz w:val="19"/>
              </w:rPr>
            </w:pPr>
            <w:r>
              <w:rPr>
                <w:rFonts w:ascii="Verdana"/>
                <w:color w:val="333333"/>
                <w:sz w:val="19"/>
              </w:rPr>
              <w:t>+3,059.9m</w:t>
            </w:r>
          </w:p>
        </w:tc>
        <w:tc>
          <w:tcPr>
            <w:tcW w:w="1402" w:type="dxa"/>
          </w:tcPr>
          <w:p>
            <w:pPr>
              <w:pStyle w:val="TableParagraph"/>
              <w:ind w:left="106"/>
              <w:rPr>
                <w:rFonts w:ascii="Verdana"/>
                <w:sz w:val="19"/>
              </w:rPr>
            </w:pPr>
            <w:r>
              <w:rPr>
                <w:rFonts w:ascii="Verdana"/>
                <w:color w:val="333333"/>
                <w:sz w:val="19"/>
              </w:rPr>
              <w:t>+13.2%</w:t>
            </w:r>
          </w:p>
        </w:tc>
        <w:tc>
          <w:tcPr>
            <w:tcW w:w="1637" w:type="dxa"/>
          </w:tcPr>
          <w:p>
            <w:pPr>
              <w:pStyle w:val="TableParagraph"/>
              <w:ind w:left="106"/>
              <w:rPr>
                <w:rFonts w:ascii="Verdana" w:hAnsi="Verdana"/>
                <w:sz w:val="19"/>
              </w:rPr>
            </w:pPr>
            <w:r>
              <w:rPr>
                <w:rFonts w:ascii="Verdana" w:hAnsi="Verdana"/>
                <w:color w:val="333333"/>
                <w:sz w:val="19"/>
              </w:rPr>
              <w:t>+£11,575.0m</w:t>
            </w:r>
          </w:p>
        </w:tc>
        <w:tc>
          <w:tcPr>
            <w:tcW w:w="1402" w:type="dxa"/>
          </w:tcPr>
          <w:p>
            <w:pPr>
              <w:pStyle w:val="TableParagraph"/>
              <w:ind w:left="106"/>
              <w:rPr>
                <w:rFonts w:ascii="Verdana"/>
                <w:sz w:val="19"/>
              </w:rPr>
            </w:pPr>
            <w:r>
              <w:rPr>
                <w:rFonts w:ascii="Verdana"/>
                <w:color w:val="333333"/>
                <w:sz w:val="19"/>
              </w:rPr>
              <w:t>+78.5%</w:t>
            </w:r>
          </w:p>
        </w:tc>
      </w:tr>
      <w:tr>
        <w:tblPrEx>
          <w:tblW w:w="0" w:type="auto"/>
          <w:jc w:val="left"/>
          <w:tblInd w:w="410" w:type="dxa"/>
          <w:tblLayout w:type="fixed"/>
          <w:tblCellMar>
            <w:top w:w="0" w:type="dxa"/>
            <w:left w:w="0" w:type="dxa"/>
            <w:bottom w:w="0" w:type="dxa"/>
            <w:right w:w="0" w:type="dxa"/>
          </w:tblCellMar>
          <w:tblLook w:val="01E0"/>
        </w:tblPrEx>
        <w:trPr>
          <w:trHeight w:val="410"/>
          <w:jc w:val="left"/>
        </w:trPr>
        <w:tc>
          <w:tcPr>
            <w:tcW w:w="1625" w:type="dxa"/>
          </w:tcPr>
          <w:p>
            <w:pPr>
              <w:pStyle w:val="TableParagraph"/>
              <w:ind w:left="107"/>
              <w:rPr>
                <w:rFonts w:ascii="Verdana"/>
                <w:sz w:val="19"/>
              </w:rPr>
            </w:pPr>
            <w:r>
              <w:rPr>
                <w:rFonts w:ascii="Verdana"/>
                <w:color w:val="333333"/>
                <w:sz w:val="19"/>
              </w:rPr>
              <w:t>Capital AME</w:t>
            </w:r>
          </w:p>
        </w:tc>
        <w:tc>
          <w:tcPr>
            <w:tcW w:w="1402" w:type="dxa"/>
          </w:tcPr>
          <w:p>
            <w:pPr>
              <w:pStyle w:val="TableParagraph"/>
              <w:ind w:left="107"/>
              <w:rPr>
                <w:rFonts w:ascii="Verdana" w:hAnsi="Verdana"/>
                <w:sz w:val="19"/>
              </w:rPr>
            </w:pPr>
            <w:r>
              <w:rPr>
                <w:rFonts w:ascii="Verdana" w:hAnsi="Verdana"/>
                <w:color w:val="333333"/>
                <w:sz w:val="19"/>
              </w:rPr>
              <w:t>£1,599.1m</w:t>
            </w:r>
          </w:p>
        </w:tc>
        <w:tc>
          <w:tcPr>
            <w:tcW w:w="1551" w:type="dxa"/>
          </w:tcPr>
          <w:p>
            <w:pPr>
              <w:pStyle w:val="TableParagraph"/>
              <w:ind w:left="107"/>
              <w:rPr>
                <w:rFonts w:ascii="Verdana" w:hAnsi="Verdana"/>
                <w:sz w:val="19"/>
              </w:rPr>
            </w:pPr>
            <w:r>
              <w:rPr>
                <w:rFonts w:ascii="Verdana" w:hAnsi="Verdana"/>
                <w:color w:val="333333"/>
                <w:sz w:val="19"/>
              </w:rPr>
              <w:t>-£30,528.7m</w:t>
            </w:r>
          </w:p>
        </w:tc>
        <w:tc>
          <w:tcPr>
            <w:tcW w:w="1402" w:type="dxa"/>
          </w:tcPr>
          <w:p>
            <w:pPr>
              <w:pStyle w:val="TableParagraph"/>
              <w:ind w:left="105"/>
              <w:rPr>
                <w:rFonts w:ascii="Verdana"/>
                <w:sz w:val="19"/>
              </w:rPr>
            </w:pPr>
            <w:r>
              <w:rPr>
                <w:rFonts w:ascii="Verdana"/>
                <w:color w:val="333333"/>
                <w:sz w:val="19"/>
              </w:rPr>
              <w:t>-95.0%</w:t>
            </w:r>
          </w:p>
        </w:tc>
        <w:tc>
          <w:tcPr>
            <w:tcW w:w="1637" w:type="dxa"/>
          </w:tcPr>
          <w:p>
            <w:pPr>
              <w:pStyle w:val="TableParagraph"/>
              <w:ind w:left="106"/>
              <w:rPr>
                <w:rFonts w:ascii="Verdana" w:hAnsi="Verdana"/>
                <w:sz w:val="19"/>
              </w:rPr>
            </w:pPr>
            <w:r>
              <w:rPr>
                <w:rFonts w:ascii="Verdana" w:hAnsi="Verdana"/>
                <w:color w:val="333333"/>
                <w:sz w:val="19"/>
              </w:rPr>
              <w:t>+£949.4m</w:t>
            </w:r>
          </w:p>
        </w:tc>
        <w:tc>
          <w:tcPr>
            <w:tcW w:w="1402" w:type="dxa"/>
          </w:tcPr>
          <w:p>
            <w:pPr>
              <w:pStyle w:val="TableParagraph"/>
              <w:ind w:left="106"/>
              <w:rPr>
                <w:rFonts w:ascii="Verdana"/>
                <w:sz w:val="19"/>
              </w:rPr>
            </w:pPr>
            <w:r>
              <w:rPr>
                <w:rFonts w:ascii="Verdana"/>
                <w:color w:val="333333"/>
                <w:sz w:val="19"/>
              </w:rPr>
              <w:t>+146.1%</w:t>
            </w:r>
          </w:p>
        </w:tc>
      </w:tr>
    </w:tbl>
    <w:p>
      <w:pPr>
        <w:pStyle w:val="BodyText"/>
        <w:rPr>
          <w:sz w:val="20"/>
        </w:rPr>
      </w:pPr>
    </w:p>
    <w:p>
      <w:pPr>
        <w:pStyle w:val="BodyText"/>
        <w:spacing w:before="8"/>
        <w:rPr>
          <w:sz w:val="13"/>
        </w:rPr>
      </w:pPr>
      <w:r>
        <w:pict>
          <v:group id="_x0000_s1030" style="height:252.75pt;margin-left:71.64pt;margin-top:10.35pt;mso-position-horizontal-relative:page;mso-wrap-distance-left:0;mso-wrap-distance-right:0;position:absolute;width:432.75pt;z-index:-251658240" coordorigin="1433,207" coordsize="8655,5055">
            <v:line id="_x0000_s1031" style="position:absolute" from="3773,1198" to="3773,1357" strokecolor="#d8d8d8" strokeweight="0.72pt">
              <v:stroke dashstyle="solid"/>
            </v:line>
            <v:line id="_x0000_s1032" style="position:absolute" from="3773,1882" to="3773,2201" strokecolor="#d8d8d8" strokeweight="0.72pt">
              <v:stroke dashstyle="solid"/>
            </v:line>
            <v:line id="_x0000_s1033" style="position:absolute" from="4745,1882" to="4745,2201" strokecolor="#d8d8d8" strokeweight="0.72pt">
              <v:stroke dashstyle="solid"/>
            </v:line>
            <v:line id="_x0000_s1034" style="position:absolute" from="5719,1882" to="5719,2201" strokecolor="#d8d8d8" strokeweight="0.72pt">
              <v:stroke dashstyle="solid"/>
            </v:line>
            <v:rect id="_x0000_s1035" style="height:176;left:2800;position:absolute;top:1707;width:3101" fillcolor="#4472c3">
              <v:fill type="solid"/>
            </v:rect>
            <v:line id="_x0000_s1036" style="position:absolute" from="3773,2727" to="3773,3046" strokecolor="#d8d8d8" strokeweight="0.72pt">
              <v:stroke dashstyle="solid"/>
            </v:line>
            <v:line id="_x0000_s1037" style="position:absolute" from="4745,2727" to="4745,3046" strokecolor="#d8d8d8" strokeweight="0.72pt">
              <v:stroke dashstyle="solid"/>
            </v:line>
            <v:rect id="_x0000_s1038" style="height:176;left:2800;position:absolute;top:2551;width:2631" fillcolor="#4472c3">
              <v:fill type="solid"/>
            </v:rect>
            <v:line id="_x0000_s1039" style="position:absolute" from="3773,3572" to="3773,4066" strokecolor="#d8d8d8" strokeweight="0.72pt">
              <v:stroke dashstyle="solid"/>
            </v:line>
            <v:line id="_x0000_s1040" style="position:absolute" from="4745,3572" to="4745,4066" strokecolor="#d8d8d8" strokeweight="0.72pt">
              <v:stroke dashstyle="solid"/>
            </v:line>
            <v:line id="_x0000_s1041" style="position:absolute" from="5719,3397" to="5719,4066" strokecolor="#d8d8d8" strokeweight="0.72pt">
              <v:stroke dashstyle="solid"/>
            </v:line>
            <v:rect id="_x0000_s1042" style="height:176;left:2800;position:absolute;top:3396;width:2868" fillcolor="#4472c3">
              <v:fill type="solid"/>
            </v:rect>
            <v:line id="_x0000_s1043" style="position:absolute" from="3773,4241" to="3773,4575" strokecolor="#d8d8d8" strokeweight="0.72pt">
              <v:stroke dashstyle="solid"/>
            </v:line>
            <v:line id="_x0000_s1044" style="position:absolute" from="4745,4241" to="4745,4575" strokecolor="#d8d8d8" strokeweight="0.72pt">
              <v:stroke dashstyle="solid"/>
            </v:line>
            <v:line id="_x0000_s1045" style="position:absolute" from="5719,4241" to="5719,4575" strokecolor="#d8d8d8" strokeweight="0.72pt">
              <v:stroke dashstyle="solid"/>
            </v:line>
            <v:line id="_x0000_s1046" style="position:absolute" from="6691,3397" to="6691,4066" strokecolor="#d8d8d8" strokeweight="0.72pt">
              <v:stroke dashstyle="solid"/>
            </v:line>
            <v:line id="_x0000_s1047" style="position:absolute" from="6691,4241" to="6691,4575" strokecolor="#d8d8d8" strokeweight="0.72pt">
              <v:stroke dashstyle="solid"/>
            </v:line>
            <v:line id="_x0000_s1048" style="position:absolute" from="7663,3221" to="7663,4066" strokecolor="#d8d8d8" strokeweight="0.72pt">
              <v:stroke dashstyle="solid"/>
            </v:line>
            <v:line id="_x0000_s1049" style="position:absolute" from="7663,4241" to="7663,4575" strokecolor="#d8d8d8" strokeweight="0.72pt">
              <v:stroke dashstyle="solid"/>
            </v:line>
            <v:line id="_x0000_s1050" style="position:absolute" from="8638,1198" to="8638,4066" strokecolor="#d8d8d8" strokeweight="0.72pt">
              <v:stroke dashstyle="solid"/>
            </v:line>
            <v:line id="_x0000_s1051" style="position:absolute" from="8638,4241" to="8638,4575" strokecolor="#d8d8d8" strokeweight="0.72pt">
              <v:stroke dashstyle="solid"/>
            </v:line>
            <v:line id="_x0000_s1052" style="position:absolute" from="2863,4241" to="2863,4417" strokecolor="#4472c3" strokeweight="6.24pt">
              <v:stroke dashstyle="solid"/>
            </v:line>
            <v:rect id="_x0000_s1053" style="height:176;left:2800;position:absolute;top:4066;width:6250" fillcolor="#ed7c31">
              <v:fill type="solid"/>
            </v:rect>
            <v:rect id="_x0000_s1054" style="height:176;left:2800;position:absolute;top:3221;width:4524" fillcolor="#ed7c31">
              <v:fill type="solid"/>
            </v:rect>
            <v:line id="_x0000_s1055" style="position:absolute" from="5719,2552" to="5719,3046" strokecolor="#d8d8d8" strokeweight="0.72pt">
              <v:stroke dashstyle="solid"/>
            </v:line>
            <v:line id="_x0000_s1056" style="position:absolute" from="6691,1707" to="6691,2377" strokecolor="#d8d8d8" strokeweight="0.72pt">
              <v:stroke dashstyle="solid"/>
            </v:line>
            <v:line id="_x0000_s1057" style="position:absolute" from="6691,2552" to="6691,3046" strokecolor="#d8d8d8" strokeweight="0.72pt">
              <v:stroke dashstyle="solid"/>
            </v:line>
            <v:rect id="_x0000_s1058" style="height:176;left:2800;position:absolute;top:2376;width:4112" fillcolor="#ed7c31">
              <v:fill type="solid"/>
            </v:rect>
            <v:line id="_x0000_s1059" style="position:absolute" from="4745,1198" to="4745,1532" strokecolor="#d8d8d8" strokeweight="0.72pt">
              <v:stroke dashstyle="solid"/>
            </v:line>
            <v:line id="_x0000_s1060" style="position:absolute" from="5719,1198" to="5719,1532" strokecolor="#d8d8d8" strokeweight="0.72pt">
              <v:stroke dashstyle="solid"/>
            </v:line>
            <v:line id="_x0000_s1061" style="position:absolute" from="6691,1198" to="6691,1532" strokecolor="#d8d8d8" strokeweight="0.72pt">
              <v:stroke dashstyle="solid"/>
            </v:line>
            <v:line id="_x0000_s1062" style="position:absolute" from="7663,1198" to="7663,1532" strokecolor="#d8d8d8" strokeweight="0.72pt">
              <v:stroke dashstyle="solid"/>
            </v:line>
            <v:line id="_x0000_s1063" style="position:absolute" from="7663,1707" to="7663,3046" strokecolor="#d8d8d8" strokeweight="0.72pt">
              <v:stroke dashstyle="solid"/>
            </v:line>
            <v:rect id="_x0000_s1064" style="height:176;left:2800;position:absolute;top:1531;width:5429" fillcolor="#ed7c31">
              <v:fill type="solid"/>
            </v:rect>
            <v:rect id="_x0000_s1065" style="height:176;left:2800;position:absolute;top:3891;width:310" fillcolor="#a5a5a5">
              <v:fill type="solid"/>
            </v:rect>
            <v:rect id="_x0000_s1066" style="height:176;left:2800;position:absolute;top:3046;width:5120" fillcolor="#a5a5a5">
              <v:fill type="solid"/>
            </v:rect>
            <v:rect id="_x0000_s1067" style="height:176;left:2800;position:absolute;top:2201;width:3243" fillcolor="#a5a5a5">
              <v:fill type="solid"/>
            </v:rect>
            <v:rect id="_x0000_s1068" style="height:176;left:2800;position:absolute;top:1356;width:1702" fillcolor="#a5a5a5">
              <v:fill type="solid"/>
            </v:rect>
            <v:line id="_x0000_s1069" style="position:absolute" from="2801,1198" to="2801,4575" strokecolor="#d8d8d8" strokeweight="0.72pt">
              <v:stroke dashstyle="solid"/>
            </v:line>
            <v:line id="_x0000_s1070" style="position:absolute" from="9610,1198" to="9610,4575" strokecolor="#d8d8d8" strokeweight="0.72pt">
              <v:stroke dashstyle="solid"/>
            </v:line>
            <v:rect id="_x0000_s1071" style="height:99;left:3088;position:absolute;top:4915;width:99" fillcolor="#a5a5a5">
              <v:fill type="solid"/>
            </v:rect>
            <v:rect id="_x0000_s1072" style="height:99;left:4953;position:absolute;top:4915;width:99" fillcolor="#ed7c31">
              <v:fill type="solid"/>
            </v:rect>
            <v:rect id="_x0000_s1073" style="height:99;left:7046;position:absolute;top:4915;width:99" fillcolor="#4472c3">
              <v:fill type="solid"/>
            </v:rect>
            <v:rect id="_x0000_s1074" style="height:5040;left:1440;position:absolute;top:214;width:8640" strokecolor="#d8d8d8" strokeweight="0.72pt">
              <v:stroke dashstyle="solid"/>
            </v:rect>
            <v:shape id="_x0000_i1075" type="#_x0000_t202" style="height:180;width:1338">
              <v:textbox inset="0,0,0,0">
                <w:txbxContent>
                  <w:p>
                    <w:pPr>
                      <w:spacing w:before="0" w:line="180" w:lineRule="exact"/>
                      <w:ind w:left="0" w:right="0" w:firstLine="0"/>
                      <w:jc w:val="left"/>
                      <w:rPr>
                        <w:sz w:val="18"/>
                      </w:rPr>
                    </w:pPr>
                    <w:r>
                      <w:rPr>
                        <w:color w:val="595959"/>
                        <w:sz w:val="18"/>
                      </w:rPr>
                      <w:t>last year's original</w:t>
                    </w:r>
                  </w:p>
                </w:txbxContent>
              </v:textbox>
            </v:shape>
            <v:shape id="_x0000_i1076" type="#_x0000_t202" style="height:180;width:1667">
              <v:textbox inset="0,0,0,0">
                <w:txbxContent>
                  <w:p>
                    <w:pPr>
                      <w:spacing w:before="0" w:line="180" w:lineRule="exact"/>
                      <w:ind w:left="0" w:right="0" w:firstLine="0"/>
                      <w:jc w:val="left"/>
                      <w:rPr>
                        <w:sz w:val="18"/>
                      </w:rPr>
                    </w:pPr>
                    <w:r>
                      <w:rPr>
                        <w:color w:val="595959"/>
                        <w:sz w:val="18"/>
                      </w:rPr>
                      <w:t>last year's final budget</w:t>
                    </w:r>
                  </w:p>
                </w:txbxContent>
              </v:textbox>
            </v:shape>
            <v:shape id="_x0000_i1077" type="#_x0000_t202" style="height:180;width:1438">
              <v:textbox inset="0,0,0,0">
                <w:txbxContent>
                  <w:p>
                    <w:pPr>
                      <w:spacing w:before="0" w:line="180" w:lineRule="exact"/>
                      <w:ind w:left="0" w:right="0" w:firstLine="0"/>
                      <w:jc w:val="left"/>
                      <w:rPr>
                        <w:sz w:val="18"/>
                      </w:rPr>
                    </w:pPr>
                    <w:r>
                      <w:rPr>
                        <w:color w:val="595959"/>
                        <w:sz w:val="18"/>
                      </w:rPr>
                      <w:t>budget sought now</w:t>
                    </w:r>
                  </w:p>
                </w:txbxContent>
              </v:textbox>
            </v:shape>
            <v:shape id="_x0000_i1078" type="#_x0000_t202" style="height:180;width:913">
              <v:textbox inset="0,0,0,0">
                <w:txbxContent>
                  <w:p>
                    <w:pPr>
                      <w:spacing w:before="0" w:line="180" w:lineRule="exact"/>
                      <w:ind w:left="0" w:right="0" w:firstLine="0"/>
                      <w:jc w:val="left"/>
                      <w:rPr>
                        <w:sz w:val="18"/>
                      </w:rPr>
                    </w:pPr>
                    <w:r>
                      <w:rPr>
                        <w:color w:val="595959"/>
                        <w:sz w:val="18"/>
                      </w:rPr>
                      <w:t>Capital AME</w:t>
                    </w:r>
                  </w:p>
                </w:txbxContent>
              </v:textbox>
            </v:shape>
            <v:shape id="_x0000_i1079" type="#_x0000_t202" style="height:180;width:1082">
              <v:textbox inset="0,0,0,0">
                <w:txbxContent>
                  <w:p>
                    <w:pPr>
                      <w:spacing w:before="0" w:line="180" w:lineRule="exact"/>
                      <w:ind w:left="0" w:right="0" w:firstLine="0"/>
                      <w:jc w:val="left"/>
                      <w:rPr>
                        <w:sz w:val="18"/>
                      </w:rPr>
                    </w:pPr>
                    <w:r>
                      <w:rPr>
                        <w:color w:val="595959"/>
                        <w:sz w:val="18"/>
                      </w:rPr>
                      <w:t>Resource AME</w:t>
                    </w:r>
                  </w:p>
                </w:txbxContent>
              </v:textbox>
            </v:shape>
            <v:shape id="_x0000_i1080" type="#_x0000_t202" style="height:180;width:843">
              <v:textbox inset="0,0,0,0">
                <w:txbxContent>
                  <w:p>
                    <w:pPr>
                      <w:spacing w:before="0" w:line="180" w:lineRule="exact"/>
                      <w:ind w:left="0" w:right="0" w:firstLine="0"/>
                      <w:jc w:val="left"/>
                      <w:rPr>
                        <w:sz w:val="18"/>
                      </w:rPr>
                    </w:pPr>
                    <w:r>
                      <w:rPr>
                        <w:color w:val="595959"/>
                        <w:sz w:val="18"/>
                      </w:rPr>
                      <w:t>Capital DEL</w:t>
                    </w:r>
                  </w:p>
                </w:txbxContent>
              </v:textbox>
            </v:shape>
            <v:shape id="_x0000_i1081" type="#_x0000_t202" style="height:180;width:1011">
              <v:textbox inset="0,0,0,0">
                <w:txbxContent>
                  <w:p>
                    <w:pPr>
                      <w:spacing w:before="0" w:line="180" w:lineRule="exact"/>
                      <w:ind w:left="0" w:right="0" w:firstLine="0"/>
                      <w:jc w:val="left"/>
                      <w:rPr>
                        <w:sz w:val="18"/>
                      </w:rPr>
                    </w:pPr>
                    <w:r>
                      <w:rPr>
                        <w:color w:val="595959"/>
                        <w:sz w:val="18"/>
                      </w:rPr>
                      <w:t>Resource DEL</w:t>
                    </w:r>
                  </w:p>
                </w:txbxContent>
              </v:textbox>
            </v:shape>
            <v:shape id="_x0000_i1082" type="#_x0000_t202" style="height:180;width:522">
              <v:textbox inset="0,0,0,0">
                <w:txbxContent>
                  <w:p>
                    <w:pPr>
                      <w:spacing w:before="0" w:line="180" w:lineRule="exact"/>
                      <w:ind w:left="0" w:right="0" w:firstLine="0"/>
                      <w:jc w:val="left"/>
                      <w:rPr>
                        <w:sz w:val="18"/>
                      </w:rPr>
                    </w:pPr>
                    <w:r>
                      <w:rPr>
                        <w:color w:val="595959"/>
                        <w:sz w:val="18"/>
                      </w:rPr>
                      <w:t>35,000</w:t>
                    </w:r>
                  </w:p>
                </w:txbxContent>
              </v:textbox>
            </v:shape>
            <v:shape id="_x0000_i1083" type="#_x0000_t202" style="height:180;width:522">
              <v:textbox inset="0,0,0,0">
                <w:txbxContent>
                  <w:p>
                    <w:pPr>
                      <w:spacing w:before="0" w:line="180" w:lineRule="exact"/>
                      <w:ind w:left="0" w:right="0" w:firstLine="0"/>
                      <w:jc w:val="left"/>
                      <w:rPr>
                        <w:sz w:val="18"/>
                      </w:rPr>
                    </w:pPr>
                    <w:r>
                      <w:rPr>
                        <w:color w:val="595959"/>
                        <w:sz w:val="18"/>
                      </w:rPr>
                      <w:t>30,000</w:t>
                    </w:r>
                  </w:p>
                </w:txbxContent>
              </v:textbox>
            </v:shape>
            <v:shape id="_x0000_i1084" type="#_x0000_t202" style="height:180;width:522">
              <v:textbox inset="0,0,0,0">
                <w:txbxContent>
                  <w:p>
                    <w:pPr>
                      <w:spacing w:before="0" w:line="180" w:lineRule="exact"/>
                      <w:ind w:left="0" w:right="0" w:firstLine="0"/>
                      <w:jc w:val="left"/>
                      <w:rPr>
                        <w:sz w:val="18"/>
                      </w:rPr>
                    </w:pPr>
                    <w:r>
                      <w:rPr>
                        <w:color w:val="595959"/>
                        <w:sz w:val="18"/>
                      </w:rPr>
                      <w:t>25,000</w:t>
                    </w:r>
                  </w:p>
                </w:txbxContent>
              </v:textbox>
            </v:shape>
            <v:shape id="_x0000_i1085" type="#_x0000_t202" style="height:180;width:522">
              <v:textbox inset="0,0,0,0">
                <w:txbxContent>
                  <w:p>
                    <w:pPr>
                      <w:spacing w:before="0" w:line="180" w:lineRule="exact"/>
                      <w:ind w:left="0" w:right="0" w:firstLine="0"/>
                      <w:jc w:val="left"/>
                      <w:rPr>
                        <w:sz w:val="18"/>
                      </w:rPr>
                    </w:pPr>
                    <w:r>
                      <w:rPr>
                        <w:color w:val="595959"/>
                        <w:sz w:val="18"/>
                      </w:rPr>
                      <w:t>20,000</w:t>
                    </w:r>
                  </w:p>
                </w:txbxContent>
              </v:textbox>
            </v:shape>
            <v:shape id="_x0000_i1086" type="#_x0000_t202" style="height:180;width:522">
              <v:textbox inset="0,0,0,0">
                <w:txbxContent>
                  <w:p>
                    <w:pPr>
                      <w:spacing w:before="0" w:line="180" w:lineRule="exact"/>
                      <w:ind w:left="0" w:right="0" w:firstLine="0"/>
                      <w:jc w:val="left"/>
                      <w:rPr>
                        <w:sz w:val="18"/>
                      </w:rPr>
                    </w:pPr>
                    <w:r>
                      <w:rPr>
                        <w:color w:val="595959"/>
                        <w:sz w:val="18"/>
                      </w:rPr>
                      <w:t>15,000</w:t>
                    </w:r>
                  </w:p>
                </w:txbxContent>
              </v:textbox>
            </v:shape>
            <v:shape id="_x0000_i1087" type="#_x0000_t202" style="height:180;width:522">
              <v:textbox inset="0,0,0,0">
                <w:txbxContent>
                  <w:p>
                    <w:pPr>
                      <w:spacing w:before="0" w:line="180" w:lineRule="exact"/>
                      <w:ind w:left="0" w:right="0" w:firstLine="0"/>
                      <w:jc w:val="left"/>
                      <w:rPr>
                        <w:sz w:val="18"/>
                      </w:rPr>
                    </w:pPr>
                    <w:r>
                      <w:rPr>
                        <w:color w:val="595959"/>
                        <w:sz w:val="18"/>
                      </w:rPr>
                      <w:t>10,000</w:t>
                    </w:r>
                  </w:p>
                </w:txbxContent>
              </v:textbox>
            </v:shape>
            <v:shape id="_x0000_i1088" type="#_x0000_t202" style="height:180;width:430">
              <v:textbox inset="0,0,0,0">
                <w:txbxContent>
                  <w:p>
                    <w:pPr>
                      <w:spacing w:before="0" w:line="180" w:lineRule="exact"/>
                      <w:ind w:left="0" w:right="0" w:firstLine="0"/>
                      <w:jc w:val="left"/>
                      <w:rPr>
                        <w:sz w:val="18"/>
                      </w:rPr>
                    </w:pPr>
                    <w:r>
                      <w:rPr>
                        <w:color w:val="595959"/>
                        <w:sz w:val="18"/>
                      </w:rPr>
                      <w:t>5,000</w:t>
                    </w:r>
                  </w:p>
                </w:txbxContent>
              </v:textbox>
            </v:shape>
            <v:shape id="_x0000_i1089" type="#_x0000_t202" style="height:180;width:112">
              <v:textbox inset="0,0,0,0">
                <w:txbxContent>
                  <w:p>
                    <w:pPr>
                      <w:spacing w:before="0" w:line="180" w:lineRule="exact"/>
                      <w:ind w:left="0" w:right="0" w:firstLine="0"/>
                      <w:jc w:val="left"/>
                      <w:rPr>
                        <w:sz w:val="18"/>
                      </w:rPr>
                    </w:pPr>
                    <w:r>
                      <w:rPr>
                        <w:color w:val="595959"/>
                        <w:sz w:val="18"/>
                      </w:rPr>
                      <w:t>0</w:t>
                    </w:r>
                  </w:p>
                </w:txbxContent>
              </v:textbox>
            </v:shape>
            <v:shape id="_x0000_i1090" type="#_x0000_t202" style="height:281;width:2605">
              <v:textbox inset="0,0,0,0">
                <w:txbxContent>
                  <w:p>
                    <w:pPr>
                      <w:spacing w:before="0" w:line="281" w:lineRule="exact"/>
                      <w:ind w:left="0" w:right="0" w:firstLine="0"/>
                      <w:jc w:val="left"/>
                      <w:rPr>
                        <w:sz w:val="28"/>
                      </w:rPr>
                    </w:pPr>
                    <w:r>
                      <w:rPr>
                        <w:color w:val="595959"/>
                        <w:sz w:val="28"/>
                      </w:rPr>
                      <w:t>BEIS Budgets, £ million</w:t>
                    </w:r>
                  </w:p>
                </w:txbxContent>
              </v:textbox>
            </v:shape>
            <w10:wrap type="topAndBottom"/>
          </v:group>
        </w:pict>
      </w:r>
    </w:p>
    <w:p>
      <w:pPr>
        <w:pStyle w:val="BodyText"/>
      </w:pPr>
    </w:p>
    <w:p>
      <w:pPr>
        <w:pStyle w:val="BodyText"/>
        <w:spacing w:before="1"/>
        <w:rPr>
          <w:sz w:val="23"/>
        </w:rPr>
      </w:pPr>
    </w:p>
    <w:p>
      <w:pPr>
        <w:pStyle w:val="Heading2"/>
        <w:numPr>
          <w:ilvl w:val="1"/>
          <w:numId w:val="13"/>
        </w:numPr>
        <w:tabs>
          <w:tab w:val="left" w:pos="1120"/>
          <w:tab w:val="left" w:pos="1121"/>
        </w:tabs>
        <w:spacing w:before="0" w:after="0" w:line="240" w:lineRule="auto"/>
        <w:ind w:left="1120" w:right="0" w:hanging="721"/>
        <w:jc w:val="left"/>
        <w:rPr>
          <w:b w:val="0"/>
          <w:color w:val="2F5495"/>
        </w:rPr>
      </w:pPr>
      <w:r>
        <w:rPr>
          <w:b w:val="0"/>
          <w:color w:val="2F5495"/>
        </w:rPr>
        <w:t>Key drivers of spending changes since last</w:t>
      </w:r>
      <w:r>
        <w:rPr>
          <w:b w:val="0"/>
          <w:color w:val="2F5495"/>
          <w:spacing w:val="-15"/>
        </w:rPr>
        <w:t xml:space="preserve"> </w:t>
      </w:r>
      <w:r>
        <w:rPr>
          <w:b w:val="0"/>
          <w:color w:val="2F5495"/>
        </w:rPr>
        <w:t>year</w:t>
      </w:r>
    </w:p>
    <w:p>
      <w:pPr>
        <w:pStyle w:val="BodyText"/>
        <w:spacing w:before="28"/>
        <w:ind w:left="400"/>
      </w:pPr>
      <w:r>
        <w:t>The main causes of the changes in Resource DEL are:</w:t>
      </w:r>
    </w:p>
    <w:p>
      <w:pPr>
        <w:pStyle w:val="ListParagraph"/>
        <w:numPr>
          <w:ilvl w:val="0"/>
          <w:numId w:val="11"/>
        </w:numPr>
        <w:tabs>
          <w:tab w:val="left" w:pos="1119"/>
          <w:tab w:val="left" w:pos="1120"/>
        </w:tabs>
        <w:spacing w:before="180" w:after="0" w:line="240" w:lineRule="auto"/>
        <w:ind w:left="1120" w:right="0" w:hanging="360"/>
        <w:jc w:val="left"/>
        <w:rPr>
          <w:sz w:val="22"/>
        </w:rPr>
      </w:pPr>
      <w:r>
        <w:rPr>
          <w:sz w:val="22"/>
        </w:rPr>
        <w:t>Significant changes to funding to respond to the Coronavirus</w:t>
      </w:r>
      <w:r>
        <w:rPr>
          <w:spacing w:val="-3"/>
          <w:sz w:val="22"/>
        </w:rPr>
        <w:t xml:space="preserve"> </w:t>
      </w:r>
      <w:r>
        <w:rPr>
          <w:sz w:val="22"/>
        </w:rPr>
        <w:t>pandemic:-</w:t>
      </w:r>
    </w:p>
    <w:p>
      <w:pPr>
        <w:pStyle w:val="ListParagraph"/>
        <w:numPr>
          <w:ilvl w:val="1"/>
          <w:numId w:val="11"/>
        </w:numPr>
        <w:tabs>
          <w:tab w:val="left" w:pos="1839"/>
          <w:tab w:val="left" w:pos="1840"/>
        </w:tabs>
        <w:spacing w:before="0" w:after="0" w:line="272" w:lineRule="exact"/>
        <w:ind w:left="1840" w:right="0" w:hanging="360"/>
        <w:jc w:val="left"/>
        <w:rPr>
          <w:sz w:val="22"/>
        </w:rPr>
      </w:pPr>
      <w:r>
        <w:rPr>
          <w:sz w:val="22"/>
        </w:rPr>
        <w:t>£21,975.7 million in 2020-21 for Coronavirus Business Support Grants, compared</w:t>
      </w:r>
      <w:r>
        <w:rPr>
          <w:spacing w:val="-13"/>
          <w:sz w:val="22"/>
        </w:rPr>
        <w:t xml:space="preserve"> </w:t>
      </w:r>
      <w:r>
        <w:rPr>
          <w:sz w:val="22"/>
        </w:rPr>
        <w:t>to</w:t>
      </w:r>
    </w:p>
    <w:p>
      <w:pPr>
        <w:pStyle w:val="BodyText"/>
        <w:spacing w:line="265" w:lineRule="exact"/>
        <w:ind w:left="1840"/>
      </w:pPr>
      <w:r>
        <w:t>£4,210.0 million in 2021-22;</w:t>
      </w:r>
    </w:p>
    <w:p>
      <w:pPr>
        <w:pStyle w:val="ListParagraph"/>
        <w:numPr>
          <w:ilvl w:val="1"/>
          <w:numId w:val="11"/>
        </w:numPr>
        <w:tabs>
          <w:tab w:val="left" w:pos="1839"/>
          <w:tab w:val="left" w:pos="1840"/>
        </w:tabs>
        <w:spacing w:before="1" w:after="0" w:line="271" w:lineRule="exact"/>
        <w:ind w:left="1840" w:right="0" w:hanging="360"/>
        <w:jc w:val="left"/>
        <w:rPr>
          <w:sz w:val="22"/>
        </w:rPr>
      </w:pPr>
      <w:r>
        <w:rPr>
          <w:sz w:val="22"/>
        </w:rPr>
        <w:t>£1,803.9 million programme funding for Vaccines Taskforce in 2020-21, compared</w:t>
      </w:r>
      <w:r>
        <w:rPr>
          <w:spacing w:val="-11"/>
          <w:sz w:val="22"/>
        </w:rPr>
        <w:t xml:space="preserve"> </w:t>
      </w:r>
      <w:r>
        <w:rPr>
          <w:sz w:val="22"/>
        </w:rPr>
        <w:t>to</w:t>
      </w:r>
    </w:p>
    <w:p>
      <w:pPr>
        <w:pStyle w:val="BodyText"/>
        <w:spacing w:line="264" w:lineRule="exact"/>
        <w:ind w:left="1840"/>
      </w:pPr>
      <w:r>
        <w:t>£700.0 million in 2021-22;</w:t>
      </w:r>
    </w:p>
    <w:p>
      <w:pPr>
        <w:pStyle w:val="ListParagraph"/>
        <w:numPr>
          <w:ilvl w:val="1"/>
          <w:numId w:val="11"/>
        </w:numPr>
        <w:tabs>
          <w:tab w:val="left" w:pos="1839"/>
          <w:tab w:val="left" w:pos="1840"/>
        </w:tabs>
        <w:spacing w:before="4" w:after="0" w:line="235" w:lineRule="auto"/>
        <w:ind w:left="1840" w:right="1588" w:hanging="360"/>
        <w:jc w:val="left"/>
        <w:rPr>
          <w:sz w:val="22"/>
        </w:rPr>
      </w:pPr>
      <w:r>
        <w:rPr>
          <w:sz w:val="22"/>
        </w:rPr>
        <w:t>£1,638.9 million funding from the Reserve for British Business Bank for Covid-19 Loan schemes in 2020-21, compared to £1,139.0 million in</w:t>
      </w:r>
      <w:r>
        <w:rPr>
          <w:spacing w:val="-10"/>
          <w:sz w:val="22"/>
        </w:rPr>
        <w:t xml:space="preserve"> </w:t>
      </w:r>
      <w:r>
        <w:rPr>
          <w:sz w:val="22"/>
        </w:rPr>
        <w:t>2021-22;</w:t>
      </w:r>
    </w:p>
    <w:p>
      <w:pPr>
        <w:pStyle w:val="ListParagraph"/>
        <w:numPr>
          <w:ilvl w:val="0"/>
          <w:numId w:val="11"/>
        </w:numPr>
        <w:tabs>
          <w:tab w:val="left" w:pos="1119"/>
          <w:tab w:val="left" w:pos="1120"/>
        </w:tabs>
        <w:spacing w:before="0" w:after="0" w:line="240" w:lineRule="auto"/>
        <w:ind w:left="1120" w:right="1322" w:hanging="360"/>
        <w:jc w:val="left"/>
        <w:rPr>
          <w:sz w:val="22"/>
        </w:rPr>
      </w:pPr>
      <w:r>
        <w:rPr>
          <w:sz w:val="22"/>
        </w:rPr>
        <w:t>£140.9m decrease in Nuclear Decommissioning Authority (NDA) budget (offset by £218.1m increase in Capital DEL – the split of expenditure between Resource and Capital DEL for</w:t>
      </w:r>
      <w:r>
        <w:rPr>
          <w:spacing w:val="-18"/>
          <w:sz w:val="22"/>
        </w:rPr>
        <w:t xml:space="preserve"> </w:t>
      </w:r>
      <w:r>
        <w:rPr>
          <w:sz w:val="22"/>
        </w:rPr>
        <w:t>the</w:t>
      </w:r>
    </w:p>
    <w:p>
      <w:pPr>
        <w:spacing w:after="0" w:line="240" w:lineRule="auto"/>
        <w:jc w:val="left"/>
        <w:rPr>
          <w:sz w:val="22"/>
        </w:rPr>
        <w:sectPr>
          <w:pgSz w:w="11910" w:h="16840"/>
          <w:pgMar w:top="1400" w:right="280" w:bottom="280" w:left="1040" w:header="720" w:footer="720"/>
          <w:cols w:space="720"/>
        </w:sectPr>
      </w:pPr>
    </w:p>
    <w:p>
      <w:pPr>
        <w:pStyle w:val="BodyText"/>
        <w:spacing w:before="41"/>
        <w:ind w:left="1120" w:right="1402"/>
      </w:pPr>
      <w:r>
        <w:t>NDA is adjusted each year at the Supplementary Estimate in line with expenditure profiles for the year);</w:t>
      </w:r>
    </w:p>
    <w:p>
      <w:pPr>
        <w:pStyle w:val="ListParagraph"/>
        <w:numPr>
          <w:ilvl w:val="0"/>
          <w:numId w:val="11"/>
        </w:numPr>
        <w:tabs>
          <w:tab w:val="left" w:pos="1119"/>
          <w:tab w:val="left" w:pos="1120"/>
        </w:tabs>
        <w:spacing w:before="3" w:after="0" w:line="237" w:lineRule="auto"/>
        <w:ind w:left="1120" w:right="1537" w:hanging="360"/>
        <w:jc w:val="left"/>
        <w:rPr>
          <w:sz w:val="22"/>
        </w:rPr>
      </w:pPr>
      <w:r>
        <w:rPr>
          <w:sz w:val="22"/>
        </w:rPr>
        <w:t>£108.0 million funding for 2021-22 relating to the Help to Grow scheme as announced at Budget 2021;</w:t>
      </w:r>
      <w:r>
        <w:rPr>
          <w:spacing w:val="-2"/>
          <w:sz w:val="22"/>
        </w:rPr>
        <w:t xml:space="preserve"> </w:t>
      </w:r>
      <w:r>
        <w:rPr>
          <w:sz w:val="22"/>
        </w:rPr>
        <w:t>and</w:t>
      </w:r>
    </w:p>
    <w:p>
      <w:pPr>
        <w:pStyle w:val="ListParagraph"/>
        <w:numPr>
          <w:ilvl w:val="0"/>
          <w:numId w:val="11"/>
        </w:numPr>
        <w:tabs>
          <w:tab w:val="left" w:pos="1119"/>
          <w:tab w:val="left" w:pos="1120"/>
        </w:tabs>
        <w:spacing w:before="1" w:after="0" w:line="240" w:lineRule="auto"/>
        <w:ind w:left="1120" w:right="0" w:hanging="360"/>
        <w:jc w:val="left"/>
        <w:rPr>
          <w:sz w:val="22"/>
        </w:rPr>
      </w:pPr>
      <w:r>
        <w:rPr>
          <w:sz w:val="22"/>
        </w:rPr>
        <w:t>£220.0 million income relating Trade Credit Insurance in 2020-21</w:t>
      </w:r>
      <w:r>
        <w:rPr>
          <w:spacing w:val="-7"/>
          <w:sz w:val="22"/>
        </w:rPr>
        <w:t xml:space="preserve"> </w:t>
      </w:r>
      <w:r>
        <w:rPr>
          <w:sz w:val="22"/>
        </w:rPr>
        <w:t>only.</w:t>
      </w:r>
    </w:p>
    <w:p>
      <w:pPr>
        <w:pStyle w:val="BodyText"/>
      </w:pPr>
    </w:p>
    <w:p>
      <w:pPr>
        <w:pStyle w:val="BodyText"/>
        <w:spacing w:before="1"/>
        <w:ind w:left="400"/>
      </w:pPr>
      <w:r>
        <w:t>The main causes of the changes in Capital DEL are:</w:t>
      </w:r>
    </w:p>
    <w:p>
      <w:pPr>
        <w:pStyle w:val="ListParagraph"/>
        <w:numPr>
          <w:ilvl w:val="0"/>
          <w:numId w:val="11"/>
        </w:numPr>
        <w:tabs>
          <w:tab w:val="left" w:pos="1119"/>
          <w:tab w:val="left" w:pos="1120"/>
        </w:tabs>
        <w:spacing w:before="180" w:after="0" w:line="240" w:lineRule="auto"/>
        <w:ind w:left="1120" w:right="0" w:hanging="360"/>
        <w:jc w:val="left"/>
        <w:rPr>
          <w:sz w:val="22"/>
        </w:rPr>
      </w:pPr>
      <w:r>
        <w:rPr>
          <w:sz w:val="22"/>
        </w:rPr>
        <w:t>£5,070.0 million funding in 2020-21 only in respect of the Nuclear Liabilities</w:t>
      </w:r>
      <w:r>
        <w:rPr>
          <w:spacing w:val="-19"/>
          <w:sz w:val="22"/>
        </w:rPr>
        <w:t xml:space="preserve"> </w:t>
      </w:r>
      <w:r>
        <w:rPr>
          <w:sz w:val="22"/>
        </w:rPr>
        <w:t>Fund;</w:t>
      </w:r>
    </w:p>
    <w:p>
      <w:pPr>
        <w:pStyle w:val="ListParagraph"/>
        <w:numPr>
          <w:ilvl w:val="0"/>
          <w:numId w:val="11"/>
        </w:numPr>
        <w:tabs>
          <w:tab w:val="left" w:pos="1119"/>
          <w:tab w:val="left" w:pos="1120"/>
        </w:tabs>
        <w:spacing w:before="1" w:after="0" w:line="240" w:lineRule="auto"/>
        <w:ind w:left="1120" w:right="1436" w:hanging="360"/>
        <w:jc w:val="left"/>
        <w:rPr>
          <w:sz w:val="22"/>
        </w:rPr>
      </w:pPr>
      <w:r>
        <w:rPr>
          <w:sz w:val="22"/>
        </w:rPr>
        <w:t>Significant increases in claims from the Reserve in 2020-21 in response to the Coronavirus pandemic:-</w:t>
      </w:r>
    </w:p>
    <w:p>
      <w:pPr>
        <w:pStyle w:val="ListParagraph"/>
        <w:numPr>
          <w:ilvl w:val="1"/>
          <w:numId w:val="11"/>
        </w:numPr>
        <w:tabs>
          <w:tab w:val="left" w:pos="1839"/>
          <w:tab w:val="left" w:pos="1840"/>
        </w:tabs>
        <w:spacing w:before="4" w:after="0" w:line="235" w:lineRule="auto"/>
        <w:ind w:left="1840" w:right="1581" w:hanging="360"/>
        <w:jc w:val="left"/>
        <w:rPr>
          <w:sz w:val="22"/>
        </w:rPr>
      </w:pPr>
      <w:r>
        <w:rPr>
          <w:sz w:val="22"/>
        </w:rPr>
        <w:t>£1,100.0 million for Future Fund (£50.0 million additional funding is included for Future Fund: Breakthrough 2021-22 in this Main</w:t>
      </w:r>
      <w:r>
        <w:rPr>
          <w:spacing w:val="-8"/>
          <w:sz w:val="22"/>
        </w:rPr>
        <w:t xml:space="preserve"> </w:t>
      </w:r>
      <w:r>
        <w:rPr>
          <w:sz w:val="22"/>
        </w:rPr>
        <w:t>Estimate);</w:t>
      </w:r>
    </w:p>
    <w:p>
      <w:pPr>
        <w:pStyle w:val="ListParagraph"/>
        <w:numPr>
          <w:ilvl w:val="1"/>
          <w:numId w:val="11"/>
        </w:numPr>
        <w:tabs>
          <w:tab w:val="left" w:pos="1839"/>
          <w:tab w:val="left" w:pos="1840"/>
        </w:tabs>
        <w:spacing w:before="0" w:after="0" w:line="272" w:lineRule="exact"/>
        <w:ind w:left="1840" w:right="0" w:hanging="360"/>
        <w:jc w:val="left"/>
        <w:rPr>
          <w:sz w:val="22"/>
        </w:rPr>
      </w:pPr>
      <w:r>
        <w:rPr>
          <w:sz w:val="22"/>
        </w:rPr>
        <w:t>£170.0 million for Trade Credit</w:t>
      </w:r>
      <w:r>
        <w:rPr>
          <w:spacing w:val="-6"/>
          <w:sz w:val="22"/>
        </w:rPr>
        <w:t xml:space="preserve"> </w:t>
      </w:r>
      <w:r>
        <w:rPr>
          <w:sz w:val="22"/>
        </w:rPr>
        <w:t>Reinsurance;</w:t>
      </w:r>
    </w:p>
    <w:p>
      <w:pPr>
        <w:pStyle w:val="ListParagraph"/>
        <w:numPr>
          <w:ilvl w:val="1"/>
          <w:numId w:val="11"/>
        </w:numPr>
        <w:tabs>
          <w:tab w:val="left" w:pos="1839"/>
          <w:tab w:val="left" w:pos="1840"/>
        </w:tabs>
        <w:spacing w:before="0" w:after="0" w:line="269" w:lineRule="exact"/>
        <w:ind w:left="1840" w:right="0" w:hanging="360"/>
        <w:jc w:val="left"/>
        <w:rPr>
          <w:sz w:val="22"/>
        </w:rPr>
      </w:pPr>
      <w:r>
        <w:rPr>
          <w:sz w:val="22"/>
        </w:rPr>
        <w:t>£56.0 million for Travel Bonding;</w:t>
      </w:r>
      <w:r>
        <w:rPr>
          <w:spacing w:val="-5"/>
          <w:sz w:val="22"/>
        </w:rPr>
        <w:t xml:space="preserve"> </w:t>
      </w:r>
      <w:r>
        <w:rPr>
          <w:sz w:val="22"/>
        </w:rPr>
        <w:t>and</w:t>
      </w:r>
    </w:p>
    <w:p>
      <w:pPr>
        <w:pStyle w:val="ListParagraph"/>
        <w:numPr>
          <w:ilvl w:val="1"/>
          <w:numId w:val="11"/>
        </w:numPr>
        <w:tabs>
          <w:tab w:val="left" w:pos="1839"/>
          <w:tab w:val="left" w:pos="1840"/>
        </w:tabs>
        <w:spacing w:before="0" w:after="0" w:line="268" w:lineRule="exact"/>
        <w:ind w:left="1840" w:right="0" w:hanging="360"/>
        <w:jc w:val="left"/>
        <w:rPr>
          <w:sz w:val="22"/>
        </w:rPr>
      </w:pPr>
      <w:r>
        <w:rPr>
          <w:sz w:val="22"/>
        </w:rPr>
        <w:t>£22.0 million for Sustaining University Research Expertise Fund</w:t>
      </w:r>
      <w:r>
        <w:rPr>
          <w:spacing w:val="-11"/>
          <w:sz w:val="22"/>
        </w:rPr>
        <w:t xml:space="preserve"> </w:t>
      </w:r>
      <w:r>
        <w:rPr>
          <w:sz w:val="22"/>
        </w:rPr>
        <w:t>(SURE);</w:t>
      </w:r>
    </w:p>
    <w:p>
      <w:pPr>
        <w:pStyle w:val="ListParagraph"/>
        <w:numPr>
          <w:ilvl w:val="0"/>
          <w:numId w:val="11"/>
        </w:numPr>
        <w:tabs>
          <w:tab w:val="left" w:pos="1119"/>
          <w:tab w:val="left" w:pos="1120"/>
        </w:tabs>
        <w:spacing w:before="0" w:after="0" w:line="240" w:lineRule="auto"/>
        <w:ind w:left="1120" w:right="1228" w:hanging="360"/>
        <w:jc w:val="left"/>
        <w:rPr>
          <w:sz w:val="22"/>
        </w:rPr>
      </w:pPr>
      <w:r>
        <w:rPr>
          <w:sz w:val="22"/>
        </w:rPr>
        <w:t>£218.1 million increase in NDA capital budgets at the time of this Main Estimate compared to 2020-21, as mentioned above, this will be reviewed and adjusted accordingly through the Supplementary Estimate later this financial</w:t>
      </w:r>
      <w:r>
        <w:rPr>
          <w:spacing w:val="-4"/>
          <w:sz w:val="22"/>
        </w:rPr>
        <w:t xml:space="preserve"> </w:t>
      </w:r>
      <w:r>
        <w:rPr>
          <w:sz w:val="22"/>
        </w:rPr>
        <w:t>year;</w:t>
      </w:r>
    </w:p>
    <w:p>
      <w:pPr>
        <w:pStyle w:val="ListParagraph"/>
        <w:numPr>
          <w:ilvl w:val="0"/>
          <w:numId w:val="11"/>
        </w:numPr>
        <w:tabs>
          <w:tab w:val="left" w:pos="1119"/>
          <w:tab w:val="left" w:pos="1120"/>
        </w:tabs>
        <w:spacing w:before="0" w:after="0" w:line="240" w:lineRule="auto"/>
        <w:ind w:left="1120" w:right="2026" w:hanging="360"/>
        <w:jc w:val="left"/>
        <w:rPr>
          <w:sz w:val="22"/>
        </w:rPr>
      </w:pPr>
      <w:r>
        <w:rPr>
          <w:sz w:val="22"/>
        </w:rPr>
        <w:t>£171.0m decrease in 2021-22 for International Climate Finance, reflecting the SR20 settlement;</w:t>
      </w:r>
      <w:r>
        <w:rPr>
          <w:spacing w:val="-2"/>
          <w:sz w:val="22"/>
        </w:rPr>
        <w:t xml:space="preserve"> </w:t>
      </w:r>
      <w:r>
        <w:rPr>
          <w:sz w:val="22"/>
        </w:rPr>
        <w:t>and</w:t>
      </w:r>
    </w:p>
    <w:p>
      <w:pPr>
        <w:pStyle w:val="ListParagraph"/>
        <w:numPr>
          <w:ilvl w:val="0"/>
          <w:numId w:val="11"/>
        </w:numPr>
        <w:tabs>
          <w:tab w:val="left" w:pos="1119"/>
          <w:tab w:val="left" w:pos="1120"/>
        </w:tabs>
        <w:spacing w:before="0" w:after="0" w:line="237" w:lineRule="auto"/>
        <w:ind w:left="1120" w:right="1362" w:hanging="360"/>
        <w:jc w:val="left"/>
        <w:rPr>
          <w:sz w:val="22"/>
        </w:rPr>
      </w:pPr>
      <w:r>
        <w:rPr>
          <w:sz w:val="22"/>
        </w:rPr>
        <w:t>Over £900 million increase in Science and Research budgets in 2021-22 compared to 2020- 21.</w:t>
      </w:r>
    </w:p>
    <w:p>
      <w:pPr>
        <w:pStyle w:val="BodyText"/>
        <w:spacing w:before="1"/>
      </w:pPr>
    </w:p>
    <w:p>
      <w:pPr>
        <w:pStyle w:val="BodyText"/>
        <w:spacing w:before="1"/>
        <w:ind w:left="400"/>
      </w:pPr>
      <w:r>
        <w:t>The main causes of the changes in Resource AME are:</w:t>
      </w:r>
    </w:p>
    <w:p>
      <w:pPr>
        <w:pStyle w:val="ListParagraph"/>
        <w:numPr>
          <w:ilvl w:val="0"/>
          <w:numId w:val="11"/>
        </w:numPr>
        <w:tabs>
          <w:tab w:val="left" w:pos="1119"/>
          <w:tab w:val="left" w:pos="1120"/>
        </w:tabs>
        <w:spacing w:before="185" w:after="0" w:line="237" w:lineRule="auto"/>
        <w:ind w:left="1120" w:right="1673" w:hanging="360"/>
        <w:jc w:val="left"/>
        <w:rPr>
          <w:sz w:val="22"/>
        </w:rPr>
      </w:pPr>
      <w:r>
        <w:rPr>
          <w:sz w:val="22"/>
        </w:rPr>
        <w:t>£3.1 billion increase to provisions in 2021-22 compared to 2020-21 in respect of the UK associating with Horizon Europe and</w:t>
      </w:r>
      <w:r>
        <w:rPr>
          <w:spacing w:val="-6"/>
          <w:sz w:val="22"/>
        </w:rPr>
        <w:t xml:space="preserve"> </w:t>
      </w:r>
      <w:r>
        <w:rPr>
          <w:sz w:val="22"/>
        </w:rPr>
        <w:t>Euratom;</w:t>
      </w:r>
    </w:p>
    <w:p>
      <w:pPr>
        <w:pStyle w:val="ListParagraph"/>
        <w:numPr>
          <w:ilvl w:val="0"/>
          <w:numId w:val="11"/>
        </w:numPr>
        <w:tabs>
          <w:tab w:val="left" w:pos="1119"/>
          <w:tab w:val="left" w:pos="1120"/>
        </w:tabs>
        <w:spacing w:before="1" w:after="0" w:line="240" w:lineRule="auto"/>
        <w:ind w:left="1120" w:right="1487" w:hanging="360"/>
        <w:jc w:val="left"/>
        <w:rPr>
          <w:sz w:val="22"/>
        </w:rPr>
      </w:pPr>
      <w:r>
        <w:rPr>
          <w:sz w:val="22"/>
        </w:rPr>
        <w:t>£(10.8) billion credit (representing a decrease in budget requirement) in 2020-21 only, arising from the utilisation of a provision for Covid-19 business support grants included in 2019-20 accounts and paid on 1</w:t>
      </w:r>
      <w:r>
        <w:rPr>
          <w:sz w:val="22"/>
          <w:vertAlign w:val="superscript"/>
        </w:rPr>
        <w:t>st</w:t>
      </w:r>
      <w:r>
        <w:rPr>
          <w:sz w:val="22"/>
          <w:vertAlign w:val="baseline"/>
        </w:rPr>
        <w:t xml:space="preserve"> April</w:t>
      </w:r>
      <w:r>
        <w:rPr>
          <w:spacing w:val="-10"/>
          <w:sz w:val="22"/>
          <w:vertAlign w:val="baseline"/>
        </w:rPr>
        <w:t xml:space="preserve"> </w:t>
      </w:r>
      <w:r>
        <w:rPr>
          <w:sz w:val="22"/>
          <w:vertAlign w:val="baseline"/>
        </w:rPr>
        <w:t>2020;</w:t>
      </w:r>
    </w:p>
    <w:p>
      <w:pPr>
        <w:pStyle w:val="ListParagraph"/>
        <w:numPr>
          <w:ilvl w:val="0"/>
          <w:numId w:val="11"/>
        </w:numPr>
        <w:tabs>
          <w:tab w:val="left" w:pos="1119"/>
          <w:tab w:val="left" w:pos="1120"/>
        </w:tabs>
        <w:spacing w:before="1" w:after="0" w:line="240" w:lineRule="auto"/>
        <w:ind w:left="1120" w:right="1204" w:hanging="360"/>
        <w:jc w:val="left"/>
        <w:rPr>
          <w:sz w:val="22"/>
        </w:rPr>
      </w:pPr>
      <w:r>
        <w:rPr>
          <w:sz w:val="22"/>
        </w:rPr>
        <w:t>Budgets for Low Carbon Contracts Company (representing the movement in the fair value of liabilities incurred for Contracts for Difference (CFD) for the supply of low carbon electricity) being drawn down in Supplementary Estimates only (£8.0bn in 2020-21), 2021-22 budget requirement to be confirmed through the Supplementary Estimate later this financial year; and</w:t>
      </w:r>
    </w:p>
    <w:p>
      <w:pPr>
        <w:pStyle w:val="ListParagraph"/>
        <w:numPr>
          <w:ilvl w:val="0"/>
          <w:numId w:val="11"/>
        </w:numPr>
        <w:tabs>
          <w:tab w:val="left" w:pos="1119"/>
          <w:tab w:val="left" w:pos="1120"/>
        </w:tabs>
        <w:spacing w:before="0" w:after="0" w:line="240" w:lineRule="auto"/>
        <w:ind w:left="1120" w:right="1328" w:hanging="360"/>
        <w:jc w:val="left"/>
        <w:rPr>
          <w:sz w:val="22"/>
        </w:rPr>
      </w:pPr>
      <w:r>
        <w:rPr>
          <w:sz w:val="22"/>
        </w:rPr>
        <w:t>£(1.3)billion decrease in Nuclear Decommissioning Authority provisions compared to 2020- 21.</w:t>
      </w:r>
    </w:p>
    <w:p>
      <w:pPr>
        <w:pStyle w:val="BodyText"/>
      </w:pPr>
    </w:p>
    <w:p>
      <w:pPr>
        <w:pStyle w:val="BodyText"/>
        <w:ind w:left="400"/>
      </w:pPr>
      <w:r>
        <w:t>The main causes of the changes in Capital AME are:</w:t>
      </w:r>
    </w:p>
    <w:p>
      <w:pPr>
        <w:pStyle w:val="ListParagraph"/>
        <w:numPr>
          <w:ilvl w:val="0"/>
          <w:numId w:val="11"/>
        </w:numPr>
        <w:tabs>
          <w:tab w:val="left" w:pos="1119"/>
          <w:tab w:val="left" w:pos="1120"/>
        </w:tabs>
        <w:spacing w:before="181" w:after="0" w:line="240" w:lineRule="auto"/>
        <w:ind w:left="1120" w:right="1207" w:hanging="360"/>
        <w:jc w:val="left"/>
        <w:rPr>
          <w:sz w:val="22"/>
        </w:rPr>
      </w:pPr>
      <w:r>
        <w:rPr>
          <w:sz w:val="22"/>
        </w:rPr>
        <w:t>£31.4 billion increase in 2020-21 only for financial guarantees provided to lenders for the Bounce Back Loans (£27.5 billion), Coronavirus Business Interruption Loans (£3.5 billion) and Coronavirus Large Business Interruption Loan Scheme (£0.5 billion). Scoring as Capital AME reflects the decision by the Office for National Statistics that the guarantees be recorded as standardised in nature and at the time the guarantees are provided. The amount of budget required therefore reflects our best estimate of lifetime calls under the guarantees; this amount to a budget requirement in 2021-22 of £960.0 million, for the Recovery Loan Scheme.</w:t>
      </w:r>
    </w:p>
    <w:p>
      <w:pPr>
        <w:spacing w:after="0" w:line="240" w:lineRule="auto"/>
        <w:jc w:val="left"/>
        <w:rPr>
          <w:sz w:val="22"/>
        </w:rPr>
        <w:sectPr>
          <w:pgSz w:w="11910" w:h="16840"/>
          <w:pgMar w:top="1380" w:right="280" w:bottom="280" w:left="1040" w:header="720" w:footer="720"/>
          <w:cols w:space="720"/>
        </w:sectPr>
      </w:pPr>
    </w:p>
    <w:p>
      <w:pPr>
        <w:pStyle w:val="Heading2"/>
        <w:numPr>
          <w:ilvl w:val="1"/>
          <w:numId w:val="13"/>
        </w:numPr>
        <w:tabs>
          <w:tab w:val="left" w:pos="1120"/>
          <w:tab w:val="left" w:pos="1121"/>
        </w:tabs>
        <w:spacing w:before="21" w:after="0" w:line="240" w:lineRule="auto"/>
        <w:ind w:left="1120" w:right="0" w:hanging="721"/>
        <w:jc w:val="left"/>
        <w:rPr>
          <w:b w:val="0"/>
          <w:color w:val="2F5495"/>
        </w:rPr>
      </w:pPr>
      <w:r>
        <w:pict>
          <v:rect id="_x0000_i1091" style="height:12.24pt;mso-position-horizontal-relative:page;mso-position-vertical-relative:page;width:417pt" fillcolor="#e6e6e6">
            <v:fill type="solid"/>
          </v:rect>
        </w:pict>
      </w:r>
      <w:r>
        <w:rPr>
          <w:b w:val="0"/>
          <w:color w:val="2F5495"/>
        </w:rPr>
        <w:t>New policies and programmes; ambit</w:t>
      </w:r>
      <w:r>
        <w:rPr>
          <w:b w:val="0"/>
          <w:color w:val="2F5495"/>
          <w:spacing w:val="-8"/>
        </w:rPr>
        <w:t xml:space="preserve"> </w:t>
      </w:r>
      <w:r>
        <w:rPr>
          <w:b w:val="0"/>
          <w:color w:val="2F5495"/>
        </w:rPr>
        <w:t>changes</w:t>
      </w:r>
    </w:p>
    <w:p>
      <w:pPr>
        <w:pStyle w:val="BodyText"/>
        <w:spacing w:before="1"/>
        <w:rPr>
          <w:rFonts w:ascii="Calibri Light"/>
          <w:b w:val="0"/>
          <w:sz w:val="24"/>
        </w:rPr>
      </w:pPr>
    </w:p>
    <w:p>
      <w:pPr>
        <w:pStyle w:val="BodyText"/>
        <w:ind w:left="400" w:right="1282"/>
      </w:pPr>
      <w:r>
        <w:t>On 19</w:t>
      </w:r>
      <w:r>
        <w:rPr>
          <w:vertAlign w:val="superscript"/>
        </w:rPr>
        <w:t>th</w:t>
      </w:r>
      <w:r>
        <w:rPr>
          <w:vertAlign w:val="baseline"/>
        </w:rPr>
        <w:t xml:space="preserve"> February, the launch of the new Advanced Research &amp; Invention Agency (ARIA) was confirmed</w:t>
      </w:r>
      <w:r>
        <w:rPr>
          <w:vertAlign w:val="superscript"/>
        </w:rPr>
        <w:t>1</w:t>
      </w:r>
      <w:r>
        <w:rPr>
          <w:vertAlign w:val="baseline"/>
        </w:rPr>
        <w:t>, with the aim to be fully operational by 2022. This Main Estimate includes initial funding of £50m Capital DEL under “Science and Research”.</w:t>
      </w:r>
    </w:p>
    <w:p>
      <w:pPr>
        <w:pStyle w:val="BodyText"/>
        <w:spacing w:before="1"/>
      </w:pPr>
    </w:p>
    <w:p>
      <w:pPr>
        <w:pStyle w:val="BodyText"/>
        <w:ind w:left="400" w:right="1543"/>
      </w:pPr>
      <w:r>
        <w:t>In the Spring Budget on 3</w:t>
      </w:r>
      <w:r>
        <w:rPr>
          <w:vertAlign w:val="superscript"/>
        </w:rPr>
        <w:t>rd</w:t>
      </w:r>
      <w:r>
        <w:rPr>
          <w:vertAlign w:val="baseline"/>
        </w:rPr>
        <w:t xml:space="preserve"> March, the Chancellor also announced measures to be delivered BEIS including:</w:t>
      </w:r>
    </w:p>
    <w:p>
      <w:pPr>
        <w:pStyle w:val="ListParagraph"/>
        <w:numPr>
          <w:ilvl w:val="0"/>
          <w:numId w:val="10"/>
        </w:numPr>
        <w:tabs>
          <w:tab w:val="left" w:pos="1119"/>
          <w:tab w:val="left" w:pos="1120"/>
        </w:tabs>
        <w:spacing w:before="0" w:after="0" w:line="240" w:lineRule="auto"/>
        <w:ind w:left="1120" w:right="0" w:hanging="360"/>
        <w:jc w:val="left"/>
        <w:rPr>
          <w:sz w:val="22"/>
        </w:rPr>
      </w:pPr>
      <w:r>
        <w:rPr>
          <w:sz w:val="22"/>
        </w:rPr>
        <w:t>Additional Coronavirus business</w:t>
      </w:r>
      <w:r>
        <w:rPr>
          <w:spacing w:val="-3"/>
          <w:sz w:val="22"/>
        </w:rPr>
        <w:t xml:space="preserve"> </w:t>
      </w:r>
      <w:r>
        <w:rPr>
          <w:sz w:val="22"/>
        </w:rPr>
        <w:t>support;</w:t>
      </w:r>
    </w:p>
    <w:p>
      <w:pPr>
        <w:pStyle w:val="ListParagraph"/>
        <w:numPr>
          <w:ilvl w:val="1"/>
          <w:numId w:val="10"/>
        </w:numPr>
        <w:tabs>
          <w:tab w:val="left" w:pos="1839"/>
          <w:tab w:val="left" w:pos="1840"/>
        </w:tabs>
        <w:spacing w:before="5" w:after="0" w:line="235" w:lineRule="auto"/>
        <w:ind w:left="1840" w:right="1265" w:hanging="360"/>
        <w:jc w:val="left"/>
        <w:rPr>
          <w:sz w:val="22"/>
        </w:rPr>
      </w:pPr>
      <w:r>
        <w:rPr>
          <w:sz w:val="22"/>
        </w:rPr>
        <w:t>Restart Grants, providing up to £6,000 for each eligible non-essential retail business and up to £18,000 for hospitality, accommodation, leisure, personal care and</w:t>
      </w:r>
      <w:r>
        <w:rPr>
          <w:spacing w:val="-14"/>
          <w:sz w:val="22"/>
        </w:rPr>
        <w:t xml:space="preserve"> </w:t>
      </w:r>
      <w:r>
        <w:rPr>
          <w:sz w:val="22"/>
        </w:rPr>
        <w:t>gyms;</w:t>
      </w:r>
    </w:p>
    <w:p>
      <w:pPr>
        <w:pStyle w:val="ListParagraph"/>
        <w:numPr>
          <w:ilvl w:val="1"/>
          <w:numId w:val="10"/>
        </w:numPr>
        <w:tabs>
          <w:tab w:val="left" w:pos="1839"/>
          <w:tab w:val="left" w:pos="1840"/>
        </w:tabs>
        <w:spacing w:before="6" w:after="0" w:line="232" w:lineRule="auto"/>
        <w:ind w:left="1840" w:right="1531" w:hanging="360"/>
        <w:jc w:val="left"/>
        <w:rPr>
          <w:sz w:val="22"/>
        </w:rPr>
      </w:pPr>
      <w:r>
        <w:rPr>
          <w:sz w:val="22"/>
        </w:rPr>
        <w:t>Future Fund: Breakthrough, the successor to the Future Fund which will invest in highly innovative</w:t>
      </w:r>
      <w:r>
        <w:rPr>
          <w:spacing w:val="-3"/>
          <w:sz w:val="22"/>
        </w:rPr>
        <w:t xml:space="preserve"> </w:t>
      </w:r>
      <w:r>
        <w:rPr>
          <w:sz w:val="22"/>
        </w:rPr>
        <w:t>companies;</w:t>
      </w:r>
    </w:p>
    <w:p>
      <w:pPr>
        <w:pStyle w:val="ListParagraph"/>
        <w:numPr>
          <w:ilvl w:val="1"/>
          <w:numId w:val="10"/>
        </w:numPr>
        <w:tabs>
          <w:tab w:val="left" w:pos="1839"/>
          <w:tab w:val="left" w:pos="1840"/>
        </w:tabs>
        <w:spacing w:before="5" w:after="0" w:line="235" w:lineRule="auto"/>
        <w:ind w:left="1840" w:right="1219" w:hanging="360"/>
        <w:jc w:val="left"/>
        <w:rPr>
          <w:sz w:val="22"/>
        </w:rPr>
      </w:pPr>
      <w:r>
        <w:rPr>
          <w:sz w:val="22"/>
        </w:rPr>
        <w:t>A new UK-wide Recovery Loan scheme to help businesses of all sizes as they recover and grow following the</w:t>
      </w:r>
      <w:r>
        <w:rPr>
          <w:spacing w:val="-3"/>
          <w:sz w:val="22"/>
        </w:rPr>
        <w:t xml:space="preserve"> </w:t>
      </w:r>
      <w:r>
        <w:rPr>
          <w:sz w:val="22"/>
        </w:rPr>
        <w:t>pandemic</w:t>
      </w:r>
    </w:p>
    <w:p>
      <w:pPr>
        <w:pStyle w:val="ListParagraph"/>
        <w:numPr>
          <w:ilvl w:val="0"/>
          <w:numId w:val="10"/>
        </w:numPr>
        <w:tabs>
          <w:tab w:val="left" w:pos="1119"/>
          <w:tab w:val="left" w:pos="1120"/>
        </w:tabs>
        <w:spacing w:before="0" w:after="0" w:line="240" w:lineRule="auto"/>
        <w:ind w:left="1120" w:right="1175" w:hanging="360"/>
        <w:jc w:val="left"/>
        <w:rPr>
          <w:sz w:val="22"/>
        </w:rPr>
      </w:pPr>
      <w:r>
        <w:rPr>
          <w:sz w:val="22"/>
        </w:rPr>
        <w:t>New Help to Grow schemes providing the digital and management tools needed to innovate, grow and help drive</w:t>
      </w:r>
      <w:r>
        <w:rPr>
          <w:spacing w:val="-5"/>
          <w:sz w:val="22"/>
        </w:rPr>
        <w:t xml:space="preserve"> </w:t>
      </w:r>
      <w:r>
        <w:rPr>
          <w:sz w:val="22"/>
        </w:rPr>
        <w:t>recovery.</w:t>
      </w:r>
    </w:p>
    <w:p>
      <w:pPr>
        <w:pStyle w:val="BodyText"/>
        <w:spacing w:before="1"/>
      </w:pPr>
    </w:p>
    <w:p>
      <w:pPr>
        <w:pStyle w:val="BodyText"/>
        <w:ind w:left="400"/>
        <w:jc w:val="both"/>
      </w:pPr>
      <w:r>
        <w:t>The ambit has been updated to include the following:</w:t>
      </w:r>
    </w:p>
    <w:p>
      <w:pPr>
        <w:pStyle w:val="ListParagraph"/>
        <w:numPr>
          <w:ilvl w:val="0"/>
          <w:numId w:val="9"/>
        </w:numPr>
        <w:tabs>
          <w:tab w:val="left" w:pos="1120"/>
        </w:tabs>
        <w:spacing w:before="1" w:after="0" w:line="259" w:lineRule="auto"/>
        <w:ind w:left="1120" w:right="1290" w:hanging="360"/>
        <w:jc w:val="both"/>
        <w:rPr>
          <w:sz w:val="22"/>
        </w:rPr>
      </w:pPr>
      <w:r>
        <w:rPr>
          <w:sz w:val="22"/>
        </w:rPr>
        <w:t>Departmental Expenditure Limit expenditure – “Investment Security Unit” and “Support for high risk projects with potential for transformative change through the Advanced Research and Invention Agency (ARIA), including set up costs</w:t>
      </w:r>
      <w:r>
        <w:rPr>
          <w:spacing w:val="-11"/>
          <w:sz w:val="22"/>
        </w:rPr>
        <w:t xml:space="preserve"> </w:t>
      </w:r>
      <w:r>
        <w:rPr>
          <w:sz w:val="22"/>
        </w:rPr>
        <w:t>”.</w:t>
      </w:r>
    </w:p>
    <w:p>
      <w:pPr>
        <w:pStyle w:val="BodyText"/>
        <w:spacing w:before="161" w:line="237" w:lineRule="auto"/>
        <w:ind w:left="400" w:right="1198"/>
        <w:jc w:val="both"/>
      </w:pPr>
      <w:r>
        <w:t>These have been added to reflect the additional areas of work arising from the National Security and Investment Act and the Advanced Research and Invention Agency Bill.</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9"/>
        <w:rPr>
          <w:sz w:val="21"/>
        </w:rPr>
      </w:pPr>
      <w:r>
        <w:pict>
          <v:shape id="_x0000_s1092" style="height:0.1pt;margin-left:1in;margin-top:15.62pt;mso-position-horizontal-relative:page;mso-wrap-distance-left:0;mso-wrap-distance-right:0;position:absolute;width:2in;z-index:-251657216" coordorigin="1440,312" coordsize="2880,21600" path="m1440,312l4320,312e" strokecolor="black" strokeweight="0.72pt">
            <v:stroke dashstyle="solid"/>
            <v:path arrowok="t"/>
            <w10:wrap type="topAndBottom"/>
          </v:shape>
        </w:pict>
      </w:r>
    </w:p>
    <w:p>
      <w:pPr>
        <w:spacing w:before="69"/>
        <w:ind w:left="400" w:right="1781" w:firstLine="0"/>
        <w:jc w:val="left"/>
        <w:rPr>
          <w:sz w:val="20"/>
        </w:rPr>
      </w:pPr>
      <w:r>
        <w:rPr>
          <w:position w:val="7"/>
          <w:sz w:val="13"/>
        </w:rPr>
        <w:t xml:space="preserve">1 </w:t>
      </w:r>
      <w:r>
        <w:rPr>
          <w:color w:val="2A569A"/>
          <w:sz w:val="20"/>
        </w:rPr>
        <w:t>https</w:t>
      </w:r>
      <w:r>
        <w:fldChar w:fldCharType="begin"/>
      </w:r>
      <w:r>
        <w:instrText xml:space="preserve"> HYPERLINK "http://www.gov.uk/government/news/uk-to-launch-new-research-agency-to-support-high-risk-high-" </w:instrText>
      </w:r>
      <w:r>
        <w:fldChar w:fldCharType="separate"/>
      </w:r>
      <w:r>
        <w:rPr>
          <w:color w:val="2A569A"/>
          <w:sz w:val="20"/>
        </w:rPr>
        <w:t>://www.gov.uk/government/news/uk-to-launch-new-research-agency-to-support-high-risk-high-</w:t>
      </w:r>
      <w:r>
        <w:fldChar w:fldCharType="end"/>
      </w:r>
      <w:r>
        <w:rPr>
          <w:color w:val="2A569A"/>
          <w:sz w:val="20"/>
        </w:rPr>
        <w:t xml:space="preserve"> </w:t>
      </w:r>
      <w:r>
        <w:rPr>
          <w:color w:val="2A569A"/>
          <w:spacing w:val="-70"/>
          <w:sz w:val="20"/>
          <w:shd w:val="clear" w:color="auto" w:fill="E6E6E6"/>
        </w:rPr>
        <w:t>r</w:t>
      </w:r>
      <w:r>
        <w:rPr>
          <w:color w:val="2A569A"/>
          <w:spacing w:val="23"/>
          <w:sz w:val="20"/>
          <w:shd w:val="clear" w:color="auto" w:fill="E6E6E6"/>
        </w:rPr>
        <w:t xml:space="preserve"> </w:t>
      </w:r>
      <w:r>
        <w:rPr>
          <w:color w:val="2A569A"/>
          <w:sz w:val="20"/>
          <w:shd w:val="clear" w:color="auto" w:fill="E6E6E6"/>
        </w:rPr>
        <w:t>eward-science</w:t>
      </w:r>
    </w:p>
    <w:p>
      <w:pPr>
        <w:spacing w:after="0"/>
        <w:jc w:val="left"/>
        <w:rPr>
          <w:sz w:val="20"/>
        </w:rPr>
        <w:sectPr>
          <w:pgSz w:w="11910" w:h="16840"/>
          <w:pgMar w:top="1400" w:right="280" w:bottom="280" w:left="1040" w:header="720" w:footer="720"/>
          <w:cols w:space="720"/>
        </w:sectPr>
      </w:pPr>
    </w:p>
    <w:p>
      <w:pPr>
        <w:pStyle w:val="Heading2"/>
        <w:numPr>
          <w:ilvl w:val="1"/>
          <w:numId w:val="13"/>
        </w:numPr>
        <w:tabs>
          <w:tab w:val="left" w:pos="1120"/>
          <w:tab w:val="left" w:pos="1121"/>
        </w:tabs>
        <w:spacing w:before="23" w:after="0" w:line="240" w:lineRule="auto"/>
        <w:ind w:left="1120" w:right="0" w:hanging="721"/>
        <w:jc w:val="left"/>
        <w:rPr>
          <w:b w:val="0"/>
          <w:color w:val="2F5495"/>
        </w:rPr>
      </w:pPr>
      <w:r>
        <w:rPr>
          <w:b w:val="0"/>
          <w:color w:val="2F5495"/>
        </w:rPr>
        <w:t>Spending trends</w:t>
      </w:r>
    </w:p>
    <w:p>
      <w:pPr>
        <w:pStyle w:val="BodyText"/>
        <w:spacing w:before="25" w:line="256" w:lineRule="auto"/>
        <w:ind w:left="400" w:right="1900"/>
      </w:pPr>
      <w:r>
        <w:t>The charts below show overall spending trends for the last five years, and plans presented in Estimates for 2021-22.</w:t>
      </w:r>
    </w:p>
    <w:p>
      <w:pPr>
        <w:pStyle w:val="BodyText"/>
        <w:spacing w:before="9"/>
        <w:rPr>
          <w:sz w:val="9"/>
        </w:rPr>
      </w:pPr>
      <w:r>
        <w:pict>
          <v:group id="_x0000_s1093" style="height:288.75pt;margin-left:71.64pt;margin-top:7.93pt;mso-position-horizontal-relative:page;mso-wrap-distance-left:0;mso-wrap-distance-right:0;position:absolute;width:433.6pt;z-index:-251656192" coordorigin="1433,159" coordsize="8672,5775">
            <v:line id="_x0000_s1094" style="position:absolute" from="2388,4423" to="10042,4423" strokecolor="#d8d8d8" strokeweight="0.72pt">
              <v:stroke dashstyle="solid"/>
            </v:line>
            <v:line id="_x0000_s1095" style="position:absolute" from="2388,3718" to="10042,3718" strokecolor="#d8d8d8" strokeweight="0.72pt">
              <v:stroke dashstyle="solid"/>
            </v:line>
            <v:line id="_x0000_s1096" style="position:absolute" from="2388,3010" to="10042,3010" strokecolor="#d8d8d8" strokeweight="0.72pt">
              <v:stroke dashstyle="solid"/>
            </v:line>
            <v:line id="_x0000_s1097" style="position:absolute" from="2388,2304" to="10042,2304" strokecolor="#d8d8d8" strokeweight="0.72pt">
              <v:stroke dashstyle="solid"/>
            </v:line>
            <v:line id="_x0000_s1098" style="position:absolute" from="2388,1596" to="10042,1596" strokecolor="#d8d8d8" strokeweight="0.72pt">
              <v:stroke dashstyle="solid"/>
            </v:line>
            <v:shape id="_x0000_s1099" style="height:3771;left:3026;position:absolute;top:1185;width:6377" coordorigin="3026,1186" coordsize="6377,3771" path="m3026,4853l4301,4889,5575,4956,6852,4731,8126,1186,9403,3893e" strokecolor="#4472c3" strokeweight="2.28pt">
              <v:stroke dashstyle="solid"/>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00" type="#_x0000_t75" style="height:116;left:2968;position:absolute;top:4795;width:116">
              <v:imagedata r:id="rId4" o:title=""/>
            </v:shape>
            <v:shape id="_x0000_s1101" type="#_x0000_t75" style="height:116;left:4243;position:absolute;top:4831;width:116">
              <v:imagedata r:id="rId4" o:title=""/>
            </v:shape>
            <v:shape id="_x0000_s1102" type="#_x0000_t75" style="height:116;left:5517;position:absolute;top:4896;width:116">
              <v:imagedata r:id="rId5" o:title=""/>
            </v:shape>
            <v:shape id="_x0000_s1103" type="#_x0000_t75" style="height:116;left:6794;position:absolute;top:4673;width:116">
              <v:imagedata r:id="rId4" o:title=""/>
            </v:shape>
            <v:shape id="_x0000_s1104" type="#_x0000_t75" style="height:116;left:8068;position:absolute;top:1128;width:116">
              <v:imagedata r:id="rId4" o:title=""/>
            </v:shape>
            <v:shape id="_x0000_s1105" type="#_x0000_t75" style="height:116;left:9343;position:absolute;top:3835;width:116">
              <v:imagedata r:id="rId4" o:title=""/>
            </v:shape>
            <v:shape id="_x0000_s1106" style="height:1520;left:3026;position:absolute;top:2143;width:6377" coordorigin="3026,2143" coordsize="6377,1520" path="m3026,3615l4301,3663,5575,3603,6852,3545,8126,2143,9403,2775e" strokecolor="#ed7c31" strokeweight="2.28pt">
              <v:stroke dashstyle="solid"/>
              <v:path arrowok="t"/>
            </v:shape>
            <v:shape id="_x0000_s1107" style="height:101;left:2976;position:absolute;top:3564;width:101" coordorigin="2976,3564" coordsize="101,101" path="m3026,3665l3007,3661,2991,3651,2980,3635,2976,3615,2980,3596,2991,3580,3007,3568,3026,3564,3046,3568,3062,3580,3073,3596,3077,3615,3073,3635,3062,3651,3046,3661,3026,3665xe" fillcolor="#ed7c31">
              <v:fill type="solid"/>
              <v:path arrowok="t"/>
            </v:shape>
            <v:shape id="_x0000_s1108" style="height:101;left:2976;position:absolute;top:3564;width:101" coordorigin="2976,3564" coordsize="101,101" path="m3077,3615l3073,3635,3062,3651,3046,3661,3026,3665,3007,3661,2991,3651,2980,3635,2976,3615,2980,3596,2991,3580,3007,3568,3026,3564,3046,3568,3062,3580,3073,3596,3077,3615e" strokecolor="#ed7c31" strokeweight="0.72pt">
              <v:stroke dashstyle="solid"/>
              <v:path arrowok="t"/>
            </v:shape>
            <v:shape id="_x0000_s1109" type="#_x0000_t75" style="height:116;left:4243;position:absolute;top:3605;width:116">
              <v:imagedata r:id="rId6" o:title=""/>
            </v:shape>
            <v:shape id="_x0000_s1110" type="#_x0000_t75" style="height:116;left:5517;position:absolute;top:3545;width:116">
              <v:imagedata r:id="rId6" o:title=""/>
            </v:shape>
            <v:shape id="_x0000_s1111" type="#_x0000_t75" style="height:116;left:6794;position:absolute;top:3487;width:116">
              <v:imagedata r:id="rId7" o:title=""/>
            </v:shape>
            <v:shape id="_x0000_s1112" style="height:101;left:8076;position:absolute;top:2093;width:101" coordorigin="8076,2093" coordsize="101,101" path="m8126,2194l8107,2190,8091,2179,8080,2164,8076,2143,8080,2124,8091,2108,8107,2097,8126,2093,8146,2097,8162,2108,8173,2124,8177,2143,8173,2164,8162,2179,8146,2190,8126,2194xe" fillcolor="#ed7c31">
              <v:fill type="solid"/>
              <v:path arrowok="t"/>
            </v:shape>
            <v:shape id="_x0000_s1113" style="height:101;left:8076;position:absolute;top:2093;width:101" coordorigin="8076,2093" coordsize="101,101" path="m8177,2143l8173,2164,8162,2179,8146,2190,8126,2194,8107,2190,8091,2179,8080,2164,8076,2143,8080,2124,8091,2108,8107,2097,8126,2093,8146,2097,8162,2108,8173,2124,8177,2143e" strokecolor="#ed7c31" strokeweight="0.72pt">
              <v:stroke dashstyle="solid"/>
              <v:path arrowok="t"/>
            </v:shape>
            <v:shape id="_x0000_s1114" type="#_x0000_t75" style="height:116;left:9343;position:absolute;top:2717;width:116">
              <v:imagedata r:id="rId7" o:title=""/>
            </v:shape>
            <v:shape id="_x0000_s1115" style="height:89;left:2863;position:absolute;top:4766;width:164" coordorigin="2863,4767" coordsize="164,89" path="m3026,4855l2952,4767,2863,4767e" strokecolor="#a5a5a5" strokeweight="0.72pt">
              <v:stroke dashstyle="solid"/>
              <v:path arrowok="t"/>
            </v:shape>
            <v:shape id="_x0000_s1116" style="height:315;left:4195;position:absolute;top:4574;width:106" coordorigin="4195,4575" coordsize="106,315" path="m4301,4889l4284,4575,4195,4575e" strokecolor="#a5a5a5" strokeweight="0.72pt">
              <v:stroke dashstyle="solid"/>
              <v:path arrowok="t"/>
            </v:shape>
            <v:line id="_x0000_s1117" style="position:absolute" from="5530,4769" to="5578,4956" strokecolor="#a5a5a5" strokeweight="0.72pt">
              <v:stroke dashstyle="solid"/>
            </v:line>
            <v:shape id="_x0000_s1118" style="height:106;left:6614;position:absolute;top:4625;width:238" coordorigin="6614,4625" coordsize="238,106" path="m6852,4731l6703,4625,6614,4625e" strokecolor="#a5a5a5" strokeweight="0.72pt">
              <v:stroke dashstyle="solid"/>
              <v:path arrowok="t"/>
            </v:shape>
            <v:line id="_x0000_s1119" style="position:absolute" from="3038,3355" to="3038,3624" strokecolor="#a5a5a5" strokeweight="1.92pt">
              <v:stroke dashstyle="solid"/>
            </v:line>
            <v:line id="_x0000_s1120" style="position:absolute" from="8126,2143" to="8203,2511" strokecolor="#a5a5a5" strokeweight="0.72pt">
              <v:stroke dashstyle="solid"/>
            </v:line>
            <v:line id="_x0000_s1121" style="position:absolute" from="2388,891" to="10042,891" strokecolor="#d8d8d8" strokeweight="0.72pt">
              <v:stroke dashstyle="solid"/>
            </v:line>
            <v:line id="_x0000_s1122" style="position:absolute" from="2388,5131" to="10042,5131" strokecolor="#d8d8d8" strokeweight="0.72pt">
              <v:stroke dashstyle="solid"/>
            </v:line>
            <v:shape id="_x0000_s1123" type="#_x0000_t75" style="height:116;left:4353;position:absolute;top:5577;width:384">
              <v:imagedata r:id="rId8" o:title=""/>
            </v:shape>
            <v:shape id="_x0000_s1124" type="#_x0000_t75" style="height:116;left:6009;position:absolute;top:5577;width:384">
              <v:imagedata r:id="rId9" o:title=""/>
            </v:shape>
            <v:rect id="_x0000_s1125" style="height:5760;left:1440;position:absolute;top:165;width:8657" strokecolor="#d8d8d8" strokeweight="0.72pt">
              <v:stroke dashstyle="solid"/>
            </v:rect>
            <v:shape id="_x0000_i1126" type="#_x0000_t202" style="height:180;width:623">
              <v:textbox inset="0,0,0,0">
                <w:txbxContent>
                  <w:p>
                    <w:pPr>
                      <w:spacing w:before="0" w:line="180" w:lineRule="exact"/>
                      <w:ind w:left="0" w:right="0" w:firstLine="0"/>
                      <w:jc w:val="left"/>
                      <w:rPr>
                        <w:b/>
                        <w:sz w:val="18"/>
                      </w:rPr>
                    </w:pPr>
                    <w:r>
                      <w:rPr>
                        <w:b/>
                        <w:color w:val="595959"/>
                        <w:sz w:val="18"/>
                      </w:rPr>
                      <w:t>2021-22</w:t>
                    </w:r>
                  </w:p>
                </w:txbxContent>
              </v:textbox>
            </v:shape>
            <v:shape id="_x0000_i1127" type="#_x0000_t202" style="height:180;width:623">
              <v:textbox inset="0,0,0,0">
                <w:txbxContent>
                  <w:p>
                    <w:pPr>
                      <w:spacing w:before="0" w:line="180" w:lineRule="exact"/>
                      <w:ind w:left="0" w:right="0" w:firstLine="0"/>
                      <w:jc w:val="left"/>
                      <w:rPr>
                        <w:b/>
                        <w:sz w:val="18"/>
                      </w:rPr>
                    </w:pPr>
                    <w:r>
                      <w:rPr>
                        <w:b/>
                        <w:color w:val="595959"/>
                        <w:sz w:val="18"/>
                      </w:rPr>
                      <w:t>2020-21</w:t>
                    </w:r>
                  </w:p>
                </w:txbxContent>
              </v:textbox>
            </v:shape>
            <v:shape id="_x0000_i1128" type="#_x0000_t202" style="height:454;width:843">
              <v:textbox inset="0,0,0,0">
                <w:txbxContent>
                  <w:p>
                    <w:pPr>
                      <w:spacing w:before="0" w:line="183" w:lineRule="exact"/>
                      <w:ind w:left="0" w:right="4" w:firstLine="0"/>
                      <w:jc w:val="center"/>
                      <w:rPr>
                        <w:b/>
                        <w:sz w:val="18"/>
                      </w:rPr>
                    </w:pPr>
                    <w:r>
                      <w:rPr>
                        <w:b/>
                        <w:color w:val="595959"/>
                        <w:sz w:val="18"/>
                      </w:rPr>
                      <w:t>2019-20</w:t>
                    </w:r>
                  </w:p>
                  <w:p>
                    <w:pPr>
                      <w:spacing w:before="54" w:line="216" w:lineRule="exact"/>
                      <w:ind w:left="0" w:right="18" w:firstLine="0"/>
                      <w:jc w:val="center"/>
                      <w:rPr>
                        <w:sz w:val="18"/>
                      </w:rPr>
                    </w:pPr>
                    <w:r>
                      <w:rPr>
                        <w:color w:val="595959"/>
                        <w:sz w:val="18"/>
                      </w:rPr>
                      <w:t>Capital DEL</w:t>
                    </w:r>
                  </w:p>
                </w:txbxContent>
              </v:textbox>
            </v:shape>
            <v:shape id="_x0000_i1129" type="#_x0000_t202" style="height:454;width:1899">
              <v:textbox inset="0,0,0,0">
                <w:txbxContent>
                  <w:p>
                    <w:pPr>
                      <w:tabs>
                        <w:tab w:val="left" w:pos="1276"/>
                      </w:tabs>
                      <w:spacing w:before="0" w:line="183" w:lineRule="exact"/>
                      <w:ind w:left="0" w:right="0" w:firstLine="0"/>
                      <w:jc w:val="left"/>
                      <w:rPr>
                        <w:b/>
                        <w:sz w:val="18"/>
                      </w:rPr>
                    </w:pPr>
                    <w:r>
                      <w:rPr>
                        <w:b/>
                        <w:color w:val="595959"/>
                        <w:sz w:val="18"/>
                      </w:rPr>
                      <w:t>2017-18</w:t>
                      <w:tab/>
                      <w:t>2018-19</w:t>
                    </w:r>
                  </w:p>
                  <w:p>
                    <w:pPr>
                      <w:spacing w:before="54" w:line="216" w:lineRule="exact"/>
                      <w:ind w:left="780" w:right="0" w:firstLine="0"/>
                      <w:jc w:val="left"/>
                      <w:rPr>
                        <w:sz w:val="18"/>
                      </w:rPr>
                    </w:pPr>
                    <w:r>
                      <w:rPr>
                        <w:color w:val="595959"/>
                        <w:sz w:val="18"/>
                      </w:rPr>
                      <w:t>Resource DEL</w:t>
                    </w:r>
                  </w:p>
                </w:txbxContent>
              </v:textbox>
            </v:shape>
            <v:shape id="_x0000_i1130" type="#_x0000_t202" style="height:180;width:623">
              <v:textbox inset="0,0,0,0">
                <w:txbxContent>
                  <w:p>
                    <w:pPr>
                      <w:spacing w:before="0" w:line="180" w:lineRule="exact"/>
                      <w:ind w:left="0" w:right="0" w:firstLine="0"/>
                      <w:jc w:val="left"/>
                      <w:rPr>
                        <w:b/>
                        <w:sz w:val="18"/>
                      </w:rPr>
                    </w:pPr>
                    <w:r>
                      <w:rPr>
                        <w:b/>
                        <w:color w:val="595959"/>
                        <w:sz w:val="18"/>
                      </w:rPr>
                      <w:t>2016-17</w:t>
                    </w:r>
                  </w:p>
                </w:txbxContent>
              </v:textbox>
            </v:shape>
            <v:shape id="_x0000_i1131" type="#_x0000_t202" style="height:180;width:112">
              <v:textbox inset="0,0,0,0">
                <w:txbxContent>
                  <w:p>
                    <w:pPr>
                      <w:spacing w:before="0" w:line="180" w:lineRule="exact"/>
                      <w:ind w:left="0" w:right="0" w:firstLine="0"/>
                      <w:jc w:val="left"/>
                      <w:rPr>
                        <w:b/>
                        <w:sz w:val="18"/>
                      </w:rPr>
                    </w:pPr>
                    <w:r>
                      <w:rPr>
                        <w:b/>
                        <w:color w:val="595959"/>
                        <w:sz w:val="18"/>
                      </w:rPr>
                      <w:t>0</w:t>
                    </w:r>
                  </w:p>
                </w:txbxContent>
              </v:textbox>
            </v:shape>
            <v:shape id="_x0000_i1132" type="#_x0000_t202" style="height:180;width:430">
              <v:textbox inset="0,0,0,0">
                <w:txbxContent>
                  <w:p>
                    <w:pPr>
                      <w:spacing w:before="0" w:line="180" w:lineRule="exact"/>
                      <w:ind w:left="0" w:right="0" w:firstLine="0"/>
                      <w:jc w:val="left"/>
                      <w:rPr>
                        <w:sz w:val="18"/>
                      </w:rPr>
                    </w:pPr>
                    <w:r>
                      <w:rPr>
                        <w:color w:val="3F3F3F"/>
                        <w:sz w:val="18"/>
                      </w:rPr>
                      <w:t>1,962</w:t>
                    </w:r>
                  </w:p>
                </w:txbxContent>
              </v:textbox>
            </v:shape>
            <v:shape id="_x0000_i1133" type="#_x0000_t202" style="height:180;width:430">
              <v:textbox inset="0,0,0,0">
                <w:txbxContent>
                  <w:p>
                    <w:pPr>
                      <w:spacing w:before="0" w:line="180" w:lineRule="exact"/>
                      <w:ind w:left="0" w:right="0" w:firstLine="0"/>
                      <w:jc w:val="left"/>
                      <w:rPr>
                        <w:sz w:val="18"/>
                      </w:rPr>
                    </w:pPr>
                    <w:r>
                      <w:rPr>
                        <w:color w:val="3F3F3F"/>
                        <w:sz w:val="18"/>
                      </w:rPr>
                      <w:t>2,838</w:t>
                    </w:r>
                  </w:p>
                </w:txbxContent>
              </v:textbox>
            </v:shape>
            <v:shape id="_x0000_i1134" type="#_x0000_t202" style="height:180;width:430">
              <v:textbox inset="0,0,0,0">
                <w:txbxContent>
                  <w:p>
                    <w:pPr>
                      <w:spacing w:before="0" w:line="180" w:lineRule="exact"/>
                      <w:ind w:left="0" w:right="0" w:firstLine="0"/>
                      <w:jc w:val="left"/>
                      <w:rPr>
                        <w:sz w:val="18"/>
                      </w:rPr>
                    </w:pPr>
                    <w:r>
                      <w:rPr>
                        <w:color w:val="3F3F3F"/>
                        <w:sz w:val="18"/>
                      </w:rPr>
                      <w:t>1,246</w:t>
                    </w:r>
                  </w:p>
                </w:txbxContent>
              </v:textbox>
            </v:shape>
            <v:shape id="_x0000_i1135" type="#_x0000_t202" style="height:180;width:430">
              <v:textbox inset="0,0,0,0">
                <w:txbxContent>
                  <w:p>
                    <w:pPr>
                      <w:spacing w:before="0" w:line="180" w:lineRule="exact"/>
                      <w:ind w:left="0" w:right="0" w:firstLine="0"/>
                      <w:jc w:val="left"/>
                      <w:rPr>
                        <w:sz w:val="18"/>
                      </w:rPr>
                    </w:pPr>
                    <w:r>
                      <w:rPr>
                        <w:color w:val="3F3F3F"/>
                        <w:sz w:val="18"/>
                      </w:rPr>
                      <w:t>1,714</w:t>
                    </w:r>
                  </w:p>
                </w:txbxContent>
              </v:textbox>
            </v:shape>
            <v:shape id="_x0000_i1136" type="#_x0000_t202" style="height:180;width:430">
              <v:textbox inset="0,0,0,0">
                <w:txbxContent>
                  <w:p>
                    <w:pPr>
                      <w:spacing w:before="0" w:line="180" w:lineRule="exact"/>
                      <w:ind w:left="0" w:right="0" w:firstLine="0"/>
                      <w:jc w:val="left"/>
                      <w:rPr>
                        <w:b/>
                        <w:sz w:val="18"/>
                      </w:rPr>
                    </w:pPr>
                    <w:r>
                      <w:rPr>
                        <w:b/>
                        <w:color w:val="595959"/>
                        <w:sz w:val="18"/>
                      </w:rPr>
                      <w:t>5,000</w:t>
                    </w:r>
                  </w:p>
                </w:txbxContent>
              </v:textbox>
            </v:shape>
            <v:shape id="_x0000_i1137" type="#_x0000_t202" style="height:180;width:430">
              <v:textbox inset="0,0,0,0">
                <w:txbxContent>
                  <w:p>
                    <w:pPr>
                      <w:spacing w:before="0" w:line="180" w:lineRule="exact"/>
                      <w:ind w:left="0" w:right="0" w:firstLine="0"/>
                      <w:jc w:val="left"/>
                      <w:rPr>
                        <w:sz w:val="18"/>
                      </w:rPr>
                    </w:pPr>
                    <w:r>
                      <w:rPr>
                        <w:color w:val="3F3F3F"/>
                        <w:sz w:val="18"/>
                      </w:rPr>
                      <w:t>8,754</w:t>
                    </w:r>
                  </w:p>
                </w:txbxContent>
              </v:textbox>
            </v:shape>
            <v:shape id="_x0000_i1138" type="#_x0000_t202" style="height:180;width:522">
              <v:textbox inset="0,0,0,0">
                <w:txbxContent>
                  <w:p>
                    <w:pPr>
                      <w:spacing w:before="0" w:line="180" w:lineRule="exact"/>
                      <w:ind w:left="0" w:right="0" w:firstLine="0"/>
                      <w:jc w:val="left"/>
                      <w:rPr>
                        <w:b/>
                        <w:sz w:val="18"/>
                      </w:rPr>
                    </w:pPr>
                    <w:r>
                      <w:rPr>
                        <w:b/>
                        <w:color w:val="595959"/>
                        <w:sz w:val="18"/>
                      </w:rPr>
                      <w:t>10,000</w:t>
                    </w:r>
                  </w:p>
                </w:txbxContent>
              </v:textbox>
            </v:shape>
            <v:shape id="_x0000_i1139" type="#_x0000_t202" style="height:180;width:522">
              <v:textbox inset="0,0,0,0">
                <w:txbxContent>
                  <w:p>
                    <w:pPr>
                      <w:spacing w:before="0" w:line="180" w:lineRule="exact"/>
                      <w:ind w:left="0" w:right="0" w:firstLine="0"/>
                      <w:jc w:val="left"/>
                      <w:rPr>
                        <w:sz w:val="18"/>
                      </w:rPr>
                    </w:pPr>
                    <w:r>
                      <w:rPr>
                        <w:color w:val="3F3F3F"/>
                        <w:sz w:val="18"/>
                      </w:rPr>
                      <w:t>11,228</w:t>
                    </w:r>
                  </w:p>
                </w:txbxContent>
              </v:textbox>
            </v:shape>
            <v:shape id="_x0000_i1140" type="#_x0000_t202" style="height:180;width:522">
              <v:textbox inset="0,0,0,0">
                <w:txbxContent>
                  <w:p>
                    <w:pPr>
                      <w:spacing w:before="0" w:line="180" w:lineRule="exact"/>
                      <w:ind w:left="0" w:right="0" w:firstLine="0"/>
                      <w:jc w:val="left"/>
                      <w:rPr>
                        <w:sz w:val="18"/>
                      </w:rPr>
                    </w:pPr>
                    <w:r>
                      <w:rPr>
                        <w:color w:val="3F3F3F"/>
                        <w:sz w:val="18"/>
                      </w:rPr>
                      <w:t>10,814</w:t>
                    </w:r>
                  </w:p>
                </w:txbxContent>
              </v:textbox>
            </v:shape>
            <v:shape id="_x0000_i1141" type="#_x0000_t202" style="height:180;width:522">
              <v:textbox inset="0,0,0,0">
                <w:txbxContent>
                  <w:p>
                    <w:pPr>
                      <w:spacing w:before="0" w:line="180" w:lineRule="exact"/>
                      <w:ind w:left="0" w:right="0" w:firstLine="0"/>
                      <w:jc w:val="left"/>
                      <w:rPr>
                        <w:sz w:val="18"/>
                      </w:rPr>
                    </w:pPr>
                    <w:r>
                      <w:rPr>
                        <w:color w:val="3F3F3F"/>
                        <w:sz w:val="18"/>
                      </w:rPr>
                      <w:t>10,392</w:t>
                    </w:r>
                  </w:p>
                </w:txbxContent>
              </v:textbox>
            </v:shape>
            <v:shape id="_x0000_i1142" type="#_x0000_t202" style="height:180;width:522">
              <v:textbox inset="0,0,0,0">
                <w:txbxContent>
                  <w:p>
                    <w:pPr>
                      <w:spacing w:before="0" w:line="180" w:lineRule="exact"/>
                      <w:ind w:left="0" w:right="0" w:firstLine="0"/>
                      <w:jc w:val="left"/>
                      <w:rPr>
                        <w:sz w:val="18"/>
                      </w:rPr>
                    </w:pPr>
                    <w:r>
                      <w:rPr>
                        <w:color w:val="3F3F3F"/>
                        <w:sz w:val="18"/>
                      </w:rPr>
                      <w:t>10,719</w:t>
                    </w:r>
                  </w:p>
                </w:txbxContent>
              </v:textbox>
            </v:shape>
            <v:shape id="_x0000_i1143" type="#_x0000_t202" style="height:180;width:522">
              <v:textbox inset="0,0,0,0">
                <w:txbxContent>
                  <w:p>
                    <w:pPr>
                      <w:spacing w:before="0" w:line="180" w:lineRule="exact"/>
                      <w:ind w:left="0" w:right="0" w:firstLine="0"/>
                      <w:jc w:val="left"/>
                      <w:rPr>
                        <w:b/>
                        <w:sz w:val="18"/>
                      </w:rPr>
                    </w:pPr>
                    <w:r>
                      <w:rPr>
                        <w:b/>
                        <w:color w:val="595959"/>
                        <w:sz w:val="18"/>
                      </w:rPr>
                      <w:t>15,000</w:t>
                    </w:r>
                  </w:p>
                </w:txbxContent>
              </v:textbox>
            </v:shape>
            <v:shape id="_x0000_i1144" type="#_x0000_t202" style="height:180;width:522">
              <v:textbox inset="0,0,0,0">
                <w:txbxContent>
                  <w:p>
                    <w:pPr>
                      <w:spacing w:before="0" w:line="180" w:lineRule="exact"/>
                      <w:ind w:left="0" w:right="0" w:firstLine="0"/>
                      <w:jc w:val="left"/>
                      <w:rPr>
                        <w:sz w:val="18"/>
                      </w:rPr>
                    </w:pPr>
                    <w:r>
                      <w:rPr>
                        <w:color w:val="3F3F3F"/>
                        <w:sz w:val="18"/>
                      </w:rPr>
                      <w:t>16,665</w:t>
                    </w:r>
                  </w:p>
                </w:txbxContent>
              </v:textbox>
            </v:shape>
            <v:shape id="_x0000_i1145" type="#_x0000_t202" style="height:180;width:522">
              <v:textbox inset="0,0,0,0">
                <w:txbxContent>
                  <w:p>
                    <w:pPr>
                      <w:spacing w:before="0" w:line="180" w:lineRule="exact"/>
                      <w:ind w:left="0" w:right="0" w:firstLine="0"/>
                      <w:jc w:val="left"/>
                      <w:rPr>
                        <w:sz w:val="18"/>
                      </w:rPr>
                    </w:pPr>
                    <w:r>
                      <w:rPr>
                        <w:color w:val="3F3F3F"/>
                        <w:sz w:val="18"/>
                      </w:rPr>
                      <w:t>21,139</w:t>
                    </w:r>
                  </w:p>
                </w:txbxContent>
              </v:textbox>
            </v:shape>
            <v:shape id="_x0000_i1146" type="#_x0000_t202" style="height:180;width:522">
              <v:textbox inset="0,0,0,0">
                <w:txbxContent>
                  <w:p>
                    <w:pPr>
                      <w:spacing w:before="0" w:line="180" w:lineRule="exact"/>
                      <w:ind w:left="0" w:right="0" w:firstLine="0"/>
                      <w:jc w:val="left"/>
                      <w:rPr>
                        <w:b/>
                        <w:sz w:val="18"/>
                      </w:rPr>
                    </w:pPr>
                    <w:r>
                      <w:rPr>
                        <w:b/>
                        <w:color w:val="595959"/>
                        <w:sz w:val="18"/>
                      </w:rPr>
                      <w:t>20,000</w:t>
                    </w:r>
                  </w:p>
                </w:txbxContent>
              </v:textbox>
            </v:shape>
            <v:shape id="_x0000_i1147" type="#_x0000_t202" style="height:180;width:522">
              <v:textbox inset="0,0,0,0">
                <w:txbxContent>
                  <w:p>
                    <w:pPr>
                      <w:spacing w:before="0" w:line="180" w:lineRule="exact"/>
                      <w:ind w:left="0" w:right="0" w:firstLine="0"/>
                      <w:jc w:val="left"/>
                      <w:rPr>
                        <w:b/>
                        <w:sz w:val="18"/>
                      </w:rPr>
                    </w:pPr>
                    <w:r>
                      <w:rPr>
                        <w:b/>
                        <w:color w:val="595959"/>
                        <w:sz w:val="18"/>
                      </w:rPr>
                      <w:t>25,000</w:t>
                    </w:r>
                  </w:p>
                </w:txbxContent>
              </v:textbox>
            </v:shape>
            <v:shape id="_x0000_i1148" type="#_x0000_t202" style="height:180;width:522">
              <v:textbox inset="0,0,0,0">
                <w:txbxContent>
                  <w:p>
                    <w:pPr>
                      <w:spacing w:before="0" w:line="180" w:lineRule="exact"/>
                      <w:ind w:left="0" w:right="0" w:firstLine="0"/>
                      <w:jc w:val="left"/>
                      <w:rPr>
                        <w:sz w:val="18"/>
                      </w:rPr>
                    </w:pPr>
                    <w:r>
                      <w:rPr>
                        <w:color w:val="3F3F3F"/>
                        <w:sz w:val="18"/>
                      </w:rPr>
                      <w:t>27,913</w:t>
                    </w:r>
                  </w:p>
                </w:txbxContent>
              </v:textbox>
            </v:shape>
            <v:shape id="_x0000_i1149" type="#_x0000_t202" style="height:180;width:522">
              <v:textbox inset="0,0,0,0">
                <w:txbxContent>
                  <w:p>
                    <w:pPr>
                      <w:spacing w:before="0" w:line="180" w:lineRule="exact"/>
                      <w:ind w:left="0" w:right="0" w:firstLine="0"/>
                      <w:jc w:val="left"/>
                      <w:rPr>
                        <w:b/>
                        <w:sz w:val="18"/>
                      </w:rPr>
                    </w:pPr>
                    <w:r>
                      <w:rPr>
                        <w:b/>
                        <w:color w:val="595959"/>
                        <w:sz w:val="18"/>
                      </w:rPr>
                      <w:t>30,000</w:t>
                    </w:r>
                  </w:p>
                </w:txbxContent>
              </v:textbox>
            </v:shape>
            <v:shape id="_x0000_i1150" type="#_x0000_t202" style="height:281;width:5985">
              <v:textbox inset="0,0,0,0">
                <w:txbxContent>
                  <w:p>
                    <w:pPr>
                      <w:spacing w:before="0" w:line="281" w:lineRule="exact"/>
                      <w:ind w:left="0" w:right="0" w:firstLine="0"/>
                      <w:jc w:val="left"/>
                      <w:rPr>
                        <w:b/>
                        <w:sz w:val="28"/>
                      </w:rPr>
                    </w:pPr>
                    <w:r>
                      <w:rPr>
                        <w:b/>
                        <w:color w:val="595959"/>
                        <w:sz w:val="28"/>
                      </w:rPr>
                      <w:t xml:space="preserve">BEIS DEL Spending </w:t>
                    </w:r>
                    <w:r>
                      <w:rPr>
                        <w:b/>
                        <w:color w:val="595959"/>
                        <w:spacing w:val="-3"/>
                        <w:sz w:val="28"/>
                      </w:rPr>
                      <w:t xml:space="preserve">Trends: </w:t>
                    </w:r>
                    <w:r>
                      <w:rPr>
                        <w:b/>
                        <w:color w:val="595959"/>
                        <w:sz w:val="28"/>
                      </w:rPr>
                      <w:t>2016-17 to 2021-22 (£m)</w:t>
                    </w:r>
                  </w:p>
                </w:txbxContent>
              </v:textbox>
            </v:shape>
            <w10:wrap type="topAndBottom"/>
          </v:group>
        </w:pict>
      </w:r>
      <w:r>
        <w:pict>
          <v:group id="_x0000_s1151" style="height:298pt;margin-left:71.64pt;margin-top:311.65pt;mso-position-horizontal-relative:page;mso-wrap-distance-left:0;mso-wrap-distance-right:0;position:absolute;width:432.25pt;z-index:-251655168" coordorigin="1433,6233" coordsize="8645,5960">
            <v:line id="_x0000_s1152" style="position:absolute" from="2386,10371" to="10015,10371" strokecolor="#d8d8d8" strokeweight="0.72pt">
              <v:stroke dashstyle="solid"/>
            </v:line>
            <v:line id="_x0000_s1153" style="position:absolute" from="2386,9375" to="10015,9375" strokecolor="#d8d8d8" strokeweight="0.72pt">
              <v:stroke dashstyle="solid"/>
            </v:line>
            <v:line id="_x0000_s1154" style="position:absolute" from="2386,8379" to="10015,8379" strokecolor="#d8d8d8" strokeweight="0.72pt">
              <v:stroke dashstyle="solid"/>
            </v:line>
            <v:line id="_x0000_s1155" style="position:absolute" from="2386,9178" to="10015,9178" strokecolor="#d8d8d8" strokeweight="0.72pt">
              <v:stroke dashstyle="solid"/>
            </v:line>
            <v:shape id="_x0000_s1156" style="height:3600;left:3021;position:absolute;top:7682;width:6358" coordorigin="3022,7683" coordsize="6358,3600" path="m3022,9106l4291,7683,5563,11283,6835,8779,8107,8712,9379,8652e" strokecolor="#4472c3" strokeweight="2.28pt">
              <v:stroke dashstyle="solid"/>
              <v:path arrowok="t"/>
            </v:shape>
            <v:shape id="_x0000_s1157" type="#_x0000_t75" style="height:116;left:2964;position:absolute;top:9050;width:116">
              <v:imagedata r:id="rId10" o:title=""/>
            </v:shape>
            <v:shape id="_x0000_s1158" type="#_x0000_t75" style="height:116;left:4233;position:absolute;top:7625;width:116">
              <v:imagedata r:id="rId10" o:title=""/>
            </v:shape>
            <v:shape id="_x0000_s1159" type="#_x0000_t75" style="height:116;left:5505;position:absolute;top:11227;width:116">
              <v:imagedata r:id="rId11" o:title=""/>
            </v:shape>
            <v:shape id="_x0000_s1160" type="#_x0000_t75" style="height:116;left:6777;position:absolute;top:8724;width:116">
              <v:imagedata r:id="rId11" o:title=""/>
            </v:shape>
            <v:shape id="_x0000_s1161" type="#_x0000_t75" style="height:116;left:8049;position:absolute;top:8657;width:116">
              <v:imagedata r:id="rId12" o:title=""/>
            </v:shape>
            <v:shape id="_x0000_s1162" type="#_x0000_t75" style="height:116;left:9319;position:absolute;top:8597;width:116">
              <v:imagedata r:id="rId11" o:title=""/>
            </v:shape>
            <v:shape id="_x0000_s1163" style="height:663;left:3021;position:absolute;top:8537;width:6358" coordorigin="3022,8537" coordsize="6358,663" path="m3022,9175l4291,9199,5563,9185,6835,9178,8107,8537,9379,9144e" strokecolor="#ed7c31" strokeweight="2.28pt">
              <v:stroke dashstyle="solid"/>
              <v:path arrowok="t"/>
            </v:shape>
            <v:shape id="_x0000_s1164" style="height:101;left:2971;position:absolute;top:9127;width:101" coordorigin="2971,9127" coordsize="101,101" path="m3022,9228l3003,9224,2987,9213,2975,9197,2971,9178,2975,9158,2987,9142,3003,9131,3022,9127,3042,9131,3058,9142,3068,9158,3072,9178,3068,9197,3058,9213,3042,9224,3022,9228xe" fillcolor="#ed7c31">
              <v:fill type="solid"/>
              <v:path arrowok="t"/>
            </v:shape>
            <v:shape id="_x0000_s1165" style="height:101;left:2971;position:absolute;top:9127;width:101" coordorigin="2971,9127" coordsize="101,101" path="m3072,9178l3068,9197,3058,9213,3042,9224,3022,9228,3003,9224,2987,9213,2975,9197,2971,9178,2975,9158,2987,9142,3003,9131,3022,9127,3042,9131,3058,9142,3068,9158,3072,9178e" strokecolor="#ed7c31" strokeweight="0.72pt">
              <v:stroke dashstyle="solid"/>
              <v:path arrowok="t"/>
            </v:shape>
            <v:shape id="_x0000_s1166" style="height:101;left:4240;position:absolute;top:9151;width:101" coordorigin="4241,9151" coordsize="101,101" path="m4291,9252l4272,9248,4256,9237,4245,9221,4241,9202,4245,9182,4256,9166,4272,9155,4291,9151,4311,9155,4327,9166,4338,9182,4342,9202,4338,9221,4327,9237,4311,9248,4291,9252xe" fillcolor="#ed7c31">
              <v:fill type="solid"/>
              <v:path arrowok="t"/>
            </v:shape>
            <v:shape id="_x0000_s1167" style="height:101;left:4240;position:absolute;top:9151;width:101" coordorigin="4241,9151" coordsize="101,101" path="m4342,9202l4338,9221,4327,9237,4311,9248,4291,9252,4272,9248,4256,9237,4245,9221,4241,9202,4245,9182,4256,9166,4272,9155,4291,9151,4311,9155,4327,9166,4338,9182,4342,9202e" strokecolor="#ed7c31" strokeweight="0.72pt">
              <v:stroke dashstyle="solid"/>
              <v:path arrowok="t"/>
            </v:shape>
            <v:shape id="_x0000_s1168" style="height:101;left:5512;position:absolute;top:9137;width:101" coordorigin="5513,9137" coordsize="101,101" path="m5563,9238l5544,9234,5528,9223,5517,9207,5513,9187,5517,9167,5528,9151,5544,9141,5563,9137,5583,9141,5599,9151,5610,9167,5614,9187,5610,9207,5599,9223,5583,9234,5563,9238xe" fillcolor="#ed7c31">
              <v:fill type="solid"/>
              <v:path arrowok="t"/>
            </v:shape>
            <v:shape id="_x0000_s1169" style="height:101;left:5512;position:absolute;top:9137;width:101" coordorigin="5513,9137" coordsize="101,101" path="m5614,9187l5610,9207,5599,9223,5583,9234,5563,9238,5544,9234,5528,9223,5517,9207,5513,9187,5517,9167,5528,9151,5544,9141,5563,9137,5583,9141,5599,9151,5610,9167,5614,9187e" strokecolor="#ed7c31" strokeweight="0.72pt">
              <v:stroke dashstyle="solid"/>
              <v:path arrowok="t"/>
            </v:shape>
            <v:shape id="_x0000_s1170" style="height:101;left:6784;position:absolute;top:9129;width:101" coordorigin="6785,9130" coordsize="101,101" path="m6835,9231l6816,9227,6800,9215,6789,9199,6785,9180,6789,9160,6800,9144,6816,9134,6835,9130,6855,9134,6871,9144,6882,9160,6886,9180,6882,9199,6871,9215,6855,9227,6835,9231xe" fillcolor="#ed7c31">
              <v:fill type="solid"/>
              <v:path arrowok="t"/>
            </v:shape>
            <v:shape id="_x0000_s1171" style="height:101;left:6784;position:absolute;top:9129;width:101" coordorigin="6785,9130" coordsize="101,101" path="m6886,9180l6882,9199,6871,9215,6855,9227,6835,9231,6816,9227,6800,9215,6789,9199,6785,9180,6789,9160,6800,9144,6816,9134,6835,9130,6855,9134,6871,9144,6882,9160,6886,9180e" strokecolor="#ed7c31" strokeweight="0.72pt">
              <v:stroke dashstyle="solid"/>
              <v:path arrowok="t"/>
            </v:shape>
            <v:shape id="_x0000_s1172" style="height:101;left:8056;position:absolute;top:8489;width:101" coordorigin="8057,8489" coordsize="101,101" path="m8107,8590l8088,8586,8072,8575,8061,8559,8057,8539,8061,8519,8072,8503,8088,8493,8107,8489,8127,8493,8143,8503,8154,8519,8158,8539,8154,8559,8143,8575,8127,8586,8107,8590xe" fillcolor="#ed7c31">
              <v:fill type="solid"/>
              <v:path arrowok="t"/>
            </v:shape>
            <v:shape id="_x0000_s1173" style="height:101;left:8056;position:absolute;top:8489;width:101" coordorigin="8057,8489" coordsize="101,101" path="m8158,8539l8154,8559,8143,8575,8127,8586,8107,8590,8088,8586,8072,8575,8061,8559,8057,8539,8061,8519,8072,8503,8088,8493,8107,8489,8127,8493,8143,8503,8154,8519,8158,8539e" strokecolor="#ed7c31" strokeweight="0.72pt">
              <v:stroke dashstyle="solid"/>
              <v:path arrowok="t"/>
            </v:shape>
            <v:shape id="_x0000_s1174" type="#_x0000_t75" style="height:116;left:9319;position:absolute;top:9089;width:116">
              <v:imagedata r:id="rId13" o:title=""/>
            </v:shape>
            <v:shape id="_x0000_s1175" style="height:89;left:3021;position:absolute;top:9017;width:166" coordorigin="3022,9017" coordsize="166,89" path="m3022,9106l3096,9017,3187,9017e" strokecolor="#a5a5a5" strokeweight="0.72pt">
              <v:stroke dashstyle="solid"/>
              <v:path arrowok="t"/>
            </v:shape>
            <v:line id="_x0000_s1176" style="position:absolute" from="6835,8506" to="7142,8779" strokecolor="#a5a5a5" strokeweight="0.72pt">
              <v:stroke dashstyle="solid"/>
            </v:line>
            <v:line id="_x0000_s1177" style="position:absolute" from="8107,8715" to="8412,8887" strokecolor="#a5a5a5" strokeweight="0.72pt">
              <v:stroke dashstyle="solid"/>
            </v:line>
            <v:line id="_x0000_s1178" style="position:absolute" from="9379,8451" to="9742,8652" strokecolor="#a5a5a5" strokeweight="0.72pt">
              <v:stroke dashstyle="solid"/>
            </v:line>
            <v:line id="_x0000_s1179" style="position:absolute" from="3022,9178" to="3022,9521" strokecolor="#a5a5a5" strokeweight="0.72pt">
              <v:stroke dashstyle="solid"/>
            </v:line>
            <v:line id="_x0000_s1180" style="position:absolute" from="4294,9199" to="4294,9545" strokecolor="#a5a5a5" strokeweight="0.72pt">
              <v:stroke dashstyle="solid"/>
            </v:line>
            <v:line id="_x0000_s1181" style="position:absolute" from="5566,9185" to="5566,9576" strokecolor="#a5a5a5" strokeweight="0.72pt">
              <v:stroke dashstyle="solid"/>
            </v:line>
            <v:line id="_x0000_s1182" style="position:absolute" from="6835,9180" to="6835,9547" strokecolor="#a5a5a5" strokeweight="0.72pt">
              <v:stroke dashstyle="solid"/>
            </v:line>
            <v:line id="_x0000_s1183" style="position:absolute" from="8107,8331" to="8107,8537" strokecolor="#a5a5a5" strokeweight="0.72pt">
              <v:stroke dashstyle="solid"/>
            </v:line>
            <v:line id="_x0000_s1184" style="position:absolute" from="9379,9144" to="9401,9574" strokecolor="#a5a5a5" strokeweight="0.72pt">
              <v:stroke dashstyle="solid"/>
            </v:line>
            <v:line id="_x0000_s1185" style="position:absolute" from="2386,7385" to="10015,7385" strokecolor="#d8d8d8" strokeweight="0.72pt">
              <v:stroke dashstyle="solid"/>
            </v:line>
            <v:shape id="_x0000_s1186" type="#_x0000_t75" style="height:116;left:4264;position:absolute;top:11837;width:384">
              <v:imagedata r:id="rId14" o:title=""/>
            </v:shape>
            <v:shape id="_x0000_s1187" type="#_x0000_t75" style="height:116;left:6000;position:absolute;top:11837;width:384">
              <v:imagedata r:id="rId15" o:title=""/>
            </v:shape>
            <v:rect id="_x0000_s1188" style="height:5945;left:1440;position:absolute;top:6240;width:8631" strokecolor="#d8d8d8" strokeweight="0.72pt">
              <v:stroke dashstyle="solid"/>
            </v:rect>
            <v:shape id="_x0000_i1189" type="#_x0000_t202" style="height:180;width:913">
              <v:textbox inset="0,0,0,0">
                <w:txbxContent>
                  <w:p>
                    <w:pPr>
                      <w:spacing w:before="0" w:line="180" w:lineRule="exact"/>
                      <w:ind w:left="0" w:right="0" w:firstLine="0"/>
                      <w:jc w:val="left"/>
                      <w:rPr>
                        <w:sz w:val="18"/>
                      </w:rPr>
                    </w:pPr>
                    <w:r>
                      <w:rPr>
                        <w:color w:val="595959"/>
                        <w:sz w:val="18"/>
                      </w:rPr>
                      <w:t>Capital AME</w:t>
                    </w:r>
                  </w:p>
                </w:txbxContent>
              </v:textbox>
            </v:shape>
            <v:shape id="_x0000_i1190" type="#_x0000_t202" style="height:180;width:1082">
              <v:textbox inset="0,0,0,0">
                <w:txbxContent>
                  <w:p>
                    <w:pPr>
                      <w:spacing w:before="0" w:line="180" w:lineRule="exact"/>
                      <w:ind w:left="0" w:right="0" w:firstLine="0"/>
                      <w:jc w:val="left"/>
                      <w:rPr>
                        <w:sz w:val="18"/>
                      </w:rPr>
                    </w:pPr>
                    <w:r>
                      <w:rPr>
                        <w:color w:val="595959"/>
                        <w:sz w:val="18"/>
                      </w:rPr>
                      <w:t>Resource AME</w:t>
                    </w:r>
                  </w:p>
                </w:txbxContent>
              </v:textbox>
            </v:shape>
            <v:shape id="_x0000_i1191" type="#_x0000_t202" style="height:206;width:7650">
              <v:textbox inset="0,0,0,0">
                <w:txbxContent>
                  <w:p>
                    <w:pPr>
                      <w:tabs>
                        <w:tab w:val="left" w:pos="3345"/>
                        <w:tab w:val="left" w:pos="7629"/>
                      </w:tabs>
                      <w:spacing w:before="0" w:line="205" w:lineRule="exact"/>
                      <w:ind w:left="0" w:right="0" w:firstLine="0"/>
                      <w:jc w:val="left"/>
                      <w:rPr>
                        <w:sz w:val="18"/>
                      </w:rPr>
                    </w:pPr>
                    <w:r>
                      <w:rPr>
                        <w:rFonts w:ascii="Times New Roman"/>
                        <w:color w:val="3F3F3F"/>
                        <w:sz w:val="18"/>
                        <w:u w:val="single" w:color="D8D8D8"/>
                      </w:rPr>
                      <w:t xml:space="preserve"> </w:t>
                      <w:tab/>
                    </w:r>
                    <w:r>
                      <w:rPr>
                        <w:color w:val="3F3F3F"/>
                        <w:sz w:val="18"/>
                        <w:u w:val="single" w:color="D8D8D8"/>
                      </w:rPr>
                      <w:t>-105,865</w:t>
                      <w:tab/>
                    </w:r>
                  </w:p>
                </w:txbxContent>
              </v:textbox>
            </v:shape>
            <v:shape id="_x0000_i1192" type="#_x0000_t202" style="height:180;width:668">
              <v:textbox inset="0,0,0,0">
                <w:txbxContent>
                  <w:p>
                    <w:pPr>
                      <w:spacing w:before="0" w:line="180" w:lineRule="exact"/>
                      <w:ind w:left="0" w:right="0" w:firstLine="0"/>
                      <w:jc w:val="left"/>
                      <w:rPr>
                        <w:b/>
                        <w:sz w:val="18"/>
                      </w:rPr>
                    </w:pPr>
                    <w:r>
                      <w:rPr>
                        <w:b/>
                        <w:color w:val="595959"/>
                        <w:sz w:val="18"/>
                      </w:rPr>
                      <w:t>-110,000</w:t>
                    </w:r>
                  </w:p>
                </w:txbxContent>
              </v:textbox>
            </v:shape>
            <v:shape id="_x0000_i1193" type="#_x0000_t202" style="height:180;width:578">
              <v:textbox inset="0,0,0,0">
                <w:txbxContent>
                  <w:p>
                    <w:pPr>
                      <w:spacing w:before="0" w:line="180" w:lineRule="exact"/>
                      <w:ind w:left="0" w:right="0" w:firstLine="0"/>
                      <w:jc w:val="left"/>
                      <w:rPr>
                        <w:b/>
                        <w:sz w:val="18"/>
                      </w:rPr>
                    </w:pPr>
                    <w:r>
                      <w:rPr>
                        <w:b/>
                        <w:color w:val="595959"/>
                        <w:sz w:val="18"/>
                      </w:rPr>
                      <w:t>-60,000</w:t>
                    </w:r>
                  </w:p>
                </w:txbxContent>
              </v:textbox>
            </v:shape>
            <v:shape id="_x0000_i1194" type="#_x0000_t202" style="height:493;width:623">
              <v:textbox inset="0,0,0,0">
                <w:txbxContent>
                  <w:p>
                    <w:pPr>
                      <w:spacing w:before="0" w:line="183" w:lineRule="exact"/>
                      <w:ind w:left="0" w:right="18" w:firstLine="0"/>
                      <w:jc w:val="right"/>
                      <w:rPr>
                        <w:b/>
                        <w:sz w:val="18"/>
                      </w:rPr>
                    </w:pPr>
                    <w:r>
                      <w:rPr>
                        <w:b/>
                        <w:color w:val="595959"/>
                        <w:sz w:val="18"/>
                      </w:rPr>
                      <w:t>2021-22</w:t>
                    </w:r>
                  </w:p>
                  <w:p>
                    <w:pPr>
                      <w:spacing w:before="92" w:line="216" w:lineRule="exact"/>
                      <w:ind w:left="0" w:right="92" w:firstLine="0"/>
                      <w:jc w:val="right"/>
                      <w:rPr>
                        <w:sz w:val="18"/>
                      </w:rPr>
                    </w:pPr>
                    <w:r>
                      <w:rPr>
                        <w:color w:val="3F3F3F"/>
                        <w:sz w:val="18"/>
                      </w:rPr>
                      <w:t>1,599</w:t>
                    </w:r>
                  </w:p>
                </w:txbxContent>
              </v:textbox>
            </v:shape>
            <v:shape id="_x0000_i1195" type="#_x0000_t202" style="height:180;width:623">
              <v:textbox inset="0,0,0,0">
                <w:txbxContent>
                  <w:p>
                    <w:pPr>
                      <w:spacing w:before="0" w:line="180" w:lineRule="exact"/>
                      <w:ind w:left="0" w:right="0" w:firstLine="0"/>
                      <w:jc w:val="left"/>
                      <w:rPr>
                        <w:b/>
                        <w:sz w:val="18"/>
                      </w:rPr>
                    </w:pPr>
                    <w:r>
                      <w:rPr>
                        <w:b/>
                        <w:color w:val="595959"/>
                        <w:sz w:val="18"/>
                      </w:rPr>
                      <w:t>2020-21</w:t>
                    </w:r>
                  </w:p>
                </w:txbxContent>
              </v:textbox>
            </v:shape>
            <v:shape id="_x0000_i1196" type="#_x0000_t202" style="height:466;width:623">
              <v:textbox inset="0,0,0,0">
                <w:txbxContent>
                  <w:p>
                    <w:pPr>
                      <w:spacing w:before="0" w:line="183" w:lineRule="exact"/>
                      <w:ind w:left="0" w:right="18" w:firstLine="0"/>
                      <w:jc w:val="center"/>
                      <w:rPr>
                        <w:b/>
                        <w:sz w:val="18"/>
                      </w:rPr>
                    </w:pPr>
                    <w:r>
                      <w:rPr>
                        <w:b/>
                        <w:color w:val="595959"/>
                        <w:sz w:val="18"/>
                      </w:rPr>
                      <w:t>2019-20</w:t>
                    </w:r>
                  </w:p>
                  <w:p>
                    <w:pPr>
                      <w:spacing w:before="66" w:line="216" w:lineRule="exact"/>
                      <w:ind w:left="0" w:right="19" w:firstLine="0"/>
                      <w:jc w:val="center"/>
                      <w:rPr>
                        <w:sz w:val="18"/>
                      </w:rPr>
                    </w:pPr>
                    <w:r>
                      <w:rPr>
                        <w:color w:val="3F3F3F"/>
                        <w:sz w:val="18"/>
                      </w:rPr>
                      <w:t>-137</w:t>
                    </w:r>
                  </w:p>
                </w:txbxContent>
              </v:textbox>
            </v:shape>
            <v:shape id="_x0000_i1197" type="#_x0000_t202" style="height:495;width:623">
              <v:textbox inset="0,0,0,0">
                <w:txbxContent>
                  <w:p>
                    <w:pPr>
                      <w:spacing w:before="0" w:line="183" w:lineRule="exact"/>
                      <w:ind w:left="0" w:right="18" w:firstLine="0"/>
                      <w:jc w:val="center"/>
                      <w:rPr>
                        <w:b/>
                        <w:sz w:val="18"/>
                      </w:rPr>
                    </w:pPr>
                    <w:r>
                      <w:rPr>
                        <w:b/>
                        <w:color w:val="595959"/>
                        <w:sz w:val="18"/>
                      </w:rPr>
                      <w:t>2018-19</w:t>
                    </w:r>
                  </w:p>
                  <w:p>
                    <w:pPr>
                      <w:spacing w:before="94" w:line="216" w:lineRule="exact"/>
                      <w:ind w:left="0" w:right="16" w:firstLine="0"/>
                      <w:jc w:val="center"/>
                      <w:rPr>
                        <w:sz w:val="18"/>
                      </w:rPr>
                    </w:pPr>
                    <w:r>
                      <w:rPr>
                        <w:color w:val="3F3F3F"/>
                        <w:sz w:val="18"/>
                      </w:rPr>
                      <w:t>-417</w:t>
                    </w:r>
                  </w:p>
                </w:txbxContent>
              </v:textbox>
            </v:shape>
            <v:shape id="_x0000_i1198" type="#_x0000_t202" style="height:464;width:623">
              <v:textbox inset="0,0,0,0">
                <w:txbxContent>
                  <w:p>
                    <w:pPr>
                      <w:spacing w:before="0" w:line="183" w:lineRule="exact"/>
                      <w:ind w:left="0" w:right="0" w:firstLine="0"/>
                      <w:jc w:val="left"/>
                      <w:rPr>
                        <w:b/>
                        <w:sz w:val="18"/>
                      </w:rPr>
                    </w:pPr>
                    <w:r>
                      <w:rPr>
                        <w:b/>
                        <w:color w:val="595959"/>
                        <w:sz w:val="18"/>
                      </w:rPr>
                      <w:t>2017-18</w:t>
                    </w:r>
                  </w:p>
                  <w:p>
                    <w:pPr>
                      <w:spacing w:before="63" w:line="216" w:lineRule="exact"/>
                      <w:ind w:left="66" w:right="0" w:firstLine="0"/>
                      <w:jc w:val="left"/>
                      <w:rPr>
                        <w:sz w:val="18"/>
                      </w:rPr>
                    </w:pPr>
                    <w:r>
                      <w:rPr>
                        <w:color w:val="3F3F3F"/>
                        <w:sz w:val="18"/>
                      </w:rPr>
                      <w:t>-1,197</w:t>
                    </w:r>
                  </w:p>
                </w:txbxContent>
              </v:textbox>
            </v:shape>
            <v:shape id="_x0000_i1199" type="#_x0000_t202" style="height:440;width:623">
              <v:textbox inset="0,0,0,0">
                <w:txbxContent>
                  <w:p>
                    <w:pPr>
                      <w:spacing w:before="0" w:line="183" w:lineRule="exact"/>
                      <w:ind w:left="0" w:right="18" w:firstLine="0"/>
                      <w:jc w:val="center"/>
                      <w:rPr>
                        <w:b/>
                        <w:sz w:val="18"/>
                      </w:rPr>
                    </w:pPr>
                    <w:r>
                      <w:rPr>
                        <w:b/>
                        <w:color w:val="595959"/>
                        <w:sz w:val="18"/>
                      </w:rPr>
                      <w:t>2016-17</w:t>
                    </w:r>
                  </w:p>
                  <w:p>
                    <w:pPr>
                      <w:spacing w:before="39" w:line="216" w:lineRule="exact"/>
                      <w:ind w:left="0" w:right="17" w:firstLine="0"/>
                      <w:jc w:val="center"/>
                      <w:rPr>
                        <w:sz w:val="18"/>
                      </w:rPr>
                    </w:pPr>
                    <w:r>
                      <w:rPr>
                        <w:color w:val="3F3F3F"/>
                        <w:sz w:val="18"/>
                      </w:rPr>
                      <w:t>-8</w:t>
                    </w:r>
                  </w:p>
                </w:txbxContent>
              </v:textbox>
            </v:shape>
            <v:shape id="_x0000_i1200" type="#_x0000_t202" style="height:180;width:578">
              <v:textbox inset="0,0,0,0">
                <w:txbxContent>
                  <w:p>
                    <w:pPr>
                      <w:spacing w:before="0" w:line="180" w:lineRule="exact"/>
                      <w:ind w:left="0" w:right="0" w:firstLine="0"/>
                      <w:jc w:val="left"/>
                      <w:rPr>
                        <w:b/>
                        <w:sz w:val="18"/>
                      </w:rPr>
                    </w:pPr>
                    <w:r>
                      <w:rPr>
                        <w:b/>
                        <w:color w:val="595959"/>
                        <w:sz w:val="18"/>
                      </w:rPr>
                      <w:t>-10,000</w:t>
                    </w:r>
                  </w:p>
                </w:txbxContent>
              </v:textbox>
            </v:shape>
            <v:shape id="_x0000_i1201" type="#_x0000_t202" style="height:180;width:522">
              <v:textbox inset="0,0,0,0">
                <w:txbxContent>
                  <w:p>
                    <w:pPr>
                      <w:spacing w:before="0" w:line="180" w:lineRule="exact"/>
                      <w:ind w:left="0" w:right="0" w:firstLine="0"/>
                      <w:jc w:val="left"/>
                      <w:rPr>
                        <w:sz w:val="18"/>
                      </w:rPr>
                    </w:pPr>
                    <w:r>
                      <w:rPr>
                        <w:color w:val="3F3F3F"/>
                        <w:sz w:val="18"/>
                      </w:rPr>
                      <w:t>23,263</w:t>
                    </w:r>
                  </w:p>
                </w:txbxContent>
              </v:textbox>
            </v:shape>
            <v:shape id="_x0000_i1202" type="#_x0000_t202" style="height:180;width:430">
              <v:textbox inset="0,0,0,0">
                <w:txbxContent>
                  <w:p>
                    <w:pPr>
                      <w:spacing w:before="0" w:line="180" w:lineRule="exact"/>
                      <w:ind w:left="0" w:right="0" w:firstLine="0"/>
                      <w:jc w:val="left"/>
                      <w:rPr>
                        <w:sz w:val="18"/>
                      </w:rPr>
                    </w:pPr>
                    <w:r>
                      <w:rPr>
                        <w:color w:val="3F3F3F"/>
                        <w:sz w:val="18"/>
                      </w:rPr>
                      <w:t>3,523</w:t>
                    </w:r>
                  </w:p>
                </w:txbxContent>
              </v:textbox>
            </v:shape>
            <v:shape id="_x0000_i1203" type="#_x0000_t202" style="height:180;width:522">
              <v:textbox inset="0,0,0,0">
                <w:txbxContent>
                  <w:p>
                    <w:pPr>
                      <w:spacing w:before="0" w:line="180" w:lineRule="exact"/>
                      <w:ind w:left="0" w:right="0" w:firstLine="0"/>
                      <w:jc w:val="left"/>
                      <w:rPr>
                        <w:sz w:val="18"/>
                      </w:rPr>
                    </w:pPr>
                    <w:r>
                      <w:rPr>
                        <w:color w:val="3F3F3F"/>
                        <w:sz w:val="18"/>
                      </w:rPr>
                      <w:t>26,322</w:t>
                    </w:r>
                  </w:p>
                </w:txbxContent>
              </v:textbox>
            </v:shape>
            <v:shape id="_x0000_i1204" type="#_x0000_t202" style="height:180;width:522">
              <v:textbox inset="0,0,0,0">
                <w:txbxContent>
                  <w:p>
                    <w:pPr>
                      <w:spacing w:before="0" w:line="180" w:lineRule="exact"/>
                      <w:ind w:left="0" w:right="0" w:firstLine="0"/>
                      <w:jc w:val="left"/>
                      <w:rPr>
                        <w:sz w:val="18"/>
                      </w:rPr>
                    </w:pPr>
                    <w:r>
                      <w:rPr>
                        <w:color w:val="3F3F3F"/>
                        <w:sz w:val="18"/>
                      </w:rPr>
                      <w:t>19,914</w:t>
                    </w:r>
                  </w:p>
                </w:txbxContent>
              </v:textbox>
            </v:shape>
            <v:shape id="_x0000_i1205" type="#_x0000_t202" style="height:180;width:522">
              <v:textbox inset="0,0,0,0">
                <w:txbxContent>
                  <w:p>
                    <w:pPr>
                      <w:spacing w:before="0" w:line="180" w:lineRule="exact"/>
                      <w:ind w:left="0" w:right="0" w:firstLine="0"/>
                      <w:jc w:val="left"/>
                      <w:rPr>
                        <w:b/>
                        <w:sz w:val="18"/>
                      </w:rPr>
                    </w:pPr>
                    <w:r>
                      <w:rPr>
                        <w:b/>
                        <w:color w:val="595959"/>
                        <w:sz w:val="18"/>
                      </w:rPr>
                      <w:t>40,000</w:t>
                    </w:r>
                  </w:p>
                </w:txbxContent>
              </v:textbox>
            </v:shape>
            <v:shape id="_x0000_i1206" type="#_x0000_t202" style="height:180;width:522">
              <v:textbox inset="0,0,0,0">
                <w:txbxContent>
                  <w:p>
                    <w:pPr>
                      <w:spacing w:before="0" w:line="180" w:lineRule="exact"/>
                      <w:ind w:left="0" w:right="0" w:firstLine="0"/>
                      <w:jc w:val="left"/>
                      <w:rPr>
                        <w:sz w:val="18"/>
                      </w:rPr>
                    </w:pPr>
                    <w:r>
                      <w:rPr>
                        <w:color w:val="3F3F3F"/>
                        <w:sz w:val="18"/>
                      </w:rPr>
                      <w:t>32,128</w:t>
                    </w:r>
                  </w:p>
                </w:txbxContent>
              </v:textbox>
            </v:shape>
            <v:shape id="_x0000_i1207" type="#_x0000_t202" style="height:180;width:522">
              <v:textbox inset="0,0,0,0">
                <w:txbxContent>
                  <w:p>
                    <w:pPr>
                      <w:spacing w:before="0" w:line="180" w:lineRule="exact"/>
                      <w:ind w:left="0" w:right="0" w:firstLine="0"/>
                      <w:jc w:val="left"/>
                      <w:rPr>
                        <w:sz w:val="18"/>
                      </w:rPr>
                    </w:pPr>
                    <w:r>
                      <w:rPr>
                        <w:color w:val="3F3F3F"/>
                        <w:sz w:val="18"/>
                      </w:rPr>
                      <w:t>75,124</w:t>
                    </w:r>
                  </w:p>
                </w:txbxContent>
              </v:textbox>
            </v:shape>
            <v:shape id="_x0000_i1208" type="#_x0000_t202" style="height:180;width:522">
              <v:textbox inset="0,0,0,0">
                <w:txbxContent>
                  <w:p>
                    <w:pPr>
                      <w:spacing w:before="0" w:line="180" w:lineRule="exact"/>
                      <w:ind w:left="0" w:right="0" w:firstLine="0"/>
                      <w:jc w:val="left"/>
                      <w:rPr>
                        <w:b/>
                        <w:sz w:val="18"/>
                      </w:rPr>
                    </w:pPr>
                    <w:r>
                      <w:rPr>
                        <w:b/>
                        <w:color w:val="595959"/>
                        <w:sz w:val="18"/>
                      </w:rPr>
                      <w:t>90,000</w:t>
                    </w:r>
                  </w:p>
                </w:txbxContent>
              </v:textbox>
            </v:shape>
            <v:shape id="_x0000_i1209" type="#_x0000_t202" style="height:281;width:6106">
              <v:textbox inset="0,0,0,0">
                <w:txbxContent>
                  <w:p>
                    <w:pPr>
                      <w:spacing w:before="0" w:line="281" w:lineRule="exact"/>
                      <w:ind w:left="0" w:right="0" w:firstLine="0"/>
                      <w:jc w:val="left"/>
                      <w:rPr>
                        <w:b/>
                        <w:sz w:val="28"/>
                      </w:rPr>
                    </w:pPr>
                    <w:r>
                      <w:rPr>
                        <w:b/>
                        <w:color w:val="595959"/>
                        <w:sz w:val="28"/>
                      </w:rPr>
                      <w:t>BEIS AME Spending Trends: 2016-17 to 2021-22 (£m)</w:t>
                    </w:r>
                  </w:p>
                </w:txbxContent>
              </v:textbox>
            </v:shape>
            <w10:wrap type="topAndBottom"/>
          </v:group>
        </w:pict>
      </w:r>
    </w:p>
    <w:p>
      <w:pPr>
        <w:pStyle w:val="BodyText"/>
        <w:spacing w:before="10"/>
        <w:rPr>
          <w:sz w:val="18"/>
        </w:rPr>
      </w:pPr>
    </w:p>
    <w:p>
      <w:pPr>
        <w:spacing w:after="0"/>
        <w:rPr>
          <w:sz w:val="18"/>
        </w:rPr>
        <w:sectPr>
          <w:pgSz w:w="11910" w:h="16840"/>
          <w:pgMar w:top="1400" w:right="280" w:bottom="280" w:left="1040" w:header="720" w:footer="720"/>
          <w:cols w:space="720"/>
        </w:sectPr>
      </w:pPr>
    </w:p>
    <w:p>
      <w:pPr>
        <w:pStyle w:val="BodyText"/>
        <w:spacing w:before="41" w:line="259" w:lineRule="auto"/>
        <w:ind w:left="1120" w:right="1164"/>
      </w:pPr>
      <w:r>
        <w:t>All 2020-21 budgets were impacted by additional expenditure in response to the Covid-19 pandemic with increases of £25,141.2 million Resource DEL and £1,396.6 million Capital DEL, and changes to AME Budgets of £(9,614.2) million Resource AME and £31,430.0 million Capital AME.</w:t>
      </w:r>
    </w:p>
    <w:p>
      <w:pPr>
        <w:pStyle w:val="Heading4"/>
        <w:spacing w:before="159"/>
      </w:pPr>
      <w:r>
        <w:t>DEL Budgets</w:t>
      </w:r>
    </w:p>
    <w:p>
      <w:pPr>
        <w:pStyle w:val="ListParagraph"/>
        <w:numPr>
          <w:ilvl w:val="0"/>
          <w:numId w:val="8"/>
        </w:numPr>
        <w:tabs>
          <w:tab w:val="left" w:pos="1119"/>
          <w:tab w:val="left" w:pos="1120"/>
        </w:tabs>
        <w:spacing w:before="181" w:after="0" w:line="259" w:lineRule="auto"/>
        <w:ind w:left="1120" w:right="1236" w:hanging="360"/>
        <w:jc w:val="left"/>
        <w:rPr>
          <w:sz w:val="22"/>
        </w:rPr>
      </w:pPr>
      <w:r>
        <w:rPr>
          <w:sz w:val="22"/>
        </w:rPr>
        <w:t>2021-22 DEL budgets include further Covid-19 expenditure as outlined in this Memorandum albeit at lower levels than seen in</w:t>
      </w:r>
      <w:r>
        <w:rPr>
          <w:spacing w:val="-4"/>
          <w:sz w:val="22"/>
        </w:rPr>
        <w:t xml:space="preserve"> </w:t>
      </w:r>
      <w:r>
        <w:rPr>
          <w:sz w:val="22"/>
        </w:rPr>
        <w:t>2020-21;</w:t>
      </w:r>
    </w:p>
    <w:p>
      <w:pPr>
        <w:pStyle w:val="ListParagraph"/>
        <w:numPr>
          <w:ilvl w:val="0"/>
          <w:numId w:val="8"/>
        </w:numPr>
        <w:tabs>
          <w:tab w:val="left" w:pos="1119"/>
          <w:tab w:val="left" w:pos="1120"/>
        </w:tabs>
        <w:spacing w:before="1" w:after="0" w:line="256" w:lineRule="auto"/>
        <w:ind w:left="1120" w:right="1650" w:hanging="360"/>
        <w:jc w:val="left"/>
        <w:rPr>
          <w:sz w:val="22"/>
        </w:rPr>
      </w:pPr>
      <w:r>
        <w:rPr>
          <w:sz w:val="22"/>
        </w:rPr>
        <w:t>2018-19 Resource DEL is lower than other years primarily due to a one-off Coal Pension surplus receipt of £(475.0)</w:t>
      </w:r>
      <w:r>
        <w:rPr>
          <w:spacing w:val="-8"/>
          <w:sz w:val="22"/>
        </w:rPr>
        <w:t xml:space="preserve"> </w:t>
      </w:r>
      <w:r>
        <w:rPr>
          <w:sz w:val="22"/>
        </w:rPr>
        <w:t>million;</w:t>
      </w:r>
    </w:p>
    <w:p>
      <w:pPr>
        <w:pStyle w:val="ListParagraph"/>
        <w:numPr>
          <w:ilvl w:val="0"/>
          <w:numId w:val="8"/>
        </w:numPr>
        <w:tabs>
          <w:tab w:val="left" w:pos="1119"/>
          <w:tab w:val="left" w:pos="1120"/>
        </w:tabs>
        <w:spacing w:before="4" w:after="0" w:line="259" w:lineRule="auto"/>
        <w:ind w:left="1120" w:right="1395" w:hanging="360"/>
        <w:jc w:val="left"/>
        <w:rPr>
          <w:sz w:val="22"/>
        </w:rPr>
      </w:pPr>
      <w:r>
        <w:rPr>
          <w:sz w:val="22"/>
        </w:rPr>
        <w:t>Capital DEL has, from 2017-18 onwards, seen significant increases in Science and Research including additional funding announced in Autumn Statement 2016 for Research and Development from the National Productivity Investment Fund (NPIF). Alongside the increases for Covid-19, 2020-21 included an additional one off £5.1 billion budget for the Nuclear Liabilities</w:t>
      </w:r>
      <w:r>
        <w:rPr>
          <w:spacing w:val="-3"/>
          <w:sz w:val="22"/>
        </w:rPr>
        <w:t xml:space="preserve"> </w:t>
      </w:r>
      <w:r>
        <w:rPr>
          <w:sz w:val="22"/>
        </w:rPr>
        <w:t>Fund;</w:t>
      </w:r>
    </w:p>
    <w:p>
      <w:pPr>
        <w:pStyle w:val="Heading4"/>
      </w:pPr>
      <w:r>
        <w:t>AME Budgets</w:t>
      </w:r>
    </w:p>
    <w:p>
      <w:pPr>
        <w:pStyle w:val="ListParagraph"/>
        <w:numPr>
          <w:ilvl w:val="0"/>
          <w:numId w:val="8"/>
        </w:numPr>
        <w:tabs>
          <w:tab w:val="left" w:pos="1119"/>
          <w:tab w:val="left" w:pos="1120"/>
        </w:tabs>
        <w:spacing w:before="183" w:after="0" w:line="259" w:lineRule="auto"/>
        <w:ind w:left="1120" w:right="1202" w:hanging="360"/>
        <w:jc w:val="left"/>
        <w:rPr>
          <w:sz w:val="22"/>
        </w:rPr>
      </w:pPr>
      <w:r>
        <w:rPr>
          <w:sz w:val="22"/>
        </w:rPr>
        <w:t>Resource AME is subject to significant fluctuation from year to year due to non-cash costs arising from movements in the fair value of Contracts for Difference and the impact of changes to discount rates on provisions. Changes to discount rates can have a particularly significant impact on the large, long-term provision for nuclear decommissioning held by the NDA, as can be seen by the substantial variation in 2017-18 and 2018-19;</w:t>
      </w:r>
      <w:r>
        <w:rPr>
          <w:spacing w:val="-12"/>
          <w:sz w:val="22"/>
        </w:rPr>
        <w:t xml:space="preserve"> </w:t>
      </w:r>
      <w:r>
        <w:rPr>
          <w:sz w:val="22"/>
        </w:rPr>
        <w:t>and</w:t>
      </w:r>
    </w:p>
    <w:p>
      <w:pPr>
        <w:pStyle w:val="ListParagraph"/>
        <w:numPr>
          <w:ilvl w:val="0"/>
          <w:numId w:val="8"/>
        </w:numPr>
        <w:tabs>
          <w:tab w:val="left" w:pos="1119"/>
          <w:tab w:val="left" w:pos="1120"/>
        </w:tabs>
        <w:spacing w:before="0" w:after="0" w:line="259" w:lineRule="auto"/>
        <w:ind w:left="1120" w:right="1196" w:hanging="360"/>
        <w:jc w:val="left"/>
        <w:rPr>
          <w:sz w:val="22"/>
        </w:rPr>
      </w:pPr>
      <w:r>
        <w:rPr>
          <w:sz w:val="22"/>
        </w:rPr>
        <w:t>Capital AME is also subject to significant fluctuation from year to year due to privatisation receipts (for Royal Mail and Green Investment Bank) and Coal Pension receipts. The material change in 2020-21 arises from the inclusion of financial guarantees for Coronavirus business loans as set out in Section</w:t>
      </w:r>
      <w:r>
        <w:rPr>
          <w:spacing w:val="-10"/>
          <w:sz w:val="22"/>
        </w:rPr>
        <w:t xml:space="preserve"> </w:t>
      </w:r>
      <w:r>
        <w:rPr>
          <w:sz w:val="22"/>
        </w:rPr>
        <w:t>1.5.</w:t>
      </w:r>
    </w:p>
    <w:p>
      <w:pPr>
        <w:pStyle w:val="BodyText"/>
      </w:pPr>
    </w:p>
    <w:p>
      <w:pPr>
        <w:pStyle w:val="BodyText"/>
      </w:pPr>
    </w:p>
    <w:p>
      <w:pPr>
        <w:pStyle w:val="BodyText"/>
      </w:pPr>
    </w:p>
    <w:p>
      <w:pPr>
        <w:pStyle w:val="BodyText"/>
        <w:spacing w:before="3"/>
        <w:rPr>
          <w:sz w:val="18"/>
        </w:rPr>
      </w:pPr>
    </w:p>
    <w:p>
      <w:pPr>
        <w:pStyle w:val="Heading2"/>
        <w:numPr>
          <w:ilvl w:val="1"/>
          <w:numId w:val="13"/>
        </w:numPr>
        <w:tabs>
          <w:tab w:val="left" w:pos="1120"/>
          <w:tab w:val="left" w:pos="1121"/>
        </w:tabs>
        <w:spacing w:before="0" w:after="0" w:line="240" w:lineRule="auto"/>
        <w:ind w:left="1120" w:right="0" w:hanging="721"/>
        <w:jc w:val="left"/>
        <w:rPr>
          <w:b w:val="0"/>
          <w:color w:val="2F5495"/>
        </w:rPr>
      </w:pPr>
      <w:r>
        <w:rPr>
          <w:b w:val="0"/>
          <w:color w:val="2F5495"/>
        </w:rPr>
        <w:t>Administration costs</w:t>
      </w:r>
    </w:p>
    <w:p>
      <w:pPr>
        <w:pStyle w:val="BodyText"/>
        <w:spacing w:before="25" w:line="259" w:lineRule="auto"/>
        <w:ind w:left="400" w:right="1574"/>
        <w:jc w:val="both"/>
      </w:pPr>
      <w:r>
        <w:t>Administration costs are set to increase by 0.2% in 2021-22 compared to last year’s final budget, reflecting the department’s SR20 settlement with smaller increases to reflect support for Spring Budget 2021 announcements and the implementation of IFRS16.</w:t>
      </w:r>
    </w:p>
    <w:p>
      <w:pPr>
        <w:pStyle w:val="BodyText"/>
        <w:spacing w:before="1"/>
        <w:rPr>
          <w:sz w:val="13"/>
        </w:rPr>
      </w:pPr>
    </w:p>
    <w:tbl>
      <w:tblPr>
        <w:tblW w:w="0" w:type="auto"/>
        <w:jc w:val="left"/>
        <w:tblInd w:w="4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25"/>
        <w:gridCol w:w="1402"/>
        <w:gridCol w:w="1551"/>
        <w:gridCol w:w="1402"/>
        <w:gridCol w:w="1637"/>
        <w:gridCol w:w="1402"/>
      </w:tblGrid>
      <w:tr>
        <w:tblPrEx>
          <w:tblW w:w="0" w:type="auto"/>
          <w:jc w:val="left"/>
          <w:tblInd w:w="4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1725"/>
          <w:jc w:val="left"/>
        </w:trPr>
        <w:tc>
          <w:tcPr>
            <w:tcW w:w="3027" w:type="dxa"/>
            <w:gridSpan w:val="2"/>
            <w:vMerge w:val="restart"/>
          </w:tcPr>
          <w:p>
            <w:pPr>
              <w:pStyle w:val="TableParagraph"/>
              <w:ind w:left="107"/>
              <w:rPr>
                <w:rFonts w:ascii="Verdana"/>
                <w:b/>
                <w:sz w:val="19"/>
              </w:rPr>
            </w:pPr>
            <w:r>
              <w:rPr>
                <w:rFonts w:ascii="Verdana"/>
                <w:b/>
                <w:color w:val="333333"/>
                <w:sz w:val="19"/>
              </w:rPr>
              <w:t>Spending total</w:t>
            </w:r>
          </w:p>
          <w:p>
            <w:pPr>
              <w:pStyle w:val="TableParagraph"/>
              <w:spacing w:before="178" w:line="427" w:lineRule="auto"/>
              <w:ind w:left="107" w:right="142"/>
              <w:rPr>
                <w:rFonts w:ascii="Verdana"/>
                <w:b/>
                <w:sz w:val="19"/>
              </w:rPr>
            </w:pPr>
            <w:r>
              <w:rPr>
                <w:rFonts w:ascii="Verdana"/>
                <w:b/>
                <w:color w:val="333333"/>
                <w:sz w:val="19"/>
              </w:rPr>
              <w:t>Amounts sought this year (Main Estimate 2021-22)</w:t>
            </w:r>
          </w:p>
        </w:tc>
        <w:tc>
          <w:tcPr>
            <w:tcW w:w="2953" w:type="dxa"/>
            <w:gridSpan w:val="2"/>
          </w:tcPr>
          <w:p>
            <w:pPr>
              <w:pStyle w:val="TableParagraph"/>
              <w:spacing w:line="259" w:lineRule="auto"/>
              <w:ind w:left="107" w:right="102"/>
              <w:rPr>
                <w:rFonts w:ascii="Verdana"/>
                <w:b/>
                <w:sz w:val="19"/>
              </w:rPr>
            </w:pPr>
            <w:r>
              <w:rPr>
                <w:rFonts w:ascii="Verdana"/>
                <w:b/>
                <w:color w:val="333333"/>
                <w:sz w:val="19"/>
              </w:rPr>
              <w:t>Compared to final budget last year</w:t>
            </w:r>
          </w:p>
          <w:p>
            <w:pPr>
              <w:pStyle w:val="TableParagraph"/>
              <w:spacing w:before="159" w:line="259" w:lineRule="auto"/>
              <w:ind w:left="107" w:right="108"/>
              <w:rPr>
                <w:rFonts w:ascii="Verdana"/>
                <w:b/>
                <w:sz w:val="19"/>
              </w:rPr>
            </w:pPr>
            <w:r>
              <w:rPr>
                <w:rFonts w:ascii="Verdana"/>
                <w:b/>
                <w:color w:val="333333"/>
                <w:sz w:val="19"/>
              </w:rPr>
              <w:t>(Supplementary Estimate 2020-21)</w:t>
            </w:r>
          </w:p>
        </w:tc>
        <w:tc>
          <w:tcPr>
            <w:tcW w:w="3039" w:type="dxa"/>
            <w:gridSpan w:val="2"/>
          </w:tcPr>
          <w:p>
            <w:pPr>
              <w:pStyle w:val="TableParagraph"/>
              <w:spacing w:line="259" w:lineRule="auto"/>
              <w:ind w:left="106" w:right="659"/>
              <w:rPr>
                <w:rFonts w:ascii="Verdana"/>
                <w:b/>
                <w:sz w:val="19"/>
              </w:rPr>
            </w:pPr>
            <w:r>
              <w:rPr>
                <w:rFonts w:ascii="Verdana"/>
                <w:b/>
                <w:color w:val="333333"/>
                <w:sz w:val="19"/>
              </w:rPr>
              <w:t>Compared to original budget last year</w:t>
            </w:r>
          </w:p>
          <w:p>
            <w:pPr>
              <w:pStyle w:val="TableParagraph"/>
              <w:spacing w:before="159"/>
              <w:ind w:left="106"/>
              <w:rPr>
                <w:rFonts w:ascii="Verdana"/>
                <w:b/>
                <w:sz w:val="19"/>
              </w:rPr>
            </w:pPr>
            <w:r>
              <w:rPr>
                <w:rFonts w:ascii="Verdana"/>
                <w:b/>
                <w:color w:val="333333"/>
                <w:sz w:val="19"/>
              </w:rPr>
              <w:t>(Main Estimate 2020-21)</w:t>
            </w:r>
          </w:p>
        </w:tc>
      </w:tr>
      <w:tr>
        <w:tblPrEx>
          <w:tblW w:w="0" w:type="auto"/>
          <w:jc w:val="left"/>
          <w:tblInd w:w="410" w:type="dxa"/>
          <w:tblLayout w:type="fixed"/>
          <w:tblCellMar>
            <w:top w:w="0" w:type="dxa"/>
            <w:left w:w="0" w:type="dxa"/>
            <w:bottom w:w="0" w:type="dxa"/>
            <w:right w:w="0" w:type="dxa"/>
          </w:tblCellMar>
          <w:tblLook w:val="01E0"/>
        </w:tblPrEx>
        <w:trPr>
          <w:trHeight w:val="410"/>
          <w:jc w:val="left"/>
        </w:trPr>
        <w:tc>
          <w:tcPr>
            <w:tcW w:w="3027" w:type="dxa"/>
            <w:gridSpan w:val="2"/>
            <w:vMerge/>
            <w:tcBorders>
              <w:top w:val="nil"/>
            </w:tcBorders>
          </w:tcPr>
          <w:p>
            <w:pPr>
              <w:rPr>
                <w:sz w:val="2"/>
                <w:szCs w:val="2"/>
              </w:rPr>
            </w:pPr>
          </w:p>
        </w:tc>
        <w:tc>
          <w:tcPr>
            <w:tcW w:w="1551" w:type="dxa"/>
          </w:tcPr>
          <w:p>
            <w:pPr>
              <w:pStyle w:val="TableParagraph"/>
              <w:ind w:left="107"/>
              <w:rPr>
                <w:rFonts w:ascii="Verdana" w:hAnsi="Verdana"/>
                <w:b/>
                <w:sz w:val="19"/>
              </w:rPr>
            </w:pPr>
            <w:r>
              <w:rPr>
                <w:rFonts w:ascii="Verdana" w:hAnsi="Verdana"/>
                <w:b/>
                <w:color w:val="333333"/>
                <w:sz w:val="19"/>
              </w:rPr>
              <w:t>£ m</w:t>
            </w:r>
          </w:p>
        </w:tc>
        <w:tc>
          <w:tcPr>
            <w:tcW w:w="1402" w:type="dxa"/>
          </w:tcPr>
          <w:p>
            <w:pPr>
              <w:pStyle w:val="TableParagraph"/>
              <w:ind w:left="106"/>
              <w:rPr>
                <w:rFonts w:ascii="Verdana"/>
                <w:b/>
                <w:sz w:val="19"/>
              </w:rPr>
            </w:pPr>
            <w:r>
              <w:rPr>
                <w:rFonts w:ascii="Verdana"/>
                <w:b/>
                <w:color w:val="333333"/>
                <w:w w:val="99"/>
                <w:sz w:val="19"/>
              </w:rPr>
              <w:t>%</w:t>
            </w:r>
          </w:p>
        </w:tc>
        <w:tc>
          <w:tcPr>
            <w:tcW w:w="1637" w:type="dxa"/>
          </w:tcPr>
          <w:p>
            <w:pPr>
              <w:pStyle w:val="TableParagraph"/>
              <w:ind w:left="106"/>
              <w:rPr>
                <w:rFonts w:ascii="Verdana" w:hAnsi="Verdana"/>
                <w:b/>
                <w:sz w:val="19"/>
              </w:rPr>
            </w:pPr>
            <w:r>
              <w:rPr>
                <w:rFonts w:ascii="Verdana" w:hAnsi="Verdana"/>
                <w:b/>
                <w:color w:val="333333"/>
                <w:sz w:val="19"/>
              </w:rPr>
              <w:t>£m</w:t>
            </w:r>
          </w:p>
        </w:tc>
        <w:tc>
          <w:tcPr>
            <w:tcW w:w="1402" w:type="dxa"/>
          </w:tcPr>
          <w:p>
            <w:pPr>
              <w:pStyle w:val="TableParagraph"/>
              <w:ind w:left="106"/>
              <w:rPr>
                <w:rFonts w:ascii="Verdana" w:hAnsi="Verdana"/>
                <w:b/>
                <w:sz w:val="19"/>
              </w:rPr>
            </w:pPr>
            <w:r>
              <w:rPr>
                <w:rFonts w:ascii="Verdana" w:hAnsi="Verdana"/>
                <w:b/>
                <w:color w:val="333333"/>
                <w:sz w:val="19"/>
              </w:rPr>
              <w:t>£ m</w:t>
            </w:r>
          </w:p>
        </w:tc>
      </w:tr>
      <w:tr>
        <w:tblPrEx>
          <w:tblW w:w="0" w:type="auto"/>
          <w:jc w:val="left"/>
          <w:tblInd w:w="410" w:type="dxa"/>
          <w:tblLayout w:type="fixed"/>
          <w:tblCellMar>
            <w:top w:w="0" w:type="dxa"/>
            <w:left w:w="0" w:type="dxa"/>
            <w:bottom w:w="0" w:type="dxa"/>
            <w:right w:w="0" w:type="dxa"/>
          </w:tblCellMar>
          <w:tblLook w:val="01E0"/>
        </w:tblPrEx>
        <w:trPr>
          <w:trHeight w:val="657"/>
          <w:jc w:val="left"/>
        </w:trPr>
        <w:tc>
          <w:tcPr>
            <w:tcW w:w="1625" w:type="dxa"/>
          </w:tcPr>
          <w:p>
            <w:pPr>
              <w:pStyle w:val="TableParagraph"/>
              <w:spacing w:line="259" w:lineRule="auto"/>
              <w:ind w:left="107"/>
              <w:rPr>
                <w:rFonts w:ascii="Verdana"/>
                <w:sz w:val="19"/>
              </w:rPr>
            </w:pPr>
            <w:r>
              <w:rPr>
                <w:rFonts w:ascii="Verdana"/>
                <w:color w:val="333333"/>
                <w:w w:val="95"/>
                <w:sz w:val="19"/>
              </w:rPr>
              <w:t xml:space="preserve">Administration </w:t>
            </w:r>
            <w:r>
              <w:rPr>
                <w:rFonts w:ascii="Verdana"/>
                <w:color w:val="333333"/>
                <w:sz w:val="19"/>
              </w:rPr>
              <w:t>costs</w:t>
            </w:r>
          </w:p>
        </w:tc>
        <w:tc>
          <w:tcPr>
            <w:tcW w:w="1402" w:type="dxa"/>
          </w:tcPr>
          <w:p>
            <w:pPr>
              <w:pStyle w:val="TableParagraph"/>
              <w:ind w:left="107"/>
              <w:rPr>
                <w:rFonts w:ascii="Verdana" w:hAnsi="Verdana"/>
                <w:sz w:val="19"/>
              </w:rPr>
            </w:pPr>
            <w:r>
              <w:rPr>
                <w:rFonts w:ascii="Verdana" w:hAnsi="Verdana"/>
                <w:color w:val="333333"/>
                <w:sz w:val="19"/>
              </w:rPr>
              <w:t>£616.3 m</w:t>
            </w:r>
          </w:p>
        </w:tc>
        <w:tc>
          <w:tcPr>
            <w:tcW w:w="1551" w:type="dxa"/>
          </w:tcPr>
          <w:p>
            <w:pPr>
              <w:pStyle w:val="TableParagraph"/>
              <w:ind w:left="107"/>
              <w:rPr>
                <w:rFonts w:ascii="Verdana" w:hAnsi="Verdana"/>
                <w:sz w:val="19"/>
              </w:rPr>
            </w:pPr>
            <w:r>
              <w:rPr>
                <w:rFonts w:ascii="Verdana" w:hAnsi="Verdana"/>
                <w:color w:val="333333"/>
                <w:sz w:val="19"/>
              </w:rPr>
              <w:t>£1.5 m</w:t>
            </w:r>
          </w:p>
        </w:tc>
        <w:tc>
          <w:tcPr>
            <w:tcW w:w="1402" w:type="dxa"/>
          </w:tcPr>
          <w:p>
            <w:pPr>
              <w:pStyle w:val="TableParagraph"/>
              <w:ind w:left="107"/>
              <w:rPr>
                <w:rFonts w:ascii="Verdana"/>
                <w:sz w:val="19"/>
              </w:rPr>
            </w:pPr>
            <w:r>
              <w:rPr>
                <w:rFonts w:ascii="Verdana"/>
                <w:color w:val="333333"/>
                <w:sz w:val="19"/>
              </w:rPr>
              <w:t>+0.2%</w:t>
            </w:r>
          </w:p>
        </w:tc>
        <w:tc>
          <w:tcPr>
            <w:tcW w:w="1637" w:type="dxa"/>
          </w:tcPr>
          <w:p>
            <w:pPr>
              <w:pStyle w:val="TableParagraph"/>
              <w:ind w:left="105"/>
              <w:rPr>
                <w:rFonts w:ascii="Verdana" w:hAnsi="Verdana"/>
                <w:sz w:val="19"/>
              </w:rPr>
            </w:pPr>
            <w:r>
              <w:rPr>
                <w:rFonts w:ascii="Verdana" w:hAnsi="Verdana"/>
                <w:color w:val="333333"/>
                <w:sz w:val="19"/>
              </w:rPr>
              <w:t>+£42.9 m</w:t>
            </w:r>
          </w:p>
        </w:tc>
        <w:tc>
          <w:tcPr>
            <w:tcW w:w="1402" w:type="dxa"/>
          </w:tcPr>
          <w:p>
            <w:pPr>
              <w:pStyle w:val="TableParagraph"/>
              <w:ind w:left="106"/>
              <w:rPr>
                <w:rFonts w:ascii="Verdana"/>
                <w:sz w:val="19"/>
              </w:rPr>
            </w:pPr>
            <w:r>
              <w:rPr>
                <w:rFonts w:ascii="Verdana"/>
                <w:color w:val="333333"/>
                <w:sz w:val="19"/>
              </w:rPr>
              <w:t>+7.5%</w:t>
            </w:r>
          </w:p>
        </w:tc>
      </w:tr>
    </w:tbl>
    <w:p>
      <w:pPr>
        <w:pStyle w:val="BodyText"/>
      </w:pPr>
    </w:p>
    <w:p>
      <w:pPr>
        <w:pStyle w:val="BodyText"/>
        <w:spacing w:before="182" w:line="259" w:lineRule="auto"/>
        <w:ind w:left="400" w:right="1190"/>
      </w:pPr>
      <w:r>
        <w:t>The Spending Review 2020 (SR20) settlement for financial year 2021-22, included £35.5m to support EU Exit and the Transition; £33.0m for the Vaccines Taskforce and £45.0 million in support of the delivery of Net Zero programmes (an increase of £14.0 million compared to 2020-21).</w:t>
      </w:r>
    </w:p>
    <w:p>
      <w:pPr>
        <w:spacing w:after="0" w:line="259" w:lineRule="auto"/>
        <w:sectPr>
          <w:pgSz w:w="11910" w:h="16840"/>
          <w:pgMar w:top="1380" w:right="280" w:bottom="280" w:left="1040" w:header="720" w:footer="720"/>
          <w:cols w:space="720"/>
        </w:sectPr>
      </w:pPr>
    </w:p>
    <w:p>
      <w:pPr>
        <w:pStyle w:val="BodyText"/>
        <w:spacing w:before="41" w:line="259" w:lineRule="auto"/>
        <w:ind w:left="400" w:right="1213"/>
      </w:pPr>
      <w:r>
        <w:t>In addition, Spring Budget 2021 measures have provided a further £4.6m of admin budget. Net Administration budgets have also been increased by £6.9 million arising from the implementation of IFRS16. Offsetting these increases, is a £19 million one off uplift to 2020-21 Administration Budgets to reflect the increase in annual leave accruals as a result of behaviour change due to the Covid-19 pandemic.</w:t>
      </w:r>
    </w:p>
    <w:p>
      <w:pPr>
        <w:pStyle w:val="BodyText"/>
      </w:pPr>
    </w:p>
    <w:p>
      <w:pPr>
        <w:pStyle w:val="BodyText"/>
        <w:spacing w:before="1"/>
        <w:rPr>
          <w:sz w:val="28"/>
        </w:rPr>
      </w:pPr>
    </w:p>
    <w:p>
      <w:pPr>
        <w:pStyle w:val="Heading2"/>
        <w:numPr>
          <w:ilvl w:val="1"/>
          <w:numId w:val="13"/>
        </w:numPr>
        <w:tabs>
          <w:tab w:val="left" w:pos="1120"/>
          <w:tab w:val="left" w:pos="1121"/>
        </w:tabs>
        <w:spacing w:before="0" w:after="0" w:line="240" w:lineRule="auto"/>
        <w:ind w:left="1120" w:right="0" w:hanging="721"/>
        <w:jc w:val="left"/>
        <w:rPr>
          <w:b w:val="0"/>
          <w:color w:val="2F5495"/>
        </w:rPr>
      </w:pPr>
      <w:r>
        <w:rPr>
          <w:b w:val="0"/>
          <w:color w:val="2F5495"/>
        </w:rPr>
        <w:t>Funding: Spending Review and</w:t>
      </w:r>
      <w:r>
        <w:rPr>
          <w:b w:val="0"/>
          <w:color w:val="2F5495"/>
          <w:spacing w:val="-6"/>
        </w:rPr>
        <w:t xml:space="preserve"> </w:t>
      </w:r>
      <w:r>
        <w:rPr>
          <w:b w:val="0"/>
          <w:color w:val="2F5495"/>
        </w:rPr>
        <w:t>Budgets</w:t>
      </w:r>
    </w:p>
    <w:p>
      <w:pPr>
        <w:pStyle w:val="BodyText"/>
        <w:spacing w:before="25" w:line="259" w:lineRule="auto"/>
        <w:ind w:left="400" w:right="1440"/>
      </w:pPr>
      <w:r>
        <w:t>The levels of DEL funding for BEIS for 2021-22 are based on plans published in Spending Review 2020. Since that time, the Government has made a number of changes to 2021-22 spending plans including announcements of some additional funding in the Spring Budget. Details of funding changes are set out in the Table at Annex B.</w:t>
      </w:r>
    </w:p>
    <w:p>
      <w:pPr>
        <w:pStyle w:val="BodyText"/>
        <w:spacing w:before="158"/>
        <w:ind w:left="400"/>
      </w:pPr>
      <w:r>
        <w:t>Notable amongst these changes are:</w:t>
      </w:r>
    </w:p>
    <w:p>
      <w:pPr>
        <w:pStyle w:val="ListParagraph"/>
        <w:numPr>
          <w:ilvl w:val="0"/>
          <w:numId w:val="7"/>
        </w:numPr>
        <w:tabs>
          <w:tab w:val="left" w:pos="1119"/>
          <w:tab w:val="left" w:pos="1120"/>
        </w:tabs>
        <w:spacing w:before="182" w:after="0" w:line="256" w:lineRule="auto"/>
        <w:ind w:left="1120" w:right="1315" w:hanging="360"/>
        <w:jc w:val="left"/>
        <w:rPr>
          <w:sz w:val="22"/>
        </w:rPr>
      </w:pPr>
      <w:r>
        <w:rPr>
          <w:sz w:val="22"/>
        </w:rPr>
        <w:t>Additional funding for Coronavirus business support grants (£4,210.0 million Resource DEL) and Coronavirus business loans (£620.0 million Resource</w:t>
      </w:r>
      <w:r>
        <w:rPr>
          <w:spacing w:val="-9"/>
          <w:sz w:val="22"/>
        </w:rPr>
        <w:t xml:space="preserve"> </w:t>
      </w:r>
      <w:r>
        <w:rPr>
          <w:sz w:val="22"/>
        </w:rPr>
        <w:t>DEL);</w:t>
      </w:r>
    </w:p>
    <w:p>
      <w:pPr>
        <w:pStyle w:val="ListParagraph"/>
        <w:numPr>
          <w:ilvl w:val="0"/>
          <w:numId w:val="7"/>
        </w:numPr>
        <w:tabs>
          <w:tab w:val="left" w:pos="1119"/>
          <w:tab w:val="left" w:pos="1120"/>
        </w:tabs>
        <w:spacing w:before="4" w:after="0" w:line="259" w:lineRule="auto"/>
        <w:ind w:left="1120" w:right="1531" w:hanging="360"/>
        <w:jc w:val="left"/>
        <w:rPr>
          <w:sz w:val="22"/>
        </w:rPr>
      </w:pPr>
      <w:r>
        <w:rPr>
          <w:sz w:val="22"/>
        </w:rPr>
        <w:t>Additional funding announced at Budget 2021 for Help to Grow (£108.0 million Resource DEL, of which £4.0 million is Administration</w:t>
      </w:r>
      <w:r>
        <w:rPr>
          <w:spacing w:val="-12"/>
          <w:sz w:val="22"/>
        </w:rPr>
        <w:t xml:space="preserve"> </w:t>
      </w:r>
      <w:r>
        <w:rPr>
          <w:sz w:val="22"/>
        </w:rPr>
        <w:t>costs);</w:t>
      </w:r>
    </w:p>
    <w:p>
      <w:pPr>
        <w:pStyle w:val="ListParagraph"/>
        <w:numPr>
          <w:ilvl w:val="0"/>
          <w:numId w:val="7"/>
        </w:numPr>
        <w:tabs>
          <w:tab w:val="left" w:pos="1119"/>
          <w:tab w:val="left" w:pos="1120"/>
        </w:tabs>
        <w:spacing w:before="0" w:after="0" w:line="259" w:lineRule="auto"/>
        <w:ind w:left="1120" w:right="1209" w:hanging="360"/>
        <w:jc w:val="left"/>
        <w:rPr>
          <w:sz w:val="22"/>
        </w:rPr>
      </w:pPr>
      <w:r>
        <w:rPr>
          <w:sz w:val="22"/>
        </w:rPr>
        <w:t>Reprofiling of £(90.0) million Capital DEL funding for the investment in OneWeb initially planned in 2021-22 but bought forward to 2020-21 in the previous Supplementary Estimate; and</w:t>
      </w:r>
    </w:p>
    <w:p>
      <w:pPr>
        <w:pStyle w:val="ListParagraph"/>
        <w:numPr>
          <w:ilvl w:val="0"/>
          <w:numId w:val="7"/>
        </w:numPr>
        <w:tabs>
          <w:tab w:val="left" w:pos="1119"/>
          <w:tab w:val="left" w:pos="1120"/>
        </w:tabs>
        <w:spacing w:before="0" w:after="0" w:line="259" w:lineRule="auto"/>
        <w:ind w:left="1120" w:right="1175" w:hanging="360"/>
        <w:jc w:val="left"/>
        <w:rPr>
          <w:sz w:val="22"/>
        </w:rPr>
      </w:pPr>
      <w:r>
        <w:rPr>
          <w:sz w:val="22"/>
        </w:rPr>
        <w:t>Additional funding for Future Fund (£50.0 million Capital DEL), Green Homes</w:t>
      </w:r>
      <w:r>
        <w:rPr>
          <w:sz w:val="22"/>
          <w:vertAlign w:val="superscript"/>
        </w:rPr>
        <w:t>2</w:t>
      </w:r>
      <w:r>
        <w:rPr>
          <w:sz w:val="22"/>
          <w:vertAlign w:val="baseline"/>
        </w:rPr>
        <w:t xml:space="preserve"> (£300.0 million Capital DEL), Research and Development</w:t>
      </w:r>
      <w:r>
        <w:rPr>
          <w:sz w:val="22"/>
          <w:vertAlign w:val="superscript"/>
        </w:rPr>
        <w:t>3</w:t>
      </w:r>
      <w:r>
        <w:rPr>
          <w:sz w:val="22"/>
          <w:vertAlign w:val="baseline"/>
        </w:rPr>
        <w:t xml:space="preserve"> (£250.0 million Capital DEL) and New Ventures (£100.0 million Capital</w:t>
      </w:r>
      <w:r>
        <w:rPr>
          <w:spacing w:val="-7"/>
          <w:sz w:val="22"/>
          <w:vertAlign w:val="baseline"/>
        </w:rPr>
        <w:t xml:space="preserve"> </w:t>
      </w:r>
      <w:r>
        <w:rPr>
          <w:sz w:val="22"/>
          <w:vertAlign w:val="baseline"/>
        </w:rPr>
        <w:t>DEL).</w:t>
      </w:r>
    </w:p>
    <w:p>
      <w:pPr>
        <w:pStyle w:val="BodyText"/>
      </w:pPr>
    </w:p>
    <w:p>
      <w:pPr>
        <w:pStyle w:val="Heading2"/>
        <w:numPr>
          <w:ilvl w:val="1"/>
          <w:numId w:val="13"/>
        </w:numPr>
        <w:tabs>
          <w:tab w:val="left" w:pos="1119"/>
          <w:tab w:val="left" w:pos="1120"/>
        </w:tabs>
        <w:spacing w:before="182" w:after="0" w:line="240" w:lineRule="auto"/>
        <w:ind w:left="1119" w:right="0" w:hanging="720"/>
        <w:jc w:val="left"/>
        <w:rPr>
          <w:b w:val="0"/>
          <w:color w:val="2F5495"/>
        </w:rPr>
      </w:pPr>
      <w:r>
        <w:rPr>
          <w:b w:val="0"/>
          <w:color w:val="2F5495"/>
        </w:rPr>
        <w:t>Funding: other spending</w:t>
      </w:r>
      <w:r>
        <w:rPr>
          <w:b w:val="0"/>
          <w:color w:val="2F5495"/>
          <w:spacing w:val="-4"/>
        </w:rPr>
        <w:t xml:space="preserve"> </w:t>
      </w:r>
      <w:r>
        <w:rPr>
          <w:b w:val="0"/>
          <w:color w:val="2F5495"/>
        </w:rPr>
        <w:t>announcements</w:t>
      </w:r>
    </w:p>
    <w:p>
      <w:pPr>
        <w:pStyle w:val="BodyText"/>
        <w:spacing w:before="25" w:line="259" w:lineRule="auto"/>
        <w:ind w:left="400" w:right="1237"/>
      </w:pPr>
      <w:r>
        <w:t>Spending announcements made during the year not listed at Annex B largely relate to the allocation of money within existing planned limits, rather than additional money.</w:t>
      </w:r>
    </w:p>
    <w:p>
      <w:pPr>
        <w:pStyle w:val="BodyText"/>
        <w:spacing w:before="159"/>
        <w:ind w:left="400"/>
      </w:pPr>
      <w:r>
        <w:t>These include:</w:t>
      </w:r>
    </w:p>
    <w:p>
      <w:pPr>
        <w:pStyle w:val="ListParagraph"/>
        <w:numPr>
          <w:ilvl w:val="0"/>
          <w:numId w:val="6"/>
        </w:numPr>
        <w:tabs>
          <w:tab w:val="left" w:pos="1119"/>
          <w:tab w:val="left" w:pos="1120"/>
        </w:tabs>
        <w:spacing w:before="181" w:after="0" w:line="240" w:lineRule="auto"/>
        <w:ind w:left="1120" w:right="0" w:hanging="360"/>
        <w:jc w:val="left"/>
        <w:rPr>
          <w:sz w:val="22"/>
        </w:rPr>
      </w:pPr>
      <w:r>
        <w:rPr>
          <w:sz w:val="22"/>
        </w:rPr>
        <w:t>Allocation of funding from the National Productivity Investment</w:t>
      </w:r>
      <w:r>
        <w:rPr>
          <w:spacing w:val="-9"/>
          <w:sz w:val="22"/>
        </w:rPr>
        <w:t xml:space="preserve"> </w:t>
      </w:r>
      <w:r>
        <w:rPr>
          <w:sz w:val="22"/>
        </w:rPr>
        <w:t>Fund;</w:t>
      </w:r>
    </w:p>
    <w:p>
      <w:pPr>
        <w:pStyle w:val="ListParagraph"/>
        <w:numPr>
          <w:ilvl w:val="0"/>
          <w:numId w:val="6"/>
        </w:numPr>
        <w:tabs>
          <w:tab w:val="left" w:pos="1119"/>
          <w:tab w:val="left" w:pos="1120"/>
        </w:tabs>
        <w:spacing w:before="22" w:after="0" w:line="240" w:lineRule="auto"/>
        <w:ind w:left="1120" w:right="0" w:hanging="360"/>
        <w:jc w:val="left"/>
        <w:rPr>
          <w:sz w:val="22"/>
        </w:rPr>
      </w:pPr>
      <w:r>
        <w:rPr>
          <w:sz w:val="22"/>
        </w:rPr>
        <w:t>Allocation of International Climate Finance</w:t>
      </w:r>
      <w:r>
        <w:rPr>
          <w:spacing w:val="-8"/>
          <w:sz w:val="22"/>
        </w:rPr>
        <w:t xml:space="preserve"> </w:t>
      </w:r>
      <w:r>
        <w:rPr>
          <w:sz w:val="22"/>
        </w:rPr>
        <w:t>funding;</w:t>
      </w:r>
    </w:p>
    <w:p>
      <w:pPr>
        <w:pStyle w:val="ListParagraph"/>
        <w:numPr>
          <w:ilvl w:val="0"/>
          <w:numId w:val="6"/>
        </w:numPr>
        <w:tabs>
          <w:tab w:val="left" w:pos="1119"/>
          <w:tab w:val="left" w:pos="1120"/>
        </w:tabs>
        <w:spacing w:before="22" w:after="0" w:line="240" w:lineRule="auto"/>
        <w:ind w:left="1120" w:right="0" w:hanging="360"/>
        <w:jc w:val="left"/>
        <w:rPr>
          <w:sz w:val="22"/>
        </w:rPr>
      </w:pPr>
      <w:r>
        <w:rPr>
          <w:sz w:val="22"/>
        </w:rPr>
        <w:t>Allocation of funding from the Industrial Strategy Challenge</w:t>
      </w:r>
      <w:r>
        <w:rPr>
          <w:spacing w:val="-8"/>
          <w:sz w:val="22"/>
        </w:rPr>
        <w:t xml:space="preserve"> </w:t>
      </w:r>
      <w:r>
        <w:rPr>
          <w:sz w:val="22"/>
        </w:rPr>
        <w:t>Fund;</w:t>
      </w:r>
    </w:p>
    <w:p>
      <w:pPr>
        <w:pStyle w:val="ListParagraph"/>
        <w:numPr>
          <w:ilvl w:val="0"/>
          <w:numId w:val="6"/>
        </w:numPr>
        <w:tabs>
          <w:tab w:val="left" w:pos="1119"/>
          <w:tab w:val="left" w:pos="1120"/>
        </w:tabs>
        <w:spacing w:before="20" w:after="0" w:line="259" w:lineRule="auto"/>
        <w:ind w:left="1120" w:right="1347" w:hanging="360"/>
        <w:jc w:val="left"/>
        <w:rPr>
          <w:sz w:val="22"/>
        </w:rPr>
      </w:pPr>
      <w:r>
        <w:rPr>
          <w:sz w:val="22"/>
        </w:rPr>
        <w:t>Grant funding for projects developing novel technology and processes that reduce the cost of deploying CCUS (Carbon Capture, Usage and Storage)</w:t>
      </w:r>
      <w:r>
        <w:rPr>
          <w:spacing w:val="-9"/>
          <w:sz w:val="22"/>
        </w:rPr>
        <w:t xml:space="preserve"> </w:t>
      </w:r>
      <w:r>
        <w:rPr>
          <w:sz w:val="22"/>
        </w:rPr>
        <w:t>and</w:t>
      </w:r>
    </w:p>
    <w:p>
      <w:pPr>
        <w:pStyle w:val="ListParagraph"/>
        <w:numPr>
          <w:ilvl w:val="0"/>
          <w:numId w:val="6"/>
        </w:numPr>
        <w:tabs>
          <w:tab w:val="left" w:pos="1119"/>
          <w:tab w:val="left" w:pos="1120"/>
        </w:tabs>
        <w:spacing w:before="0" w:after="0" w:line="240" w:lineRule="auto"/>
        <w:ind w:left="1120" w:right="0" w:hanging="360"/>
        <w:jc w:val="left"/>
        <w:rPr>
          <w:sz w:val="22"/>
        </w:rPr>
      </w:pPr>
      <w:r>
        <w:rPr>
          <w:sz w:val="22"/>
        </w:rPr>
        <w:t>Funding for Catapult centres.</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5"/>
        <w:rPr>
          <w:sz w:val="25"/>
        </w:rPr>
      </w:pPr>
      <w:r>
        <w:pict>
          <v:shape id="_x0000_s1210" style="height:0.1pt;margin-left:1in;margin-top:17.87pt;mso-position-horizontal-relative:page;mso-wrap-distance-left:0;mso-wrap-distance-right:0;position:absolute;width:2in;z-index:-251654144" coordorigin="1440,357" coordsize="2880,21600" path="m1440,357l4320,357e" strokecolor="black" strokeweight="0.72pt">
            <v:stroke dashstyle="solid"/>
            <v:path arrowok="t"/>
            <w10:wrap type="topAndBottom"/>
          </v:shape>
        </w:pict>
      </w:r>
    </w:p>
    <w:p>
      <w:pPr>
        <w:spacing w:before="70"/>
        <w:ind w:left="400" w:right="1351" w:firstLine="0"/>
        <w:jc w:val="left"/>
        <w:rPr>
          <w:rFonts w:ascii="Arial"/>
          <w:sz w:val="20"/>
        </w:rPr>
      </w:pPr>
      <w:r>
        <w:rPr>
          <w:rFonts w:ascii="Arial"/>
          <w:position w:val="6"/>
          <w:sz w:val="13"/>
        </w:rPr>
        <w:t>2</w:t>
      </w:r>
      <w:r>
        <w:rPr>
          <w:rFonts w:ascii="Arial"/>
          <w:spacing w:val="24"/>
          <w:position w:val="6"/>
          <w:sz w:val="13"/>
        </w:rPr>
        <w:t xml:space="preserve"> </w:t>
      </w:r>
      <w:r>
        <w:rPr>
          <w:rFonts w:ascii="Arial"/>
          <w:color w:val="0000FF"/>
          <w:spacing w:val="-111"/>
          <w:sz w:val="20"/>
          <w:u w:val="single" w:color="0000FF"/>
        </w:rPr>
        <w:t>h</w:t>
      </w:r>
      <w:r>
        <w:rPr>
          <w:rFonts w:ascii="Arial"/>
          <w:color w:val="0000FF"/>
          <w:spacing w:val="57"/>
          <w:sz w:val="20"/>
        </w:rPr>
        <w:t xml:space="preserve"> </w:t>
      </w:r>
      <w:r>
        <w:rPr>
          <w:rFonts w:ascii="Arial"/>
          <w:color w:val="0000FF"/>
          <w:sz w:val="20"/>
          <w:u w:val="single" w:color="0000FF"/>
        </w:rPr>
        <w:t>ttps://</w:t>
      </w:r>
      <w:r>
        <w:fldChar w:fldCharType="begin"/>
      </w:r>
      <w:r>
        <w:instrText xml:space="preserve"> HYPERLINK "http://www.gov.uk/government/news/government-boosts-energy-efficiency-spending-to-13-billion-" </w:instrText>
      </w:r>
      <w:r>
        <w:fldChar w:fldCharType="separate"/>
      </w:r>
      <w:r>
        <w:rPr>
          <w:rFonts w:ascii="Arial"/>
          <w:color w:val="0000FF"/>
          <w:sz w:val="20"/>
          <w:u w:val="single" w:color="0000FF"/>
        </w:rPr>
        <w:t>www.gov.uk/government/news/government-boosts-energy-efficiency-spending-to-13-billion-</w:t>
      </w:r>
      <w:r>
        <w:fldChar w:fldCharType="end"/>
      </w:r>
      <w:r>
        <w:rPr>
          <w:rFonts w:ascii="Arial"/>
          <w:color w:val="0000FF"/>
          <w:spacing w:val="3"/>
          <w:w w:val="99"/>
          <w:sz w:val="20"/>
        </w:rPr>
        <w:t xml:space="preserve"> </w:t>
      </w:r>
      <w:r>
        <w:rPr>
          <w:rFonts w:ascii="Arial"/>
          <w:color w:val="0000FF"/>
          <w:spacing w:val="-144"/>
          <w:sz w:val="20"/>
          <w:u w:val="single" w:color="0000FF"/>
        </w:rPr>
        <w:t>w</w:t>
      </w:r>
      <w:r>
        <w:rPr>
          <w:rFonts w:ascii="Arial"/>
          <w:color w:val="0000FF"/>
          <w:spacing w:val="90"/>
          <w:sz w:val="20"/>
        </w:rPr>
        <w:t xml:space="preserve"> </w:t>
      </w:r>
      <w:r>
        <w:rPr>
          <w:rFonts w:ascii="Arial"/>
          <w:color w:val="0000FF"/>
          <w:sz w:val="20"/>
          <w:u w:val="single" w:color="0000FF"/>
        </w:rPr>
        <w:t>ith-extra-funding-for-green-homes</w:t>
      </w:r>
    </w:p>
    <w:p>
      <w:pPr>
        <w:spacing w:before="1"/>
        <w:ind w:left="400" w:right="1618" w:firstLine="0"/>
        <w:jc w:val="left"/>
        <w:rPr>
          <w:rFonts w:ascii="Arial"/>
          <w:sz w:val="20"/>
        </w:rPr>
      </w:pPr>
      <w:r>
        <w:rPr>
          <w:rFonts w:ascii="Arial"/>
          <w:position w:val="6"/>
          <w:sz w:val="13"/>
        </w:rPr>
        <w:t>3</w:t>
      </w:r>
      <w:r>
        <w:rPr>
          <w:rFonts w:ascii="Arial"/>
          <w:spacing w:val="24"/>
          <w:position w:val="6"/>
          <w:sz w:val="13"/>
        </w:rPr>
        <w:t xml:space="preserve"> </w:t>
      </w:r>
      <w:r>
        <w:rPr>
          <w:rFonts w:ascii="Arial"/>
          <w:color w:val="0000FF"/>
          <w:spacing w:val="-111"/>
          <w:sz w:val="20"/>
          <w:u w:val="single" w:color="0000FF"/>
        </w:rPr>
        <w:t>h</w:t>
      </w:r>
      <w:r>
        <w:rPr>
          <w:rFonts w:ascii="Arial"/>
          <w:color w:val="0000FF"/>
          <w:spacing w:val="57"/>
          <w:sz w:val="20"/>
        </w:rPr>
        <w:t xml:space="preserve"> </w:t>
      </w:r>
      <w:r>
        <w:rPr>
          <w:rFonts w:ascii="Arial"/>
          <w:color w:val="0000FF"/>
          <w:sz w:val="20"/>
          <w:u w:val="single" w:color="0000FF"/>
        </w:rPr>
        <w:t>ttps://</w:t>
      </w:r>
      <w:r>
        <w:fldChar w:fldCharType="begin"/>
      </w:r>
      <w:r>
        <w:instrText xml:space="preserve"> HYPERLINK "http://www.gov.uk/government/news/250-million-additional-funding-to-boost-collaboration-and-" </w:instrText>
      </w:r>
      <w:r>
        <w:fldChar w:fldCharType="separate"/>
      </w:r>
      <w:r>
        <w:rPr>
          <w:rFonts w:ascii="Arial"/>
          <w:color w:val="0000FF"/>
          <w:sz w:val="20"/>
          <w:u w:val="single" w:color="0000FF"/>
        </w:rPr>
        <w:t>www.gov.uk/government/news/250-million-additional-funding-to-boost-collaboration-and-</w:t>
      </w:r>
      <w:r>
        <w:fldChar w:fldCharType="end"/>
      </w:r>
      <w:r>
        <w:rPr>
          <w:rFonts w:ascii="Arial"/>
          <w:color w:val="0000FF"/>
          <w:spacing w:val="3"/>
          <w:w w:val="99"/>
          <w:sz w:val="20"/>
        </w:rPr>
        <w:t xml:space="preserve"> </w:t>
      </w:r>
      <w:r>
        <w:rPr>
          <w:rFonts w:ascii="Arial"/>
          <w:color w:val="0000FF"/>
          <w:spacing w:val="-111"/>
          <w:sz w:val="20"/>
          <w:u w:val="single" w:color="0000FF"/>
        </w:rPr>
        <w:t>p</w:t>
      </w:r>
      <w:r>
        <w:rPr>
          <w:rFonts w:ascii="Arial"/>
          <w:color w:val="0000FF"/>
          <w:spacing w:val="57"/>
          <w:sz w:val="20"/>
        </w:rPr>
        <w:t xml:space="preserve"> </w:t>
      </w:r>
      <w:r>
        <w:rPr>
          <w:rFonts w:ascii="Arial"/>
          <w:color w:val="0000FF"/>
          <w:sz w:val="20"/>
          <w:u w:val="single" w:color="0000FF"/>
        </w:rPr>
        <w:t>rotect-ongoing-research</w:t>
      </w:r>
    </w:p>
    <w:p>
      <w:pPr>
        <w:spacing w:after="0"/>
        <w:jc w:val="left"/>
        <w:rPr>
          <w:rFonts w:ascii="Arial"/>
          <w:sz w:val="20"/>
        </w:rPr>
        <w:sectPr>
          <w:pgSz w:w="11910" w:h="16840"/>
          <w:pgMar w:top="1380" w:right="280" w:bottom="280" w:left="1040" w:header="720" w:footer="720"/>
          <w:cols w:space="720"/>
        </w:sectPr>
      </w:pPr>
    </w:p>
    <w:p>
      <w:pPr>
        <w:pStyle w:val="Heading1"/>
        <w:numPr>
          <w:ilvl w:val="0"/>
          <w:numId w:val="5"/>
        </w:numPr>
        <w:tabs>
          <w:tab w:val="left" w:pos="1120"/>
          <w:tab w:val="left" w:pos="1121"/>
        </w:tabs>
        <w:spacing w:before="21" w:after="0" w:line="240" w:lineRule="auto"/>
        <w:ind w:left="1120" w:right="0" w:hanging="721"/>
        <w:jc w:val="left"/>
        <w:rPr>
          <w:b w:val="0"/>
        </w:rPr>
      </w:pPr>
      <w:r>
        <w:rPr>
          <w:b w:val="0"/>
          <w:color w:val="2F5495"/>
        </w:rPr>
        <w:t>Spending</w:t>
      </w:r>
      <w:r>
        <w:rPr>
          <w:b w:val="0"/>
          <w:color w:val="2F5495"/>
          <w:spacing w:val="-2"/>
        </w:rPr>
        <w:t xml:space="preserve"> </w:t>
      </w:r>
      <w:r>
        <w:rPr>
          <w:b w:val="0"/>
          <w:color w:val="2F5495"/>
        </w:rPr>
        <w:t>detail</w:t>
      </w:r>
    </w:p>
    <w:p>
      <w:pPr>
        <w:pStyle w:val="BodyText"/>
        <w:spacing w:before="4"/>
        <w:rPr>
          <w:rFonts w:ascii="Calibri Light"/>
          <w:b w:val="0"/>
          <w:sz w:val="39"/>
        </w:rPr>
      </w:pPr>
    </w:p>
    <w:p>
      <w:pPr>
        <w:pStyle w:val="BodyText"/>
        <w:spacing w:line="259" w:lineRule="auto"/>
        <w:ind w:left="400" w:right="1402"/>
      </w:pPr>
      <w:r>
        <w:t>As shown in the table in Section 3.1, departmental expenditure can contribute across a number of different strategic objectives, in particular spend assigned to the ‘Science and Research’ and ‘Capability’ subheads. However, due to Parliamentary rules, budgets must be assigned to only one specific Estimate subhead even though spending often contributes to other lines.</w:t>
      </w:r>
    </w:p>
    <w:p>
      <w:pPr>
        <w:pStyle w:val="BodyText"/>
        <w:spacing w:before="160" w:line="259" w:lineRule="auto"/>
        <w:ind w:left="400" w:right="1166"/>
      </w:pPr>
      <w:r>
        <w:t>Due to the timing of Main Estimate deadlines, a number of budgets have not been fully allocated and larger than usual Resource and Capital DEL budget remains held centrally. In particular, Science R&amp;D budgets have not been fully allocated and delegated to all partner organisations in the Main Estimate. Where necessary, budgets will be updated as part of the Supplementary Estimate later this year.</w:t>
      </w:r>
    </w:p>
    <w:p>
      <w:pPr>
        <w:pStyle w:val="Heading2"/>
        <w:numPr>
          <w:ilvl w:val="1"/>
          <w:numId w:val="5"/>
        </w:numPr>
        <w:tabs>
          <w:tab w:val="left" w:pos="1120"/>
          <w:tab w:val="left" w:pos="1121"/>
        </w:tabs>
        <w:spacing w:before="161" w:after="0" w:line="240" w:lineRule="auto"/>
        <w:ind w:left="1120" w:right="0" w:hanging="721"/>
        <w:jc w:val="left"/>
        <w:rPr>
          <w:b w:val="0"/>
        </w:rPr>
      </w:pPr>
      <w:r>
        <w:rPr>
          <w:b w:val="0"/>
          <w:color w:val="2F5495"/>
        </w:rPr>
        <w:t>Explanations of changes in</w:t>
      </w:r>
      <w:r>
        <w:rPr>
          <w:b w:val="0"/>
          <w:color w:val="2F5495"/>
          <w:spacing w:val="-7"/>
        </w:rPr>
        <w:t xml:space="preserve"> </w:t>
      </w:r>
      <w:r>
        <w:rPr>
          <w:b w:val="0"/>
          <w:color w:val="2F5495"/>
        </w:rPr>
        <w:t>spending</w:t>
      </w:r>
    </w:p>
    <w:p>
      <w:pPr>
        <w:spacing w:before="65"/>
        <w:ind w:left="400" w:right="0" w:firstLine="0"/>
        <w:jc w:val="left"/>
        <w:rPr>
          <w:i/>
          <w:sz w:val="22"/>
        </w:rPr>
      </w:pPr>
      <w:r>
        <w:rPr>
          <w:i/>
          <w:color w:val="2F5495"/>
          <w:w w:val="100"/>
          <w:sz w:val="22"/>
        </w:rPr>
        <w:t xml:space="preserve"> </w:t>
      </w:r>
    </w:p>
    <w:p>
      <w:pPr>
        <w:pStyle w:val="Heading3"/>
        <w:spacing w:before="61"/>
        <w:rPr>
          <w:b w:val="0"/>
        </w:rPr>
      </w:pPr>
      <w:r>
        <w:rPr>
          <w:b w:val="0"/>
          <w:color w:val="1F3864"/>
        </w:rPr>
        <w:t>Resource DEL</w:t>
      </w:r>
    </w:p>
    <w:p>
      <w:pPr>
        <w:pStyle w:val="BodyText"/>
        <w:spacing w:before="23"/>
        <w:ind w:left="400"/>
      </w:pPr>
      <w:r>
        <w:t>The table below shows how BEIS’s spending plans for Resource DEL compare with last year.</w:t>
      </w:r>
    </w:p>
    <w:p>
      <w:pPr>
        <w:pStyle w:val="BodyText"/>
        <w:spacing w:before="10"/>
        <w:rPr>
          <w:sz w:val="14"/>
        </w:rPr>
      </w:pPr>
    </w:p>
    <w:tbl>
      <w:tblPr>
        <w:tblW w:w="0" w:type="auto"/>
        <w:jc w:val="left"/>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01"/>
        <w:gridCol w:w="3814"/>
        <w:gridCol w:w="1136"/>
        <w:gridCol w:w="1134"/>
        <w:gridCol w:w="992"/>
        <w:gridCol w:w="853"/>
        <w:gridCol w:w="992"/>
      </w:tblGrid>
      <w:tr>
        <w:tblPrEx>
          <w:tblW w:w="0" w:type="auto"/>
          <w:jc w:val="left"/>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280"/>
          <w:jc w:val="left"/>
        </w:trPr>
        <w:tc>
          <w:tcPr>
            <w:tcW w:w="1001" w:type="dxa"/>
          </w:tcPr>
          <w:p>
            <w:pPr>
              <w:pStyle w:val="TableParagraph"/>
              <w:spacing w:before="37" w:line="223" w:lineRule="exact"/>
              <w:ind w:left="107"/>
              <w:rPr>
                <w:sz w:val="20"/>
              </w:rPr>
            </w:pPr>
            <w:r>
              <w:rPr>
                <w:sz w:val="20"/>
              </w:rPr>
              <w:t>Subheads</w:t>
            </w:r>
          </w:p>
        </w:tc>
        <w:tc>
          <w:tcPr>
            <w:tcW w:w="3814" w:type="dxa"/>
          </w:tcPr>
          <w:p>
            <w:pPr>
              <w:pStyle w:val="TableParagraph"/>
              <w:spacing w:before="37" w:line="223" w:lineRule="exact"/>
              <w:ind w:left="107"/>
              <w:rPr>
                <w:sz w:val="20"/>
              </w:rPr>
            </w:pPr>
            <w:r>
              <w:rPr>
                <w:sz w:val="20"/>
              </w:rPr>
              <w:t>Description</w:t>
            </w:r>
          </w:p>
        </w:tc>
        <w:tc>
          <w:tcPr>
            <w:tcW w:w="5107" w:type="dxa"/>
            <w:gridSpan w:val="5"/>
          </w:tcPr>
          <w:p>
            <w:pPr>
              <w:pStyle w:val="TableParagraph"/>
              <w:spacing w:before="37" w:line="223" w:lineRule="exact"/>
              <w:ind w:left="107"/>
              <w:rPr>
                <w:b/>
                <w:sz w:val="20"/>
              </w:rPr>
            </w:pPr>
            <w:r>
              <w:rPr>
                <w:b/>
                <w:sz w:val="20"/>
              </w:rPr>
              <w:t>Resource DEL</w:t>
            </w:r>
          </w:p>
        </w:tc>
      </w:tr>
      <w:tr>
        <w:tblPrEx>
          <w:tblW w:w="0" w:type="auto"/>
          <w:jc w:val="left"/>
          <w:tblInd w:w="263" w:type="dxa"/>
          <w:tblLayout w:type="fixed"/>
          <w:tblCellMar>
            <w:top w:w="0" w:type="dxa"/>
            <w:left w:w="0" w:type="dxa"/>
            <w:bottom w:w="0" w:type="dxa"/>
            <w:right w:w="0" w:type="dxa"/>
          </w:tblCellMar>
          <w:tblLook w:val="01E0"/>
        </w:tblPrEx>
        <w:trPr>
          <w:trHeight w:val="282"/>
          <w:jc w:val="left"/>
        </w:trPr>
        <w:tc>
          <w:tcPr>
            <w:tcW w:w="1001" w:type="dxa"/>
          </w:tcPr>
          <w:p>
            <w:pPr>
              <w:pStyle w:val="TableParagraph"/>
              <w:rPr>
                <w:rFonts w:ascii="Times New Roman"/>
                <w:sz w:val="20"/>
              </w:rPr>
            </w:pPr>
          </w:p>
        </w:tc>
        <w:tc>
          <w:tcPr>
            <w:tcW w:w="3814" w:type="dxa"/>
          </w:tcPr>
          <w:p>
            <w:pPr>
              <w:pStyle w:val="TableParagraph"/>
              <w:rPr>
                <w:rFonts w:ascii="Times New Roman"/>
                <w:sz w:val="20"/>
              </w:rPr>
            </w:pPr>
          </w:p>
        </w:tc>
        <w:tc>
          <w:tcPr>
            <w:tcW w:w="3262" w:type="dxa"/>
            <w:gridSpan w:val="3"/>
          </w:tcPr>
          <w:p>
            <w:pPr>
              <w:pStyle w:val="TableParagraph"/>
              <w:spacing w:before="39" w:line="223" w:lineRule="exact"/>
              <w:ind w:left="108"/>
              <w:rPr>
                <w:sz w:val="20"/>
              </w:rPr>
            </w:pPr>
            <w:r>
              <w:rPr>
                <w:sz w:val="20"/>
              </w:rPr>
              <w:t>£ million</w:t>
            </w:r>
          </w:p>
        </w:tc>
        <w:tc>
          <w:tcPr>
            <w:tcW w:w="853" w:type="dxa"/>
          </w:tcPr>
          <w:p>
            <w:pPr>
              <w:pStyle w:val="TableParagraph"/>
              <w:spacing w:before="39" w:line="223" w:lineRule="exact"/>
              <w:ind w:left="103"/>
              <w:rPr>
                <w:sz w:val="20"/>
              </w:rPr>
            </w:pPr>
            <w:r>
              <w:rPr>
                <w:w w:val="99"/>
                <w:sz w:val="20"/>
              </w:rPr>
              <w:t>%</w:t>
            </w:r>
          </w:p>
        </w:tc>
        <w:tc>
          <w:tcPr>
            <w:tcW w:w="992" w:type="dxa"/>
            <w:vMerge w:val="restart"/>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11"/>
              <w:rPr>
                <w:sz w:val="23"/>
              </w:rPr>
            </w:pPr>
          </w:p>
          <w:p>
            <w:pPr>
              <w:pStyle w:val="TableParagraph"/>
              <w:spacing w:line="240" w:lineRule="atLeast"/>
              <w:ind w:left="103" w:right="159"/>
              <w:rPr>
                <w:sz w:val="20"/>
              </w:rPr>
            </w:pPr>
            <w:r>
              <w:rPr>
                <w:sz w:val="20"/>
              </w:rPr>
              <w:t>see note number</w:t>
            </w:r>
          </w:p>
        </w:tc>
      </w:tr>
      <w:tr>
        <w:tblPrEx>
          <w:tblW w:w="0" w:type="auto"/>
          <w:jc w:val="left"/>
          <w:tblInd w:w="263" w:type="dxa"/>
          <w:tblLayout w:type="fixed"/>
          <w:tblCellMar>
            <w:top w:w="0" w:type="dxa"/>
            <w:left w:w="0" w:type="dxa"/>
            <w:bottom w:w="0" w:type="dxa"/>
            <w:right w:w="0" w:type="dxa"/>
          </w:tblCellMar>
          <w:tblLook w:val="01E0"/>
        </w:tblPrEx>
        <w:trPr>
          <w:trHeight w:val="1463"/>
          <w:jc w:val="left"/>
        </w:trPr>
        <w:tc>
          <w:tcPr>
            <w:tcW w:w="1001" w:type="dxa"/>
            <w:vMerge w:val="restart"/>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140" w:line="223" w:lineRule="exact"/>
              <w:ind w:left="107"/>
              <w:rPr>
                <w:sz w:val="20"/>
              </w:rPr>
            </w:pPr>
            <w:r>
              <w:rPr>
                <w:w w:val="99"/>
                <w:sz w:val="20"/>
              </w:rPr>
              <w:t>A</w:t>
            </w:r>
          </w:p>
        </w:tc>
        <w:tc>
          <w:tcPr>
            <w:tcW w:w="3814" w:type="dxa"/>
            <w:vMerge w:val="restart"/>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140" w:line="223" w:lineRule="exact"/>
              <w:ind w:left="108"/>
              <w:rPr>
                <w:sz w:val="20"/>
              </w:rPr>
            </w:pPr>
            <w:r>
              <w:rPr>
                <w:sz w:val="20"/>
              </w:rPr>
              <w:t>Deliver an ambitious industrial strategy</w:t>
            </w:r>
          </w:p>
        </w:tc>
        <w:tc>
          <w:tcPr>
            <w:tcW w:w="1136" w:type="dxa"/>
          </w:tcPr>
          <w:p>
            <w:pPr>
              <w:pStyle w:val="TableParagraph"/>
              <w:spacing w:before="1"/>
              <w:ind w:left="107" w:right="289"/>
              <w:rPr>
                <w:i/>
                <w:sz w:val="20"/>
              </w:rPr>
            </w:pPr>
            <w:r>
              <w:rPr>
                <w:i/>
                <w:sz w:val="20"/>
              </w:rPr>
              <w:t xml:space="preserve">This year </w:t>
            </w:r>
            <w:r>
              <w:rPr>
                <w:i/>
                <w:w w:val="95"/>
                <w:sz w:val="20"/>
              </w:rPr>
              <w:t>(2021-22</w:t>
            </w:r>
          </w:p>
          <w:p>
            <w:pPr>
              <w:pStyle w:val="TableParagraph"/>
              <w:ind w:left="107" w:right="209"/>
              <w:rPr>
                <w:i/>
                <w:sz w:val="20"/>
              </w:rPr>
            </w:pPr>
            <w:r>
              <w:rPr>
                <w:i/>
                <w:sz w:val="20"/>
              </w:rPr>
              <w:t xml:space="preserve">Main </w:t>
            </w:r>
            <w:r>
              <w:rPr>
                <w:i/>
                <w:sz w:val="20"/>
              </w:rPr>
              <w:t>Estimates budget</w:t>
            </w:r>
          </w:p>
          <w:p>
            <w:pPr>
              <w:pStyle w:val="TableParagraph"/>
              <w:spacing w:line="223" w:lineRule="exact"/>
              <w:ind w:left="107"/>
              <w:rPr>
                <w:i/>
                <w:sz w:val="20"/>
              </w:rPr>
            </w:pPr>
            <w:r>
              <w:rPr>
                <w:i/>
                <w:sz w:val="20"/>
              </w:rPr>
              <w:t>sought)</w:t>
            </w:r>
          </w:p>
        </w:tc>
        <w:tc>
          <w:tcPr>
            <w:tcW w:w="1134" w:type="dxa"/>
          </w:tcPr>
          <w:p>
            <w:pPr>
              <w:pStyle w:val="TableParagraph"/>
              <w:spacing w:before="1"/>
              <w:ind w:left="106" w:right="282"/>
              <w:rPr>
                <w:i/>
                <w:sz w:val="20"/>
              </w:rPr>
            </w:pPr>
            <w:r>
              <w:rPr>
                <w:i/>
                <w:sz w:val="20"/>
              </w:rPr>
              <w:t xml:space="preserve">Last year </w:t>
            </w:r>
            <w:r>
              <w:rPr>
                <w:i/>
                <w:sz w:val="20"/>
              </w:rPr>
              <w:t>(2020-21</w:t>
            </w:r>
          </w:p>
          <w:p>
            <w:pPr>
              <w:pStyle w:val="TableParagraph"/>
              <w:ind w:left="106" w:right="208"/>
              <w:rPr>
                <w:i/>
                <w:sz w:val="20"/>
              </w:rPr>
            </w:pPr>
            <w:r>
              <w:rPr>
                <w:i/>
                <w:sz w:val="20"/>
              </w:rPr>
              <w:t xml:space="preserve">Supp </w:t>
            </w:r>
            <w:r>
              <w:rPr>
                <w:i/>
                <w:sz w:val="20"/>
              </w:rPr>
              <w:t>Estimates budget</w:t>
            </w:r>
          </w:p>
          <w:p>
            <w:pPr>
              <w:pStyle w:val="TableParagraph"/>
              <w:spacing w:line="223" w:lineRule="exact"/>
              <w:ind w:left="106"/>
              <w:rPr>
                <w:i/>
                <w:sz w:val="20"/>
              </w:rPr>
            </w:pPr>
            <w:r>
              <w:rPr>
                <w:i/>
                <w:sz w:val="20"/>
              </w:rPr>
              <w:t>approved)</w:t>
            </w:r>
          </w:p>
        </w:tc>
        <w:tc>
          <w:tcPr>
            <w:tcW w:w="1845" w:type="dxa"/>
            <w:gridSpan w:val="2"/>
          </w:tcPr>
          <w:p>
            <w:pPr>
              <w:pStyle w:val="TableParagraph"/>
              <w:rPr>
                <w:sz w:val="20"/>
              </w:rPr>
            </w:pPr>
          </w:p>
          <w:p>
            <w:pPr>
              <w:pStyle w:val="TableParagraph"/>
              <w:rPr>
                <w:sz w:val="20"/>
              </w:rPr>
            </w:pPr>
          </w:p>
          <w:p>
            <w:pPr>
              <w:pStyle w:val="TableParagraph"/>
              <w:rPr>
                <w:sz w:val="20"/>
              </w:rPr>
            </w:pPr>
          </w:p>
          <w:p>
            <w:pPr>
              <w:pStyle w:val="TableParagraph"/>
              <w:spacing w:before="11"/>
              <w:rPr>
                <w:sz w:val="19"/>
              </w:rPr>
            </w:pPr>
          </w:p>
          <w:p>
            <w:pPr>
              <w:pStyle w:val="TableParagraph"/>
              <w:spacing w:line="240" w:lineRule="atLeast"/>
              <w:ind w:left="105" w:right="352"/>
              <w:rPr>
                <w:sz w:val="20"/>
              </w:rPr>
            </w:pPr>
            <w:r>
              <w:rPr>
                <w:sz w:val="20"/>
              </w:rPr>
              <w:t>change from last year</w:t>
            </w:r>
          </w:p>
        </w:tc>
        <w:tc>
          <w:tcPr>
            <w:tcW w:w="992" w:type="dxa"/>
            <w:vMerge/>
            <w:tcBorders>
              <w:top w:val="nil"/>
            </w:tcBorders>
          </w:tcPr>
          <w:p>
            <w:pPr>
              <w:rPr>
                <w:sz w:val="2"/>
                <w:szCs w:val="2"/>
              </w:rPr>
            </w:pPr>
          </w:p>
        </w:tc>
      </w:tr>
      <w:tr>
        <w:tblPrEx>
          <w:tblW w:w="0" w:type="auto"/>
          <w:jc w:val="left"/>
          <w:tblInd w:w="263" w:type="dxa"/>
          <w:tblLayout w:type="fixed"/>
          <w:tblCellMar>
            <w:top w:w="0" w:type="dxa"/>
            <w:left w:w="0" w:type="dxa"/>
            <w:bottom w:w="0" w:type="dxa"/>
            <w:right w:w="0" w:type="dxa"/>
          </w:tblCellMar>
          <w:tblLook w:val="01E0"/>
        </w:tblPrEx>
        <w:trPr>
          <w:trHeight w:val="618"/>
          <w:jc w:val="left"/>
        </w:trPr>
        <w:tc>
          <w:tcPr>
            <w:tcW w:w="1001" w:type="dxa"/>
            <w:vMerge/>
            <w:tcBorders>
              <w:top w:val="nil"/>
            </w:tcBorders>
          </w:tcPr>
          <w:p>
            <w:pPr>
              <w:rPr>
                <w:sz w:val="2"/>
                <w:szCs w:val="2"/>
              </w:rPr>
            </w:pPr>
          </w:p>
        </w:tc>
        <w:tc>
          <w:tcPr>
            <w:tcW w:w="3814" w:type="dxa"/>
            <w:vMerge/>
            <w:tcBorders>
              <w:top w:val="nil"/>
            </w:tcBorders>
          </w:tcPr>
          <w:p>
            <w:pPr>
              <w:rPr>
                <w:sz w:val="2"/>
                <w:szCs w:val="2"/>
              </w:rPr>
            </w:pPr>
          </w:p>
        </w:tc>
        <w:tc>
          <w:tcPr>
            <w:tcW w:w="1136" w:type="dxa"/>
          </w:tcPr>
          <w:p>
            <w:pPr>
              <w:pStyle w:val="TableParagraph"/>
              <w:rPr>
                <w:sz w:val="20"/>
              </w:rPr>
            </w:pPr>
          </w:p>
          <w:p>
            <w:pPr>
              <w:pStyle w:val="TableParagraph"/>
              <w:spacing w:before="131" w:line="223" w:lineRule="exact"/>
              <w:ind w:right="102"/>
              <w:jc w:val="right"/>
              <w:rPr>
                <w:sz w:val="20"/>
              </w:rPr>
            </w:pPr>
            <w:r>
              <w:rPr>
                <w:w w:val="95"/>
                <w:sz w:val="20"/>
              </w:rPr>
              <w:t>4,534.2</w:t>
            </w:r>
          </w:p>
        </w:tc>
        <w:tc>
          <w:tcPr>
            <w:tcW w:w="1134" w:type="dxa"/>
          </w:tcPr>
          <w:p>
            <w:pPr>
              <w:pStyle w:val="TableParagraph"/>
              <w:rPr>
                <w:sz w:val="20"/>
              </w:rPr>
            </w:pPr>
          </w:p>
          <w:p>
            <w:pPr>
              <w:pStyle w:val="TableParagraph"/>
              <w:spacing w:before="131" w:line="223" w:lineRule="exact"/>
              <w:ind w:right="101"/>
              <w:jc w:val="right"/>
              <w:rPr>
                <w:sz w:val="20"/>
              </w:rPr>
            </w:pPr>
            <w:r>
              <w:rPr>
                <w:w w:val="95"/>
                <w:sz w:val="20"/>
              </w:rPr>
              <w:t>21,961.9</w:t>
            </w:r>
          </w:p>
        </w:tc>
        <w:tc>
          <w:tcPr>
            <w:tcW w:w="992" w:type="dxa"/>
          </w:tcPr>
          <w:p>
            <w:pPr>
              <w:pStyle w:val="TableParagraph"/>
              <w:rPr>
                <w:sz w:val="20"/>
              </w:rPr>
            </w:pPr>
          </w:p>
          <w:p>
            <w:pPr>
              <w:pStyle w:val="TableParagraph"/>
              <w:spacing w:before="131" w:line="223" w:lineRule="exact"/>
              <w:ind w:right="102"/>
              <w:jc w:val="right"/>
              <w:rPr>
                <w:b/>
                <w:sz w:val="20"/>
              </w:rPr>
            </w:pPr>
            <w:r>
              <w:rPr>
                <w:b/>
                <w:w w:val="95"/>
                <w:sz w:val="20"/>
              </w:rPr>
              <w:t>-17,427.7</w:t>
            </w:r>
          </w:p>
        </w:tc>
        <w:tc>
          <w:tcPr>
            <w:tcW w:w="853" w:type="dxa"/>
          </w:tcPr>
          <w:p>
            <w:pPr>
              <w:pStyle w:val="TableParagraph"/>
              <w:rPr>
                <w:sz w:val="20"/>
              </w:rPr>
            </w:pPr>
          </w:p>
          <w:p>
            <w:pPr>
              <w:pStyle w:val="TableParagraph"/>
              <w:spacing w:before="131" w:line="223" w:lineRule="exact"/>
              <w:ind w:right="104"/>
              <w:jc w:val="right"/>
              <w:rPr>
                <w:b/>
                <w:sz w:val="20"/>
              </w:rPr>
            </w:pPr>
            <w:r>
              <w:rPr>
                <w:b/>
                <w:w w:val="95"/>
                <w:sz w:val="20"/>
              </w:rPr>
              <w:t>-79.4%</w:t>
            </w:r>
          </w:p>
        </w:tc>
        <w:tc>
          <w:tcPr>
            <w:tcW w:w="992" w:type="dxa"/>
          </w:tcPr>
          <w:p>
            <w:pPr>
              <w:pStyle w:val="TableParagraph"/>
              <w:rPr>
                <w:sz w:val="20"/>
              </w:rPr>
            </w:pPr>
          </w:p>
          <w:p>
            <w:pPr>
              <w:pStyle w:val="TableParagraph"/>
              <w:spacing w:before="131" w:line="223" w:lineRule="exact"/>
              <w:ind w:right="101"/>
              <w:jc w:val="right"/>
              <w:rPr>
                <w:sz w:val="20"/>
              </w:rPr>
            </w:pPr>
            <w:r>
              <w:rPr>
                <w:w w:val="99"/>
                <w:sz w:val="20"/>
              </w:rPr>
              <w:t>1</w:t>
            </w:r>
          </w:p>
        </w:tc>
      </w:tr>
      <w:tr>
        <w:tblPrEx>
          <w:tblW w:w="0" w:type="auto"/>
          <w:jc w:val="left"/>
          <w:tblInd w:w="263" w:type="dxa"/>
          <w:tblLayout w:type="fixed"/>
          <w:tblCellMar>
            <w:top w:w="0" w:type="dxa"/>
            <w:left w:w="0" w:type="dxa"/>
            <w:bottom w:w="0" w:type="dxa"/>
            <w:right w:w="0" w:type="dxa"/>
          </w:tblCellMar>
          <w:tblLook w:val="01E0"/>
        </w:tblPrEx>
        <w:trPr>
          <w:trHeight w:val="520"/>
          <w:jc w:val="left"/>
        </w:trPr>
        <w:tc>
          <w:tcPr>
            <w:tcW w:w="1001" w:type="dxa"/>
          </w:tcPr>
          <w:p>
            <w:pPr>
              <w:pStyle w:val="TableParagraph"/>
              <w:spacing w:before="8"/>
              <w:rPr>
                <w:sz w:val="22"/>
              </w:rPr>
            </w:pPr>
          </w:p>
          <w:p>
            <w:pPr>
              <w:pStyle w:val="TableParagraph"/>
              <w:spacing w:before="1" w:line="223" w:lineRule="exact"/>
              <w:ind w:left="107"/>
              <w:rPr>
                <w:sz w:val="20"/>
              </w:rPr>
            </w:pPr>
            <w:r>
              <w:rPr>
                <w:w w:val="99"/>
                <w:sz w:val="20"/>
              </w:rPr>
              <w:t>B</w:t>
            </w:r>
          </w:p>
        </w:tc>
        <w:tc>
          <w:tcPr>
            <w:tcW w:w="3814" w:type="dxa"/>
          </w:tcPr>
          <w:p>
            <w:pPr>
              <w:pStyle w:val="TableParagraph"/>
              <w:spacing w:before="32" w:line="240" w:lineRule="atLeast"/>
              <w:ind w:left="107" w:right="430"/>
              <w:rPr>
                <w:sz w:val="20"/>
              </w:rPr>
            </w:pPr>
            <w:r>
              <w:rPr>
                <w:sz w:val="20"/>
              </w:rPr>
              <w:t>Maximise investment opportunities and bolster UK interests</w:t>
            </w:r>
          </w:p>
        </w:tc>
        <w:tc>
          <w:tcPr>
            <w:tcW w:w="1136" w:type="dxa"/>
          </w:tcPr>
          <w:p>
            <w:pPr>
              <w:pStyle w:val="TableParagraph"/>
              <w:spacing w:before="8"/>
              <w:rPr>
                <w:sz w:val="22"/>
              </w:rPr>
            </w:pPr>
          </w:p>
          <w:p>
            <w:pPr>
              <w:pStyle w:val="TableParagraph"/>
              <w:spacing w:before="1" w:line="223" w:lineRule="exact"/>
              <w:ind w:right="101"/>
              <w:jc w:val="right"/>
              <w:rPr>
                <w:sz w:val="20"/>
              </w:rPr>
            </w:pPr>
            <w:r>
              <w:rPr>
                <w:sz w:val="20"/>
              </w:rPr>
              <w:t>139.0</w:t>
            </w:r>
          </w:p>
        </w:tc>
        <w:tc>
          <w:tcPr>
            <w:tcW w:w="1134" w:type="dxa"/>
          </w:tcPr>
          <w:p>
            <w:pPr>
              <w:pStyle w:val="TableParagraph"/>
              <w:spacing w:before="8"/>
              <w:rPr>
                <w:sz w:val="22"/>
              </w:rPr>
            </w:pPr>
          </w:p>
          <w:p>
            <w:pPr>
              <w:pStyle w:val="TableParagraph"/>
              <w:spacing w:before="1" w:line="223" w:lineRule="exact"/>
              <w:ind w:right="100"/>
              <w:jc w:val="right"/>
              <w:rPr>
                <w:sz w:val="20"/>
              </w:rPr>
            </w:pPr>
            <w:r>
              <w:rPr>
                <w:w w:val="95"/>
                <w:sz w:val="20"/>
              </w:rPr>
              <w:t>87.1</w:t>
            </w:r>
          </w:p>
        </w:tc>
        <w:tc>
          <w:tcPr>
            <w:tcW w:w="992" w:type="dxa"/>
          </w:tcPr>
          <w:p>
            <w:pPr>
              <w:pStyle w:val="TableParagraph"/>
              <w:spacing w:before="8"/>
              <w:rPr>
                <w:sz w:val="22"/>
              </w:rPr>
            </w:pPr>
          </w:p>
          <w:p>
            <w:pPr>
              <w:pStyle w:val="TableParagraph"/>
              <w:spacing w:before="1" w:line="223" w:lineRule="exact"/>
              <w:ind w:right="102"/>
              <w:jc w:val="right"/>
              <w:rPr>
                <w:b/>
                <w:sz w:val="20"/>
              </w:rPr>
            </w:pPr>
            <w:r>
              <w:rPr>
                <w:b/>
                <w:sz w:val="20"/>
              </w:rPr>
              <w:t>51.9</w:t>
            </w:r>
          </w:p>
        </w:tc>
        <w:tc>
          <w:tcPr>
            <w:tcW w:w="853" w:type="dxa"/>
          </w:tcPr>
          <w:p>
            <w:pPr>
              <w:pStyle w:val="TableParagraph"/>
              <w:spacing w:before="8"/>
              <w:rPr>
                <w:sz w:val="22"/>
              </w:rPr>
            </w:pPr>
          </w:p>
          <w:p>
            <w:pPr>
              <w:pStyle w:val="TableParagraph"/>
              <w:spacing w:before="1" w:line="223" w:lineRule="exact"/>
              <w:ind w:right="104"/>
              <w:jc w:val="right"/>
              <w:rPr>
                <w:b/>
                <w:sz w:val="20"/>
              </w:rPr>
            </w:pPr>
            <w:r>
              <w:rPr>
                <w:b/>
                <w:sz w:val="20"/>
              </w:rPr>
              <w:t>59.7%</w:t>
            </w:r>
          </w:p>
        </w:tc>
        <w:tc>
          <w:tcPr>
            <w:tcW w:w="992" w:type="dxa"/>
          </w:tcPr>
          <w:p>
            <w:pPr>
              <w:pStyle w:val="TableParagraph"/>
              <w:spacing w:before="8"/>
              <w:rPr>
                <w:sz w:val="22"/>
              </w:rPr>
            </w:pPr>
          </w:p>
          <w:p>
            <w:pPr>
              <w:pStyle w:val="TableParagraph"/>
              <w:spacing w:before="1" w:line="223" w:lineRule="exact"/>
              <w:ind w:right="101"/>
              <w:jc w:val="right"/>
              <w:rPr>
                <w:sz w:val="20"/>
              </w:rPr>
            </w:pPr>
            <w:r>
              <w:rPr>
                <w:w w:val="99"/>
                <w:sz w:val="20"/>
              </w:rPr>
              <w:t>2</w:t>
            </w:r>
          </w:p>
        </w:tc>
      </w:tr>
      <w:tr>
        <w:tblPrEx>
          <w:tblW w:w="0" w:type="auto"/>
          <w:jc w:val="left"/>
          <w:tblInd w:w="263" w:type="dxa"/>
          <w:tblLayout w:type="fixed"/>
          <w:tblCellMar>
            <w:top w:w="0" w:type="dxa"/>
            <w:left w:w="0" w:type="dxa"/>
            <w:bottom w:w="0" w:type="dxa"/>
            <w:right w:w="0" w:type="dxa"/>
          </w:tblCellMar>
          <w:tblLook w:val="01E0"/>
        </w:tblPrEx>
        <w:trPr>
          <w:trHeight w:val="489"/>
          <w:jc w:val="left"/>
        </w:trPr>
        <w:tc>
          <w:tcPr>
            <w:tcW w:w="1001" w:type="dxa"/>
          </w:tcPr>
          <w:p>
            <w:pPr>
              <w:pStyle w:val="TableParagraph"/>
              <w:spacing w:before="2"/>
              <w:rPr>
                <w:sz w:val="20"/>
              </w:rPr>
            </w:pPr>
          </w:p>
          <w:p>
            <w:pPr>
              <w:pStyle w:val="TableParagraph"/>
              <w:spacing w:line="223" w:lineRule="exact"/>
              <w:ind w:left="107"/>
              <w:rPr>
                <w:sz w:val="20"/>
              </w:rPr>
            </w:pPr>
            <w:r>
              <w:rPr>
                <w:sz w:val="20"/>
              </w:rPr>
              <w:t>C, K</w:t>
            </w:r>
          </w:p>
        </w:tc>
        <w:tc>
          <w:tcPr>
            <w:tcW w:w="3814" w:type="dxa"/>
          </w:tcPr>
          <w:p>
            <w:pPr>
              <w:pStyle w:val="TableParagraph"/>
              <w:spacing w:before="1" w:line="240" w:lineRule="atLeast"/>
              <w:ind w:left="107" w:right="894"/>
              <w:rPr>
                <w:sz w:val="20"/>
              </w:rPr>
            </w:pPr>
            <w:r>
              <w:rPr>
                <w:sz w:val="20"/>
              </w:rPr>
              <w:t>Promote competitive markets and responsible business practices</w:t>
            </w:r>
          </w:p>
        </w:tc>
        <w:tc>
          <w:tcPr>
            <w:tcW w:w="1136" w:type="dxa"/>
          </w:tcPr>
          <w:p>
            <w:pPr>
              <w:pStyle w:val="TableParagraph"/>
              <w:spacing w:before="2"/>
              <w:rPr>
                <w:sz w:val="20"/>
              </w:rPr>
            </w:pPr>
          </w:p>
          <w:p>
            <w:pPr>
              <w:pStyle w:val="TableParagraph"/>
              <w:spacing w:line="223" w:lineRule="exact"/>
              <w:ind w:right="101"/>
              <w:jc w:val="right"/>
              <w:rPr>
                <w:sz w:val="20"/>
              </w:rPr>
            </w:pPr>
            <w:r>
              <w:rPr>
                <w:sz w:val="20"/>
              </w:rPr>
              <w:t>275.9</w:t>
            </w:r>
          </w:p>
        </w:tc>
        <w:tc>
          <w:tcPr>
            <w:tcW w:w="1134" w:type="dxa"/>
          </w:tcPr>
          <w:p>
            <w:pPr>
              <w:pStyle w:val="TableParagraph"/>
              <w:spacing w:before="2"/>
              <w:rPr>
                <w:sz w:val="20"/>
              </w:rPr>
            </w:pPr>
          </w:p>
          <w:p>
            <w:pPr>
              <w:pStyle w:val="TableParagraph"/>
              <w:spacing w:line="223" w:lineRule="exact"/>
              <w:ind w:right="100"/>
              <w:jc w:val="right"/>
              <w:rPr>
                <w:sz w:val="20"/>
              </w:rPr>
            </w:pPr>
            <w:r>
              <w:rPr>
                <w:sz w:val="20"/>
              </w:rPr>
              <w:t>266.9</w:t>
            </w:r>
          </w:p>
        </w:tc>
        <w:tc>
          <w:tcPr>
            <w:tcW w:w="992" w:type="dxa"/>
          </w:tcPr>
          <w:p>
            <w:pPr>
              <w:pStyle w:val="TableParagraph"/>
              <w:spacing w:before="2"/>
              <w:rPr>
                <w:sz w:val="20"/>
              </w:rPr>
            </w:pPr>
          </w:p>
          <w:p>
            <w:pPr>
              <w:pStyle w:val="TableParagraph"/>
              <w:spacing w:line="223" w:lineRule="exact"/>
              <w:ind w:right="102"/>
              <w:jc w:val="right"/>
              <w:rPr>
                <w:b/>
                <w:sz w:val="20"/>
              </w:rPr>
            </w:pPr>
            <w:r>
              <w:rPr>
                <w:b/>
                <w:sz w:val="20"/>
              </w:rPr>
              <w:t>9.1</w:t>
            </w:r>
          </w:p>
        </w:tc>
        <w:tc>
          <w:tcPr>
            <w:tcW w:w="853" w:type="dxa"/>
          </w:tcPr>
          <w:p>
            <w:pPr>
              <w:pStyle w:val="TableParagraph"/>
              <w:spacing w:before="2"/>
              <w:rPr>
                <w:sz w:val="20"/>
              </w:rPr>
            </w:pPr>
          </w:p>
          <w:p>
            <w:pPr>
              <w:pStyle w:val="TableParagraph"/>
              <w:spacing w:line="223" w:lineRule="exact"/>
              <w:ind w:right="102"/>
              <w:jc w:val="right"/>
              <w:rPr>
                <w:b/>
                <w:sz w:val="20"/>
              </w:rPr>
            </w:pPr>
            <w:r>
              <w:rPr>
                <w:b/>
                <w:sz w:val="20"/>
              </w:rPr>
              <w:t>3.4%</w:t>
            </w:r>
          </w:p>
        </w:tc>
        <w:tc>
          <w:tcPr>
            <w:tcW w:w="992" w:type="dxa"/>
          </w:tcPr>
          <w:p>
            <w:pPr>
              <w:pStyle w:val="TableParagraph"/>
              <w:rPr>
                <w:rFonts w:ascii="Times New Roman"/>
                <w:sz w:val="20"/>
              </w:rPr>
            </w:pPr>
          </w:p>
        </w:tc>
      </w:tr>
      <w:tr>
        <w:tblPrEx>
          <w:tblW w:w="0" w:type="auto"/>
          <w:jc w:val="left"/>
          <w:tblInd w:w="263" w:type="dxa"/>
          <w:tblLayout w:type="fixed"/>
          <w:tblCellMar>
            <w:top w:w="0" w:type="dxa"/>
            <w:left w:w="0" w:type="dxa"/>
            <w:bottom w:w="0" w:type="dxa"/>
            <w:right w:w="0" w:type="dxa"/>
          </w:tblCellMar>
          <w:tblLook w:val="01E0"/>
        </w:tblPrEx>
        <w:trPr>
          <w:trHeight w:val="486"/>
          <w:jc w:val="left"/>
        </w:trPr>
        <w:tc>
          <w:tcPr>
            <w:tcW w:w="1001" w:type="dxa"/>
          </w:tcPr>
          <w:p>
            <w:pPr>
              <w:pStyle w:val="TableParagraph"/>
              <w:spacing w:before="11"/>
              <w:rPr>
                <w:sz w:val="19"/>
              </w:rPr>
            </w:pPr>
          </w:p>
          <w:p>
            <w:pPr>
              <w:pStyle w:val="TableParagraph"/>
              <w:spacing w:line="223" w:lineRule="exact"/>
              <w:ind w:left="107"/>
              <w:rPr>
                <w:sz w:val="20"/>
              </w:rPr>
            </w:pPr>
            <w:r>
              <w:rPr>
                <w:w w:val="99"/>
                <w:sz w:val="20"/>
              </w:rPr>
              <w:t>D</w:t>
            </w:r>
          </w:p>
        </w:tc>
        <w:tc>
          <w:tcPr>
            <w:tcW w:w="3814" w:type="dxa"/>
          </w:tcPr>
          <w:p>
            <w:pPr>
              <w:pStyle w:val="TableParagraph"/>
              <w:spacing w:before="1" w:line="243" w:lineRule="exact"/>
              <w:ind w:left="107"/>
              <w:rPr>
                <w:sz w:val="20"/>
              </w:rPr>
            </w:pPr>
            <w:r>
              <w:rPr>
                <w:sz w:val="20"/>
              </w:rPr>
              <w:t>Delivering affordable energy for households</w:t>
            </w:r>
          </w:p>
          <w:p>
            <w:pPr>
              <w:pStyle w:val="TableParagraph"/>
              <w:spacing w:line="222" w:lineRule="exact"/>
              <w:ind w:left="107"/>
              <w:rPr>
                <w:sz w:val="20"/>
              </w:rPr>
            </w:pPr>
            <w:r>
              <w:rPr>
                <w:sz w:val="20"/>
              </w:rPr>
              <w:t>and businesses</w:t>
            </w:r>
          </w:p>
        </w:tc>
        <w:tc>
          <w:tcPr>
            <w:tcW w:w="1136" w:type="dxa"/>
          </w:tcPr>
          <w:p>
            <w:pPr>
              <w:pStyle w:val="TableParagraph"/>
              <w:spacing w:before="11"/>
              <w:rPr>
                <w:sz w:val="19"/>
              </w:rPr>
            </w:pPr>
          </w:p>
          <w:p>
            <w:pPr>
              <w:pStyle w:val="TableParagraph"/>
              <w:spacing w:line="223" w:lineRule="exact"/>
              <w:ind w:right="101"/>
              <w:jc w:val="right"/>
              <w:rPr>
                <w:sz w:val="20"/>
              </w:rPr>
            </w:pPr>
            <w:r>
              <w:rPr>
                <w:sz w:val="20"/>
              </w:rPr>
              <w:t>118.1</w:t>
            </w:r>
          </w:p>
        </w:tc>
        <w:tc>
          <w:tcPr>
            <w:tcW w:w="1134" w:type="dxa"/>
          </w:tcPr>
          <w:p>
            <w:pPr>
              <w:pStyle w:val="TableParagraph"/>
              <w:spacing w:before="11"/>
              <w:rPr>
                <w:sz w:val="19"/>
              </w:rPr>
            </w:pPr>
          </w:p>
          <w:p>
            <w:pPr>
              <w:pStyle w:val="TableParagraph"/>
              <w:spacing w:line="223" w:lineRule="exact"/>
              <w:ind w:right="100"/>
              <w:jc w:val="right"/>
              <w:rPr>
                <w:sz w:val="20"/>
              </w:rPr>
            </w:pPr>
            <w:r>
              <w:rPr>
                <w:sz w:val="20"/>
              </w:rPr>
              <w:t>133.8</w:t>
            </w:r>
          </w:p>
        </w:tc>
        <w:tc>
          <w:tcPr>
            <w:tcW w:w="992" w:type="dxa"/>
          </w:tcPr>
          <w:p>
            <w:pPr>
              <w:pStyle w:val="TableParagraph"/>
              <w:spacing w:before="11"/>
              <w:rPr>
                <w:sz w:val="19"/>
              </w:rPr>
            </w:pPr>
          </w:p>
          <w:p>
            <w:pPr>
              <w:pStyle w:val="TableParagraph"/>
              <w:spacing w:line="223" w:lineRule="exact"/>
              <w:ind w:right="102"/>
              <w:jc w:val="right"/>
              <w:rPr>
                <w:b/>
                <w:sz w:val="20"/>
              </w:rPr>
            </w:pPr>
            <w:r>
              <w:rPr>
                <w:b/>
                <w:w w:val="95"/>
                <w:sz w:val="20"/>
              </w:rPr>
              <w:t>-15.6</w:t>
            </w:r>
          </w:p>
        </w:tc>
        <w:tc>
          <w:tcPr>
            <w:tcW w:w="853" w:type="dxa"/>
          </w:tcPr>
          <w:p>
            <w:pPr>
              <w:pStyle w:val="TableParagraph"/>
              <w:spacing w:before="11"/>
              <w:rPr>
                <w:sz w:val="19"/>
              </w:rPr>
            </w:pPr>
          </w:p>
          <w:p>
            <w:pPr>
              <w:pStyle w:val="TableParagraph"/>
              <w:spacing w:line="223" w:lineRule="exact"/>
              <w:ind w:right="104"/>
              <w:jc w:val="right"/>
              <w:rPr>
                <w:b/>
                <w:sz w:val="20"/>
              </w:rPr>
            </w:pPr>
            <w:r>
              <w:rPr>
                <w:b/>
                <w:w w:val="95"/>
                <w:sz w:val="20"/>
              </w:rPr>
              <w:t>-11.7%</w:t>
            </w:r>
          </w:p>
        </w:tc>
        <w:tc>
          <w:tcPr>
            <w:tcW w:w="992" w:type="dxa"/>
          </w:tcPr>
          <w:p>
            <w:pPr>
              <w:pStyle w:val="TableParagraph"/>
              <w:spacing w:before="11"/>
              <w:rPr>
                <w:sz w:val="19"/>
              </w:rPr>
            </w:pPr>
          </w:p>
          <w:p>
            <w:pPr>
              <w:pStyle w:val="TableParagraph"/>
              <w:spacing w:line="223" w:lineRule="exact"/>
              <w:ind w:right="101"/>
              <w:jc w:val="right"/>
              <w:rPr>
                <w:sz w:val="20"/>
              </w:rPr>
            </w:pPr>
            <w:r>
              <w:rPr>
                <w:w w:val="99"/>
                <w:sz w:val="20"/>
              </w:rPr>
              <w:t>3</w:t>
            </w:r>
          </w:p>
        </w:tc>
      </w:tr>
      <w:tr>
        <w:tblPrEx>
          <w:tblW w:w="0" w:type="auto"/>
          <w:jc w:val="left"/>
          <w:tblInd w:w="263" w:type="dxa"/>
          <w:tblLayout w:type="fixed"/>
          <w:tblCellMar>
            <w:top w:w="0" w:type="dxa"/>
            <w:left w:w="0" w:type="dxa"/>
            <w:bottom w:w="0" w:type="dxa"/>
            <w:right w:w="0" w:type="dxa"/>
          </w:tblCellMar>
          <w:tblLook w:val="01E0"/>
        </w:tblPrEx>
        <w:trPr>
          <w:trHeight w:val="489"/>
          <w:jc w:val="left"/>
        </w:trPr>
        <w:tc>
          <w:tcPr>
            <w:tcW w:w="1001" w:type="dxa"/>
          </w:tcPr>
          <w:p>
            <w:pPr>
              <w:pStyle w:val="TableParagraph"/>
              <w:spacing w:before="2"/>
              <w:rPr>
                <w:sz w:val="20"/>
              </w:rPr>
            </w:pPr>
          </w:p>
          <w:p>
            <w:pPr>
              <w:pStyle w:val="TableParagraph"/>
              <w:spacing w:line="223" w:lineRule="exact"/>
              <w:ind w:left="107"/>
              <w:rPr>
                <w:sz w:val="20"/>
              </w:rPr>
            </w:pPr>
            <w:r>
              <w:rPr>
                <w:sz w:val="20"/>
              </w:rPr>
              <w:t>E, L</w:t>
            </w:r>
          </w:p>
        </w:tc>
        <w:tc>
          <w:tcPr>
            <w:tcW w:w="3814" w:type="dxa"/>
          </w:tcPr>
          <w:p>
            <w:pPr>
              <w:pStyle w:val="TableParagraph"/>
              <w:spacing w:before="1" w:line="240" w:lineRule="atLeast"/>
              <w:ind w:left="107" w:right="226"/>
              <w:rPr>
                <w:sz w:val="20"/>
              </w:rPr>
            </w:pPr>
            <w:r>
              <w:rPr>
                <w:sz w:val="20"/>
              </w:rPr>
              <w:t>Ensuring that our energy system is reliable and secure</w:t>
            </w:r>
          </w:p>
        </w:tc>
        <w:tc>
          <w:tcPr>
            <w:tcW w:w="1136" w:type="dxa"/>
          </w:tcPr>
          <w:p>
            <w:pPr>
              <w:pStyle w:val="TableParagraph"/>
              <w:spacing w:before="2"/>
              <w:rPr>
                <w:sz w:val="20"/>
              </w:rPr>
            </w:pPr>
          </w:p>
          <w:p>
            <w:pPr>
              <w:pStyle w:val="TableParagraph"/>
              <w:spacing w:line="223" w:lineRule="exact"/>
              <w:ind w:right="102"/>
              <w:jc w:val="right"/>
              <w:rPr>
                <w:sz w:val="20"/>
              </w:rPr>
            </w:pPr>
            <w:r>
              <w:rPr>
                <w:sz w:val="20"/>
              </w:rPr>
              <w:t>21.3</w:t>
            </w:r>
          </w:p>
        </w:tc>
        <w:tc>
          <w:tcPr>
            <w:tcW w:w="1134" w:type="dxa"/>
          </w:tcPr>
          <w:p>
            <w:pPr>
              <w:pStyle w:val="TableParagraph"/>
              <w:spacing w:before="2"/>
              <w:rPr>
                <w:sz w:val="20"/>
              </w:rPr>
            </w:pPr>
          </w:p>
          <w:p>
            <w:pPr>
              <w:pStyle w:val="TableParagraph"/>
              <w:spacing w:line="223" w:lineRule="exact"/>
              <w:ind w:right="100"/>
              <w:jc w:val="right"/>
              <w:rPr>
                <w:sz w:val="20"/>
              </w:rPr>
            </w:pPr>
            <w:r>
              <w:rPr>
                <w:w w:val="95"/>
                <w:sz w:val="20"/>
              </w:rPr>
              <w:t>16.1</w:t>
            </w:r>
          </w:p>
        </w:tc>
        <w:tc>
          <w:tcPr>
            <w:tcW w:w="992" w:type="dxa"/>
          </w:tcPr>
          <w:p>
            <w:pPr>
              <w:pStyle w:val="TableParagraph"/>
              <w:spacing w:before="2"/>
              <w:rPr>
                <w:sz w:val="20"/>
              </w:rPr>
            </w:pPr>
          </w:p>
          <w:p>
            <w:pPr>
              <w:pStyle w:val="TableParagraph"/>
              <w:spacing w:line="223" w:lineRule="exact"/>
              <w:ind w:right="102"/>
              <w:jc w:val="right"/>
              <w:rPr>
                <w:b/>
                <w:sz w:val="20"/>
              </w:rPr>
            </w:pPr>
            <w:r>
              <w:rPr>
                <w:b/>
                <w:sz w:val="20"/>
              </w:rPr>
              <w:t>5.1</w:t>
            </w:r>
          </w:p>
        </w:tc>
        <w:tc>
          <w:tcPr>
            <w:tcW w:w="853" w:type="dxa"/>
          </w:tcPr>
          <w:p>
            <w:pPr>
              <w:pStyle w:val="TableParagraph"/>
              <w:spacing w:before="2"/>
              <w:rPr>
                <w:sz w:val="20"/>
              </w:rPr>
            </w:pPr>
          </w:p>
          <w:p>
            <w:pPr>
              <w:pStyle w:val="TableParagraph"/>
              <w:spacing w:line="223" w:lineRule="exact"/>
              <w:ind w:right="104"/>
              <w:jc w:val="right"/>
              <w:rPr>
                <w:b/>
                <w:sz w:val="20"/>
              </w:rPr>
            </w:pPr>
            <w:r>
              <w:rPr>
                <w:b/>
                <w:sz w:val="20"/>
              </w:rPr>
              <w:t>31.9%</w:t>
            </w:r>
          </w:p>
        </w:tc>
        <w:tc>
          <w:tcPr>
            <w:tcW w:w="992" w:type="dxa"/>
          </w:tcPr>
          <w:p>
            <w:pPr>
              <w:pStyle w:val="TableParagraph"/>
              <w:rPr>
                <w:rFonts w:ascii="Times New Roman"/>
                <w:sz w:val="20"/>
              </w:rPr>
            </w:pPr>
          </w:p>
        </w:tc>
      </w:tr>
      <w:tr>
        <w:tblPrEx>
          <w:tblW w:w="0" w:type="auto"/>
          <w:jc w:val="left"/>
          <w:tblInd w:w="263" w:type="dxa"/>
          <w:tblLayout w:type="fixed"/>
          <w:tblCellMar>
            <w:top w:w="0" w:type="dxa"/>
            <w:left w:w="0" w:type="dxa"/>
            <w:bottom w:w="0" w:type="dxa"/>
            <w:right w:w="0" w:type="dxa"/>
          </w:tblCellMar>
          <w:tblLook w:val="01E0"/>
        </w:tblPrEx>
        <w:trPr>
          <w:trHeight w:val="489"/>
          <w:jc w:val="left"/>
        </w:trPr>
        <w:tc>
          <w:tcPr>
            <w:tcW w:w="1001" w:type="dxa"/>
          </w:tcPr>
          <w:p>
            <w:pPr>
              <w:pStyle w:val="TableParagraph"/>
              <w:spacing w:before="1"/>
              <w:rPr>
                <w:sz w:val="20"/>
              </w:rPr>
            </w:pPr>
          </w:p>
          <w:p>
            <w:pPr>
              <w:pStyle w:val="TableParagraph"/>
              <w:spacing w:before="1" w:line="223" w:lineRule="exact"/>
              <w:ind w:left="107"/>
              <w:rPr>
                <w:sz w:val="20"/>
              </w:rPr>
            </w:pPr>
            <w:r>
              <w:rPr>
                <w:sz w:val="20"/>
              </w:rPr>
              <w:t>F, M</w:t>
            </w:r>
          </w:p>
        </w:tc>
        <w:tc>
          <w:tcPr>
            <w:tcW w:w="3814" w:type="dxa"/>
          </w:tcPr>
          <w:p>
            <w:pPr>
              <w:pStyle w:val="TableParagraph"/>
              <w:spacing w:before="1" w:line="240" w:lineRule="atLeast"/>
              <w:ind w:left="107" w:right="718"/>
              <w:rPr>
                <w:sz w:val="20"/>
              </w:rPr>
            </w:pPr>
            <w:r>
              <w:rPr>
                <w:sz w:val="20"/>
              </w:rPr>
              <w:t>Taking action on climate change and decarbonisation</w:t>
            </w:r>
          </w:p>
        </w:tc>
        <w:tc>
          <w:tcPr>
            <w:tcW w:w="1136" w:type="dxa"/>
          </w:tcPr>
          <w:p>
            <w:pPr>
              <w:pStyle w:val="TableParagraph"/>
              <w:spacing w:before="1"/>
              <w:rPr>
                <w:sz w:val="20"/>
              </w:rPr>
            </w:pPr>
          </w:p>
          <w:p>
            <w:pPr>
              <w:pStyle w:val="TableParagraph"/>
              <w:spacing w:before="1" w:line="223" w:lineRule="exact"/>
              <w:ind w:right="102"/>
              <w:jc w:val="right"/>
              <w:rPr>
                <w:sz w:val="20"/>
              </w:rPr>
            </w:pPr>
            <w:r>
              <w:rPr>
                <w:sz w:val="20"/>
              </w:rPr>
              <w:t>96.1</w:t>
            </w:r>
          </w:p>
        </w:tc>
        <w:tc>
          <w:tcPr>
            <w:tcW w:w="1134" w:type="dxa"/>
          </w:tcPr>
          <w:p>
            <w:pPr>
              <w:pStyle w:val="TableParagraph"/>
              <w:spacing w:before="1"/>
              <w:rPr>
                <w:sz w:val="20"/>
              </w:rPr>
            </w:pPr>
          </w:p>
          <w:p>
            <w:pPr>
              <w:pStyle w:val="TableParagraph"/>
              <w:spacing w:before="1" w:line="223" w:lineRule="exact"/>
              <w:ind w:right="100"/>
              <w:jc w:val="right"/>
              <w:rPr>
                <w:sz w:val="20"/>
              </w:rPr>
            </w:pPr>
            <w:r>
              <w:rPr>
                <w:w w:val="95"/>
                <w:sz w:val="20"/>
              </w:rPr>
              <w:t>68.0</w:t>
            </w:r>
          </w:p>
        </w:tc>
        <w:tc>
          <w:tcPr>
            <w:tcW w:w="992" w:type="dxa"/>
          </w:tcPr>
          <w:p>
            <w:pPr>
              <w:pStyle w:val="TableParagraph"/>
              <w:spacing w:before="1"/>
              <w:rPr>
                <w:sz w:val="20"/>
              </w:rPr>
            </w:pPr>
          </w:p>
          <w:p>
            <w:pPr>
              <w:pStyle w:val="TableParagraph"/>
              <w:spacing w:before="1" w:line="223" w:lineRule="exact"/>
              <w:ind w:right="102"/>
              <w:jc w:val="right"/>
              <w:rPr>
                <w:b/>
                <w:sz w:val="20"/>
              </w:rPr>
            </w:pPr>
            <w:r>
              <w:rPr>
                <w:b/>
                <w:sz w:val="20"/>
              </w:rPr>
              <w:t>28.2</w:t>
            </w:r>
          </w:p>
        </w:tc>
        <w:tc>
          <w:tcPr>
            <w:tcW w:w="853" w:type="dxa"/>
          </w:tcPr>
          <w:p>
            <w:pPr>
              <w:pStyle w:val="TableParagraph"/>
              <w:spacing w:before="1"/>
              <w:rPr>
                <w:sz w:val="20"/>
              </w:rPr>
            </w:pPr>
          </w:p>
          <w:p>
            <w:pPr>
              <w:pStyle w:val="TableParagraph"/>
              <w:spacing w:before="1" w:line="223" w:lineRule="exact"/>
              <w:ind w:right="104"/>
              <w:jc w:val="right"/>
              <w:rPr>
                <w:b/>
                <w:sz w:val="20"/>
              </w:rPr>
            </w:pPr>
            <w:r>
              <w:rPr>
                <w:b/>
                <w:sz w:val="20"/>
              </w:rPr>
              <w:t>41.4%</w:t>
            </w:r>
          </w:p>
        </w:tc>
        <w:tc>
          <w:tcPr>
            <w:tcW w:w="992" w:type="dxa"/>
          </w:tcPr>
          <w:p>
            <w:pPr>
              <w:pStyle w:val="TableParagraph"/>
              <w:spacing w:before="1"/>
              <w:rPr>
                <w:sz w:val="20"/>
              </w:rPr>
            </w:pPr>
          </w:p>
          <w:p>
            <w:pPr>
              <w:pStyle w:val="TableParagraph"/>
              <w:spacing w:before="1" w:line="223" w:lineRule="exact"/>
              <w:ind w:right="101"/>
              <w:jc w:val="right"/>
              <w:rPr>
                <w:sz w:val="20"/>
              </w:rPr>
            </w:pPr>
            <w:r>
              <w:rPr>
                <w:w w:val="99"/>
                <w:sz w:val="20"/>
              </w:rPr>
              <w:t>4</w:t>
            </w:r>
          </w:p>
        </w:tc>
      </w:tr>
      <w:tr>
        <w:tblPrEx>
          <w:tblW w:w="0" w:type="auto"/>
          <w:jc w:val="left"/>
          <w:tblInd w:w="263" w:type="dxa"/>
          <w:tblLayout w:type="fixed"/>
          <w:tblCellMar>
            <w:top w:w="0" w:type="dxa"/>
            <w:left w:w="0" w:type="dxa"/>
            <w:bottom w:w="0" w:type="dxa"/>
            <w:right w:w="0" w:type="dxa"/>
          </w:tblCellMar>
          <w:tblLook w:val="01E0"/>
        </w:tblPrEx>
        <w:trPr>
          <w:trHeight w:val="486"/>
          <w:jc w:val="left"/>
        </w:trPr>
        <w:tc>
          <w:tcPr>
            <w:tcW w:w="1001" w:type="dxa"/>
          </w:tcPr>
          <w:p>
            <w:pPr>
              <w:pStyle w:val="TableParagraph"/>
              <w:spacing w:before="11"/>
              <w:rPr>
                <w:sz w:val="19"/>
              </w:rPr>
            </w:pPr>
          </w:p>
          <w:p>
            <w:pPr>
              <w:pStyle w:val="TableParagraph"/>
              <w:spacing w:line="223" w:lineRule="exact"/>
              <w:ind w:left="107"/>
              <w:rPr>
                <w:sz w:val="20"/>
              </w:rPr>
            </w:pPr>
            <w:r>
              <w:rPr>
                <w:sz w:val="20"/>
              </w:rPr>
              <w:t>G, N</w:t>
            </w:r>
          </w:p>
        </w:tc>
        <w:tc>
          <w:tcPr>
            <w:tcW w:w="3814" w:type="dxa"/>
          </w:tcPr>
          <w:p>
            <w:pPr>
              <w:pStyle w:val="TableParagraph"/>
              <w:spacing w:line="243" w:lineRule="exact"/>
              <w:ind w:left="107"/>
              <w:rPr>
                <w:sz w:val="20"/>
              </w:rPr>
            </w:pPr>
            <w:r>
              <w:rPr>
                <w:sz w:val="20"/>
              </w:rPr>
              <w:t>Managing our energy legacy safely and</w:t>
            </w:r>
          </w:p>
          <w:p>
            <w:pPr>
              <w:pStyle w:val="TableParagraph"/>
              <w:spacing w:line="223" w:lineRule="exact"/>
              <w:ind w:left="107"/>
              <w:rPr>
                <w:sz w:val="20"/>
              </w:rPr>
            </w:pPr>
            <w:r>
              <w:rPr>
                <w:sz w:val="20"/>
              </w:rPr>
              <w:t>responsibly</w:t>
            </w:r>
          </w:p>
        </w:tc>
        <w:tc>
          <w:tcPr>
            <w:tcW w:w="1136" w:type="dxa"/>
          </w:tcPr>
          <w:p>
            <w:pPr>
              <w:pStyle w:val="TableParagraph"/>
              <w:spacing w:before="11"/>
              <w:rPr>
                <w:sz w:val="19"/>
              </w:rPr>
            </w:pPr>
          </w:p>
          <w:p>
            <w:pPr>
              <w:pStyle w:val="TableParagraph"/>
              <w:spacing w:line="223" w:lineRule="exact"/>
              <w:ind w:right="101"/>
              <w:jc w:val="right"/>
              <w:rPr>
                <w:sz w:val="20"/>
              </w:rPr>
            </w:pPr>
            <w:r>
              <w:rPr>
                <w:sz w:val="20"/>
              </w:rPr>
              <w:t>225.7</w:t>
            </w:r>
          </w:p>
        </w:tc>
        <w:tc>
          <w:tcPr>
            <w:tcW w:w="1134" w:type="dxa"/>
          </w:tcPr>
          <w:p>
            <w:pPr>
              <w:pStyle w:val="TableParagraph"/>
              <w:spacing w:before="11"/>
              <w:rPr>
                <w:sz w:val="19"/>
              </w:rPr>
            </w:pPr>
          </w:p>
          <w:p>
            <w:pPr>
              <w:pStyle w:val="TableParagraph"/>
              <w:spacing w:line="223" w:lineRule="exact"/>
              <w:ind w:right="100"/>
              <w:jc w:val="right"/>
              <w:rPr>
                <w:sz w:val="20"/>
              </w:rPr>
            </w:pPr>
            <w:r>
              <w:rPr>
                <w:sz w:val="20"/>
              </w:rPr>
              <w:t>249.7</w:t>
            </w:r>
          </w:p>
        </w:tc>
        <w:tc>
          <w:tcPr>
            <w:tcW w:w="992" w:type="dxa"/>
          </w:tcPr>
          <w:p>
            <w:pPr>
              <w:pStyle w:val="TableParagraph"/>
              <w:spacing w:before="11"/>
              <w:rPr>
                <w:sz w:val="19"/>
              </w:rPr>
            </w:pPr>
          </w:p>
          <w:p>
            <w:pPr>
              <w:pStyle w:val="TableParagraph"/>
              <w:spacing w:line="223" w:lineRule="exact"/>
              <w:ind w:right="102"/>
              <w:jc w:val="right"/>
              <w:rPr>
                <w:b/>
                <w:sz w:val="20"/>
              </w:rPr>
            </w:pPr>
            <w:r>
              <w:rPr>
                <w:b/>
                <w:sz w:val="20"/>
              </w:rPr>
              <w:t>24.0</w:t>
            </w:r>
          </w:p>
        </w:tc>
        <w:tc>
          <w:tcPr>
            <w:tcW w:w="853" w:type="dxa"/>
          </w:tcPr>
          <w:p>
            <w:pPr>
              <w:pStyle w:val="TableParagraph"/>
              <w:spacing w:before="11"/>
              <w:rPr>
                <w:sz w:val="19"/>
              </w:rPr>
            </w:pPr>
          </w:p>
          <w:p>
            <w:pPr>
              <w:pStyle w:val="TableParagraph"/>
              <w:spacing w:line="223" w:lineRule="exact"/>
              <w:ind w:right="105"/>
              <w:jc w:val="right"/>
              <w:rPr>
                <w:b/>
                <w:sz w:val="20"/>
              </w:rPr>
            </w:pPr>
            <w:r>
              <w:rPr>
                <w:b/>
                <w:w w:val="95"/>
                <w:sz w:val="20"/>
              </w:rPr>
              <w:t>-9.6%</w:t>
            </w:r>
          </w:p>
        </w:tc>
        <w:tc>
          <w:tcPr>
            <w:tcW w:w="992" w:type="dxa"/>
          </w:tcPr>
          <w:p>
            <w:pPr>
              <w:pStyle w:val="TableParagraph"/>
              <w:rPr>
                <w:rFonts w:ascii="Times New Roman"/>
                <w:sz w:val="20"/>
              </w:rPr>
            </w:pPr>
          </w:p>
        </w:tc>
      </w:tr>
      <w:tr>
        <w:tblPrEx>
          <w:tblW w:w="0" w:type="auto"/>
          <w:jc w:val="left"/>
          <w:tblInd w:w="263" w:type="dxa"/>
          <w:tblLayout w:type="fixed"/>
          <w:tblCellMar>
            <w:top w:w="0" w:type="dxa"/>
            <w:left w:w="0" w:type="dxa"/>
            <w:bottom w:w="0" w:type="dxa"/>
            <w:right w:w="0" w:type="dxa"/>
          </w:tblCellMar>
          <w:tblLook w:val="01E0"/>
        </w:tblPrEx>
        <w:trPr>
          <w:trHeight w:val="280"/>
          <w:jc w:val="left"/>
        </w:trPr>
        <w:tc>
          <w:tcPr>
            <w:tcW w:w="1001" w:type="dxa"/>
          </w:tcPr>
          <w:p>
            <w:pPr>
              <w:pStyle w:val="TableParagraph"/>
              <w:spacing w:before="37" w:line="223" w:lineRule="exact"/>
              <w:ind w:left="107"/>
              <w:rPr>
                <w:sz w:val="20"/>
              </w:rPr>
            </w:pPr>
            <w:r>
              <w:rPr>
                <w:sz w:val="20"/>
              </w:rPr>
              <w:t>H, O</w:t>
            </w:r>
          </w:p>
        </w:tc>
        <w:tc>
          <w:tcPr>
            <w:tcW w:w="3814" w:type="dxa"/>
          </w:tcPr>
          <w:p>
            <w:pPr>
              <w:pStyle w:val="TableParagraph"/>
              <w:spacing w:before="37" w:line="223" w:lineRule="exact"/>
              <w:ind w:left="107"/>
              <w:rPr>
                <w:sz w:val="20"/>
              </w:rPr>
            </w:pPr>
            <w:r>
              <w:rPr>
                <w:sz w:val="20"/>
              </w:rPr>
              <w:t>Science and Research</w:t>
            </w:r>
          </w:p>
        </w:tc>
        <w:tc>
          <w:tcPr>
            <w:tcW w:w="1136" w:type="dxa"/>
          </w:tcPr>
          <w:p>
            <w:pPr>
              <w:pStyle w:val="TableParagraph"/>
              <w:spacing w:before="37" w:line="223" w:lineRule="exact"/>
              <w:ind w:right="101"/>
              <w:jc w:val="right"/>
              <w:rPr>
                <w:sz w:val="20"/>
              </w:rPr>
            </w:pPr>
            <w:r>
              <w:rPr>
                <w:sz w:val="20"/>
              </w:rPr>
              <w:t>952.6</w:t>
            </w:r>
          </w:p>
        </w:tc>
        <w:tc>
          <w:tcPr>
            <w:tcW w:w="1134" w:type="dxa"/>
          </w:tcPr>
          <w:p>
            <w:pPr>
              <w:pStyle w:val="TableParagraph"/>
              <w:spacing w:before="37" w:line="223" w:lineRule="exact"/>
              <w:ind w:right="101"/>
              <w:jc w:val="right"/>
              <w:rPr>
                <w:sz w:val="20"/>
              </w:rPr>
            </w:pPr>
            <w:r>
              <w:rPr>
                <w:w w:val="95"/>
                <w:sz w:val="20"/>
              </w:rPr>
              <w:t>2,062.7</w:t>
            </w:r>
          </w:p>
        </w:tc>
        <w:tc>
          <w:tcPr>
            <w:tcW w:w="992" w:type="dxa"/>
          </w:tcPr>
          <w:p>
            <w:pPr>
              <w:pStyle w:val="TableParagraph"/>
              <w:spacing w:before="37" w:line="223" w:lineRule="exact"/>
              <w:ind w:right="102"/>
              <w:jc w:val="right"/>
              <w:rPr>
                <w:b/>
                <w:sz w:val="20"/>
              </w:rPr>
            </w:pPr>
            <w:r>
              <w:rPr>
                <w:b/>
                <w:sz w:val="20"/>
              </w:rPr>
              <w:t>-1,110.1</w:t>
            </w:r>
          </w:p>
        </w:tc>
        <w:tc>
          <w:tcPr>
            <w:tcW w:w="853" w:type="dxa"/>
          </w:tcPr>
          <w:p>
            <w:pPr>
              <w:pStyle w:val="TableParagraph"/>
              <w:spacing w:before="37" w:line="223" w:lineRule="exact"/>
              <w:ind w:right="104"/>
              <w:jc w:val="right"/>
              <w:rPr>
                <w:b/>
                <w:sz w:val="20"/>
              </w:rPr>
            </w:pPr>
            <w:r>
              <w:rPr>
                <w:b/>
                <w:w w:val="95"/>
                <w:sz w:val="20"/>
              </w:rPr>
              <w:t>-53.8%</w:t>
            </w:r>
          </w:p>
        </w:tc>
        <w:tc>
          <w:tcPr>
            <w:tcW w:w="992" w:type="dxa"/>
          </w:tcPr>
          <w:p>
            <w:pPr>
              <w:pStyle w:val="TableParagraph"/>
              <w:spacing w:before="37" w:line="223" w:lineRule="exact"/>
              <w:ind w:right="101"/>
              <w:jc w:val="right"/>
              <w:rPr>
                <w:sz w:val="20"/>
              </w:rPr>
            </w:pPr>
            <w:r>
              <w:rPr>
                <w:w w:val="99"/>
                <w:sz w:val="20"/>
              </w:rPr>
              <w:t>5</w:t>
            </w:r>
          </w:p>
        </w:tc>
      </w:tr>
      <w:tr>
        <w:tblPrEx>
          <w:tblW w:w="0" w:type="auto"/>
          <w:jc w:val="left"/>
          <w:tblInd w:w="263" w:type="dxa"/>
          <w:tblLayout w:type="fixed"/>
          <w:tblCellMar>
            <w:top w:w="0" w:type="dxa"/>
            <w:left w:w="0" w:type="dxa"/>
            <w:bottom w:w="0" w:type="dxa"/>
            <w:right w:w="0" w:type="dxa"/>
          </w:tblCellMar>
          <w:tblLook w:val="01E0"/>
        </w:tblPrEx>
        <w:trPr>
          <w:trHeight w:val="282"/>
          <w:jc w:val="left"/>
        </w:trPr>
        <w:tc>
          <w:tcPr>
            <w:tcW w:w="1001" w:type="dxa"/>
          </w:tcPr>
          <w:p>
            <w:pPr>
              <w:pStyle w:val="TableParagraph"/>
              <w:spacing w:before="39" w:line="223" w:lineRule="exact"/>
              <w:ind w:left="107"/>
              <w:rPr>
                <w:sz w:val="20"/>
              </w:rPr>
            </w:pPr>
            <w:r>
              <w:rPr>
                <w:sz w:val="20"/>
              </w:rPr>
              <w:t>I, P</w:t>
            </w:r>
          </w:p>
        </w:tc>
        <w:tc>
          <w:tcPr>
            <w:tcW w:w="3814" w:type="dxa"/>
          </w:tcPr>
          <w:p>
            <w:pPr>
              <w:pStyle w:val="TableParagraph"/>
              <w:spacing w:before="39" w:line="223" w:lineRule="exact"/>
              <w:ind w:left="108"/>
              <w:rPr>
                <w:sz w:val="20"/>
              </w:rPr>
            </w:pPr>
            <w:r>
              <w:rPr>
                <w:sz w:val="20"/>
              </w:rPr>
              <w:t>Capability</w:t>
            </w:r>
          </w:p>
        </w:tc>
        <w:tc>
          <w:tcPr>
            <w:tcW w:w="1136" w:type="dxa"/>
          </w:tcPr>
          <w:p>
            <w:pPr>
              <w:pStyle w:val="TableParagraph"/>
              <w:spacing w:before="39" w:line="223" w:lineRule="exact"/>
              <w:ind w:right="101"/>
              <w:jc w:val="right"/>
              <w:rPr>
                <w:sz w:val="20"/>
              </w:rPr>
            </w:pPr>
            <w:r>
              <w:rPr>
                <w:sz w:val="20"/>
              </w:rPr>
              <w:t>642.0</w:t>
            </w:r>
          </w:p>
        </w:tc>
        <w:tc>
          <w:tcPr>
            <w:tcW w:w="1134" w:type="dxa"/>
          </w:tcPr>
          <w:p>
            <w:pPr>
              <w:pStyle w:val="TableParagraph"/>
              <w:spacing w:before="39" w:line="223" w:lineRule="exact"/>
              <w:ind w:right="100"/>
              <w:jc w:val="right"/>
              <w:rPr>
                <w:sz w:val="20"/>
              </w:rPr>
            </w:pPr>
            <w:r>
              <w:rPr>
                <w:sz w:val="20"/>
              </w:rPr>
              <w:t>656.3</w:t>
            </w:r>
          </w:p>
        </w:tc>
        <w:tc>
          <w:tcPr>
            <w:tcW w:w="992" w:type="dxa"/>
          </w:tcPr>
          <w:p>
            <w:pPr>
              <w:pStyle w:val="TableParagraph"/>
              <w:spacing w:before="39" w:line="223" w:lineRule="exact"/>
              <w:ind w:right="102"/>
              <w:jc w:val="right"/>
              <w:rPr>
                <w:b/>
                <w:sz w:val="20"/>
              </w:rPr>
            </w:pPr>
            <w:r>
              <w:rPr>
                <w:b/>
                <w:w w:val="95"/>
                <w:sz w:val="20"/>
              </w:rPr>
              <w:t>-14.3</w:t>
            </w:r>
          </w:p>
        </w:tc>
        <w:tc>
          <w:tcPr>
            <w:tcW w:w="853" w:type="dxa"/>
          </w:tcPr>
          <w:p>
            <w:pPr>
              <w:pStyle w:val="TableParagraph"/>
              <w:spacing w:before="39" w:line="223" w:lineRule="exact"/>
              <w:ind w:right="105"/>
              <w:jc w:val="right"/>
              <w:rPr>
                <w:b/>
                <w:sz w:val="20"/>
              </w:rPr>
            </w:pPr>
            <w:r>
              <w:rPr>
                <w:b/>
                <w:w w:val="95"/>
                <w:sz w:val="20"/>
              </w:rPr>
              <w:t>-2.2%</w:t>
            </w:r>
          </w:p>
        </w:tc>
        <w:tc>
          <w:tcPr>
            <w:tcW w:w="992" w:type="dxa"/>
          </w:tcPr>
          <w:p>
            <w:pPr>
              <w:pStyle w:val="TableParagraph"/>
              <w:rPr>
                <w:rFonts w:ascii="Times New Roman"/>
                <w:sz w:val="20"/>
              </w:rPr>
            </w:pPr>
          </w:p>
        </w:tc>
      </w:tr>
      <w:tr>
        <w:tblPrEx>
          <w:tblW w:w="0" w:type="auto"/>
          <w:jc w:val="left"/>
          <w:tblInd w:w="263" w:type="dxa"/>
          <w:tblLayout w:type="fixed"/>
          <w:tblCellMar>
            <w:top w:w="0" w:type="dxa"/>
            <w:left w:w="0" w:type="dxa"/>
            <w:bottom w:w="0" w:type="dxa"/>
            <w:right w:w="0" w:type="dxa"/>
          </w:tblCellMar>
          <w:tblLook w:val="01E0"/>
        </w:tblPrEx>
        <w:trPr>
          <w:trHeight w:val="378"/>
          <w:jc w:val="left"/>
        </w:trPr>
        <w:tc>
          <w:tcPr>
            <w:tcW w:w="1001" w:type="dxa"/>
          </w:tcPr>
          <w:p>
            <w:pPr>
              <w:pStyle w:val="TableParagraph"/>
              <w:spacing w:before="135" w:line="223" w:lineRule="exact"/>
              <w:ind w:left="107"/>
              <w:rPr>
                <w:sz w:val="20"/>
              </w:rPr>
            </w:pPr>
            <w:r>
              <w:rPr>
                <w:sz w:val="20"/>
              </w:rPr>
              <w:t>J, Q</w:t>
            </w:r>
          </w:p>
        </w:tc>
        <w:tc>
          <w:tcPr>
            <w:tcW w:w="3814" w:type="dxa"/>
          </w:tcPr>
          <w:p>
            <w:pPr>
              <w:pStyle w:val="TableParagraph"/>
              <w:spacing w:before="135" w:line="223" w:lineRule="exact"/>
              <w:ind w:left="107"/>
              <w:rPr>
                <w:sz w:val="20"/>
              </w:rPr>
            </w:pPr>
            <w:r>
              <w:rPr>
                <w:sz w:val="20"/>
              </w:rPr>
              <w:t>Government as Shareholder</w:t>
            </w:r>
          </w:p>
        </w:tc>
        <w:tc>
          <w:tcPr>
            <w:tcW w:w="1136" w:type="dxa"/>
          </w:tcPr>
          <w:p>
            <w:pPr>
              <w:pStyle w:val="TableParagraph"/>
              <w:spacing w:before="135" w:line="223" w:lineRule="exact"/>
              <w:ind w:right="102"/>
              <w:jc w:val="right"/>
              <w:rPr>
                <w:sz w:val="20"/>
              </w:rPr>
            </w:pPr>
            <w:r>
              <w:rPr>
                <w:w w:val="95"/>
                <w:sz w:val="20"/>
              </w:rPr>
              <w:t>1,238.8</w:t>
            </w:r>
          </w:p>
        </w:tc>
        <w:tc>
          <w:tcPr>
            <w:tcW w:w="1134" w:type="dxa"/>
          </w:tcPr>
          <w:p>
            <w:pPr>
              <w:pStyle w:val="TableParagraph"/>
              <w:spacing w:before="135" w:line="223" w:lineRule="exact"/>
              <w:ind w:right="101"/>
              <w:jc w:val="right"/>
              <w:rPr>
                <w:sz w:val="20"/>
              </w:rPr>
            </w:pPr>
            <w:r>
              <w:rPr>
                <w:w w:val="95"/>
                <w:sz w:val="20"/>
              </w:rPr>
              <w:t>1,759.4</w:t>
            </w:r>
          </w:p>
        </w:tc>
        <w:tc>
          <w:tcPr>
            <w:tcW w:w="992" w:type="dxa"/>
          </w:tcPr>
          <w:p>
            <w:pPr>
              <w:pStyle w:val="TableParagraph"/>
              <w:spacing w:before="135" w:line="223" w:lineRule="exact"/>
              <w:ind w:right="102"/>
              <w:jc w:val="right"/>
              <w:rPr>
                <w:b/>
                <w:sz w:val="20"/>
              </w:rPr>
            </w:pPr>
            <w:r>
              <w:rPr>
                <w:b/>
                <w:w w:val="95"/>
                <w:sz w:val="20"/>
              </w:rPr>
              <w:t>-520.7</w:t>
            </w:r>
          </w:p>
        </w:tc>
        <w:tc>
          <w:tcPr>
            <w:tcW w:w="853" w:type="dxa"/>
          </w:tcPr>
          <w:p>
            <w:pPr>
              <w:pStyle w:val="TableParagraph"/>
              <w:spacing w:before="135" w:line="223" w:lineRule="exact"/>
              <w:ind w:right="104"/>
              <w:jc w:val="right"/>
              <w:rPr>
                <w:b/>
                <w:sz w:val="20"/>
              </w:rPr>
            </w:pPr>
            <w:r>
              <w:rPr>
                <w:b/>
                <w:w w:val="95"/>
                <w:sz w:val="20"/>
              </w:rPr>
              <w:t>-29.6%</w:t>
            </w:r>
          </w:p>
        </w:tc>
        <w:tc>
          <w:tcPr>
            <w:tcW w:w="992" w:type="dxa"/>
          </w:tcPr>
          <w:p>
            <w:pPr>
              <w:pStyle w:val="TableParagraph"/>
              <w:spacing w:before="135" w:line="223" w:lineRule="exact"/>
              <w:ind w:right="101"/>
              <w:jc w:val="right"/>
              <w:rPr>
                <w:sz w:val="20"/>
              </w:rPr>
            </w:pPr>
            <w:r>
              <w:rPr>
                <w:w w:val="99"/>
                <w:sz w:val="20"/>
              </w:rPr>
              <w:t>6</w:t>
            </w:r>
          </w:p>
        </w:tc>
      </w:tr>
      <w:tr>
        <w:tblPrEx>
          <w:tblW w:w="0" w:type="auto"/>
          <w:jc w:val="left"/>
          <w:tblInd w:w="263" w:type="dxa"/>
          <w:tblLayout w:type="fixed"/>
          <w:tblCellMar>
            <w:top w:w="0" w:type="dxa"/>
            <w:left w:w="0" w:type="dxa"/>
            <w:bottom w:w="0" w:type="dxa"/>
            <w:right w:w="0" w:type="dxa"/>
          </w:tblCellMar>
          <w:tblLook w:val="01E0"/>
        </w:tblPrEx>
        <w:trPr>
          <w:trHeight w:val="352"/>
          <w:jc w:val="left"/>
        </w:trPr>
        <w:tc>
          <w:tcPr>
            <w:tcW w:w="1001" w:type="dxa"/>
          </w:tcPr>
          <w:p>
            <w:pPr>
              <w:pStyle w:val="TableParagraph"/>
              <w:spacing w:before="109" w:line="223" w:lineRule="exact"/>
              <w:ind w:left="107"/>
              <w:rPr>
                <w:sz w:val="20"/>
              </w:rPr>
            </w:pPr>
            <w:r>
              <w:rPr>
                <w:sz w:val="20"/>
              </w:rPr>
              <w:t>R, S</w:t>
            </w:r>
          </w:p>
        </w:tc>
        <w:tc>
          <w:tcPr>
            <w:tcW w:w="3814" w:type="dxa"/>
          </w:tcPr>
          <w:p>
            <w:pPr>
              <w:pStyle w:val="TableParagraph"/>
              <w:spacing w:before="109" w:line="223" w:lineRule="exact"/>
              <w:ind w:left="108"/>
              <w:rPr>
                <w:sz w:val="20"/>
              </w:rPr>
            </w:pPr>
            <w:r>
              <w:rPr>
                <w:sz w:val="20"/>
              </w:rPr>
              <w:t>Nuclear Decommissioning Authority</w:t>
            </w:r>
          </w:p>
        </w:tc>
        <w:tc>
          <w:tcPr>
            <w:tcW w:w="1136" w:type="dxa"/>
          </w:tcPr>
          <w:p>
            <w:pPr>
              <w:pStyle w:val="TableParagraph"/>
              <w:spacing w:before="109" w:line="223" w:lineRule="exact"/>
              <w:ind w:right="101"/>
              <w:jc w:val="right"/>
              <w:rPr>
                <w:sz w:val="20"/>
              </w:rPr>
            </w:pPr>
            <w:r>
              <w:rPr>
                <w:sz w:val="20"/>
              </w:rPr>
              <w:t>510.3</w:t>
            </w:r>
          </w:p>
        </w:tc>
        <w:tc>
          <w:tcPr>
            <w:tcW w:w="1134" w:type="dxa"/>
          </w:tcPr>
          <w:p>
            <w:pPr>
              <w:pStyle w:val="TableParagraph"/>
              <w:spacing w:before="109" w:line="223" w:lineRule="exact"/>
              <w:ind w:right="100"/>
              <w:jc w:val="right"/>
              <w:rPr>
                <w:sz w:val="20"/>
              </w:rPr>
            </w:pPr>
            <w:r>
              <w:rPr>
                <w:sz w:val="20"/>
              </w:rPr>
              <w:t>651.2</w:t>
            </w:r>
          </w:p>
        </w:tc>
        <w:tc>
          <w:tcPr>
            <w:tcW w:w="992" w:type="dxa"/>
          </w:tcPr>
          <w:p>
            <w:pPr>
              <w:pStyle w:val="TableParagraph"/>
              <w:spacing w:before="109" w:line="223" w:lineRule="exact"/>
              <w:ind w:right="102"/>
              <w:jc w:val="right"/>
              <w:rPr>
                <w:b/>
                <w:sz w:val="20"/>
              </w:rPr>
            </w:pPr>
            <w:r>
              <w:rPr>
                <w:b/>
                <w:w w:val="95"/>
                <w:sz w:val="20"/>
              </w:rPr>
              <w:t>-140.9</w:t>
            </w:r>
          </w:p>
        </w:tc>
        <w:tc>
          <w:tcPr>
            <w:tcW w:w="853" w:type="dxa"/>
          </w:tcPr>
          <w:p>
            <w:pPr>
              <w:pStyle w:val="TableParagraph"/>
              <w:spacing w:before="109" w:line="223" w:lineRule="exact"/>
              <w:ind w:right="104"/>
              <w:jc w:val="right"/>
              <w:rPr>
                <w:b/>
                <w:sz w:val="20"/>
              </w:rPr>
            </w:pPr>
            <w:r>
              <w:rPr>
                <w:b/>
                <w:w w:val="95"/>
                <w:sz w:val="20"/>
              </w:rPr>
              <w:t>-21.6%</w:t>
            </w:r>
          </w:p>
        </w:tc>
        <w:tc>
          <w:tcPr>
            <w:tcW w:w="992" w:type="dxa"/>
          </w:tcPr>
          <w:p>
            <w:pPr>
              <w:pStyle w:val="TableParagraph"/>
              <w:spacing w:before="109" w:line="223" w:lineRule="exact"/>
              <w:ind w:right="101"/>
              <w:jc w:val="right"/>
              <w:rPr>
                <w:sz w:val="20"/>
              </w:rPr>
            </w:pPr>
            <w:r>
              <w:rPr>
                <w:w w:val="99"/>
                <w:sz w:val="20"/>
              </w:rPr>
              <w:t>7</w:t>
            </w:r>
          </w:p>
        </w:tc>
      </w:tr>
      <w:tr>
        <w:tblPrEx>
          <w:tblW w:w="0" w:type="auto"/>
          <w:jc w:val="left"/>
          <w:tblInd w:w="263" w:type="dxa"/>
          <w:tblLayout w:type="fixed"/>
          <w:tblCellMar>
            <w:top w:w="0" w:type="dxa"/>
            <w:left w:w="0" w:type="dxa"/>
            <w:bottom w:w="0" w:type="dxa"/>
            <w:right w:w="0" w:type="dxa"/>
          </w:tblCellMar>
          <w:tblLook w:val="01E0"/>
        </w:tblPrEx>
        <w:trPr>
          <w:trHeight w:val="450"/>
          <w:jc w:val="left"/>
        </w:trPr>
        <w:tc>
          <w:tcPr>
            <w:tcW w:w="1001" w:type="dxa"/>
          </w:tcPr>
          <w:p>
            <w:pPr>
              <w:pStyle w:val="TableParagraph"/>
              <w:rPr>
                <w:rFonts w:ascii="Times New Roman"/>
                <w:sz w:val="20"/>
              </w:rPr>
            </w:pPr>
          </w:p>
        </w:tc>
        <w:tc>
          <w:tcPr>
            <w:tcW w:w="3814" w:type="dxa"/>
          </w:tcPr>
          <w:p>
            <w:pPr>
              <w:pStyle w:val="TableParagraph"/>
              <w:rPr>
                <w:sz w:val="17"/>
              </w:rPr>
            </w:pPr>
          </w:p>
          <w:p>
            <w:pPr>
              <w:pStyle w:val="TableParagraph"/>
              <w:spacing w:line="223" w:lineRule="exact"/>
              <w:ind w:left="107"/>
              <w:rPr>
                <w:b/>
                <w:sz w:val="20"/>
              </w:rPr>
            </w:pPr>
            <w:r>
              <w:rPr>
                <w:b/>
                <w:sz w:val="20"/>
              </w:rPr>
              <w:t>Total voted and non voted</w:t>
            </w:r>
          </w:p>
        </w:tc>
        <w:tc>
          <w:tcPr>
            <w:tcW w:w="1136" w:type="dxa"/>
          </w:tcPr>
          <w:p>
            <w:pPr>
              <w:pStyle w:val="TableParagraph"/>
              <w:rPr>
                <w:sz w:val="17"/>
              </w:rPr>
            </w:pPr>
          </w:p>
          <w:p>
            <w:pPr>
              <w:pStyle w:val="TableParagraph"/>
              <w:spacing w:line="223" w:lineRule="exact"/>
              <w:ind w:right="102"/>
              <w:jc w:val="right"/>
              <w:rPr>
                <w:b/>
                <w:sz w:val="20"/>
              </w:rPr>
            </w:pPr>
            <w:r>
              <w:rPr>
                <w:b/>
                <w:sz w:val="20"/>
              </w:rPr>
              <w:t>8,754.1</w:t>
            </w:r>
          </w:p>
        </w:tc>
        <w:tc>
          <w:tcPr>
            <w:tcW w:w="1134" w:type="dxa"/>
          </w:tcPr>
          <w:p>
            <w:pPr>
              <w:pStyle w:val="TableParagraph"/>
              <w:rPr>
                <w:sz w:val="17"/>
              </w:rPr>
            </w:pPr>
          </w:p>
          <w:p>
            <w:pPr>
              <w:pStyle w:val="TableParagraph"/>
              <w:spacing w:line="223" w:lineRule="exact"/>
              <w:ind w:right="101"/>
              <w:jc w:val="right"/>
              <w:rPr>
                <w:b/>
                <w:sz w:val="20"/>
              </w:rPr>
            </w:pPr>
            <w:r>
              <w:rPr>
                <w:b/>
                <w:sz w:val="20"/>
              </w:rPr>
              <w:t>27,913.1</w:t>
            </w:r>
          </w:p>
        </w:tc>
        <w:tc>
          <w:tcPr>
            <w:tcW w:w="992" w:type="dxa"/>
          </w:tcPr>
          <w:p>
            <w:pPr>
              <w:pStyle w:val="TableParagraph"/>
              <w:rPr>
                <w:sz w:val="17"/>
              </w:rPr>
            </w:pPr>
          </w:p>
          <w:p>
            <w:pPr>
              <w:pStyle w:val="TableParagraph"/>
              <w:spacing w:line="223" w:lineRule="exact"/>
              <w:ind w:right="102"/>
              <w:jc w:val="right"/>
              <w:rPr>
                <w:b/>
                <w:sz w:val="20"/>
              </w:rPr>
            </w:pPr>
            <w:r>
              <w:rPr>
                <w:b/>
                <w:w w:val="95"/>
                <w:sz w:val="20"/>
              </w:rPr>
              <w:t>-19,159.0</w:t>
            </w:r>
          </w:p>
        </w:tc>
        <w:tc>
          <w:tcPr>
            <w:tcW w:w="853" w:type="dxa"/>
          </w:tcPr>
          <w:p>
            <w:pPr>
              <w:pStyle w:val="TableParagraph"/>
              <w:rPr>
                <w:sz w:val="17"/>
              </w:rPr>
            </w:pPr>
          </w:p>
          <w:p>
            <w:pPr>
              <w:pStyle w:val="TableParagraph"/>
              <w:spacing w:line="223" w:lineRule="exact"/>
              <w:ind w:right="104"/>
              <w:jc w:val="right"/>
              <w:rPr>
                <w:b/>
                <w:sz w:val="20"/>
              </w:rPr>
            </w:pPr>
            <w:r>
              <w:rPr>
                <w:b/>
                <w:w w:val="95"/>
                <w:sz w:val="20"/>
              </w:rPr>
              <w:t>-68.6%</w:t>
            </w:r>
          </w:p>
        </w:tc>
        <w:tc>
          <w:tcPr>
            <w:tcW w:w="992" w:type="dxa"/>
          </w:tcPr>
          <w:p>
            <w:pPr>
              <w:pStyle w:val="TableParagraph"/>
              <w:rPr>
                <w:rFonts w:ascii="Times New Roman"/>
                <w:sz w:val="20"/>
              </w:rPr>
            </w:pPr>
          </w:p>
        </w:tc>
      </w:tr>
    </w:tbl>
    <w:p>
      <w:pPr>
        <w:pStyle w:val="BodyText"/>
      </w:pPr>
    </w:p>
    <w:p>
      <w:pPr>
        <w:pStyle w:val="BodyText"/>
        <w:spacing w:before="179" w:line="259" w:lineRule="auto"/>
        <w:ind w:left="400" w:right="1187"/>
      </w:pPr>
      <w:r>
        <w:t>Differences of more than 10% which are more than £10 million are explained below. Numbers relate to the relevant row in the table above. Further detail of spending within these totals is given in the Table at Annex A.</w:t>
      </w:r>
    </w:p>
    <w:p>
      <w:pPr>
        <w:spacing w:after="0" w:line="259" w:lineRule="auto"/>
        <w:sectPr>
          <w:pgSz w:w="11910" w:h="16840"/>
          <w:pgMar w:top="1400" w:right="280" w:bottom="280" w:left="1040" w:header="720" w:footer="720"/>
          <w:cols w:space="720"/>
        </w:sectPr>
      </w:pPr>
    </w:p>
    <w:p>
      <w:pPr>
        <w:pStyle w:val="ListParagraph"/>
        <w:numPr>
          <w:ilvl w:val="0"/>
          <w:numId w:val="4"/>
        </w:numPr>
        <w:tabs>
          <w:tab w:val="left" w:pos="616"/>
        </w:tabs>
        <w:spacing w:before="41" w:after="0" w:line="240" w:lineRule="auto"/>
        <w:ind w:left="615" w:right="0" w:hanging="216"/>
        <w:jc w:val="left"/>
        <w:rPr>
          <w:rFonts w:ascii="Calibri Light"/>
          <w:b w:val="0"/>
          <w:sz w:val="22"/>
        </w:rPr>
      </w:pPr>
      <w:r>
        <w:rPr>
          <w:rFonts w:ascii="Calibri Light"/>
          <w:b w:val="0"/>
          <w:color w:val="2F5495"/>
          <w:sz w:val="22"/>
        </w:rPr>
        <w:t>Deliver an ambitious industrial</w:t>
      </w:r>
      <w:r>
        <w:rPr>
          <w:rFonts w:ascii="Calibri Light"/>
          <w:b w:val="0"/>
          <w:color w:val="2F5495"/>
          <w:spacing w:val="-10"/>
          <w:sz w:val="22"/>
        </w:rPr>
        <w:t xml:space="preserve"> </w:t>
      </w:r>
      <w:r>
        <w:rPr>
          <w:rFonts w:ascii="Calibri Light"/>
          <w:b w:val="0"/>
          <w:color w:val="2F5495"/>
          <w:sz w:val="22"/>
        </w:rPr>
        <w:t>strategy</w:t>
      </w:r>
    </w:p>
    <w:p>
      <w:pPr>
        <w:pStyle w:val="BodyText"/>
        <w:spacing w:before="21" w:line="259" w:lineRule="auto"/>
        <w:ind w:left="1120" w:right="1321"/>
      </w:pPr>
      <w:r>
        <w:t>Resource DEL spending under these subheads is, overall, forecast to decrease by £17,427.7 million, or 79.4%, compared to</w:t>
      </w:r>
      <w:r>
        <w:rPr>
          <w:spacing w:val="-11"/>
        </w:rPr>
        <w:t xml:space="preserve"> </w:t>
      </w:r>
      <w:r>
        <w:t>2020-21.</w:t>
      </w:r>
    </w:p>
    <w:p>
      <w:pPr>
        <w:pStyle w:val="BodyText"/>
        <w:spacing w:before="8"/>
        <w:rPr>
          <w:sz w:val="23"/>
        </w:rPr>
      </w:pPr>
    </w:p>
    <w:p>
      <w:pPr>
        <w:pStyle w:val="BodyText"/>
        <w:ind w:left="1120"/>
      </w:pPr>
      <w:r>
        <w:t>This is driven largely by:</w:t>
      </w:r>
    </w:p>
    <w:p>
      <w:pPr>
        <w:pStyle w:val="ListParagraph"/>
        <w:numPr>
          <w:ilvl w:val="1"/>
          <w:numId w:val="4"/>
        </w:numPr>
        <w:tabs>
          <w:tab w:val="left" w:pos="1839"/>
          <w:tab w:val="left" w:pos="1840"/>
        </w:tabs>
        <w:spacing w:before="23" w:after="0" w:line="259" w:lineRule="auto"/>
        <w:ind w:left="1840" w:right="1202" w:hanging="360"/>
        <w:jc w:val="left"/>
        <w:rPr>
          <w:sz w:val="22"/>
        </w:rPr>
      </w:pPr>
      <w:r>
        <w:rPr>
          <w:sz w:val="22"/>
        </w:rPr>
        <w:t>A decrease of £(17,765.7) million for Covid-19 business support grants distributed via Local Authorities. Restart Grant funding in 2021-22 of £3,785.0 million has been announced which will pay grants to eligible businesses in the non-essential retail (up to £6,000) and leisure and hospitality (up to £18,000)</w:t>
      </w:r>
      <w:r>
        <w:rPr>
          <w:spacing w:val="-14"/>
          <w:sz w:val="22"/>
        </w:rPr>
        <w:t xml:space="preserve"> </w:t>
      </w:r>
      <w:r>
        <w:rPr>
          <w:sz w:val="22"/>
        </w:rPr>
        <w:t>sectors.</w:t>
      </w:r>
    </w:p>
    <w:p>
      <w:pPr>
        <w:pStyle w:val="ListParagraph"/>
        <w:numPr>
          <w:ilvl w:val="1"/>
          <w:numId w:val="4"/>
        </w:numPr>
        <w:tabs>
          <w:tab w:val="left" w:pos="1839"/>
          <w:tab w:val="left" w:pos="1840"/>
        </w:tabs>
        <w:spacing w:before="0" w:after="0" w:line="240" w:lineRule="auto"/>
        <w:ind w:left="1840" w:right="1186" w:hanging="360"/>
        <w:jc w:val="left"/>
        <w:rPr>
          <w:sz w:val="22"/>
        </w:rPr>
      </w:pPr>
      <w:r>
        <w:rPr>
          <w:sz w:val="22"/>
        </w:rPr>
        <w:t>£(220.0) million in premium income for Trade Credit Reinsurance in 2020-21 not included in 2021-22 – as income and costs for this programme are difficult to predict they will be considered and budget adjusted for accordingly, at the Supplementary Estimate later this financial year;</w:t>
      </w:r>
      <w:r>
        <w:rPr>
          <w:spacing w:val="-9"/>
          <w:sz w:val="22"/>
        </w:rPr>
        <w:t xml:space="preserve"> </w:t>
      </w:r>
      <w:r>
        <w:rPr>
          <w:sz w:val="22"/>
        </w:rPr>
        <w:t>and</w:t>
      </w:r>
    </w:p>
    <w:p>
      <w:pPr>
        <w:pStyle w:val="ListParagraph"/>
        <w:numPr>
          <w:ilvl w:val="1"/>
          <w:numId w:val="4"/>
        </w:numPr>
        <w:tabs>
          <w:tab w:val="left" w:pos="1839"/>
          <w:tab w:val="left" w:pos="1840"/>
        </w:tabs>
        <w:spacing w:before="0" w:after="0" w:line="240" w:lineRule="auto"/>
        <w:ind w:left="1840" w:right="1233" w:hanging="360"/>
        <w:jc w:val="left"/>
        <w:rPr>
          <w:sz w:val="22"/>
        </w:rPr>
      </w:pPr>
      <w:r>
        <w:rPr>
          <w:sz w:val="22"/>
        </w:rPr>
        <w:t>£104.0 million of additional funding for 2021-22 in respect of Help to Grow schemes announced in Spring Budget 2021.These schemes include Help to Grow: Management a UK wide management scheme programme to help upskill SMEs and equip them with the tools to grow their businesses; and Help to Grow: Digital a scheme to help SMES save time and money by adopting productivity enhancing software. An additional £4.0 million for administration costs to support the scheme is also included within the ‘Capability’</w:t>
      </w:r>
      <w:r>
        <w:rPr>
          <w:spacing w:val="-7"/>
          <w:sz w:val="22"/>
        </w:rPr>
        <w:t xml:space="preserve"> </w:t>
      </w:r>
      <w:r>
        <w:rPr>
          <w:sz w:val="22"/>
        </w:rPr>
        <w:t>subhead.</w:t>
      </w:r>
    </w:p>
    <w:p>
      <w:pPr>
        <w:pStyle w:val="BodyText"/>
      </w:pPr>
    </w:p>
    <w:p>
      <w:pPr>
        <w:pStyle w:val="ListParagraph"/>
        <w:numPr>
          <w:ilvl w:val="0"/>
          <w:numId w:val="4"/>
        </w:numPr>
        <w:tabs>
          <w:tab w:val="left" w:pos="616"/>
        </w:tabs>
        <w:spacing w:before="180" w:after="0" w:line="240" w:lineRule="auto"/>
        <w:ind w:left="615" w:right="0" w:hanging="216"/>
        <w:jc w:val="left"/>
        <w:rPr>
          <w:rFonts w:ascii="Calibri Light"/>
          <w:b w:val="0"/>
          <w:sz w:val="22"/>
        </w:rPr>
      </w:pPr>
      <w:r>
        <w:rPr>
          <w:rFonts w:ascii="Calibri Light"/>
          <w:b w:val="0"/>
          <w:color w:val="2F5495"/>
          <w:sz w:val="22"/>
        </w:rPr>
        <w:t>Maximise investment opportunities and bolster UK</w:t>
      </w:r>
      <w:r>
        <w:rPr>
          <w:rFonts w:ascii="Calibri Light"/>
          <w:b w:val="0"/>
          <w:color w:val="2F5495"/>
          <w:spacing w:val="-7"/>
          <w:sz w:val="22"/>
        </w:rPr>
        <w:t xml:space="preserve"> </w:t>
      </w:r>
      <w:r>
        <w:rPr>
          <w:rFonts w:ascii="Calibri Light"/>
          <w:b w:val="0"/>
          <w:color w:val="2F5495"/>
          <w:sz w:val="22"/>
        </w:rPr>
        <w:t>interests</w:t>
      </w:r>
    </w:p>
    <w:p>
      <w:pPr>
        <w:pStyle w:val="BodyText"/>
        <w:spacing w:before="19" w:line="259" w:lineRule="auto"/>
        <w:ind w:left="1120" w:right="1310"/>
      </w:pPr>
      <w:r>
        <w:t>Resource DEL spending under this subhead is, overall, forecast to increase by £51.9 million, or 59.7%, compared to 2020-21. This is due to the inclusion of additional funding for International Climate Finance (ICF) allocated in SR20.</w:t>
      </w:r>
    </w:p>
    <w:p>
      <w:pPr>
        <w:pStyle w:val="BodyText"/>
      </w:pPr>
    </w:p>
    <w:p>
      <w:pPr>
        <w:pStyle w:val="ListParagraph"/>
        <w:numPr>
          <w:ilvl w:val="0"/>
          <w:numId w:val="4"/>
        </w:numPr>
        <w:tabs>
          <w:tab w:val="left" w:pos="616"/>
        </w:tabs>
        <w:spacing w:before="181" w:after="0" w:line="240" w:lineRule="auto"/>
        <w:ind w:left="615" w:right="0" w:hanging="216"/>
        <w:jc w:val="left"/>
        <w:rPr>
          <w:rFonts w:ascii="Calibri Light"/>
          <w:b w:val="0"/>
          <w:sz w:val="22"/>
        </w:rPr>
      </w:pPr>
      <w:r>
        <w:rPr>
          <w:rFonts w:ascii="Calibri Light"/>
          <w:b w:val="0"/>
          <w:color w:val="2F5495"/>
          <w:sz w:val="22"/>
        </w:rPr>
        <w:t>Delivering affordable energy for households and</w:t>
      </w:r>
      <w:r>
        <w:rPr>
          <w:rFonts w:ascii="Calibri Light"/>
          <w:b w:val="0"/>
          <w:color w:val="2F5495"/>
          <w:spacing w:val="-7"/>
          <w:sz w:val="22"/>
        </w:rPr>
        <w:t xml:space="preserve"> </w:t>
      </w:r>
      <w:r>
        <w:rPr>
          <w:rFonts w:ascii="Calibri Light"/>
          <w:b w:val="0"/>
          <w:color w:val="2F5495"/>
          <w:sz w:val="22"/>
        </w:rPr>
        <w:t>businesses</w:t>
      </w:r>
    </w:p>
    <w:p>
      <w:pPr>
        <w:pStyle w:val="BodyText"/>
        <w:spacing w:before="22" w:line="259" w:lineRule="auto"/>
        <w:ind w:left="1120" w:right="1251"/>
      </w:pPr>
      <w:r>
        <w:t>Resource DEL spending under this subhead is, overall, forecast to decrease by £15.6 million, or 11.7%, compared to 2020-21.</w:t>
      </w:r>
    </w:p>
    <w:p>
      <w:pPr>
        <w:pStyle w:val="BodyText"/>
        <w:spacing w:before="8"/>
        <w:rPr>
          <w:sz w:val="23"/>
        </w:rPr>
      </w:pPr>
    </w:p>
    <w:p>
      <w:pPr>
        <w:pStyle w:val="BodyText"/>
        <w:ind w:left="1120"/>
      </w:pPr>
      <w:r>
        <w:t>This is driven largely by:</w:t>
      </w:r>
    </w:p>
    <w:p>
      <w:pPr>
        <w:pStyle w:val="ListParagraph"/>
        <w:numPr>
          <w:ilvl w:val="1"/>
          <w:numId w:val="4"/>
        </w:numPr>
        <w:tabs>
          <w:tab w:val="left" w:pos="1839"/>
          <w:tab w:val="left" w:pos="1840"/>
        </w:tabs>
        <w:spacing w:before="22" w:after="0" w:line="259" w:lineRule="auto"/>
        <w:ind w:left="1840" w:right="1303" w:hanging="360"/>
        <w:jc w:val="left"/>
        <w:rPr>
          <w:sz w:val="22"/>
        </w:rPr>
      </w:pPr>
      <w:r>
        <w:rPr>
          <w:sz w:val="22"/>
        </w:rPr>
        <w:t>A decrease of £(23.3) million in funding allocated for Net Zero Buildings against this subhead. Other Net Zero budgets are included under ‘Ensuring that our energy system is reliable and secure’ (£5.0 million for New Nuclear) and ‘Taking action on climate change and decarbonisation’ (£24.0 million as noted below);</w:t>
      </w:r>
      <w:r>
        <w:rPr>
          <w:spacing w:val="-13"/>
          <w:sz w:val="22"/>
        </w:rPr>
        <w:t xml:space="preserve"> </w:t>
      </w:r>
      <w:r>
        <w:rPr>
          <w:sz w:val="22"/>
        </w:rPr>
        <w:t>and</w:t>
      </w:r>
    </w:p>
    <w:p>
      <w:pPr>
        <w:pStyle w:val="ListParagraph"/>
        <w:numPr>
          <w:ilvl w:val="1"/>
          <w:numId w:val="4"/>
        </w:numPr>
        <w:tabs>
          <w:tab w:val="left" w:pos="1839"/>
          <w:tab w:val="left" w:pos="1840"/>
        </w:tabs>
        <w:spacing w:before="0" w:after="0" w:line="280" w:lineRule="exact"/>
        <w:ind w:left="1840" w:right="0" w:hanging="360"/>
        <w:jc w:val="left"/>
        <w:rPr>
          <w:sz w:val="22"/>
        </w:rPr>
      </w:pPr>
      <w:r>
        <w:rPr>
          <w:sz w:val="22"/>
        </w:rPr>
        <w:t>A £12.0 million increase for Ofgem for Net</w:t>
      </w:r>
      <w:r>
        <w:rPr>
          <w:spacing w:val="-8"/>
          <w:sz w:val="22"/>
        </w:rPr>
        <w:t xml:space="preserve"> </w:t>
      </w:r>
      <w:r>
        <w:rPr>
          <w:sz w:val="22"/>
        </w:rPr>
        <w:t>Zero.</w:t>
      </w:r>
    </w:p>
    <w:p>
      <w:pPr>
        <w:pStyle w:val="BodyText"/>
        <w:rPr>
          <w:sz w:val="28"/>
        </w:rPr>
      </w:pPr>
    </w:p>
    <w:p>
      <w:pPr>
        <w:pStyle w:val="BodyText"/>
        <w:spacing w:before="9"/>
        <w:rPr>
          <w:sz w:val="23"/>
        </w:rPr>
      </w:pPr>
    </w:p>
    <w:p>
      <w:pPr>
        <w:pStyle w:val="ListParagraph"/>
        <w:numPr>
          <w:ilvl w:val="0"/>
          <w:numId w:val="4"/>
        </w:numPr>
        <w:tabs>
          <w:tab w:val="left" w:pos="616"/>
        </w:tabs>
        <w:spacing w:before="0" w:after="0" w:line="240" w:lineRule="auto"/>
        <w:ind w:left="615" w:right="0" w:hanging="216"/>
        <w:jc w:val="left"/>
        <w:rPr>
          <w:rFonts w:ascii="Calibri Light"/>
          <w:b w:val="0"/>
          <w:sz w:val="22"/>
        </w:rPr>
      </w:pPr>
      <w:r>
        <w:rPr>
          <w:rFonts w:ascii="Calibri Light"/>
          <w:b w:val="0"/>
          <w:color w:val="2F5495"/>
          <w:sz w:val="22"/>
        </w:rPr>
        <w:t>Taking action on climate change and</w:t>
      </w:r>
      <w:r>
        <w:rPr>
          <w:rFonts w:ascii="Calibri Light"/>
          <w:b w:val="0"/>
          <w:color w:val="2F5495"/>
          <w:spacing w:val="-3"/>
          <w:sz w:val="22"/>
        </w:rPr>
        <w:t xml:space="preserve"> </w:t>
      </w:r>
      <w:r>
        <w:rPr>
          <w:rFonts w:ascii="Calibri Light"/>
          <w:b w:val="0"/>
          <w:color w:val="2F5495"/>
          <w:sz w:val="22"/>
        </w:rPr>
        <w:t>decarbonisation</w:t>
      </w:r>
    </w:p>
    <w:p>
      <w:pPr>
        <w:pStyle w:val="BodyText"/>
        <w:spacing w:before="20" w:line="259" w:lineRule="auto"/>
        <w:ind w:left="1120" w:right="1769"/>
      </w:pPr>
      <w:r>
        <w:t>Resource DEL spending under these subheads is, overall, forecast to increase by £28.2 million, or 41.4%, compared to 2020-21.</w:t>
      </w:r>
    </w:p>
    <w:p>
      <w:pPr>
        <w:pStyle w:val="BodyText"/>
        <w:spacing w:before="10"/>
        <w:rPr>
          <w:sz w:val="23"/>
        </w:rPr>
      </w:pPr>
    </w:p>
    <w:p>
      <w:pPr>
        <w:pStyle w:val="BodyText"/>
        <w:ind w:left="1120"/>
      </w:pPr>
      <w:r>
        <w:t>This is driven largely by:</w:t>
      </w:r>
    </w:p>
    <w:p>
      <w:pPr>
        <w:pStyle w:val="ListParagraph"/>
        <w:numPr>
          <w:ilvl w:val="1"/>
          <w:numId w:val="4"/>
        </w:numPr>
        <w:tabs>
          <w:tab w:val="left" w:pos="1839"/>
          <w:tab w:val="left" w:pos="1840"/>
        </w:tabs>
        <w:spacing w:before="20" w:after="0" w:line="240" w:lineRule="auto"/>
        <w:ind w:left="1840" w:right="0" w:hanging="360"/>
        <w:jc w:val="left"/>
        <w:rPr>
          <w:sz w:val="22"/>
        </w:rPr>
      </w:pPr>
      <w:r>
        <w:rPr>
          <w:sz w:val="22"/>
        </w:rPr>
        <w:t>£14.0 million increase in Net Zero funding for Carbon Capture and</w:t>
      </w:r>
      <w:r>
        <w:rPr>
          <w:spacing w:val="-8"/>
          <w:sz w:val="22"/>
        </w:rPr>
        <w:t xml:space="preserve"> </w:t>
      </w:r>
      <w:r>
        <w:rPr>
          <w:sz w:val="22"/>
        </w:rPr>
        <w:t>Storage;</w:t>
      </w:r>
    </w:p>
    <w:p>
      <w:pPr>
        <w:pStyle w:val="ListParagraph"/>
        <w:numPr>
          <w:ilvl w:val="1"/>
          <w:numId w:val="4"/>
        </w:numPr>
        <w:tabs>
          <w:tab w:val="left" w:pos="1839"/>
          <w:tab w:val="left" w:pos="1840"/>
        </w:tabs>
        <w:spacing w:before="22" w:after="0" w:line="240" w:lineRule="auto"/>
        <w:ind w:left="1840" w:right="0" w:hanging="360"/>
        <w:jc w:val="left"/>
        <w:rPr>
          <w:sz w:val="22"/>
        </w:rPr>
      </w:pPr>
      <w:r>
        <w:rPr>
          <w:sz w:val="22"/>
        </w:rPr>
        <w:t>£10.0 million increase in Energy Innovation (Net Zero);</w:t>
      </w:r>
      <w:r>
        <w:rPr>
          <w:spacing w:val="-8"/>
          <w:sz w:val="22"/>
        </w:rPr>
        <w:t xml:space="preserve"> </w:t>
      </w:r>
      <w:r>
        <w:rPr>
          <w:sz w:val="22"/>
        </w:rPr>
        <w:t>and</w:t>
      </w:r>
    </w:p>
    <w:p>
      <w:pPr>
        <w:pStyle w:val="ListParagraph"/>
        <w:numPr>
          <w:ilvl w:val="1"/>
          <w:numId w:val="4"/>
        </w:numPr>
        <w:tabs>
          <w:tab w:val="left" w:pos="1839"/>
          <w:tab w:val="left" w:pos="1840"/>
        </w:tabs>
        <w:spacing w:before="22" w:after="0" w:line="240" w:lineRule="auto"/>
        <w:ind w:left="1840" w:right="0" w:hanging="360"/>
        <w:jc w:val="left"/>
        <w:rPr>
          <w:sz w:val="22"/>
        </w:rPr>
      </w:pPr>
      <w:r>
        <w:rPr>
          <w:sz w:val="22"/>
        </w:rPr>
        <w:t>£5.0 million funding for UK Emissions Trading</w:t>
      </w:r>
      <w:r>
        <w:rPr>
          <w:spacing w:val="-10"/>
          <w:sz w:val="22"/>
        </w:rPr>
        <w:t xml:space="preserve"> </w:t>
      </w:r>
      <w:r>
        <w:rPr>
          <w:sz w:val="22"/>
        </w:rPr>
        <w:t>System.</w:t>
      </w:r>
    </w:p>
    <w:p>
      <w:pPr>
        <w:spacing w:after="0" w:line="240" w:lineRule="auto"/>
        <w:jc w:val="left"/>
        <w:rPr>
          <w:sz w:val="22"/>
        </w:rPr>
        <w:sectPr>
          <w:pgSz w:w="11910" w:h="16840"/>
          <w:pgMar w:top="1380" w:right="280" w:bottom="280" w:left="1040" w:header="720" w:footer="720"/>
          <w:cols w:space="720"/>
        </w:sectPr>
      </w:pPr>
    </w:p>
    <w:p>
      <w:pPr>
        <w:pStyle w:val="ListParagraph"/>
        <w:numPr>
          <w:ilvl w:val="0"/>
          <w:numId w:val="4"/>
        </w:numPr>
        <w:tabs>
          <w:tab w:val="left" w:pos="616"/>
        </w:tabs>
        <w:spacing w:before="41" w:after="0" w:line="240" w:lineRule="auto"/>
        <w:ind w:left="615" w:right="0" w:hanging="216"/>
        <w:jc w:val="left"/>
        <w:rPr>
          <w:rFonts w:ascii="Calibri Light"/>
          <w:b w:val="0"/>
          <w:sz w:val="22"/>
        </w:rPr>
      </w:pPr>
      <w:r>
        <w:rPr>
          <w:rFonts w:ascii="Calibri Light"/>
          <w:b w:val="0"/>
          <w:color w:val="2F5495"/>
          <w:sz w:val="22"/>
        </w:rPr>
        <w:t>Science and</w:t>
      </w:r>
      <w:r>
        <w:rPr>
          <w:rFonts w:ascii="Calibri Light"/>
          <w:b w:val="0"/>
          <w:color w:val="2F5495"/>
          <w:spacing w:val="-4"/>
          <w:sz w:val="22"/>
        </w:rPr>
        <w:t xml:space="preserve"> </w:t>
      </w:r>
      <w:r>
        <w:rPr>
          <w:rFonts w:ascii="Calibri Light"/>
          <w:b w:val="0"/>
          <w:color w:val="2F5495"/>
          <w:sz w:val="22"/>
        </w:rPr>
        <w:t>Research</w:t>
      </w:r>
    </w:p>
    <w:p>
      <w:pPr>
        <w:pStyle w:val="BodyText"/>
        <w:spacing w:before="21" w:line="259" w:lineRule="auto"/>
        <w:ind w:left="1120" w:right="1432"/>
      </w:pPr>
      <w:r>
        <w:t>Resource DEL spending under these subheads is, overall, forecast to decrease by £1,110.1 million, or 53.8%, compared to 2020-21.</w:t>
      </w:r>
    </w:p>
    <w:p>
      <w:pPr>
        <w:pStyle w:val="BodyText"/>
        <w:spacing w:before="8"/>
        <w:rPr>
          <w:sz w:val="23"/>
        </w:rPr>
      </w:pPr>
    </w:p>
    <w:p>
      <w:pPr>
        <w:pStyle w:val="BodyText"/>
        <w:ind w:left="1120"/>
      </w:pPr>
      <w:r>
        <w:t>This is driven largely by:</w:t>
      </w:r>
    </w:p>
    <w:p>
      <w:pPr>
        <w:pStyle w:val="ListParagraph"/>
        <w:numPr>
          <w:ilvl w:val="1"/>
          <w:numId w:val="4"/>
        </w:numPr>
        <w:tabs>
          <w:tab w:val="left" w:pos="1839"/>
          <w:tab w:val="left" w:pos="1840"/>
        </w:tabs>
        <w:spacing w:before="23" w:after="0" w:line="256" w:lineRule="auto"/>
        <w:ind w:left="1840" w:right="1262" w:hanging="360"/>
        <w:jc w:val="left"/>
        <w:rPr>
          <w:sz w:val="22"/>
        </w:rPr>
      </w:pPr>
      <w:r>
        <w:rPr>
          <w:sz w:val="22"/>
        </w:rPr>
        <w:t>A reduction of £11.1 million ringfenced funding for depreciation compared to 2020- 21; and</w:t>
      </w:r>
    </w:p>
    <w:p>
      <w:pPr>
        <w:pStyle w:val="ListParagraph"/>
        <w:numPr>
          <w:ilvl w:val="1"/>
          <w:numId w:val="4"/>
        </w:numPr>
        <w:tabs>
          <w:tab w:val="left" w:pos="1839"/>
          <w:tab w:val="left" w:pos="1840"/>
        </w:tabs>
        <w:spacing w:before="3" w:after="0" w:line="259" w:lineRule="auto"/>
        <w:ind w:left="1840" w:right="1218" w:hanging="360"/>
        <w:jc w:val="left"/>
        <w:rPr>
          <w:sz w:val="22"/>
        </w:rPr>
      </w:pPr>
      <w:r>
        <w:rPr>
          <w:sz w:val="22"/>
        </w:rPr>
        <w:t>A decrease of £1,103.9 million funding for Vaccines Taskforce compared to 2020-21. SR20 confirmed that further funding will be provided from the Covid 19 Reserve as required, and as such, further assessment of the budget requirement will take place in time for the Supplementary Estimate. Budgets are expected to move to the Department of Health and Social Care (DHSC) in the Supplementary Estimate; as announced in March the Taskforce is now a join unit with the DHSC, with Ministerial responsibility moving to the Secretary of State for Health and Social</w:t>
      </w:r>
      <w:r>
        <w:rPr>
          <w:spacing w:val="-17"/>
          <w:sz w:val="22"/>
        </w:rPr>
        <w:t xml:space="preserve"> </w:t>
      </w:r>
      <w:r>
        <w:rPr>
          <w:sz w:val="22"/>
        </w:rPr>
        <w:t>Care.</w:t>
      </w:r>
      <w:r>
        <w:rPr>
          <w:sz w:val="22"/>
          <w:vertAlign w:val="superscript"/>
        </w:rPr>
        <w:t>4</w:t>
      </w:r>
    </w:p>
    <w:p>
      <w:pPr>
        <w:pStyle w:val="BodyText"/>
        <w:rPr>
          <w:sz w:val="24"/>
        </w:rPr>
      </w:pPr>
    </w:p>
    <w:p>
      <w:pPr>
        <w:pStyle w:val="BodyText"/>
        <w:spacing w:before="9"/>
        <w:rPr>
          <w:sz w:val="25"/>
        </w:rPr>
      </w:pPr>
    </w:p>
    <w:p>
      <w:pPr>
        <w:pStyle w:val="ListParagraph"/>
        <w:numPr>
          <w:ilvl w:val="0"/>
          <w:numId w:val="4"/>
        </w:numPr>
        <w:tabs>
          <w:tab w:val="left" w:pos="616"/>
        </w:tabs>
        <w:spacing w:before="1" w:after="0" w:line="240" w:lineRule="auto"/>
        <w:ind w:left="615" w:right="0" w:hanging="216"/>
        <w:jc w:val="left"/>
        <w:rPr>
          <w:rFonts w:ascii="Calibri Light"/>
          <w:b w:val="0"/>
          <w:sz w:val="22"/>
        </w:rPr>
      </w:pPr>
      <w:r>
        <w:rPr>
          <w:rFonts w:ascii="Calibri Light"/>
          <w:b w:val="0"/>
          <w:color w:val="2F5495"/>
          <w:sz w:val="22"/>
        </w:rPr>
        <w:t>Government as</w:t>
      </w:r>
      <w:r>
        <w:rPr>
          <w:rFonts w:ascii="Calibri Light"/>
          <w:b w:val="0"/>
          <w:color w:val="2F5495"/>
          <w:spacing w:val="-4"/>
          <w:sz w:val="22"/>
        </w:rPr>
        <w:t xml:space="preserve"> </w:t>
      </w:r>
      <w:r>
        <w:rPr>
          <w:rFonts w:ascii="Calibri Light"/>
          <w:b w:val="0"/>
          <w:color w:val="2F5495"/>
          <w:sz w:val="22"/>
        </w:rPr>
        <w:t>Shareholder</w:t>
      </w:r>
    </w:p>
    <w:p>
      <w:pPr>
        <w:pStyle w:val="BodyText"/>
        <w:spacing w:before="21" w:line="259" w:lineRule="auto"/>
        <w:ind w:left="1120" w:right="1599"/>
      </w:pPr>
      <w:r>
        <w:t>Resource DEL spending under these subheads is, overall, forecast to decrease by £520.7 million, or 29.6%, compared to 2020-21.</w:t>
      </w:r>
    </w:p>
    <w:p>
      <w:pPr>
        <w:pStyle w:val="BodyText"/>
        <w:spacing w:before="8"/>
        <w:rPr>
          <w:sz w:val="23"/>
        </w:rPr>
      </w:pPr>
    </w:p>
    <w:p>
      <w:pPr>
        <w:pStyle w:val="BodyText"/>
        <w:ind w:left="1120"/>
      </w:pPr>
      <w:r>
        <w:t>This is driven largely by:</w:t>
      </w:r>
    </w:p>
    <w:p>
      <w:pPr>
        <w:pStyle w:val="ListParagraph"/>
        <w:numPr>
          <w:ilvl w:val="1"/>
          <w:numId w:val="4"/>
        </w:numPr>
        <w:tabs>
          <w:tab w:val="left" w:pos="1839"/>
          <w:tab w:val="left" w:pos="1840"/>
        </w:tabs>
        <w:spacing w:before="23" w:after="0" w:line="259" w:lineRule="auto"/>
        <w:ind w:left="1840" w:right="1272" w:hanging="360"/>
        <w:jc w:val="left"/>
        <w:rPr>
          <w:sz w:val="22"/>
        </w:rPr>
      </w:pPr>
      <w:r>
        <w:rPr>
          <w:sz w:val="22"/>
        </w:rPr>
        <w:t>A reduction in funding compared to 2020-21 of £499.9 million for running costs and interest rate subsidies for the Bounce Back Loans Scheme and Coronavirus Business Interruption Loans Scheme; whilst both schemes closed for applications on 31</w:t>
      </w:r>
      <w:r>
        <w:rPr>
          <w:sz w:val="22"/>
          <w:vertAlign w:val="superscript"/>
        </w:rPr>
        <w:t>st</w:t>
      </w:r>
      <w:r>
        <w:rPr>
          <w:sz w:val="22"/>
          <w:vertAlign w:val="baseline"/>
        </w:rPr>
        <w:t xml:space="preserve"> March 2021, the Government subsidises interest for the first year of each loan;</w:t>
      </w:r>
      <w:r>
        <w:rPr>
          <w:spacing w:val="-20"/>
          <w:sz w:val="22"/>
          <w:vertAlign w:val="baseline"/>
        </w:rPr>
        <w:t xml:space="preserve"> </w:t>
      </w:r>
      <w:r>
        <w:rPr>
          <w:sz w:val="22"/>
          <w:vertAlign w:val="baseline"/>
        </w:rPr>
        <w:t>and</w:t>
      </w:r>
    </w:p>
    <w:p>
      <w:pPr>
        <w:pStyle w:val="ListParagraph"/>
        <w:numPr>
          <w:ilvl w:val="1"/>
          <w:numId w:val="4"/>
        </w:numPr>
        <w:tabs>
          <w:tab w:val="left" w:pos="1839"/>
          <w:tab w:val="left" w:pos="1840"/>
        </w:tabs>
        <w:spacing w:before="0" w:after="0" w:line="259" w:lineRule="auto"/>
        <w:ind w:left="1840" w:right="1780" w:hanging="360"/>
        <w:jc w:val="left"/>
        <w:rPr>
          <w:sz w:val="22"/>
        </w:rPr>
      </w:pPr>
      <w:r>
        <w:rPr>
          <w:sz w:val="22"/>
        </w:rPr>
        <w:t>A decrease of £27.4 million compared to 2020-21 for British Business Bank for Expected Credit</w:t>
      </w:r>
      <w:r>
        <w:rPr>
          <w:spacing w:val="-3"/>
          <w:sz w:val="22"/>
        </w:rPr>
        <w:t xml:space="preserve"> </w:t>
      </w:r>
      <w:r>
        <w:rPr>
          <w:sz w:val="22"/>
        </w:rPr>
        <w:t>Losses.</w:t>
      </w:r>
    </w:p>
    <w:p>
      <w:pPr>
        <w:pStyle w:val="BodyText"/>
      </w:pPr>
    </w:p>
    <w:p>
      <w:pPr>
        <w:pStyle w:val="ListParagraph"/>
        <w:numPr>
          <w:ilvl w:val="0"/>
          <w:numId w:val="4"/>
        </w:numPr>
        <w:tabs>
          <w:tab w:val="left" w:pos="567"/>
        </w:tabs>
        <w:spacing w:before="180" w:after="0" w:line="240" w:lineRule="auto"/>
        <w:ind w:left="566" w:right="0" w:hanging="167"/>
        <w:jc w:val="left"/>
        <w:rPr>
          <w:rFonts w:ascii="Calibri Light"/>
          <w:b w:val="0"/>
          <w:sz w:val="22"/>
        </w:rPr>
      </w:pPr>
      <w:r>
        <w:rPr>
          <w:rFonts w:ascii="Calibri Light"/>
          <w:b w:val="0"/>
          <w:color w:val="2F5495"/>
          <w:sz w:val="22"/>
        </w:rPr>
        <w:t>Nuclear Decommissioning</w:t>
      </w:r>
      <w:r>
        <w:rPr>
          <w:rFonts w:ascii="Calibri Light"/>
          <w:b w:val="0"/>
          <w:color w:val="2F5495"/>
          <w:spacing w:val="-1"/>
          <w:sz w:val="22"/>
        </w:rPr>
        <w:t xml:space="preserve"> </w:t>
      </w:r>
      <w:r>
        <w:rPr>
          <w:rFonts w:ascii="Calibri Light"/>
          <w:b w:val="0"/>
          <w:color w:val="2F5495"/>
          <w:sz w:val="22"/>
        </w:rPr>
        <w:t>Authority</w:t>
      </w:r>
    </w:p>
    <w:p>
      <w:pPr>
        <w:pStyle w:val="BodyText"/>
        <w:spacing w:before="22"/>
        <w:ind w:left="1120" w:right="1169"/>
      </w:pPr>
      <w:r>
        <w:t>Net Resource DEL spending under these subheads, is, overall, forecast to decrease by £140.9 million, or 21.6%, compared to 2020-21. The split of expenditure between Resource and Capital DEL for the NDA is reviewed each year for the Supplementary Estimate in line with expenditure profiles for the year for nuclear decommissioning costs (£141.0m having been effectively transferred to Capital DEL in 2020-21). Overall net DEL expenditure for the NDA for 2021-22 is increased by £77.2m compared to 2020-21.</w:t>
      </w:r>
    </w:p>
    <w:p>
      <w:pPr>
        <w:tabs>
          <w:tab w:val="left" w:pos="3279"/>
        </w:tabs>
        <w:spacing w:before="0" w:line="268" w:lineRule="exact"/>
        <w:ind w:left="400" w:right="0" w:firstLine="0"/>
        <w:jc w:val="left"/>
        <w:rPr>
          <w:i/>
          <w:sz w:val="22"/>
        </w:rPr>
      </w:pPr>
      <w:r>
        <w:rPr>
          <w:i/>
          <w:color w:val="2F5495"/>
          <w:w w:val="100"/>
          <w:sz w:val="22"/>
        </w:rPr>
        <w:t xml:space="preserve"> </w:t>
      </w:r>
      <w:r>
        <w:rPr>
          <w:i/>
          <w:color w:val="2F5495"/>
          <w:sz w:val="22"/>
        </w:rPr>
        <w:tab/>
      </w:r>
      <w:r>
        <w:rPr>
          <w:i/>
          <w:color w:val="2F5495"/>
          <w:w w:val="100"/>
          <w:sz w:val="22"/>
        </w:rPr>
        <w:t xml:space="preserve"> </w:t>
      </w: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spacing w:before="2"/>
        <w:rPr>
          <w:i/>
          <w:sz w:val="15"/>
        </w:rPr>
      </w:pPr>
      <w:r>
        <w:pict>
          <v:shape id="_x0000_s1211" style="height:0.1pt;margin-left:1in;margin-top:11.63pt;mso-position-horizontal-relative:page;mso-wrap-distance-left:0;mso-wrap-distance-right:0;position:absolute;width:2in;z-index:-251653120" coordorigin="1440,233" coordsize="2880,21600" path="m1440,233l4320,233e" strokecolor="black" strokeweight="0.72pt">
            <v:stroke dashstyle="solid"/>
            <v:path arrowok="t"/>
            <w10:wrap type="topAndBottom"/>
          </v:shape>
        </w:pict>
      </w:r>
    </w:p>
    <w:p>
      <w:pPr>
        <w:spacing w:before="68"/>
        <w:ind w:left="400" w:right="0" w:firstLine="0"/>
        <w:jc w:val="left"/>
        <w:rPr>
          <w:rFonts w:ascii="Arial"/>
          <w:sz w:val="20"/>
        </w:rPr>
      </w:pPr>
      <w:r>
        <w:rPr>
          <w:rFonts w:ascii="Arial"/>
          <w:position w:val="6"/>
          <w:sz w:val="13"/>
        </w:rPr>
        <w:t xml:space="preserve">4 </w:t>
      </w:r>
      <w:r>
        <w:rPr>
          <w:rFonts w:ascii="Arial"/>
          <w:color w:val="0000FF"/>
          <w:spacing w:val="-111"/>
          <w:sz w:val="20"/>
          <w:u w:val="single" w:color="0000FF"/>
        </w:rPr>
        <w:t>h</w:t>
      </w:r>
      <w:r>
        <w:rPr>
          <w:rFonts w:ascii="Arial"/>
          <w:color w:val="0000FF"/>
          <w:spacing w:val="57"/>
          <w:sz w:val="20"/>
        </w:rPr>
        <w:t xml:space="preserve"> </w:t>
      </w:r>
      <w:r>
        <w:rPr>
          <w:rFonts w:ascii="Arial"/>
          <w:color w:val="0000FF"/>
          <w:sz w:val="20"/>
          <w:u w:val="single" w:color="0000FF"/>
        </w:rPr>
        <w:t>ttps://</w:t>
      </w:r>
      <w:r>
        <w:fldChar w:fldCharType="begin"/>
      </w:r>
      <w:r>
        <w:instrText xml:space="preserve"> HYPERLINK "http://www.gov.uk/government/news/update-on-the-vaccine-taskforce-1-march-2021" </w:instrText>
      </w:r>
      <w:r>
        <w:fldChar w:fldCharType="separate"/>
      </w:r>
      <w:r>
        <w:rPr>
          <w:rFonts w:ascii="Arial"/>
          <w:color w:val="0000FF"/>
          <w:sz w:val="20"/>
          <w:u w:val="single" w:color="0000FF"/>
        </w:rPr>
        <w:t>www.gov.uk/government/news/update-on-the-vaccine-taskforce-1-march-2021</w:t>
      </w:r>
      <w:r>
        <w:fldChar w:fldCharType="end"/>
      </w:r>
    </w:p>
    <w:p>
      <w:pPr>
        <w:spacing w:after="0"/>
        <w:jc w:val="left"/>
        <w:rPr>
          <w:rFonts w:ascii="Arial"/>
          <w:sz w:val="20"/>
        </w:rPr>
        <w:sectPr>
          <w:pgSz w:w="11910" w:h="16840"/>
          <w:pgMar w:top="1380" w:right="280" w:bottom="280" w:left="1040" w:header="720" w:footer="720"/>
          <w:cols w:space="720"/>
        </w:sectPr>
      </w:pPr>
    </w:p>
    <w:p>
      <w:pPr>
        <w:pStyle w:val="Heading3"/>
        <w:rPr>
          <w:b w:val="0"/>
        </w:rPr>
      </w:pPr>
      <w:r>
        <w:rPr>
          <w:b w:val="0"/>
          <w:color w:val="1F3864"/>
        </w:rPr>
        <w:t>Capital DEL</w:t>
      </w:r>
    </w:p>
    <w:p>
      <w:pPr>
        <w:pStyle w:val="BodyText"/>
        <w:spacing w:before="23"/>
        <w:ind w:left="400"/>
      </w:pPr>
      <w:r>
        <w:t>The table below shows how spending plans for Capital DEL compare with last year.</w:t>
      </w:r>
    </w:p>
    <w:p>
      <w:pPr>
        <w:pStyle w:val="BodyText"/>
        <w:spacing w:before="10"/>
        <w:rPr>
          <w:sz w:val="14"/>
        </w:rPr>
      </w:pPr>
    </w:p>
    <w:tbl>
      <w:tblPr>
        <w:tblW w:w="0" w:type="auto"/>
        <w:jc w:val="left"/>
        <w:tblInd w:w="4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46"/>
        <w:gridCol w:w="3626"/>
        <w:gridCol w:w="1377"/>
        <w:gridCol w:w="1043"/>
        <w:gridCol w:w="981"/>
        <w:gridCol w:w="1075"/>
        <w:gridCol w:w="859"/>
      </w:tblGrid>
      <w:tr>
        <w:tblPrEx>
          <w:tblW w:w="0" w:type="auto"/>
          <w:jc w:val="left"/>
          <w:tblInd w:w="4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354"/>
          <w:jc w:val="left"/>
        </w:trPr>
        <w:tc>
          <w:tcPr>
            <w:tcW w:w="1046" w:type="dxa"/>
          </w:tcPr>
          <w:p>
            <w:pPr>
              <w:pStyle w:val="TableParagraph"/>
              <w:spacing w:before="111" w:line="223" w:lineRule="exact"/>
              <w:ind w:left="107"/>
              <w:rPr>
                <w:sz w:val="20"/>
              </w:rPr>
            </w:pPr>
            <w:r>
              <w:rPr>
                <w:sz w:val="20"/>
              </w:rPr>
              <w:t>Subheads</w:t>
            </w:r>
          </w:p>
        </w:tc>
        <w:tc>
          <w:tcPr>
            <w:tcW w:w="3626" w:type="dxa"/>
            <w:tcBorders>
              <w:right w:val="nil"/>
            </w:tcBorders>
          </w:tcPr>
          <w:p>
            <w:pPr>
              <w:pStyle w:val="TableParagraph"/>
              <w:spacing w:before="111" w:line="223" w:lineRule="exact"/>
              <w:ind w:left="108"/>
              <w:rPr>
                <w:sz w:val="20"/>
              </w:rPr>
            </w:pPr>
            <w:r>
              <w:rPr>
                <w:sz w:val="20"/>
              </w:rPr>
              <w:t>Description</w:t>
            </w:r>
          </w:p>
        </w:tc>
        <w:tc>
          <w:tcPr>
            <w:tcW w:w="1377" w:type="dxa"/>
            <w:tcBorders>
              <w:left w:val="nil"/>
              <w:right w:val="nil"/>
            </w:tcBorders>
          </w:tcPr>
          <w:p>
            <w:pPr>
              <w:pStyle w:val="TableParagraph"/>
              <w:spacing w:before="111" w:line="223" w:lineRule="exact"/>
              <w:ind w:left="113"/>
              <w:rPr>
                <w:b/>
                <w:sz w:val="20"/>
              </w:rPr>
            </w:pPr>
            <w:r>
              <w:rPr>
                <w:b/>
                <w:sz w:val="20"/>
              </w:rPr>
              <w:t>Capital DEL</w:t>
            </w:r>
          </w:p>
        </w:tc>
        <w:tc>
          <w:tcPr>
            <w:tcW w:w="1043" w:type="dxa"/>
            <w:tcBorders>
              <w:left w:val="nil"/>
              <w:right w:val="nil"/>
            </w:tcBorders>
          </w:tcPr>
          <w:p>
            <w:pPr>
              <w:pStyle w:val="TableParagraph"/>
              <w:rPr>
                <w:rFonts w:ascii="Times New Roman"/>
                <w:sz w:val="20"/>
              </w:rPr>
            </w:pPr>
          </w:p>
        </w:tc>
        <w:tc>
          <w:tcPr>
            <w:tcW w:w="981" w:type="dxa"/>
            <w:tcBorders>
              <w:left w:val="nil"/>
              <w:right w:val="nil"/>
            </w:tcBorders>
          </w:tcPr>
          <w:p>
            <w:pPr>
              <w:pStyle w:val="TableParagraph"/>
              <w:rPr>
                <w:rFonts w:ascii="Times New Roman"/>
                <w:sz w:val="20"/>
              </w:rPr>
            </w:pPr>
          </w:p>
        </w:tc>
        <w:tc>
          <w:tcPr>
            <w:tcW w:w="1075" w:type="dxa"/>
            <w:tcBorders>
              <w:left w:val="nil"/>
              <w:right w:val="nil"/>
            </w:tcBorders>
          </w:tcPr>
          <w:p>
            <w:pPr>
              <w:pStyle w:val="TableParagraph"/>
              <w:rPr>
                <w:rFonts w:ascii="Times New Roman"/>
                <w:sz w:val="20"/>
              </w:rPr>
            </w:pPr>
          </w:p>
        </w:tc>
        <w:tc>
          <w:tcPr>
            <w:tcW w:w="859" w:type="dxa"/>
            <w:tcBorders>
              <w:left w:val="nil"/>
            </w:tcBorders>
          </w:tcPr>
          <w:p>
            <w:pPr>
              <w:pStyle w:val="TableParagraph"/>
              <w:rPr>
                <w:rFonts w:ascii="Times New Roman"/>
                <w:sz w:val="20"/>
              </w:rPr>
            </w:pPr>
          </w:p>
        </w:tc>
      </w:tr>
      <w:tr>
        <w:tblPrEx>
          <w:tblW w:w="0" w:type="auto"/>
          <w:jc w:val="left"/>
          <w:tblInd w:w="410" w:type="dxa"/>
          <w:tblLayout w:type="fixed"/>
          <w:tblCellMar>
            <w:top w:w="0" w:type="dxa"/>
            <w:left w:w="0" w:type="dxa"/>
            <w:bottom w:w="0" w:type="dxa"/>
            <w:right w:w="0" w:type="dxa"/>
          </w:tblCellMar>
          <w:tblLook w:val="01E0"/>
        </w:tblPrEx>
        <w:trPr>
          <w:trHeight w:val="354"/>
          <w:jc w:val="left"/>
        </w:trPr>
        <w:tc>
          <w:tcPr>
            <w:tcW w:w="1046" w:type="dxa"/>
          </w:tcPr>
          <w:p>
            <w:pPr>
              <w:pStyle w:val="TableParagraph"/>
              <w:rPr>
                <w:rFonts w:ascii="Times New Roman"/>
                <w:sz w:val="20"/>
              </w:rPr>
            </w:pPr>
          </w:p>
        </w:tc>
        <w:tc>
          <w:tcPr>
            <w:tcW w:w="3626" w:type="dxa"/>
          </w:tcPr>
          <w:p>
            <w:pPr>
              <w:pStyle w:val="TableParagraph"/>
              <w:rPr>
                <w:rFonts w:ascii="Times New Roman"/>
                <w:sz w:val="20"/>
              </w:rPr>
            </w:pPr>
          </w:p>
        </w:tc>
        <w:tc>
          <w:tcPr>
            <w:tcW w:w="3401" w:type="dxa"/>
            <w:gridSpan w:val="3"/>
          </w:tcPr>
          <w:p>
            <w:pPr>
              <w:pStyle w:val="TableParagraph"/>
              <w:spacing w:before="111" w:line="223" w:lineRule="exact"/>
              <w:ind w:left="107"/>
              <w:rPr>
                <w:sz w:val="20"/>
              </w:rPr>
            </w:pPr>
            <w:r>
              <w:rPr>
                <w:sz w:val="20"/>
              </w:rPr>
              <w:t>£ million</w:t>
            </w:r>
          </w:p>
        </w:tc>
        <w:tc>
          <w:tcPr>
            <w:tcW w:w="1075" w:type="dxa"/>
          </w:tcPr>
          <w:p>
            <w:pPr>
              <w:pStyle w:val="TableParagraph"/>
              <w:spacing w:before="111" w:line="223" w:lineRule="exact"/>
              <w:ind w:left="110"/>
              <w:rPr>
                <w:sz w:val="20"/>
              </w:rPr>
            </w:pPr>
            <w:r>
              <w:rPr>
                <w:w w:val="99"/>
                <w:sz w:val="20"/>
              </w:rPr>
              <w:t>%</w:t>
            </w:r>
          </w:p>
        </w:tc>
        <w:tc>
          <w:tcPr>
            <w:tcW w:w="859" w:type="dxa"/>
          </w:tcPr>
          <w:p>
            <w:pPr>
              <w:pStyle w:val="TableParagraph"/>
              <w:rPr>
                <w:rFonts w:ascii="Times New Roman"/>
                <w:sz w:val="20"/>
              </w:rPr>
            </w:pPr>
          </w:p>
        </w:tc>
      </w:tr>
      <w:tr>
        <w:tblPrEx>
          <w:tblW w:w="0" w:type="auto"/>
          <w:jc w:val="left"/>
          <w:tblInd w:w="410" w:type="dxa"/>
          <w:tblLayout w:type="fixed"/>
          <w:tblCellMar>
            <w:top w:w="0" w:type="dxa"/>
            <w:left w:w="0" w:type="dxa"/>
            <w:bottom w:w="0" w:type="dxa"/>
            <w:right w:w="0" w:type="dxa"/>
          </w:tblCellMar>
          <w:tblLook w:val="01E0"/>
        </w:tblPrEx>
        <w:trPr>
          <w:trHeight w:val="1465"/>
          <w:jc w:val="left"/>
        </w:trPr>
        <w:tc>
          <w:tcPr>
            <w:tcW w:w="1046" w:type="dxa"/>
            <w:vMerge w:val="restart"/>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5"/>
              </w:rPr>
            </w:pPr>
          </w:p>
          <w:p>
            <w:pPr>
              <w:pStyle w:val="TableParagraph"/>
              <w:spacing w:before="1" w:line="223" w:lineRule="exact"/>
              <w:ind w:left="107"/>
              <w:rPr>
                <w:sz w:val="20"/>
              </w:rPr>
            </w:pPr>
            <w:r>
              <w:rPr>
                <w:w w:val="99"/>
                <w:sz w:val="20"/>
              </w:rPr>
              <w:t>A</w:t>
            </w:r>
          </w:p>
        </w:tc>
        <w:tc>
          <w:tcPr>
            <w:tcW w:w="3626" w:type="dxa"/>
            <w:vMerge w:val="restart"/>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5"/>
              </w:rPr>
            </w:pPr>
          </w:p>
          <w:p>
            <w:pPr>
              <w:pStyle w:val="TableParagraph"/>
              <w:spacing w:before="1" w:line="223" w:lineRule="exact"/>
              <w:ind w:left="107"/>
              <w:rPr>
                <w:sz w:val="20"/>
              </w:rPr>
            </w:pPr>
            <w:r>
              <w:rPr>
                <w:sz w:val="20"/>
              </w:rPr>
              <w:t>Deliver an ambitious industrial strategy</w:t>
            </w:r>
          </w:p>
        </w:tc>
        <w:tc>
          <w:tcPr>
            <w:tcW w:w="1377" w:type="dxa"/>
          </w:tcPr>
          <w:p>
            <w:pPr>
              <w:pStyle w:val="TableParagraph"/>
              <w:spacing w:before="1"/>
              <w:ind w:left="108" w:right="529"/>
              <w:rPr>
                <w:i/>
                <w:sz w:val="20"/>
              </w:rPr>
            </w:pPr>
            <w:r>
              <w:rPr>
                <w:i/>
                <w:sz w:val="20"/>
              </w:rPr>
              <w:t xml:space="preserve">This year </w:t>
            </w:r>
            <w:r>
              <w:rPr>
                <w:i/>
                <w:w w:val="95"/>
                <w:sz w:val="20"/>
              </w:rPr>
              <w:t>(2021-22</w:t>
            </w:r>
          </w:p>
          <w:p>
            <w:pPr>
              <w:pStyle w:val="TableParagraph"/>
              <w:spacing w:before="1"/>
              <w:ind w:left="108" w:right="449"/>
              <w:rPr>
                <w:i/>
                <w:sz w:val="20"/>
              </w:rPr>
            </w:pPr>
            <w:r>
              <w:rPr>
                <w:i/>
                <w:sz w:val="20"/>
              </w:rPr>
              <w:t xml:space="preserve">Main </w:t>
            </w:r>
            <w:r>
              <w:rPr>
                <w:i/>
                <w:sz w:val="20"/>
              </w:rPr>
              <w:t>Estimates budget</w:t>
            </w:r>
          </w:p>
          <w:p>
            <w:pPr>
              <w:pStyle w:val="TableParagraph"/>
              <w:spacing w:line="223" w:lineRule="exact"/>
              <w:ind w:left="108"/>
              <w:rPr>
                <w:i/>
                <w:sz w:val="20"/>
              </w:rPr>
            </w:pPr>
            <w:r>
              <w:rPr>
                <w:i/>
                <w:sz w:val="20"/>
              </w:rPr>
              <w:t>sought)</w:t>
            </w:r>
          </w:p>
        </w:tc>
        <w:tc>
          <w:tcPr>
            <w:tcW w:w="1043" w:type="dxa"/>
          </w:tcPr>
          <w:p>
            <w:pPr>
              <w:pStyle w:val="TableParagraph"/>
              <w:spacing w:before="1"/>
              <w:ind w:left="109" w:right="188"/>
              <w:rPr>
                <w:i/>
                <w:sz w:val="20"/>
              </w:rPr>
            </w:pPr>
            <w:r>
              <w:rPr>
                <w:i/>
                <w:sz w:val="20"/>
              </w:rPr>
              <w:t xml:space="preserve">Last year </w:t>
            </w:r>
            <w:r>
              <w:rPr>
                <w:i/>
                <w:sz w:val="20"/>
              </w:rPr>
              <w:t>(2020-21</w:t>
            </w:r>
          </w:p>
          <w:p>
            <w:pPr>
              <w:pStyle w:val="TableParagraph"/>
              <w:spacing w:before="1"/>
              <w:ind w:left="109" w:right="114"/>
              <w:rPr>
                <w:i/>
                <w:sz w:val="20"/>
              </w:rPr>
            </w:pPr>
            <w:r>
              <w:rPr>
                <w:i/>
                <w:sz w:val="20"/>
              </w:rPr>
              <w:t xml:space="preserve">Supp </w:t>
            </w:r>
            <w:r>
              <w:rPr>
                <w:i/>
                <w:sz w:val="20"/>
              </w:rPr>
              <w:t>Estimates budget</w:t>
            </w:r>
          </w:p>
          <w:p>
            <w:pPr>
              <w:pStyle w:val="TableParagraph"/>
              <w:spacing w:line="223" w:lineRule="exact"/>
              <w:ind w:left="109"/>
              <w:rPr>
                <w:i/>
                <w:sz w:val="20"/>
              </w:rPr>
            </w:pPr>
            <w:r>
              <w:rPr>
                <w:i/>
                <w:sz w:val="20"/>
              </w:rPr>
              <w:t>approved)</w:t>
            </w:r>
          </w:p>
        </w:tc>
        <w:tc>
          <w:tcPr>
            <w:tcW w:w="2056" w:type="dxa"/>
            <w:gridSpan w:val="2"/>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2"/>
              <w:rPr>
                <w:sz w:val="20"/>
              </w:rPr>
            </w:pPr>
          </w:p>
          <w:p>
            <w:pPr>
              <w:pStyle w:val="TableParagraph"/>
              <w:spacing w:line="223" w:lineRule="exact"/>
              <w:ind w:left="110"/>
              <w:rPr>
                <w:sz w:val="20"/>
              </w:rPr>
            </w:pPr>
            <w:r>
              <w:rPr>
                <w:sz w:val="20"/>
              </w:rPr>
              <w:t>change from last year</w:t>
            </w:r>
          </w:p>
        </w:tc>
        <w:tc>
          <w:tcPr>
            <w:tcW w:w="859" w:type="dxa"/>
          </w:tcPr>
          <w:p>
            <w:pPr>
              <w:pStyle w:val="TableParagraph"/>
              <w:rPr>
                <w:sz w:val="20"/>
              </w:rPr>
            </w:pPr>
          </w:p>
          <w:p>
            <w:pPr>
              <w:pStyle w:val="TableParagraph"/>
              <w:rPr>
                <w:sz w:val="20"/>
              </w:rPr>
            </w:pPr>
          </w:p>
          <w:p>
            <w:pPr>
              <w:pStyle w:val="TableParagraph"/>
              <w:rPr>
                <w:sz w:val="20"/>
              </w:rPr>
            </w:pPr>
          </w:p>
          <w:p>
            <w:pPr>
              <w:pStyle w:val="TableParagraph"/>
              <w:spacing w:before="1" w:line="240" w:lineRule="atLeast"/>
              <w:ind w:left="110" w:right="84"/>
              <w:rPr>
                <w:sz w:val="20"/>
              </w:rPr>
            </w:pPr>
            <w:r>
              <w:rPr>
                <w:sz w:val="20"/>
              </w:rPr>
              <w:t>see note number</w:t>
            </w:r>
          </w:p>
        </w:tc>
      </w:tr>
      <w:tr>
        <w:tblPrEx>
          <w:tblW w:w="0" w:type="auto"/>
          <w:jc w:val="left"/>
          <w:tblInd w:w="410" w:type="dxa"/>
          <w:tblLayout w:type="fixed"/>
          <w:tblCellMar>
            <w:top w:w="0" w:type="dxa"/>
            <w:left w:w="0" w:type="dxa"/>
            <w:bottom w:w="0" w:type="dxa"/>
            <w:right w:w="0" w:type="dxa"/>
          </w:tblCellMar>
          <w:tblLook w:val="01E0"/>
        </w:tblPrEx>
        <w:trPr>
          <w:trHeight w:val="782"/>
          <w:jc w:val="left"/>
        </w:trPr>
        <w:tc>
          <w:tcPr>
            <w:tcW w:w="1046" w:type="dxa"/>
            <w:vMerge/>
            <w:tcBorders>
              <w:top w:val="nil"/>
            </w:tcBorders>
          </w:tcPr>
          <w:p>
            <w:pPr>
              <w:rPr>
                <w:sz w:val="2"/>
                <w:szCs w:val="2"/>
              </w:rPr>
            </w:pPr>
          </w:p>
        </w:tc>
        <w:tc>
          <w:tcPr>
            <w:tcW w:w="3626" w:type="dxa"/>
            <w:vMerge/>
            <w:tcBorders>
              <w:top w:val="nil"/>
            </w:tcBorders>
          </w:tcPr>
          <w:p>
            <w:pPr>
              <w:rPr>
                <w:sz w:val="2"/>
                <w:szCs w:val="2"/>
              </w:rPr>
            </w:pPr>
          </w:p>
        </w:tc>
        <w:tc>
          <w:tcPr>
            <w:tcW w:w="1377" w:type="dxa"/>
          </w:tcPr>
          <w:p>
            <w:pPr>
              <w:pStyle w:val="TableParagraph"/>
              <w:rPr>
                <w:sz w:val="20"/>
              </w:rPr>
            </w:pPr>
          </w:p>
          <w:p>
            <w:pPr>
              <w:pStyle w:val="TableParagraph"/>
              <w:spacing w:before="1"/>
              <w:rPr>
                <w:sz w:val="24"/>
              </w:rPr>
            </w:pPr>
          </w:p>
          <w:p>
            <w:pPr>
              <w:pStyle w:val="TableParagraph"/>
              <w:spacing w:before="1" w:line="223" w:lineRule="exact"/>
              <w:ind w:right="96"/>
              <w:jc w:val="right"/>
              <w:rPr>
                <w:sz w:val="20"/>
              </w:rPr>
            </w:pPr>
            <w:r>
              <w:rPr>
                <w:w w:val="95"/>
                <w:sz w:val="20"/>
              </w:rPr>
              <w:t>97.4</w:t>
            </w:r>
          </w:p>
        </w:tc>
        <w:tc>
          <w:tcPr>
            <w:tcW w:w="1043" w:type="dxa"/>
          </w:tcPr>
          <w:p>
            <w:pPr>
              <w:pStyle w:val="TableParagraph"/>
              <w:rPr>
                <w:sz w:val="20"/>
              </w:rPr>
            </w:pPr>
          </w:p>
          <w:p>
            <w:pPr>
              <w:pStyle w:val="TableParagraph"/>
              <w:spacing w:before="1"/>
              <w:rPr>
                <w:sz w:val="24"/>
              </w:rPr>
            </w:pPr>
          </w:p>
          <w:p>
            <w:pPr>
              <w:pStyle w:val="TableParagraph"/>
              <w:spacing w:before="1" w:line="223" w:lineRule="exact"/>
              <w:ind w:right="95"/>
              <w:jc w:val="right"/>
              <w:rPr>
                <w:sz w:val="20"/>
              </w:rPr>
            </w:pPr>
            <w:r>
              <w:rPr>
                <w:sz w:val="20"/>
              </w:rPr>
              <w:t>238.6</w:t>
            </w:r>
          </w:p>
        </w:tc>
        <w:tc>
          <w:tcPr>
            <w:tcW w:w="981" w:type="dxa"/>
          </w:tcPr>
          <w:p>
            <w:pPr>
              <w:pStyle w:val="TableParagraph"/>
              <w:rPr>
                <w:sz w:val="20"/>
              </w:rPr>
            </w:pPr>
          </w:p>
          <w:p>
            <w:pPr>
              <w:pStyle w:val="TableParagraph"/>
              <w:spacing w:before="1"/>
              <w:rPr>
                <w:sz w:val="24"/>
              </w:rPr>
            </w:pPr>
          </w:p>
          <w:p>
            <w:pPr>
              <w:pStyle w:val="TableParagraph"/>
              <w:spacing w:before="1" w:line="223" w:lineRule="exact"/>
              <w:ind w:right="94"/>
              <w:jc w:val="right"/>
              <w:rPr>
                <w:b/>
                <w:sz w:val="20"/>
              </w:rPr>
            </w:pPr>
            <w:r>
              <w:rPr>
                <w:b/>
                <w:w w:val="95"/>
                <w:sz w:val="20"/>
              </w:rPr>
              <w:t>-141.2</w:t>
            </w:r>
          </w:p>
        </w:tc>
        <w:tc>
          <w:tcPr>
            <w:tcW w:w="1075" w:type="dxa"/>
          </w:tcPr>
          <w:p>
            <w:pPr>
              <w:pStyle w:val="TableParagraph"/>
              <w:rPr>
                <w:sz w:val="20"/>
              </w:rPr>
            </w:pPr>
          </w:p>
          <w:p>
            <w:pPr>
              <w:pStyle w:val="TableParagraph"/>
              <w:spacing w:before="1"/>
              <w:rPr>
                <w:sz w:val="24"/>
              </w:rPr>
            </w:pPr>
          </w:p>
          <w:p>
            <w:pPr>
              <w:pStyle w:val="TableParagraph"/>
              <w:spacing w:before="1" w:line="223" w:lineRule="exact"/>
              <w:ind w:right="97"/>
              <w:jc w:val="right"/>
              <w:rPr>
                <w:b/>
                <w:sz w:val="20"/>
              </w:rPr>
            </w:pPr>
            <w:r>
              <w:rPr>
                <w:b/>
                <w:w w:val="95"/>
                <w:sz w:val="20"/>
              </w:rPr>
              <w:t>-59.2%</w:t>
            </w:r>
          </w:p>
        </w:tc>
        <w:tc>
          <w:tcPr>
            <w:tcW w:w="859" w:type="dxa"/>
          </w:tcPr>
          <w:p>
            <w:pPr>
              <w:pStyle w:val="TableParagraph"/>
              <w:rPr>
                <w:sz w:val="20"/>
              </w:rPr>
            </w:pPr>
          </w:p>
          <w:p>
            <w:pPr>
              <w:pStyle w:val="TableParagraph"/>
              <w:spacing w:before="1"/>
              <w:rPr>
                <w:sz w:val="24"/>
              </w:rPr>
            </w:pPr>
          </w:p>
          <w:p>
            <w:pPr>
              <w:pStyle w:val="TableParagraph"/>
              <w:spacing w:before="1" w:line="223" w:lineRule="exact"/>
              <w:ind w:right="90"/>
              <w:jc w:val="right"/>
              <w:rPr>
                <w:sz w:val="20"/>
              </w:rPr>
            </w:pPr>
            <w:r>
              <w:rPr>
                <w:w w:val="99"/>
                <w:sz w:val="20"/>
              </w:rPr>
              <w:t>8</w:t>
            </w:r>
          </w:p>
        </w:tc>
      </w:tr>
      <w:tr>
        <w:tblPrEx>
          <w:tblW w:w="0" w:type="auto"/>
          <w:jc w:val="left"/>
          <w:tblInd w:w="410" w:type="dxa"/>
          <w:tblLayout w:type="fixed"/>
          <w:tblCellMar>
            <w:top w:w="0" w:type="dxa"/>
            <w:left w:w="0" w:type="dxa"/>
            <w:bottom w:w="0" w:type="dxa"/>
            <w:right w:w="0" w:type="dxa"/>
          </w:tblCellMar>
          <w:tblLook w:val="01E0"/>
        </w:tblPrEx>
        <w:trPr>
          <w:trHeight w:val="657"/>
          <w:jc w:val="left"/>
        </w:trPr>
        <w:tc>
          <w:tcPr>
            <w:tcW w:w="1046" w:type="dxa"/>
          </w:tcPr>
          <w:p>
            <w:pPr>
              <w:pStyle w:val="TableParagraph"/>
              <w:rPr>
                <w:sz w:val="20"/>
              </w:rPr>
            </w:pPr>
          </w:p>
          <w:p>
            <w:pPr>
              <w:pStyle w:val="TableParagraph"/>
              <w:spacing w:before="170" w:line="223" w:lineRule="exact"/>
              <w:ind w:left="107"/>
              <w:rPr>
                <w:sz w:val="20"/>
              </w:rPr>
            </w:pPr>
            <w:r>
              <w:rPr>
                <w:w w:val="99"/>
                <w:sz w:val="20"/>
              </w:rPr>
              <w:t>B</w:t>
            </w:r>
          </w:p>
        </w:tc>
        <w:tc>
          <w:tcPr>
            <w:tcW w:w="3626" w:type="dxa"/>
          </w:tcPr>
          <w:p>
            <w:pPr>
              <w:pStyle w:val="TableParagraph"/>
              <w:spacing w:before="169" w:line="240" w:lineRule="atLeast"/>
              <w:ind w:left="108" w:right="241"/>
              <w:rPr>
                <w:sz w:val="20"/>
              </w:rPr>
            </w:pPr>
            <w:r>
              <w:rPr>
                <w:sz w:val="20"/>
              </w:rPr>
              <w:t>Maximise investment opportunities and bolster UK interests</w:t>
            </w:r>
          </w:p>
        </w:tc>
        <w:tc>
          <w:tcPr>
            <w:tcW w:w="1377" w:type="dxa"/>
          </w:tcPr>
          <w:p>
            <w:pPr>
              <w:pStyle w:val="TableParagraph"/>
              <w:rPr>
                <w:sz w:val="20"/>
              </w:rPr>
            </w:pPr>
          </w:p>
          <w:p>
            <w:pPr>
              <w:pStyle w:val="TableParagraph"/>
              <w:spacing w:before="170" w:line="223" w:lineRule="exact"/>
              <w:ind w:right="96"/>
              <w:jc w:val="right"/>
              <w:rPr>
                <w:sz w:val="20"/>
              </w:rPr>
            </w:pPr>
            <w:r>
              <w:rPr>
                <w:sz w:val="20"/>
              </w:rPr>
              <w:t>321.0</w:t>
            </w:r>
          </w:p>
        </w:tc>
        <w:tc>
          <w:tcPr>
            <w:tcW w:w="1043" w:type="dxa"/>
          </w:tcPr>
          <w:p>
            <w:pPr>
              <w:pStyle w:val="TableParagraph"/>
              <w:rPr>
                <w:sz w:val="20"/>
              </w:rPr>
            </w:pPr>
          </w:p>
          <w:p>
            <w:pPr>
              <w:pStyle w:val="TableParagraph"/>
              <w:spacing w:before="170" w:line="223" w:lineRule="exact"/>
              <w:ind w:right="95"/>
              <w:jc w:val="right"/>
              <w:rPr>
                <w:sz w:val="20"/>
              </w:rPr>
            </w:pPr>
            <w:r>
              <w:rPr>
                <w:sz w:val="20"/>
              </w:rPr>
              <w:t>492.0</w:t>
            </w:r>
          </w:p>
        </w:tc>
        <w:tc>
          <w:tcPr>
            <w:tcW w:w="981" w:type="dxa"/>
          </w:tcPr>
          <w:p>
            <w:pPr>
              <w:pStyle w:val="TableParagraph"/>
              <w:rPr>
                <w:sz w:val="20"/>
              </w:rPr>
            </w:pPr>
          </w:p>
          <w:p>
            <w:pPr>
              <w:pStyle w:val="TableParagraph"/>
              <w:spacing w:before="170" w:line="223" w:lineRule="exact"/>
              <w:ind w:right="94"/>
              <w:jc w:val="right"/>
              <w:rPr>
                <w:b/>
                <w:sz w:val="20"/>
              </w:rPr>
            </w:pPr>
            <w:r>
              <w:rPr>
                <w:b/>
                <w:w w:val="95"/>
                <w:sz w:val="20"/>
              </w:rPr>
              <w:t>-171.0</w:t>
            </w:r>
          </w:p>
        </w:tc>
        <w:tc>
          <w:tcPr>
            <w:tcW w:w="1075" w:type="dxa"/>
          </w:tcPr>
          <w:p>
            <w:pPr>
              <w:pStyle w:val="TableParagraph"/>
              <w:rPr>
                <w:sz w:val="20"/>
              </w:rPr>
            </w:pPr>
          </w:p>
          <w:p>
            <w:pPr>
              <w:pStyle w:val="TableParagraph"/>
              <w:spacing w:before="170" w:line="223" w:lineRule="exact"/>
              <w:ind w:right="97"/>
              <w:jc w:val="right"/>
              <w:rPr>
                <w:b/>
                <w:sz w:val="20"/>
              </w:rPr>
            </w:pPr>
            <w:r>
              <w:rPr>
                <w:b/>
                <w:w w:val="95"/>
                <w:sz w:val="20"/>
              </w:rPr>
              <w:t>-34.8%</w:t>
            </w:r>
          </w:p>
        </w:tc>
        <w:tc>
          <w:tcPr>
            <w:tcW w:w="859" w:type="dxa"/>
          </w:tcPr>
          <w:p>
            <w:pPr>
              <w:pStyle w:val="TableParagraph"/>
              <w:rPr>
                <w:sz w:val="20"/>
              </w:rPr>
            </w:pPr>
          </w:p>
          <w:p>
            <w:pPr>
              <w:pStyle w:val="TableParagraph"/>
              <w:spacing w:before="170" w:line="223" w:lineRule="exact"/>
              <w:ind w:right="90"/>
              <w:jc w:val="right"/>
              <w:rPr>
                <w:sz w:val="20"/>
              </w:rPr>
            </w:pPr>
            <w:r>
              <w:rPr>
                <w:w w:val="99"/>
                <w:sz w:val="20"/>
              </w:rPr>
              <w:t>9</w:t>
            </w:r>
          </w:p>
        </w:tc>
      </w:tr>
      <w:tr>
        <w:tblPrEx>
          <w:tblW w:w="0" w:type="auto"/>
          <w:jc w:val="left"/>
          <w:tblInd w:w="410" w:type="dxa"/>
          <w:tblLayout w:type="fixed"/>
          <w:tblCellMar>
            <w:top w:w="0" w:type="dxa"/>
            <w:left w:w="0" w:type="dxa"/>
            <w:bottom w:w="0" w:type="dxa"/>
            <w:right w:w="0" w:type="dxa"/>
          </w:tblCellMar>
          <w:tblLook w:val="01E0"/>
        </w:tblPrEx>
        <w:trPr>
          <w:trHeight w:val="604"/>
          <w:jc w:val="left"/>
        </w:trPr>
        <w:tc>
          <w:tcPr>
            <w:tcW w:w="1046" w:type="dxa"/>
          </w:tcPr>
          <w:p>
            <w:pPr>
              <w:pStyle w:val="TableParagraph"/>
              <w:spacing w:before="7"/>
              <w:rPr>
                <w:sz w:val="29"/>
              </w:rPr>
            </w:pPr>
          </w:p>
          <w:p>
            <w:pPr>
              <w:pStyle w:val="TableParagraph"/>
              <w:spacing w:line="223" w:lineRule="exact"/>
              <w:ind w:left="107"/>
              <w:rPr>
                <w:sz w:val="20"/>
              </w:rPr>
            </w:pPr>
            <w:r>
              <w:rPr>
                <w:sz w:val="20"/>
              </w:rPr>
              <w:t>C, K</w:t>
            </w:r>
          </w:p>
        </w:tc>
        <w:tc>
          <w:tcPr>
            <w:tcW w:w="3626" w:type="dxa"/>
          </w:tcPr>
          <w:p>
            <w:pPr>
              <w:pStyle w:val="TableParagraph"/>
              <w:spacing w:before="116" w:line="240" w:lineRule="atLeast"/>
              <w:ind w:left="108" w:right="705"/>
              <w:rPr>
                <w:sz w:val="20"/>
              </w:rPr>
            </w:pPr>
            <w:r>
              <w:rPr>
                <w:sz w:val="20"/>
              </w:rPr>
              <w:t>Promote competitive markets and responsible business practices</w:t>
            </w:r>
          </w:p>
        </w:tc>
        <w:tc>
          <w:tcPr>
            <w:tcW w:w="1377" w:type="dxa"/>
          </w:tcPr>
          <w:p>
            <w:pPr>
              <w:pStyle w:val="TableParagraph"/>
              <w:spacing w:before="7"/>
              <w:rPr>
                <w:sz w:val="29"/>
              </w:rPr>
            </w:pPr>
          </w:p>
          <w:p>
            <w:pPr>
              <w:pStyle w:val="TableParagraph"/>
              <w:spacing w:line="223" w:lineRule="exact"/>
              <w:ind w:right="96"/>
              <w:jc w:val="right"/>
              <w:rPr>
                <w:sz w:val="20"/>
              </w:rPr>
            </w:pPr>
            <w:r>
              <w:rPr>
                <w:w w:val="95"/>
                <w:sz w:val="20"/>
              </w:rPr>
              <w:t>34.5</w:t>
            </w:r>
          </w:p>
        </w:tc>
        <w:tc>
          <w:tcPr>
            <w:tcW w:w="1043" w:type="dxa"/>
          </w:tcPr>
          <w:p>
            <w:pPr>
              <w:pStyle w:val="TableParagraph"/>
              <w:spacing w:before="7"/>
              <w:rPr>
                <w:sz w:val="29"/>
              </w:rPr>
            </w:pPr>
          </w:p>
          <w:p>
            <w:pPr>
              <w:pStyle w:val="TableParagraph"/>
              <w:spacing w:line="223" w:lineRule="exact"/>
              <w:ind w:right="95"/>
              <w:jc w:val="right"/>
              <w:rPr>
                <w:sz w:val="20"/>
              </w:rPr>
            </w:pPr>
            <w:r>
              <w:rPr>
                <w:w w:val="95"/>
                <w:sz w:val="20"/>
              </w:rPr>
              <w:t>86.1</w:t>
            </w:r>
          </w:p>
        </w:tc>
        <w:tc>
          <w:tcPr>
            <w:tcW w:w="981" w:type="dxa"/>
          </w:tcPr>
          <w:p>
            <w:pPr>
              <w:pStyle w:val="TableParagraph"/>
              <w:spacing w:before="7"/>
              <w:rPr>
                <w:sz w:val="29"/>
              </w:rPr>
            </w:pPr>
          </w:p>
          <w:p>
            <w:pPr>
              <w:pStyle w:val="TableParagraph"/>
              <w:spacing w:line="223" w:lineRule="exact"/>
              <w:ind w:right="96"/>
              <w:jc w:val="right"/>
              <w:rPr>
                <w:b/>
                <w:sz w:val="20"/>
              </w:rPr>
            </w:pPr>
            <w:r>
              <w:rPr>
                <w:b/>
                <w:w w:val="95"/>
                <w:sz w:val="20"/>
              </w:rPr>
              <w:t>-51.6</w:t>
            </w:r>
          </w:p>
        </w:tc>
        <w:tc>
          <w:tcPr>
            <w:tcW w:w="1075" w:type="dxa"/>
          </w:tcPr>
          <w:p>
            <w:pPr>
              <w:pStyle w:val="TableParagraph"/>
              <w:spacing w:before="7"/>
              <w:rPr>
                <w:sz w:val="29"/>
              </w:rPr>
            </w:pPr>
          </w:p>
          <w:p>
            <w:pPr>
              <w:pStyle w:val="TableParagraph"/>
              <w:spacing w:line="223" w:lineRule="exact"/>
              <w:ind w:right="97"/>
              <w:jc w:val="right"/>
              <w:rPr>
                <w:b/>
                <w:sz w:val="20"/>
              </w:rPr>
            </w:pPr>
            <w:r>
              <w:rPr>
                <w:b/>
                <w:w w:val="95"/>
                <w:sz w:val="20"/>
              </w:rPr>
              <w:t>-60.0%</w:t>
            </w:r>
          </w:p>
        </w:tc>
        <w:tc>
          <w:tcPr>
            <w:tcW w:w="859" w:type="dxa"/>
          </w:tcPr>
          <w:p>
            <w:pPr>
              <w:pStyle w:val="TableParagraph"/>
              <w:spacing w:before="7"/>
              <w:rPr>
                <w:sz w:val="29"/>
              </w:rPr>
            </w:pPr>
          </w:p>
          <w:p>
            <w:pPr>
              <w:pStyle w:val="TableParagraph"/>
              <w:spacing w:line="223" w:lineRule="exact"/>
              <w:ind w:right="90"/>
              <w:jc w:val="right"/>
              <w:rPr>
                <w:sz w:val="20"/>
              </w:rPr>
            </w:pPr>
            <w:r>
              <w:rPr>
                <w:w w:val="95"/>
                <w:sz w:val="20"/>
              </w:rPr>
              <w:t>10</w:t>
            </w:r>
          </w:p>
        </w:tc>
      </w:tr>
      <w:tr>
        <w:tblPrEx>
          <w:tblW w:w="0" w:type="auto"/>
          <w:jc w:val="left"/>
          <w:tblInd w:w="410" w:type="dxa"/>
          <w:tblLayout w:type="fixed"/>
          <w:tblCellMar>
            <w:top w:w="0" w:type="dxa"/>
            <w:left w:w="0" w:type="dxa"/>
            <w:bottom w:w="0" w:type="dxa"/>
            <w:right w:w="0" w:type="dxa"/>
          </w:tblCellMar>
          <w:tblLook w:val="01E0"/>
        </w:tblPrEx>
        <w:trPr>
          <w:trHeight w:val="604"/>
          <w:jc w:val="left"/>
        </w:trPr>
        <w:tc>
          <w:tcPr>
            <w:tcW w:w="1046" w:type="dxa"/>
          </w:tcPr>
          <w:p>
            <w:pPr>
              <w:pStyle w:val="TableParagraph"/>
              <w:spacing w:before="7"/>
              <w:rPr>
                <w:sz w:val="29"/>
              </w:rPr>
            </w:pPr>
          </w:p>
          <w:p>
            <w:pPr>
              <w:pStyle w:val="TableParagraph"/>
              <w:spacing w:line="223" w:lineRule="exact"/>
              <w:ind w:left="107"/>
              <w:rPr>
                <w:sz w:val="20"/>
              </w:rPr>
            </w:pPr>
            <w:r>
              <w:rPr>
                <w:w w:val="99"/>
                <w:sz w:val="20"/>
              </w:rPr>
              <w:t>D</w:t>
            </w:r>
          </w:p>
        </w:tc>
        <w:tc>
          <w:tcPr>
            <w:tcW w:w="3626" w:type="dxa"/>
          </w:tcPr>
          <w:p>
            <w:pPr>
              <w:pStyle w:val="TableParagraph"/>
              <w:spacing w:before="116" w:line="240" w:lineRule="atLeast"/>
              <w:ind w:left="108" w:right="894"/>
              <w:rPr>
                <w:sz w:val="20"/>
              </w:rPr>
            </w:pPr>
            <w:r>
              <w:rPr>
                <w:sz w:val="20"/>
              </w:rPr>
              <w:t>Delivering affordable energy for households and businesses</w:t>
            </w:r>
          </w:p>
        </w:tc>
        <w:tc>
          <w:tcPr>
            <w:tcW w:w="1377" w:type="dxa"/>
          </w:tcPr>
          <w:p>
            <w:pPr>
              <w:pStyle w:val="TableParagraph"/>
              <w:spacing w:before="7"/>
              <w:rPr>
                <w:sz w:val="29"/>
              </w:rPr>
            </w:pPr>
          </w:p>
          <w:p>
            <w:pPr>
              <w:pStyle w:val="TableParagraph"/>
              <w:spacing w:line="223" w:lineRule="exact"/>
              <w:ind w:right="96"/>
              <w:jc w:val="right"/>
              <w:rPr>
                <w:sz w:val="20"/>
              </w:rPr>
            </w:pPr>
            <w:r>
              <w:rPr>
                <w:sz w:val="20"/>
              </w:rPr>
              <w:t>905.0</w:t>
            </w:r>
          </w:p>
        </w:tc>
        <w:tc>
          <w:tcPr>
            <w:tcW w:w="1043" w:type="dxa"/>
          </w:tcPr>
          <w:p>
            <w:pPr>
              <w:pStyle w:val="TableParagraph"/>
              <w:spacing w:before="7"/>
              <w:rPr>
                <w:sz w:val="29"/>
              </w:rPr>
            </w:pPr>
          </w:p>
          <w:p>
            <w:pPr>
              <w:pStyle w:val="TableParagraph"/>
              <w:spacing w:line="223" w:lineRule="exact"/>
              <w:ind w:right="96"/>
              <w:jc w:val="right"/>
              <w:rPr>
                <w:sz w:val="20"/>
              </w:rPr>
            </w:pPr>
            <w:r>
              <w:rPr>
                <w:w w:val="95"/>
                <w:sz w:val="20"/>
              </w:rPr>
              <w:t>1,240.5</w:t>
            </w:r>
          </w:p>
        </w:tc>
        <w:tc>
          <w:tcPr>
            <w:tcW w:w="981" w:type="dxa"/>
          </w:tcPr>
          <w:p>
            <w:pPr>
              <w:pStyle w:val="TableParagraph"/>
              <w:spacing w:before="7"/>
              <w:rPr>
                <w:sz w:val="29"/>
              </w:rPr>
            </w:pPr>
          </w:p>
          <w:p>
            <w:pPr>
              <w:pStyle w:val="TableParagraph"/>
              <w:spacing w:line="223" w:lineRule="exact"/>
              <w:ind w:right="94"/>
              <w:jc w:val="right"/>
              <w:rPr>
                <w:b/>
                <w:sz w:val="20"/>
              </w:rPr>
            </w:pPr>
            <w:r>
              <w:rPr>
                <w:b/>
                <w:w w:val="95"/>
                <w:sz w:val="20"/>
              </w:rPr>
              <w:t>-335.5</w:t>
            </w:r>
          </w:p>
        </w:tc>
        <w:tc>
          <w:tcPr>
            <w:tcW w:w="1075" w:type="dxa"/>
          </w:tcPr>
          <w:p>
            <w:pPr>
              <w:pStyle w:val="TableParagraph"/>
              <w:spacing w:before="7"/>
              <w:rPr>
                <w:sz w:val="29"/>
              </w:rPr>
            </w:pPr>
          </w:p>
          <w:p>
            <w:pPr>
              <w:pStyle w:val="TableParagraph"/>
              <w:spacing w:line="223" w:lineRule="exact"/>
              <w:ind w:right="97"/>
              <w:jc w:val="right"/>
              <w:rPr>
                <w:b/>
                <w:sz w:val="20"/>
              </w:rPr>
            </w:pPr>
            <w:r>
              <w:rPr>
                <w:b/>
                <w:w w:val="95"/>
                <w:sz w:val="20"/>
              </w:rPr>
              <w:t>-27.0%</w:t>
            </w:r>
          </w:p>
        </w:tc>
        <w:tc>
          <w:tcPr>
            <w:tcW w:w="859" w:type="dxa"/>
          </w:tcPr>
          <w:p>
            <w:pPr>
              <w:pStyle w:val="TableParagraph"/>
              <w:spacing w:before="7"/>
              <w:rPr>
                <w:sz w:val="29"/>
              </w:rPr>
            </w:pPr>
          </w:p>
          <w:p>
            <w:pPr>
              <w:pStyle w:val="TableParagraph"/>
              <w:spacing w:line="223" w:lineRule="exact"/>
              <w:ind w:right="90"/>
              <w:jc w:val="right"/>
              <w:rPr>
                <w:sz w:val="20"/>
              </w:rPr>
            </w:pPr>
            <w:r>
              <w:rPr>
                <w:w w:val="95"/>
                <w:sz w:val="20"/>
              </w:rPr>
              <w:t>11</w:t>
            </w:r>
          </w:p>
        </w:tc>
      </w:tr>
      <w:tr>
        <w:tblPrEx>
          <w:tblW w:w="0" w:type="auto"/>
          <w:jc w:val="left"/>
          <w:tblInd w:w="410" w:type="dxa"/>
          <w:tblLayout w:type="fixed"/>
          <w:tblCellMar>
            <w:top w:w="0" w:type="dxa"/>
            <w:left w:w="0" w:type="dxa"/>
            <w:bottom w:w="0" w:type="dxa"/>
            <w:right w:w="0" w:type="dxa"/>
          </w:tblCellMar>
          <w:tblLook w:val="01E0"/>
        </w:tblPrEx>
        <w:trPr>
          <w:trHeight w:val="515"/>
          <w:jc w:val="left"/>
        </w:trPr>
        <w:tc>
          <w:tcPr>
            <w:tcW w:w="1046" w:type="dxa"/>
          </w:tcPr>
          <w:p>
            <w:pPr>
              <w:pStyle w:val="TableParagraph"/>
              <w:spacing w:before="4"/>
              <w:rPr>
                <w:sz w:val="22"/>
              </w:rPr>
            </w:pPr>
          </w:p>
          <w:p>
            <w:pPr>
              <w:pStyle w:val="TableParagraph"/>
              <w:spacing w:line="223" w:lineRule="exact"/>
              <w:ind w:left="107"/>
              <w:rPr>
                <w:sz w:val="20"/>
              </w:rPr>
            </w:pPr>
            <w:r>
              <w:rPr>
                <w:sz w:val="20"/>
              </w:rPr>
              <w:t>E, L</w:t>
            </w:r>
          </w:p>
        </w:tc>
        <w:tc>
          <w:tcPr>
            <w:tcW w:w="3626" w:type="dxa"/>
          </w:tcPr>
          <w:p>
            <w:pPr>
              <w:pStyle w:val="TableParagraph"/>
              <w:spacing w:before="27" w:line="240" w:lineRule="atLeast"/>
              <w:ind w:left="108" w:right="241"/>
              <w:rPr>
                <w:sz w:val="20"/>
              </w:rPr>
            </w:pPr>
            <w:r>
              <w:rPr>
                <w:sz w:val="20"/>
              </w:rPr>
              <w:t>Ensuring that our energy system is reliable and secure</w:t>
            </w:r>
          </w:p>
        </w:tc>
        <w:tc>
          <w:tcPr>
            <w:tcW w:w="1377" w:type="dxa"/>
          </w:tcPr>
          <w:p>
            <w:pPr>
              <w:pStyle w:val="TableParagraph"/>
              <w:spacing w:before="4"/>
              <w:rPr>
                <w:sz w:val="22"/>
              </w:rPr>
            </w:pPr>
          </w:p>
          <w:p>
            <w:pPr>
              <w:pStyle w:val="TableParagraph"/>
              <w:spacing w:line="223" w:lineRule="exact"/>
              <w:ind w:right="96"/>
              <w:jc w:val="right"/>
              <w:rPr>
                <w:sz w:val="20"/>
              </w:rPr>
            </w:pPr>
            <w:r>
              <w:rPr>
                <w:sz w:val="20"/>
              </w:rPr>
              <w:t>129.3</w:t>
            </w:r>
          </w:p>
        </w:tc>
        <w:tc>
          <w:tcPr>
            <w:tcW w:w="1043" w:type="dxa"/>
          </w:tcPr>
          <w:p>
            <w:pPr>
              <w:pStyle w:val="TableParagraph"/>
              <w:spacing w:before="4"/>
              <w:rPr>
                <w:sz w:val="22"/>
              </w:rPr>
            </w:pPr>
          </w:p>
          <w:p>
            <w:pPr>
              <w:pStyle w:val="TableParagraph"/>
              <w:spacing w:line="223" w:lineRule="exact"/>
              <w:ind w:right="95"/>
              <w:jc w:val="right"/>
              <w:rPr>
                <w:sz w:val="20"/>
              </w:rPr>
            </w:pPr>
            <w:r>
              <w:rPr>
                <w:sz w:val="20"/>
              </w:rPr>
              <w:t>7.5</w:t>
            </w:r>
          </w:p>
        </w:tc>
        <w:tc>
          <w:tcPr>
            <w:tcW w:w="981" w:type="dxa"/>
          </w:tcPr>
          <w:p>
            <w:pPr>
              <w:pStyle w:val="TableParagraph"/>
              <w:spacing w:before="4"/>
              <w:rPr>
                <w:sz w:val="22"/>
              </w:rPr>
            </w:pPr>
          </w:p>
          <w:p>
            <w:pPr>
              <w:pStyle w:val="TableParagraph"/>
              <w:spacing w:line="223" w:lineRule="exact"/>
              <w:ind w:right="95"/>
              <w:jc w:val="right"/>
              <w:rPr>
                <w:b/>
                <w:sz w:val="20"/>
              </w:rPr>
            </w:pPr>
            <w:r>
              <w:rPr>
                <w:b/>
                <w:sz w:val="20"/>
              </w:rPr>
              <w:t>121.8</w:t>
            </w:r>
          </w:p>
        </w:tc>
        <w:tc>
          <w:tcPr>
            <w:tcW w:w="1075" w:type="dxa"/>
          </w:tcPr>
          <w:p>
            <w:pPr>
              <w:pStyle w:val="TableParagraph"/>
              <w:spacing w:before="4"/>
              <w:rPr>
                <w:sz w:val="22"/>
              </w:rPr>
            </w:pPr>
          </w:p>
          <w:p>
            <w:pPr>
              <w:pStyle w:val="TableParagraph"/>
              <w:spacing w:line="223" w:lineRule="exact"/>
              <w:ind w:right="97"/>
              <w:jc w:val="right"/>
              <w:rPr>
                <w:b/>
                <w:sz w:val="20"/>
              </w:rPr>
            </w:pPr>
            <w:r>
              <w:rPr>
                <w:b/>
                <w:sz w:val="20"/>
              </w:rPr>
              <w:t>1,624.0%</w:t>
            </w:r>
          </w:p>
        </w:tc>
        <w:tc>
          <w:tcPr>
            <w:tcW w:w="859" w:type="dxa"/>
          </w:tcPr>
          <w:p>
            <w:pPr>
              <w:pStyle w:val="TableParagraph"/>
              <w:spacing w:before="4"/>
              <w:rPr>
                <w:sz w:val="22"/>
              </w:rPr>
            </w:pPr>
          </w:p>
          <w:p>
            <w:pPr>
              <w:pStyle w:val="TableParagraph"/>
              <w:spacing w:line="223" w:lineRule="exact"/>
              <w:ind w:right="90"/>
              <w:jc w:val="right"/>
              <w:rPr>
                <w:sz w:val="20"/>
              </w:rPr>
            </w:pPr>
            <w:r>
              <w:rPr>
                <w:w w:val="95"/>
                <w:sz w:val="20"/>
              </w:rPr>
              <w:t>12</w:t>
            </w:r>
          </w:p>
        </w:tc>
      </w:tr>
      <w:tr>
        <w:tblPrEx>
          <w:tblW w:w="0" w:type="auto"/>
          <w:jc w:val="left"/>
          <w:tblInd w:w="410" w:type="dxa"/>
          <w:tblLayout w:type="fixed"/>
          <w:tblCellMar>
            <w:top w:w="0" w:type="dxa"/>
            <w:left w:w="0" w:type="dxa"/>
            <w:bottom w:w="0" w:type="dxa"/>
            <w:right w:w="0" w:type="dxa"/>
          </w:tblCellMar>
          <w:tblLook w:val="01E0"/>
        </w:tblPrEx>
        <w:trPr>
          <w:trHeight w:val="486"/>
          <w:jc w:val="left"/>
        </w:trPr>
        <w:tc>
          <w:tcPr>
            <w:tcW w:w="1046" w:type="dxa"/>
          </w:tcPr>
          <w:p>
            <w:pPr>
              <w:pStyle w:val="TableParagraph"/>
              <w:spacing w:before="11"/>
              <w:rPr>
                <w:sz w:val="19"/>
              </w:rPr>
            </w:pPr>
          </w:p>
          <w:p>
            <w:pPr>
              <w:pStyle w:val="TableParagraph"/>
              <w:spacing w:before="1" w:line="223" w:lineRule="exact"/>
              <w:ind w:left="107"/>
              <w:rPr>
                <w:sz w:val="20"/>
              </w:rPr>
            </w:pPr>
            <w:r>
              <w:rPr>
                <w:sz w:val="20"/>
              </w:rPr>
              <w:t>F, M</w:t>
            </w:r>
          </w:p>
        </w:tc>
        <w:tc>
          <w:tcPr>
            <w:tcW w:w="3626" w:type="dxa"/>
          </w:tcPr>
          <w:p>
            <w:pPr>
              <w:pStyle w:val="TableParagraph"/>
              <w:spacing w:line="243" w:lineRule="exact"/>
              <w:ind w:left="108"/>
              <w:rPr>
                <w:sz w:val="20"/>
              </w:rPr>
            </w:pPr>
            <w:r>
              <w:rPr>
                <w:sz w:val="20"/>
              </w:rPr>
              <w:t>Taking action on climate change and</w:t>
            </w:r>
          </w:p>
          <w:p>
            <w:pPr>
              <w:pStyle w:val="TableParagraph"/>
              <w:spacing w:line="223" w:lineRule="exact"/>
              <w:ind w:left="108"/>
              <w:rPr>
                <w:sz w:val="20"/>
              </w:rPr>
            </w:pPr>
            <w:r>
              <w:rPr>
                <w:sz w:val="20"/>
              </w:rPr>
              <w:t>decarbonisation</w:t>
            </w:r>
          </w:p>
        </w:tc>
        <w:tc>
          <w:tcPr>
            <w:tcW w:w="1377" w:type="dxa"/>
          </w:tcPr>
          <w:p>
            <w:pPr>
              <w:pStyle w:val="TableParagraph"/>
              <w:spacing w:before="11"/>
              <w:rPr>
                <w:sz w:val="19"/>
              </w:rPr>
            </w:pPr>
          </w:p>
          <w:p>
            <w:pPr>
              <w:pStyle w:val="TableParagraph"/>
              <w:spacing w:before="1" w:line="223" w:lineRule="exact"/>
              <w:ind w:right="97"/>
              <w:jc w:val="right"/>
              <w:rPr>
                <w:sz w:val="20"/>
              </w:rPr>
            </w:pPr>
            <w:r>
              <w:rPr>
                <w:w w:val="95"/>
                <w:sz w:val="20"/>
              </w:rPr>
              <w:t>1,111.8</w:t>
            </w:r>
          </w:p>
        </w:tc>
        <w:tc>
          <w:tcPr>
            <w:tcW w:w="1043" w:type="dxa"/>
          </w:tcPr>
          <w:p>
            <w:pPr>
              <w:pStyle w:val="TableParagraph"/>
              <w:spacing w:before="11"/>
              <w:rPr>
                <w:sz w:val="19"/>
              </w:rPr>
            </w:pPr>
          </w:p>
          <w:p>
            <w:pPr>
              <w:pStyle w:val="TableParagraph"/>
              <w:spacing w:before="1" w:line="223" w:lineRule="exact"/>
              <w:ind w:right="95"/>
              <w:jc w:val="right"/>
              <w:rPr>
                <w:sz w:val="20"/>
              </w:rPr>
            </w:pPr>
            <w:r>
              <w:rPr>
                <w:sz w:val="20"/>
              </w:rPr>
              <w:t>409.5</w:t>
            </w:r>
          </w:p>
        </w:tc>
        <w:tc>
          <w:tcPr>
            <w:tcW w:w="981" w:type="dxa"/>
          </w:tcPr>
          <w:p>
            <w:pPr>
              <w:pStyle w:val="TableParagraph"/>
              <w:spacing w:before="11"/>
              <w:rPr>
                <w:sz w:val="19"/>
              </w:rPr>
            </w:pPr>
          </w:p>
          <w:p>
            <w:pPr>
              <w:pStyle w:val="TableParagraph"/>
              <w:spacing w:before="1" w:line="223" w:lineRule="exact"/>
              <w:ind w:right="95"/>
              <w:jc w:val="right"/>
              <w:rPr>
                <w:b/>
                <w:sz w:val="20"/>
              </w:rPr>
            </w:pPr>
            <w:r>
              <w:rPr>
                <w:b/>
                <w:sz w:val="20"/>
              </w:rPr>
              <w:t>702.3</w:t>
            </w:r>
          </w:p>
        </w:tc>
        <w:tc>
          <w:tcPr>
            <w:tcW w:w="1075" w:type="dxa"/>
          </w:tcPr>
          <w:p>
            <w:pPr>
              <w:pStyle w:val="TableParagraph"/>
              <w:spacing w:before="11"/>
              <w:rPr>
                <w:sz w:val="19"/>
              </w:rPr>
            </w:pPr>
          </w:p>
          <w:p>
            <w:pPr>
              <w:pStyle w:val="TableParagraph"/>
              <w:spacing w:before="1" w:line="223" w:lineRule="exact"/>
              <w:ind w:right="96"/>
              <w:jc w:val="right"/>
              <w:rPr>
                <w:b/>
                <w:sz w:val="20"/>
              </w:rPr>
            </w:pPr>
            <w:r>
              <w:rPr>
                <w:b/>
                <w:sz w:val="20"/>
              </w:rPr>
              <w:t>171.5%</w:t>
            </w:r>
          </w:p>
        </w:tc>
        <w:tc>
          <w:tcPr>
            <w:tcW w:w="859" w:type="dxa"/>
          </w:tcPr>
          <w:p>
            <w:pPr>
              <w:pStyle w:val="TableParagraph"/>
              <w:spacing w:before="11"/>
              <w:rPr>
                <w:sz w:val="19"/>
              </w:rPr>
            </w:pPr>
          </w:p>
          <w:p>
            <w:pPr>
              <w:pStyle w:val="TableParagraph"/>
              <w:spacing w:before="1" w:line="223" w:lineRule="exact"/>
              <w:ind w:right="90"/>
              <w:jc w:val="right"/>
              <w:rPr>
                <w:sz w:val="20"/>
              </w:rPr>
            </w:pPr>
            <w:r>
              <w:rPr>
                <w:w w:val="95"/>
                <w:sz w:val="20"/>
              </w:rPr>
              <w:t>13</w:t>
            </w:r>
          </w:p>
        </w:tc>
      </w:tr>
      <w:tr>
        <w:tblPrEx>
          <w:tblW w:w="0" w:type="auto"/>
          <w:jc w:val="left"/>
          <w:tblInd w:w="410" w:type="dxa"/>
          <w:tblLayout w:type="fixed"/>
          <w:tblCellMar>
            <w:top w:w="0" w:type="dxa"/>
            <w:left w:w="0" w:type="dxa"/>
            <w:bottom w:w="0" w:type="dxa"/>
            <w:right w:w="0" w:type="dxa"/>
          </w:tblCellMar>
          <w:tblLook w:val="01E0"/>
        </w:tblPrEx>
        <w:trPr>
          <w:trHeight w:val="489"/>
          <w:jc w:val="left"/>
        </w:trPr>
        <w:tc>
          <w:tcPr>
            <w:tcW w:w="1046" w:type="dxa"/>
          </w:tcPr>
          <w:p>
            <w:pPr>
              <w:pStyle w:val="TableParagraph"/>
              <w:spacing w:before="2"/>
              <w:rPr>
                <w:sz w:val="20"/>
              </w:rPr>
            </w:pPr>
          </w:p>
          <w:p>
            <w:pPr>
              <w:pStyle w:val="TableParagraph"/>
              <w:spacing w:line="223" w:lineRule="exact"/>
              <w:ind w:left="107"/>
              <w:rPr>
                <w:sz w:val="20"/>
              </w:rPr>
            </w:pPr>
            <w:r>
              <w:rPr>
                <w:sz w:val="20"/>
              </w:rPr>
              <w:t>G, N</w:t>
            </w:r>
          </w:p>
        </w:tc>
        <w:tc>
          <w:tcPr>
            <w:tcW w:w="3626" w:type="dxa"/>
          </w:tcPr>
          <w:p>
            <w:pPr>
              <w:pStyle w:val="TableParagraph"/>
              <w:spacing w:before="1" w:line="240" w:lineRule="atLeast"/>
              <w:ind w:left="108"/>
              <w:rPr>
                <w:sz w:val="20"/>
              </w:rPr>
            </w:pPr>
            <w:r>
              <w:rPr>
                <w:sz w:val="20"/>
              </w:rPr>
              <w:t>Managing our energy legacy safely and responsibly</w:t>
            </w:r>
          </w:p>
        </w:tc>
        <w:tc>
          <w:tcPr>
            <w:tcW w:w="1377" w:type="dxa"/>
          </w:tcPr>
          <w:p>
            <w:pPr>
              <w:pStyle w:val="TableParagraph"/>
              <w:spacing w:before="2"/>
              <w:rPr>
                <w:sz w:val="20"/>
              </w:rPr>
            </w:pPr>
          </w:p>
          <w:p>
            <w:pPr>
              <w:pStyle w:val="TableParagraph"/>
              <w:spacing w:line="223" w:lineRule="exact"/>
              <w:ind w:right="96"/>
              <w:jc w:val="right"/>
              <w:rPr>
                <w:sz w:val="20"/>
              </w:rPr>
            </w:pPr>
            <w:r>
              <w:rPr>
                <w:w w:val="95"/>
                <w:sz w:val="20"/>
              </w:rPr>
              <w:t>95.1</w:t>
            </w:r>
          </w:p>
        </w:tc>
        <w:tc>
          <w:tcPr>
            <w:tcW w:w="1043" w:type="dxa"/>
          </w:tcPr>
          <w:p>
            <w:pPr>
              <w:pStyle w:val="TableParagraph"/>
              <w:spacing w:before="2"/>
              <w:rPr>
                <w:sz w:val="20"/>
              </w:rPr>
            </w:pPr>
          </w:p>
          <w:p>
            <w:pPr>
              <w:pStyle w:val="TableParagraph"/>
              <w:spacing w:line="223" w:lineRule="exact"/>
              <w:ind w:right="96"/>
              <w:jc w:val="right"/>
              <w:rPr>
                <w:sz w:val="20"/>
              </w:rPr>
            </w:pPr>
            <w:r>
              <w:rPr>
                <w:w w:val="95"/>
                <w:sz w:val="20"/>
              </w:rPr>
              <w:t>5,095.7</w:t>
            </w:r>
          </w:p>
        </w:tc>
        <w:tc>
          <w:tcPr>
            <w:tcW w:w="981" w:type="dxa"/>
          </w:tcPr>
          <w:p>
            <w:pPr>
              <w:pStyle w:val="TableParagraph"/>
              <w:spacing w:before="2"/>
              <w:rPr>
                <w:sz w:val="20"/>
              </w:rPr>
            </w:pPr>
          </w:p>
          <w:p>
            <w:pPr>
              <w:pStyle w:val="TableParagraph"/>
              <w:spacing w:line="223" w:lineRule="exact"/>
              <w:ind w:right="96"/>
              <w:jc w:val="right"/>
              <w:rPr>
                <w:b/>
                <w:sz w:val="20"/>
              </w:rPr>
            </w:pPr>
            <w:r>
              <w:rPr>
                <w:b/>
                <w:sz w:val="20"/>
              </w:rPr>
              <w:t>-5,000.6</w:t>
            </w:r>
          </w:p>
        </w:tc>
        <w:tc>
          <w:tcPr>
            <w:tcW w:w="1075" w:type="dxa"/>
          </w:tcPr>
          <w:p>
            <w:pPr>
              <w:pStyle w:val="TableParagraph"/>
              <w:spacing w:before="2"/>
              <w:rPr>
                <w:sz w:val="20"/>
              </w:rPr>
            </w:pPr>
          </w:p>
          <w:p>
            <w:pPr>
              <w:pStyle w:val="TableParagraph"/>
              <w:spacing w:line="223" w:lineRule="exact"/>
              <w:ind w:right="97"/>
              <w:jc w:val="right"/>
              <w:rPr>
                <w:b/>
                <w:sz w:val="20"/>
              </w:rPr>
            </w:pPr>
            <w:r>
              <w:rPr>
                <w:b/>
                <w:w w:val="95"/>
                <w:sz w:val="20"/>
              </w:rPr>
              <w:t>-98.1%</w:t>
            </w:r>
          </w:p>
        </w:tc>
        <w:tc>
          <w:tcPr>
            <w:tcW w:w="859" w:type="dxa"/>
          </w:tcPr>
          <w:p>
            <w:pPr>
              <w:pStyle w:val="TableParagraph"/>
              <w:spacing w:before="2"/>
              <w:rPr>
                <w:sz w:val="20"/>
              </w:rPr>
            </w:pPr>
          </w:p>
          <w:p>
            <w:pPr>
              <w:pStyle w:val="TableParagraph"/>
              <w:spacing w:line="223" w:lineRule="exact"/>
              <w:ind w:right="90"/>
              <w:jc w:val="right"/>
              <w:rPr>
                <w:sz w:val="20"/>
              </w:rPr>
            </w:pPr>
            <w:r>
              <w:rPr>
                <w:w w:val="95"/>
                <w:sz w:val="20"/>
              </w:rPr>
              <w:t>14</w:t>
            </w:r>
          </w:p>
        </w:tc>
      </w:tr>
      <w:tr>
        <w:tblPrEx>
          <w:tblW w:w="0" w:type="auto"/>
          <w:jc w:val="left"/>
          <w:tblInd w:w="410" w:type="dxa"/>
          <w:tblLayout w:type="fixed"/>
          <w:tblCellMar>
            <w:top w:w="0" w:type="dxa"/>
            <w:left w:w="0" w:type="dxa"/>
            <w:bottom w:w="0" w:type="dxa"/>
            <w:right w:w="0" w:type="dxa"/>
          </w:tblCellMar>
          <w:tblLook w:val="01E0"/>
        </w:tblPrEx>
        <w:trPr>
          <w:trHeight w:val="354"/>
          <w:jc w:val="left"/>
        </w:trPr>
        <w:tc>
          <w:tcPr>
            <w:tcW w:w="1046" w:type="dxa"/>
          </w:tcPr>
          <w:p>
            <w:pPr>
              <w:pStyle w:val="TableParagraph"/>
              <w:spacing w:before="111" w:line="223" w:lineRule="exact"/>
              <w:ind w:left="107"/>
              <w:rPr>
                <w:sz w:val="20"/>
              </w:rPr>
            </w:pPr>
            <w:r>
              <w:rPr>
                <w:sz w:val="20"/>
              </w:rPr>
              <w:t>H, O</w:t>
            </w:r>
          </w:p>
        </w:tc>
        <w:tc>
          <w:tcPr>
            <w:tcW w:w="3626" w:type="dxa"/>
          </w:tcPr>
          <w:p>
            <w:pPr>
              <w:pStyle w:val="TableParagraph"/>
              <w:spacing w:before="111" w:line="223" w:lineRule="exact"/>
              <w:ind w:left="108"/>
              <w:rPr>
                <w:sz w:val="20"/>
              </w:rPr>
            </w:pPr>
            <w:r>
              <w:rPr>
                <w:sz w:val="20"/>
              </w:rPr>
              <w:t>Science and Research</w:t>
            </w:r>
          </w:p>
        </w:tc>
        <w:tc>
          <w:tcPr>
            <w:tcW w:w="1377" w:type="dxa"/>
          </w:tcPr>
          <w:p>
            <w:pPr>
              <w:pStyle w:val="TableParagraph"/>
              <w:spacing w:before="111" w:line="223" w:lineRule="exact"/>
              <w:ind w:right="97"/>
              <w:jc w:val="right"/>
              <w:rPr>
                <w:sz w:val="20"/>
              </w:rPr>
            </w:pPr>
            <w:r>
              <w:rPr>
                <w:w w:val="95"/>
                <w:sz w:val="20"/>
              </w:rPr>
              <w:t>11,075.9</w:t>
            </w:r>
          </w:p>
        </w:tc>
        <w:tc>
          <w:tcPr>
            <w:tcW w:w="1043" w:type="dxa"/>
          </w:tcPr>
          <w:p>
            <w:pPr>
              <w:pStyle w:val="TableParagraph"/>
              <w:spacing w:before="111" w:line="223" w:lineRule="exact"/>
              <w:ind w:right="96"/>
              <w:jc w:val="right"/>
              <w:rPr>
                <w:sz w:val="20"/>
              </w:rPr>
            </w:pPr>
            <w:r>
              <w:rPr>
                <w:w w:val="95"/>
                <w:sz w:val="20"/>
              </w:rPr>
              <w:t>10,195.1</w:t>
            </w:r>
          </w:p>
        </w:tc>
        <w:tc>
          <w:tcPr>
            <w:tcW w:w="981" w:type="dxa"/>
          </w:tcPr>
          <w:p>
            <w:pPr>
              <w:pStyle w:val="TableParagraph"/>
              <w:spacing w:before="111" w:line="223" w:lineRule="exact"/>
              <w:ind w:right="95"/>
              <w:jc w:val="right"/>
              <w:rPr>
                <w:b/>
                <w:sz w:val="20"/>
              </w:rPr>
            </w:pPr>
            <w:r>
              <w:rPr>
                <w:b/>
                <w:sz w:val="20"/>
              </w:rPr>
              <w:t>880.7</w:t>
            </w:r>
          </w:p>
        </w:tc>
        <w:tc>
          <w:tcPr>
            <w:tcW w:w="1075" w:type="dxa"/>
          </w:tcPr>
          <w:p>
            <w:pPr>
              <w:pStyle w:val="TableParagraph"/>
              <w:spacing w:before="111" w:line="223" w:lineRule="exact"/>
              <w:ind w:right="94"/>
              <w:jc w:val="right"/>
              <w:rPr>
                <w:b/>
                <w:sz w:val="20"/>
              </w:rPr>
            </w:pPr>
            <w:r>
              <w:rPr>
                <w:b/>
                <w:sz w:val="20"/>
              </w:rPr>
              <w:t>8.6%</w:t>
            </w:r>
          </w:p>
        </w:tc>
        <w:tc>
          <w:tcPr>
            <w:tcW w:w="859" w:type="dxa"/>
          </w:tcPr>
          <w:p>
            <w:pPr>
              <w:pStyle w:val="TableParagraph"/>
              <w:spacing w:before="111" w:line="223" w:lineRule="exact"/>
              <w:ind w:right="90"/>
              <w:jc w:val="right"/>
              <w:rPr>
                <w:sz w:val="20"/>
              </w:rPr>
            </w:pPr>
            <w:r>
              <w:rPr>
                <w:w w:val="95"/>
                <w:sz w:val="20"/>
              </w:rPr>
              <w:t>15</w:t>
            </w:r>
          </w:p>
        </w:tc>
      </w:tr>
      <w:tr>
        <w:tblPrEx>
          <w:tblW w:w="0" w:type="auto"/>
          <w:jc w:val="left"/>
          <w:tblInd w:w="410" w:type="dxa"/>
          <w:tblLayout w:type="fixed"/>
          <w:tblCellMar>
            <w:top w:w="0" w:type="dxa"/>
            <w:left w:w="0" w:type="dxa"/>
            <w:bottom w:w="0" w:type="dxa"/>
            <w:right w:w="0" w:type="dxa"/>
          </w:tblCellMar>
          <w:tblLook w:val="01E0"/>
        </w:tblPrEx>
        <w:trPr>
          <w:trHeight w:val="354"/>
          <w:jc w:val="left"/>
        </w:trPr>
        <w:tc>
          <w:tcPr>
            <w:tcW w:w="1046" w:type="dxa"/>
          </w:tcPr>
          <w:p>
            <w:pPr>
              <w:pStyle w:val="TableParagraph"/>
              <w:spacing w:before="111" w:line="223" w:lineRule="exact"/>
              <w:ind w:left="107"/>
              <w:rPr>
                <w:sz w:val="20"/>
              </w:rPr>
            </w:pPr>
            <w:r>
              <w:rPr>
                <w:sz w:val="20"/>
              </w:rPr>
              <w:t>I, P</w:t>
            </w:r>
          </w:p>
        </w:tc>
        <w:tc>
          <w:tcPr>
            <w:tcW w:w="3626" w:type="dxa"/>
          </w:tcPr>
          <w:p>
            <w:pPr>
              <w:pStyle w:val="TableParagraph"/>
              <w:spacing w:before="111" w:line="223" w:lineRule="exact"/>
              <w:ind w:left="109"/>
              <w:rPr>
                <w:sz w:val="20"/>
              </w:rPr>
            </w:pPr>
            <w:r>
              <w:rPr>
                <w:sz w:val="20"/>
              </w:rPr>
              <w:t>Capability</w:t>
            </w:r>
          </w:p>
        </w:tc>
        <w:tc>
          <w:tcPr>
            <w:tcW w:w="1377" w:type="dxa"/>
          </w:tcPr>
          <w:p>
            <w:pPr>
              <w:pStyle w:val="TableParagraph"/>
              <w:spacing w:before="111" w:line="223" w:lineRule="exact"/>
              <w:ind w:right="96"/>
              <w:jc w:val="right"/>
              <w:rPr>
                <w:sz w:val="20"/>
              </w:rPr>
            </w:pPr>
            <w:r>
              <w:rPr>
                <w:w w:val="95"/>
                <w:sz w:val="20"/>
              </w:rPr>
              <w:t>45.8</w:t>
            </w:r>
          </w:p>
        </w:tc>
        <w:tc>
          <w:tcPr>
            <w:tcW w:w="1043" w:type="dxa"/>
          </w:tcPr>
          <w:p>
            <w:pPr>
              <w:pStyle w:val="TableParagraph"/>
              <w:spacing w:before="111" w:line="223" w:lineRule="exact"/>
              <w:ind w:right="95"/>
              <w:jc w:val="right"/>
              <w:rPr>
                <w:sz w:val="20"/>
              </w:rPr>
            </w:pPr>
            <w:r>
              <w:rPr>
                <w:sz w:val="20"/>
              </w:rPr>
              <w:t>7.4</w:t>
            </w:r>
          </w:p>
        </w:tc>
        <w:tc>
          <w:tcPr>
            <w:tcW w:w="981" w:type="dxa"/>
          </w:tcPr>
          <w:p>
            <w:pPr>
              <w:pStyle w:val="TableParagraph"/>
              <w:spacing w:before="111" w:line="223" w:lineRule="exact"/>
              <w:ind w:right="96"/>
              <w:jc w:val="right"/>
              <w:rPr>
                <w:b/>
                <w:sz w:val="20"/>
              </w:rPr>
            </w:pPr>
            <w:r>
              <w:rPr>
                <w:b/>
                <w:sz w:val="20"/>
              </w:rPr>
              <w:t>38.4</w:t>
            </w:r>
          </w:p>
        </w:tc>
        <w:tc>
          <w:tcPr>
            <w:tcW w:w="1075" w:type="dxa"/>
          </w:tcPr>
          <w:p>
            <w:pPr>
              <w:pStyle w:val="TableParagraph"/>
              <w:spacing w:before="111" w:line="223" w:lineRule="exact"/>
              <w:ind w:right="96"/>
              <w:jc w:val="right"/>
              <w:rPr>
                <w:b/>
                <w:sz w:val="20"/>
              </w:rPr>
            </w:pPr>
            <w:r>
              <w:rPr>
                <w:b/>
                <w:sz w:val="20"/>
              </w:rPr>
              <w:t>520.0%</w:t>
            </w:r>
          </w:p>
        </w:tc>
        <w:tc>
          <w:tcPr>
            <w:tcW w:w="859" w:type="dxa"/>
          </w:tcPr>
          <w:p>
            <w:pPr>
              <w:pStyle w:val="TableParagraph"/>
              <w:spacing w:before="111" w:line="223" w:lineRule="exact"/>
              <w:ind w:right="90"/>
              <w:jc w:val="right"/>
              <w:rPr>
                <w:sz w:val="20"/>
              </w:rPr>
            </w:pPr>
            <w:r>
              <w:rPr>
                <w:w w:val="95"/>
                <w:sz w:val="20"/>
              </w:rPr>
              <w:t>16</w:t>
            </w:r>
          </w:p>
        </w:tc>
      </w:tr>
      <w:tr>
        <w:tblPrEx>
          <w:tblW w:w="0" w:type="auto"/>
          <w:jc w:val="left"/>
          <w:tblInd w:w="410" w:type="dxa"/>
          <w:tblLayout w:type="fixed"/>
          <w:tblCellMar>
            <w:top w:w="0" w:type="dxa"/>
            <w:left w:w="0" w:type="dxa"/>
            <w:bottom w:w="0" w:type="dxa"/>
            <w:right w:w="0" w:type="dxa"/>
          </w:tblCellMar>
          <w:tblLook w:val="01E0"/>
        </w:tblPrEx>
        <w:trPr>
          <w:trHeight w:val="479"/>
          <w:jc w:val="left"/>
        </w:trPr>
        <w:tc>
          <w:tcPr>
            <w:tcW w:w="1046" w:type="dxa"/>
          </w:tcPr>
          <w:p>
            <w:pPr>
              <w:pStyle w:val="TableParagraph"/>
              <w:spacing w:before="4"/>
              <w:rPr>
                <w:sz w:val="19"/>
              </w:rPr>
            </w:pPr>
          </w:p>
          <w:p>
            <w:pPr>
              <w:pStyle w:val="TableParagraph"/>
              <w:spacing w:line="223" w:lineRule="exact"/>
              <w:ind w:left="107"/>
              <w:rPr>
                <w:sz w:val="20"/>
              </w:rPr>
            </w:pPr>
            <w:r>
              <w:rPr>
                <w:sz w:val="20"/>
              </w:rPr>
              <w:t>J, Q</w:t>
            </w:r>
          </w:p>
        </w:tc>
        <w:tc>
          <w:tcPr>
            <w:tcW w:w="3626" w:type="dxa"/>
          </w:tcPr>
          <w:p>
            <w:pPr>
              <w:pStyle w:val="TableParagraph"/>
              <w:spacing w:before="4"/>
              <w:rPr>
                <w:sz w:val="19"/>
              </w:rPr>
            </w:pPr>
          </w:p>
          <w:p>
            <w:pPr>
              <w:pStyle w:val="TableParagraph"/>
              <w:spacing w:line="223" w:lineRule="exact"/>
              <w:ind w:left="108"/>
              <w:rPr>
                <w:sz w:val="20"/>
              </w:rPr>
            </w:pPr>
            <w:r>
              <w:rPr>
                <w:sz w:val="20"/>
              </w:rPr>
              <w:t>Government as Shareholder</w:t>
            </w:r>
          </w:p>
        </w:tc>
        <w:tc>
          <w:tcPr>
            <w:tcW w:w="1377" w:type="dxa"/>
          </w:tcPr>
          <w:p>
            <w:pPr>
              <w:pStyle w:val="TableParagraph"/>
              <w:spacing w:before="4"/>
              <w:rPr>
                <w:sz w:val="19"/>
              </w:rPr>
            </w:pPr>
          </w:p>
          <w:p>
            <w:pPr>
              <w:pStyle w:val="TableParagraph"/>
              <w:spacing w:line="223" w:lineRule="exact"/>
              <w:ind w:right="97"/>
              <w:jc w:val="right"/>
              <w:rPr>
                <w:sz w:val="20"/>
              </w:rPr>
            </w:pPr>
            <w:r>
              <w:rPr>
                <w:sz w:val="20"/>
              </w:rPr>
              <w:t>826.40</w:t>
            </w:r>
          </w:p>
        </w:tc>
        <w:tc>
          <w:tcPr>
            <w:tcW w:w="1043" w:type="dxa"/>
          </w:tcPr>
          <w:p>
            <w:pPr>
              <w:pStyle w:val="TableParagraph"/>
              <w:spacing w:before="4"/>
              <w:rPr>
                <w:sz w:val="19"/>
              </w:rPr>
            </w:pPr>
          </w:p>
          <w:p>
            <w:pPr>
              <w:pStyle w:val="TableParagraph"/>
              <w:spacing w:line="223" w:lineRule="exact"/>
              <w:ind w:right="96"/>
              <w:jc w:val="right"/>
              <w:rPr>
                <w:sz w:val="20"/>
              </w:rPr>
            </w:pPr>
            <w:r>
              <w:rPr>
                <w:w w:val="95"/>
                <w:sz w:val="20"/>
              </w:rPr>
              <w:t>1,562.0</w:t>
            </w:r>
          </w:p>
        </w:tc>
        <w:tc>
          <w:tcPr>
            <w:tcW w:w="981" w:type="dxa"/>
          </w:tcPr>
          <w:p>
            <w:pPr>
              <w:pStyle w:val="TableParagraph"/>
              <w:spacing w:before="4"/>
              <w:rPr>
                <w:sz w:val="19"/>
              </w:rPr>
            </w:pPr>
          </w:p>
          <w:p>
            <w:pPr>
              <w:pStyle w:val="TableParagraph"/>
              <w:spacing w:line="223" w:lineRule="exact"/>
              <w:ind w:right="94"/>
              <w:jc w:val="right"/>
              <w:rPr>
                <w:b/>
                <w:sz w:val="20"/>
              </w:rPr>
            </w:pPr>
            <w:r>
              <w:rPr>
                <w:b/>
                <w:w w:val="95"/>
                <w:sz w:val="20"/>
              </w:rPr>
              <w:t>-735.6</w:t>
            </w:r>
          </w:p>
        </w:tc>
        <w:tc>
          <w:tcPr>
            <w:tcW w:w="1075" w:type="dxa"/>
          </w:tcPr>
          <w:p>
            <w:pPr>
              <w:pStyle w:val="TableParagraph"/>
              <w:spacing w:before="4"/>
              <w:rPr>
                <w:sz w:val="19"/>
              </w:rPr>
            </w:pPr>
          </w:p>
          <w:p>
            <w:pPr>
              <w:pStyle w:val="TableParagraph"/>
              <w:spacing w:line="223" w:lineRule="exact"/>
              <w:ind w:right="97"/>
              <w:jc w:val="right"/>
              <w:rPr>
                <w:b/>
                <w:sz w:val="20"/>
              </w:rPr>
            </w:pPr>
            <w:r>
              <w:rPr>
                <w:b/>
                <w:w w:val="95"/>
                <w:sz w:val="20"/>
              </w:rPr>
              <w:t>-47.1%</w:t>
            </w:r>
          </w:p>
        </w:tc>
        <w:tc>
          <w:tcPr>
            <w:tcW w:w="859" w:type="dxa"/>
          </w:tcPr>
          <w:p>
            <w:pPr>
              <w:pStyle w:val="TableParagraph"/>
              <w:spacing w:before="4"/>
              <w:rPr>
                <w:sz w:val="19"/>
              </w:rPr>
            </w:pPr>
          </w:p>
          <w:p>
            <w:pPr>
              <w:pStyle w:val="TableParagraph"/>
              <w:spacing w:line="223" w:lineRule="exact"/>
              <w:ind w:right="90"/>
              <w:jc w:val="right"/>
              <w:rPr>
                <w:sz w:val="20"/>
              </w:rPr>
            </w:pPr>
            <w:r>
              <w:rPr>
                <w:w w:val="95"/>
                <w:sz w:val="20"/>
              </w:rPr>
              <w:t>17</w:t>
            </w:r>
          </w:p>
        </w:tc>
      </w:tr>
      <w:tr>
        <w:tblPrEx>
          <w:tblW w:w="0" w:type="auto"/>
          <w:jc w:val="left"/>
          <w:tblInd w:w="410" w:type="dxa"/>
          <w:tblLayout w:type="fixed"/>
          <w:tblCellMar>
            <w:top w:w="0" w:type="dxa"/>
            <w:left w:w="0" w:type="dxa"/>
            <w:bottom w:w="0" w:type="dxa"/>
            <w:right w:w="0" w:type="dxa"/>
          </w:tblCellMar>
          <w:tblLook w:val="01E0"/>
        </w:tblPrEx>
        <w:trPr>
          <w:trHeight w:val="443"/>
          <w:jc w:val="left"/>
        </w:trPr>
        <w:tc>
          <w:tcPr>
            <w:tcW w:w="1046" w:type="dxa"/>
          </w:tcPr>
          <w:p>
            <w:pPr>
              <w:pStyle w:val="TableParagraph"/>
              <w:spacing w:before="5"/>
              <w:rPr>
                <w:sz w:val="16"/>
              </w:rPr>
            </w:pPr>
          </w:p>
          <w:p>
            <w:pPr>
              <w:pStyle w:val="TableParagraph"/>
              <w:spacing w:line="223" w:lineRule="exact"/>
              <w:ind w:left="107"/>
              <w:rPr>
                <w:sz w:val="20"/>
              </w:rPr>
            </w:pPr>
            <w:r>
              <w:rPr>
                <w:sz w:val="20"/>
              </w:rPr>
              <w:t>R, S</w:t>
            </w:r>
          </w:p>
        </w:tc>
        <w:tc>
          <w:tcPr>
            <w:tcW w:w="3626" w:type="dxa"/>
          </w:tcPr>
          <w:p>
            <w:pPr>
              <w:pStyle w:val="TableParagraph"/>
              <w:spacing w:before="5"/>
              <w:rPr>
                <w:sz w:val="16"/>
              </w:rPr>
            </w:pPr>
          </w:p>
          <w:p>
            <w:pPr>
              <w:pStyle w:val="TableParagraph"/>
              <w:spacing w:line="223" w:lineRule="exact"/>
              <w:ind w:left="107"/>
              <w:rPr>
                <w:sz w:val="20"/>
              </w:rPr>
            </w:pPr>
            <w:r>
              <w:rPr>
                <w:sz w:val="20"/>
              </w:rPr>
              <w:t>Nuclear Decommissioning Authority</w:t>
            </w:r>
          </w:p>
        </w:tc>
        <w:tc>
          <w:tcPr>
            <w:tcW w:w="1377" w:type="dxa"/>
          </w:tcPr>
          <w:p>
            <w:pPr>
              <w:pStyle w:val="TableParagraph"/>
              <w:spacing w:before="5"/>
              <w:rPr>
                <w:sz w:val="16"/>
              </w:rPr>
            </w:pPr>
          </w:p>
          <w:p>
            <w:pPr>
              <w:pStyle w:val="TableParagraph"/>
              <w:spacing w:line="223" w:lineRule="exact"/>
              <w:ind w:right="97"/>
              <w:jc w:val="right"/>
              <w:rPr>
                <w:sz w:val="20"/>
              </w:rPr>
            </w:pPr>
            <w:r>
              <w:rPr>
                <w:w w:val="95"/>
                <w:sz w:val="20"/>
              </w:rPr>
              <w:t>2,023.1</w:t>
            </w:r>
          </w:p>
        </w:tc>
        <w:tc>
          <w:tcPr>
            <w:tcW w:w="1043" w:type="dxa"/>
          </w:tcPr>
          <w:p>
            <w:pPr>
              <w:pStyle w:val="TableParagraph"/>
              <w:spacing w:before="5"/>
              <w:rPr>
                <w:sz w:val="16"/>
              </w:rPr>
            </w:pPr>
          </w:p>
          <w:p>
            <w:pPr>
              <w:pStyle w:val="TableParagraph"/>
              <w:spacing w:line="223" w:lineRule="exact"/>
              <w:ind w:right="96"/>
              <w:jc w:val="right"/>
              <w:rPr>
                <w:sz w:val="20"/>
              </w:rPr>
            </w:pPr>
            <w:r>
              <w:rPr>
                <w:w w:val="95"/>
                <w:sz w:val="20"/>
              </w:rPr>
              <w:t>1,805.0</w:t>
            </w:r>
          </w:p>
        </w:tc>
        <w:tc>
          <w:tcPr>
            <w:tcW w:w="981" w:type="dxa"/>
          </w:tcPr>
          <w:p>
            <w:pPr>
              <w:pStyle w:val="TableParagraph"/>
              <w:spacing w:before="5"/>
              <w:rPr>
                <w:sz w:val="16"/>
              </w:rPr>
            </w:pPr>
          </w:p>
          <w:p>
            <w:pPr>
              <w:pStyle w:val="TableParagraph"/>
              <w:spacing w:line="223" w:lineRule="exact"/>
              <w:ind w:right="95"/>
              <w:jc w:val="right"/>
              <w:rPr>
                <w:b/>
                <w:sz w:val="20"/>
              </w:rPr>
            </w:pPr>
            <w:r>
              <w:rPr>
                <w:b/>
                <w:sz w:val="20"/>
              </w:rPr>
              <w:t>218.1</w:t>
            </w:r>
          </w:p>
        </w:tc>
        <w:tc>
          <w:tcPr>
            <w:tcW w:w="1075" w:type="dxa"/>
          </w:tcPr>
          <w:p>
            <w:pPr>
              <w:pStyle w:val="TableParagraph"/>
              <w:spacing w:before="5"/>
              <w:rPr>
                <w:sz w:val="16"/>
              </w:rPr>
            </w:pPr>
          </w:p>
          <w:p>
            <w:pPr>
              <w:pStyle w:val="TableParagraph"/>
              <w:spacing w:line="223" w:lineRule="exact"/>
              <w:ind w:right="97"/>
              <w:jc w:val="right"/>
              <w:rPr>
                <w:b/>
                <w:sz w:val="20"/>
              </w:rPr>
            </w:pPr>
            <w:r>
              <w:rPr>
                <w:b/>
                <w:sz w:val="20"/>
              </w:rPr>
              <w:t>12.1%</w:t>
            </w:r>
          </w:p>
        </w:tc>
        <w:tc>
          <w:tcPr>
            <w:tcW w:w="859" w:type="dxa"/>
          </w:tcPr>
          <w:p>
            <w:pPr>
              <w:pStyle w:val="TableParagraph"/>
              <w:spacing w:before="5"/>
              <w:rPr>
                <w:sz w:val="16"/>
              </w:rPr>
            </w:pPr>
          </w:p>
          <w:p>
            <w:pPr>
              <w:pStyle w:val="TableParagraph"/>
              <w:spacing w:line="223" w:lineRule="exact"/>
              <w:ind w:right="90"/>
              <w:jc w:val="right"/>
              <w:rPr>
                <w:sz w:val="20"/>
              </w:rPr>
            </w:pPr>
            <w:r>
              <w:rPr>
                <w:w w:val="95"/>
                <w:sz w:val="20"/>
              </w:rPr>
              <w:t>18</w:t>
            </w:r>
          </w:p>
        </w:tc>
      </w:tr>
      <w:tr>
        <w:tblPrEx>
          <w:tblW w:w="0" w:type="auto"/>
          <w:jc w:val="left"/>
          <w:tblInd w:w="410" w:type="dxa"/>
          <w:tblLayout w:type="fixed"/>
          <w:tblCellMar>
            <w:top w:w="0" w:type="dxa"/>
            <w:left w:w="0" w:type="dxa"/>
            <w:bottom w:w="0" w:type="dxa"/>
            <w:right w:w="0" w:type="dxa"/>
          </w:tblCellMar>
          <w:tblLook w:val="01E0"/>
        </w:tblPrEx>
        <w:trPr>
          <w:trHeight w:val="570"/>
          <w:jc w:val="left"/>
        </w:trPr>
        <w:tc>
          <w:tcPr>
            <w:tcW w:w="1046" w:type="dxa"/>
          </w:tcPr>
          <w:p>
            <w:pPr>
              <w:pStyle w:val="TableParagraph"/>
              <w:rPr>
                <w:rFonts w:ascii="Times New Roman"/>
                <w:sz w:val="20"/>
              </w:rPr>
            </w:pPr>
          </w:p>
        </w:tc>
        <w:tc>
          <w:tcPr>
            <w:tcW w:w="3626" w:type="dxa"/>
          </w:tcPr>
          <w:p>
            <w:pPr>
              <w:pStyle w:val="TableParagraph"/>
              <w:spacing w:before="10"/>
              <w:rPr>
                <w:sz w:val="26"/>
              </w:rPr>
            </w:pPr>
          </w:p>
          <w:p>
            <w:pPr>
              <w:pStyle w:val="TableParagraph"/>
              <w:spacing w:line="223" w:lineRule="exact"/>
              <w:ind w:left="108"/>
              <w:rPr>
                <w:b/>
                <w:sz w:val="20"/>
              </w:rPr>
            </w:pPr>
            <w:r>
              <w:rPr>
                <w:b/>
                <w:sz w:val="20"/>
              </w:rPr>
              <w:t>Total voted and non voted</w:t>
            </w:r>
          </w:p>
        </w:tc>
        <w:tc>
          <w:tcPr>
            <w:tcW w:w="1377" w:type="dxa"/>
          </w:tcPr>
          <w:p>
            <w:pPr>
              <w:pStyle w:val="TableParagraph"/>
              <w:spacing w:before="10"/>
              <w:rPr>
                <w:sz w:val="26"/>
              </w:rPr>
            </w:pPr>
          </w:p>
          <w:p>
            <w:pPr>
              <w:pStyle w:val="TableParagraph"/>
              <w:spacing w:line="223" w:lineRule="exact"/>
              <w:ind w:right="97"/>
              <w:jc w:val="right"/>
              <w:rPr>
                <w:sz w:val="20"/>
              </w:rPr>
            </w:pPr>
            <w:r>
              <w:rPr>
                <w:w w:val="95"/>
                <w:sz w:val="20"/>
              </w:rPr>
              <w:t>16,665.2</w:t>
            </w:r>
          </w:p>
        </w:tc>
        <w:tc>
          <w:tcPr>
            <w:tcW w:w="1043" w:type="dxa"/>
          </w:tcPr>
          <w:p>
            <w:pPr>
              <w:pStyle w:val="TableParagraph"/>
              <w:spacing w:before="10"/>
              <w:rPr>
                <w:sz w:val="26"/>
              </w:rPr>
            </w:pPr>
          </w:p>
          <w:p>
            <w:pPr>
              <w:pStyle w:val="TableParagraph"/>
              <w:spacing w:line="223" w:lineRule="exact"/>
              <w:ind w:right="96"/>
              <w:jc w:val="right"/>
              <w:rPr>
                <w:sz w:val="20"/>
              </w:rPr>
            </w:pPr>
            <w:r>
              <w:rPr>
                <w:w w:val="95"/>
                <w:sz w:val="20"/>
              </w:rPr>
              <w:t>21,139.4</w:t>
            </w:r>
          </w:p>
        </w:tc>
        <w:tc>
          <w:tcPr>
            <w:tcW w:w="981" w:type="dxa"/>
          </w:tcPr>
          <w:p>
            <w:pPr>
              <w:pStyle w:val="TableParagraph"/>
              <w:spacing w:before="10"/>
              <w:rPr>
                <w:sz w:val="26"/>
              </w:rPr>
            </w:pPr>
          </w:p>
          <w:p>
            <w:pPr>
              <w:pStyle w:val="TableParagraph"/>
              <w:spacing w:line="223" w:lineRule="exact"/>
              <w:ind w:right="96"/>
              <w:jc w:val="right"/>
              <w:rPr>
                <w:b/>
                <w:sz w:val="20"/>
              </w:rPr>
            </w:pPr>
            <w:r>
              <w:rPr>
                <w:b/>
                <w:sz w:val="20"/>
              </w:rPr>
              <w:t>-4,474.2</w:t>
            </w:r>
          </w:p>
        </w:tc>
        <w:tc>
          <w:tcPr>
            <w:tcW w:w="1075" w:type="dxa"/>
          </w:tcPr>
          <w:p>
            <w:pPr>
              <w:pStyle w:val="TableParagraph"/>
              <w:spacing w:before="10"/>
              <w:rPr>
                <w:sz w:val="26"/>
              </w:rPr>
            </w:pPr>
          </w:p>
          <w:p>
            <w:pPr>
              <w:pStyle w:val="TableParagraph"/>
              <w:spacing w:line="223" w:lineRule="exact"/>
              <w:ind w:right="97"/>
              <w:jc w:val="right"/>
              <w:rPr>
                <w:b/>
                <w:sz w:val="20"/>
              </w:rPr>
            </w:pPr>
            <w:r>
              <w:rPr>
                <w:b/>
                <w:w w:val="95"/>
                <w:sz w:val="20"/>
              </w:rPr>
              <w:t>-21.2%</w:t>
            </w:r>
          </w:p>
        </w:tc>
        <w:tc>
          <w:tcPr>
            <w:tcW w:w="859" w:type="dxa"/>
          </w:tcPr>
          <w:p>
            <w:pPr>
              <w:pStyle w:val="TableParagraph"/>
              <w:rPr>
                <w:rFonts w:ascii="Times New Roman"/>
                <w:sz w:val="20"/>
              </w:rPr>
            </w:pPr>
          </w:p>
        </w:tc>
      </w:tr>
    </w:tbl>
    <w:p>
      <w:pPr>
        <w:pStyle w:val="BodyText"/>
      </w:pPr>
    </w:p>
    <w:p>
      <w:pPr>
        <w:pStyle w:val="BodyText"/>
        <w:spacing w:before="182"/>
        <w:ind w:left="400"/>
      </w:pPr>
      <w:r>
        <w:t>Differences of more than 10% which are more than £10 million (or more than 5% and more than</w:t>
      </w:r>
    </w:p>
    <w:p>
      <w:pPr>
        <w:pStyle w:val="BodyText"/>
        <w:spacing w:before="19"/>
        <w:ind w:left="400"/>
      </w:pPr>
      <w:r>
        <w:t>£200 million) are explained below.</w:t>
      </w:r>
    </w:p>
    <w:p>
      <w:pPr>
        <w:pStyle w:val="ListParagraph"/>
        <w:numPr>
          <w:ilvl w:val="0"/>
          <w:numId w:val="4"/>
        </w:numPr>
        <w:tabs>
          <w:tab w:val="left" w:pos="616"/>
        </w:tabs>
        <w:spacing w:before="183" w:after="0" w:line="240" w:lineRule="auto"/>
        <w:ind w:left="615" w:right="0" w:hanging="216"/>
        <w:jc w:val="left"/>
        <w:rPr>
          <w:rFonts w:ascii="Calibri Light"/>
          <w:b w:val="0"/>
          <w:sz w:val="22"/>
        </w:rPr>
      </w:pPr>
      <w:r>
        <w:rPr>
          <w:rFonts w:ascii="Calibri Light"/>
          <w:b w:val="0"/>
          <w:color w:val="2F5495"/>
          <w:sz w:val="22"/>
        </w:rPr>
        <w:t>Deliver an ambitious industrial</w:t>
      </w:r>
      <w:r>
        <w:rPr>
          <w:rFonts w:ascii="Calibri Light"/>
          <w:b w:val="0"/>
          <w:color w:val="2F5495"/>
          <w:spacing w:val="-3"/>
          <w:sz w:val="22"/>
        </w:rPr>
        <w:t xml:space="preserve"> </w:t>
      </w:r>
      <w:r>
        <w:rPr>
          <w:rFonts w:ascii="Calibri Light"/>
          <w:b w:val="0"/>
          <w:color w:val="2F5495"/>
          <w:sz w:val="22"/>
        </w:rPr>
        <w:t>strategy</w:t>
      </w:r>
    </w:p>
    <w:p>
      <w:pPr>
        <w:pStyle w:val="BodyText"/>
        <w:spacing w:before="22" w:line="256" w:lineRule="auto"/>
        <w:ind w:left="1120" w:right="1420"/>
      </w:pPr>
      <w:r>
        <w:t>Capital spending under these subheads is, overall, forecast to reduce by £141.2 million, or 59.2%, compared to 2020-21.</w:t>
      </w:r>
    </w:p>
    <w:p>
      <w:pPr>
        <w:pStyle w:val="BodyText"/>
        <w:spacing w:before="3"/>
        <w:ind w:left="1120"/>
      </w:pPr>
      <w:r>
        <w:t>This is driven largely by:</w:t>
      </w:r>
    </w:p>
    <w:p>
      <w:pPr>
        <w:pStyle w:val="ListParagraph"/>
        <w:numPr>
          <w:ilvl w:val="1"/>
          <w:numId w:val="4"/>
        </w:numPr>
        <w:tabs>
          <w:tab w:val="left" w:pos="1479"/>
          <w:tab w:val="left" w:pos="1480"/>
        </w:tabs>
        <w:spacing w:before="22" w:after="0" w:line="259" w:lineRule="auto"/>
        <w:ind w:left="1480" w:right="1405" w:hanging="360"/>
        <w:jc w:val="left"/>
        <w:rPr>
          <w:sz w:val="22"/>
        </w:rPr>
      </w:pPr>
      <w:r>
        <w:rPr>
          <w:sz w:val="22"/>
        </w:rPr>
        <w:t>A decrease in OneWeb funding of £237.8m compared to 2020-21. Budgets will be updated in the Supplementary Estimate to reflect the final balance of the $500 million funding;</w:t>
      </w:r>
    </w:p>
    <w:p>
      <w:pPr>
        <w:pStyle w:val="ListParagraph"/>
        <w:numPr>
          <w:ilvl w:val="1"/>
          <w:numId w:val="4"/>
        </w:numPr>
        <w:tabs>
          <w:tab w:val="left" w:pos="1479"/>
          <w:tab w:val="left" w:pos="1480"/>
        </w:tabs>
        <w:spacing w:before="0" w:after="0" w:line="259" w:lineRule="auto"/>
        <w:ind w:left="1480" w:right="1290" w:hanging="360"/>
        <w:jc w:val="left"/>
        <w:rPr>
          <w:sz w:val="22"/>
        </w:rPr>
      </w:pPr>
      <w:r>
        <w:rPr>
          <w:sz w:val="22"/>
        </w:rPr>
        <w:t>Funding from the Reserve in 2020-21 only for Trade Credit Reinsurance (£170.0 million) and for a loan for Celsa Steel (UK) Limited (£30.0</w:t>
      </w:r>
      <w:r>
        <w:rPr>
          <w:spacing w:val="-8"/>
          <w:sz w:val="22"/>
        </w:rPr>
        <w:t xml:space="preserve"> </w:t>
      </w:r>
      <w:r>
        <w:rPr>
          <w:sz w:val="22"/>
        </w:rPr>
        <w:t>million);</w:t>
      </w:r>
    </w:p>
    <w:p>
      <w:pPr>
        <w:pStyle w:val="ListParagraph"/>
        <w:numPr>
          <w:ilvl w:val="1"/>
          <w:numId w:val="4"/>
        </w:numPr>
        <w:tabs>
          <w:tab w:val="left" w:pos="1479"/>
          <w:tab w:val="left" w:pos="1480"/>
        </w:tabs>
        <w:spacing w:before="0" w:after="0" w:line="259" w:lineRule="auto"/>
        <w:ind w:left="1480" w:right="1220" w:hanging="360"/>
        <w:jc w:val="left"/>
        <w:rPr>
          <w:sz w:val="22"/>
        </w:rPr>
      </w:pPr>
      <w:r>
        <w:rPr>
          <w:sz w:val="22"/>
        </w:rPr>
        <w:t>As funding for Partner Organisations for R&amp;D has not been finalised at the time of preparing this Main Estimate, reductions of £97.3 million and £92.5 million compared to 2020-21 for the Met Office and National Measurement Service respectively can be</w:t>
      </w:r>
      <w:r>
        <w:rPr>
          <w:spacing w:val="-20"/>
          <w:sz w:val="22"/>
        </w:rPr>
        <w:t xml:space="preserve"> </w:t>
      </w:r>
      <w:r>
        <w:rPr>
          <w:sz w:val="22"/>
        </w:rPr>
        <w:t>seen.</w:t>
      </w:r>
    </w:p>
    <w:p>
      <w:pPr>
        <w:spacing w:after="0" w:line="259" w:lineRule="auto"/>
        <w:jc w:val="left"/>
        <w:rPr>
          <w:sz w:val="22"/>
        </w:rPr>
        <w:sectPr>
          <w:pgSz w:w="11910" w:h="16840"/>
          <w:pgMar w:top="1380" w:right="280" w:bottom="280" w:left="1040" w:header="720" w:footer="720"/>
          <w:cols w:space="720"/>
        </w:sectPr>
      </w:pPr>
    </w:p>
    <w:p>
      <w:pPr>
        <w:pStyle w:val="BodyText"/>
        <w:spacing w:before="41" w:line="259" w:lineRule="auto"/>
        <w:ind w:left="1480" w:right="1155"/>
      </w:pPr>
      <w:r>
        <w:t>Ahead of confirmation of final R&amp;D allocations, most of the R&amp;D budget is shown against ‘Science and Research’ for the purposes of this Estimate. Confirmed budgets will be reflected on the relevant subhead at the Supplementary Estimate later this financial year;</w:t>
      </w:r>
    </w:p>
    <w:p>
      <w:pPr>
        <w:pStyle w:val="ListParagraph"/>
        <w:numPr>
          <w:ilvl w:val="1"/>
          <w:numId w:val="4"/>
        </w:numPr>
        <w:tabs>
          <w:tab w:val="left" w:pos="1479"/>
          <w:tab w:val="left" w:pos="1480"/>
        </w:tabs>
        <w:spacing w:before="0" w:after="0" w:line="259" w:lineRule="auto"/>
        <w:ind w:left="1480" w:right="1249" w:hanging="360"/>
        <w:jc w:val="left"/>
        <w:rPr>
          <w:sz w:val="22"/>
        </w:rPr>
      </w:pPr>
      <w:r>
        <w:rPr>
          <w:sz w:val="22"/>
        </w:rPr>
        <w:t>A decrease in expected income from Repayable Launch Investments of £291.2 million in 2021-22 compared with the previous financial year, reflecting the expected profile of repayments; and</w:t>
      </w:r>
    </w:p>
    <w:p>
      <w:pPr>
        <w:pStyle w:val="ListParagraph"/>
        <w:numPr>
          <w:ilvl w:val="1"/>
          <w:numId w:val="4"/>
        </w:numPr>
        <w:tabs>
          <w:tab w:val="left" w:pos="1479"/>
          <w:tab w:val="left" w:pos="1480"/>
        </w:tabs>
        <w:spacing w:before="0" w:after="0" w:line="259" w:lineRule="auto"/>
        <w:ind w:left="1480" w:right="1834" w:hanging="360"/>
        <w:jc w:val="left"/>
        <w:rPr>
          <w:sz w:val="22"/>
        </w:rPr>
      </w:pPr>
      <w:r>
        <w:rPr>
          <w:sz w:val="22"/>
        </w:rPr>
        <w:t>A one off receipt of £87.0 million in 2020-21 from the sale of EU Emission Trading Scheme</w:t>
      </w:r>
      <w:r>
        <w:rPr>
          <w:spacing w:val="-3"/>
          <w:sz w:val="22"/>
        </w:rPr>
        <w:t xml:space="preserve"> </w:t>
      </w:r>
      <w:r>
        <w:rPr>
          <w:sz w:val="22"/>
        </w:rPr>
        <w:t>allowances.</w:t>
      </w:r>
    </w:p>
    <w:p>
      <w:pPr>
        <w:pStyle w:val="BodyText"/>
      </w:pPr>
    </w:p>
    <w:p>
      <w:pPr>
        <w:pStyle w:val="ListParagraph"/>
        <w:numPr>
          <w:ilvl w:val="0"/>
          <w:numId w:val="4"/>
        </w:numPr>
        <w:tabs>
          <w:tab w:val="left" w:pos="616"/>
        </w:tabs>
        <w:spacing w:before="179" w:after="0" w:line="240" w:lineRule="auto"/>
        <w:ind w:left="615" w:right="0" w:hanging="216"/>
        <w:jc w:val="left"/>
        <w:rPr>
          <w:rFonts w:ascii="Calibri Light"/>
          <w:b w:val="0"/>
          <w:sz w:val="22"/>
        </w:rPr>
      </w:pPr>
      <w:r>
        <w:rPr>
          <w:rFonts w:ascii="Calibri Light"/>
          <w:b w:val="0"/>
          <w:color w:val="2F5495"/>
          <w:sz w:val="22"/>
        </w:rPr>
        <w:t>Maximise investment opportunities and bolster UK</w:t>
      </w:r>
      <w:r>
        <w:rPr>
          <w:rFonts w:ascii="Calibri Light"/>
          <w:b w:val="0"/>
          <w:color w:val="2F5495"/>
          <w:spacing w:val="-7"/>
          <w:sz w:val="22"/>
        </w:rPr>
        <w:t xml:space="preserve"> </w:t>
      </w:r>
      <w:r>
        <w:rPr>
          <w:rFonts w:ascii="Calibri Light"/>
          <w:b w:val="0"/>
          <w:color w:val="2F5495"/>
          <w:sz w:val="22"/>
        </w:rPr>
        <w:t>interests</w:t>
      </w:r>
    </w:p>
    <w:p>
      <w:pPr>
        <w:pStyle w:val="BodyText"/>
        <w:spacing w:before="22" w:line="259" w:lineRule="auto"/>
        <w:ind w:left="1120" w:right="1232"/>
      </w:pPr>
      <w:r>
        <w:t>Capital DEL spending under this subhead is, overall, forecast to decrease by £171.0 million, or 34.8%, compared to 2020-21, in line with the profile of funding for International Climate Finance (ICF) allocated in SR20, and the revised Budgets for Official Development Assistance set out by the Secretary of State for Foreign, Commonwealth and Development Affairs</w:t>
      </w:r>
      <w:r>
        <w:rPr>
          <w:vertAlign w:val="superscript"/>
        </w:rPr>
        <w:t>5</w:t>
      </w:r>
      <w:r>
        <w:rPr>
          <w:vertAlign w:val="baseline"/>
        </w:rPr>
        <w:t>.</w:t>
      </w:r>
    </w:p>
    <w:p>
      <w:pPr>
        <w:pStyle w:val="BodyText"/>
        <w:rPr>
          <w:sz w:val="24"/>
        </w:rPr>
      </w:pPr>
    </w:p>
    <w:p>
      <w:pPr>
        <w:pStyle w:val="BodyText"/>
        <w:spacing w:before="10"/>
        <w:rPr>
          <w:sz w:val="25"/>
        </w:rPr>
      </w:pPr>
    </w:p>
    <w:p>
      <w:pPr>
        <w:pStyle w:val="ListParagraph"/>
        <w:numPr>
          <w:ilvl w:val="0"/>
          <w:numId w:val="4"/>
        </w:numPr>
        <w:tabs>
          <w:tab w:val="left" w:pos="728"/>
        </w:tabs>
        <w:spacing w:before="0" w:after="0" w:line="240" w:lineRule="auto"/>
        <w:ind w:left="727" w:right="0" w:hanging="328"/>
        <w:jc w:val="left"/>
        <w:rPr>
          <w:rFonts w:ascii="Calibri Light"/>
          <w:b w:val="0"/>
          <w:sz w:val="22"/>
        </w:rPr>
      </w:pPr>
      <w:r>
        <w:rPr>
          <w:rFonts w:ascii="Calibri Light"/>
          <w:b w:val="0"/>
          <w:color w:val="2F5495"/>
          <w:sz w:val="22"/>
        </w:rPr>
        <w:t>Promote competitive markets and responsible business</w:t>
      </w:r>
      <w:r>
        <w:rPr>
          <w:rFonts w:ascii="Calibri Light"/>
          <w:b w:val="0"/>
          <w:color w:val="2F5495"/>
          <w:spacing w:val="-2"/>
          <w:sz w:val="22"/>
        </w:rPr>
        <w:t xml:space="preserve"> </w:t>
      </w:r>
      <w:r>
        <w:rPr>
          <w:rFonts w:ascii="Calibri Light"/>
          <w:b w:val="0"/>
          <w:color w:val="2F5495"/>
          <w:sz w:val="22"/>
        </w:rPr>
        <w:t>practices</w:t>
      </w:r>
    </w:p>
    <w:p>
      <w:pPr>
        <w:pStyle w:val="BodyText"/>
        <w:spacing w:before="22" w:line="259" w:lineRule="auto"/>
        <w:ind w:left="1120" w:right="1235"/>
      </w:pPr>
      <w:r>
        <w:t>Capital spending under these subheads is, overall, forecast to decrease by £51.6 million or 60.0%, compared to 2020-21.This is driven largely by £56.0 million funding in 2020-21 only for Travel Bonding (any further Budget required for Travel Bonding will be considered at the time of the Supplementary Estimate later this financial year).</w:t>
      </w:r>
    </w:p>
    <w:p>
      <w:pPr>
        <w:pStyle w:val="BodyText"/>
      </w:pPr>
    </w:p>
    <w:p>
      <w:pPr>
        <w:pStyle w:val="ListParagraph"/>
        <w:numPr>
          <w:ilvl w:val="0"/>
          <w:numId w:val="4"/>
        </w:numPr>
        <w:tabs>
          <w:tab w:val="left" w:pos="728"/>
        </w:tabs>
        <w:spacing w:before="179" w:after="0" w:line="240" w:lineRule="auto"/>
        <w:ind w:left="727" w:right="0" w:hanging="328"/>
        <w:jc w:val="left"/>
        <w:rPr>
          <w:rFonts w:ascii="Calibri Light"/>
          <w:b w:val="0"/>
          <w:sz w:val="22"/>
        </w:rPr>
      </w:pPr>
      <w:r>
        <w:rPr>
          <w:rFonts w:ascii="Calibri Light"/>
          <w:b w:val="0"/>
          <w:color w:val="2F5495"/>
          <w:sz w:val="22"/>
        </w:rPr>
        <w:t>Delivering affordable energy for households and</w:t>
      </w:r>
      <w:r>
        <w:rPr>
          <w:rFonts w:ascii="Calibri Light"/>
          <w:b w:val="0"/>
          <w:color w:val="2F5495"/>
          <w:spacing w:val="-10"/>
          <w:sz w:val="22"/>
        </w:rPr>
        <w:t xml:space="preserve"> </w:t>
      </w:r>
      <w:r>
        <w:rPr>
          <w:rFonts w:ascii="Calibri Light"/>
          <w:b w:val="0"/>
          <w:color w:val="2F5495"/>
          <w:sz w:val="22"/>
        </w:rPr>
        <w:t>businesses</w:t>
      </w:r>
    </w:p>
    <w:p>
      <w:pPr>
        <w:pStyle w:val="BodyText"/>
        <w:spacing w:before="22"/>
        <w:ind w:left="1120" w:right="1235"/>
      </w:pPr>
      <w:r>
        <w:t>Capital spending under these subheads is, overall, forecast to decrease by £335.5 million, or 27.0%, compared to 2020-21. This is driven largely by funding in 2021-22 of £400.0 million, previously recognised on these subheads, for Net Zero Buildings flowing through Salix (and therefore now included in the subhead ‘Taking action on climate change and decarbonisation’). Total Net Zero Buildings funding in 2021-22 across the two subheads will therefore amount to over £1.3 billion</w:t>
      </w:r>
      <w:r>
        <w:rPr>
          <w:vertAlign w:val="superscript"/>
        </w:rPr>
        <w:t>6</w:t>
      </w:r>
      <w:r>
        <w:rPr>
          <w:vertAlign w:val="baseline"/>
        </w:rPr>
        <w:t>.</w:t>
      </w:r>
    </w:p>
    <w:p>
      <w:pPr>
        <w:pStyle w:val="BodyText"/>
        <w:spacing w:before="1"/>
        <w:rPr>
          <w:sz w:val="35"/>
        </w:rPr>
      </w:pPr>
    </w:p>
    <w:p>
      <w:pPr>
        <w:pStyle w:val="ListParagraph"/>
        <w:numPr>
          <w:ilvl w:val="0"/>
          <w:numId w:val="4"/>
        </w:numPr>
        <w:tabs>
          <w:tab w:val="left" w:pos="728"/>
        </w:tabs>
        <w:spacing w:before="0" w:after="0" w:line="240" w:lineRule="auto"/>
        <w:ind w:left="727" w:right="0" w:hanging="328"/>
        <w:jc w:val="left"/>
        <w:rPr>
          <w:rFonts w:ascii="Calibri Light"/>
          <w:b w:val="0"/>
          <w:sz w:val="22"/>
        </w:rPr>
      </w:pPr>
      <w:r>
        <w:rPr>
          <w:rFonts w:ascii="Calibri Light"/>
          <w:b w:val="0"/>
          <w:color w:val="2F5495"/>
          <w:sz w:val="22"/>
        </w:rPr>
        <w:t>Ensuring that our energy system is reliable and</w:t>
      </w:r>
      <w:r>
        <w:rPr>
          <w:rFonts w:ascii="Calibri Light"/>
          <w:b w:val="0"/>
          <w:color w:val="2F5495"/>
          <w:spacing w:val="-7"/>
          <w:sz w:val="22"/>
        </w:rPr>
        <w:t xml:space="preserve"> </w:t>
      </w:r>
      <w:r>
        <w:rPr>
          <w:rFonts w:ascii="Calibri Light"/>
          <w:b w:val="0"/>
          <w:color w:val="2F5495"/>
          <w:sz w:val="22"/>
        </w:rPr>
        <w:t>secure</w:t>
      </w:r>
    </w:p>
    <w:p>
      <w:pPr>
        <w:pStyle w:val="BodyText"/>
        <w:spacing w:before="22" w:line="259" w:lineRule="auto"/>
        <w:ind w:left="1120" w:right="1151"/>
      </w:pPr>
      <w:r>
        <w:t>Capital DEL spending under these subheads is, overall, forecast to increase by £121.8 million, or 1,624.0%, compared to 2020-21. This is driven largely by £125.0 million of funding allocated in SR20 in respect of nuclear technologies.</w:t>
      </w:r>
    </w:p>
    <w:p>
      <w:pPr>
        <w:pStyle w:val="BodyText"/>
      </w:pPr>
    </w:p>
    <w:p>
      <w:pPr>
        <w:pStyle w:val="ListParagraph"/>
        <w:numPr>
          <w:ilvl w:val="0"/>
          <w:numId w:val="4"/>
        </w:numPr>
        <w:tabs>
          <w:tab w:val="left" w:pos="727"/>
        </w:tabs>
        <w:spacing w:before="179" w:after="0" w:line="240" w:lineRule="auto"/>
        <w:ind w:left="726" w:right="0" w:hanging="327"/>
        <w:jc w:val="left"/>
        <w:rPr>
          <w:rFonts w:ascii="Calibri Light"/>
          <w:b w:val="0"/>
          <w:sz w:val="22"/>
        </w:rPr>
      </w:pPr>
      <w:r>
        <w:rPr>
          <w:rFonts w:ascii="Calibri Light"/>
          <w:b w:val="0"/>
          <w:color w:val="2F5495"/>
          <w:sz w:val="22"/>
        </w:rPr>
        <w:t>Taking action on climate change and</w:t>
      </w:r>
      <w:r>
        <w:rPr>
          <w:rFonts w:ascii="Calibri Light"/>
          <w:b w:val="0"/>
          <w:color w:val="2F5495"/>
          <w:spacing w:val="-4"/>
          <w:sz w:val="22"/>
        </w:rPr>
        <w:t xml:space="preserve"> </w:t>
      </w:r>
      <w:r>
        <w:rPr>
          <w:rFonts w:ascii="Calibri Light"/>
          <w:b w:val="0"/>
          <w:color w:val="2F5495"/>
          <w:sz w:val="22"/>
        </w:rPr>
        <w:t>decarbonisation</w:t>
      </w:r>
    </w:p>
    <w:p>
      <w:pPr>
        <w:pStyle w:val="BodyText"/>
        <w:spacing w:before="22" w:line="259" w:lineRule="auto"/>
        <w:ind w:left="1120" w:right="1151"/>
      </w:pPr>
      <w:r>
        <w:t>Capital DEL spending under these subheads is, overall, forecast to increase by £702.3 million, or 171.5%, compared to 2020-21.</w:t>
      </w:r>
    </w:p>
    <w:p>
      <w:pPr>
        <w:pStyle w:val="BodyText"/>
        <w:spacing w:line="267" w:lineRule="exact"/>
        <w:ind w:left="1120"/>
      </w:pPr>
      <w:r>
        <w:t>This is driven largely by:</w:t>
      </w:r>
    </w:p>
    <w:p>
      <w:pPr>
        <w:pStyle w:val="ListParagraph"/>
        <w:numPr>
          <w:ilvl w:val="1"/>
          <w:numId w:val="4"/>
        </w:numPr>
        <w:tabs>
          <w:tab w:val="left" w:pos="1479"/>
          <w:tab w:val="left" w:pos="1480"/>
        </w:tabs>
        <w:spacing w:before="22" w:after="0" w:line="240" w:lineRule="auto"/>
        <w:ind w:left="1480" w:right="0" w:hanging="360"/>
        <w:jc w:val="left"/>
        <w:rPr>
          <w:sz w:val="22"/>
        </w:rPr>
      </w:pPr>
      <w:r>
        <w:rPr>
          <w:sz w:val="22"/>
        </w:rPr>
        <w:t>£400.0 million funding for Net Zero Buildings flowing through</w:t>
      </w:r>
      <w:r>
        <w:rPr>
          <w:spacing w:val="-7"/>
          <w:sz w:val="22"/>
        </w:rPr>
        <w:t xml:space="preserve"> </w:t>
      </w:r>
      <w:r>
        <w:rPr>
          <w:sz w:val="22"/>
        </w:rPr>
        <w:t>Salix;</w:t>
      </w:r>
    </w:p>
    <w:p>
      <w:pPr>
        <w:pStyle w:val="ListParagraph"/>
        <w:numPr>
          <w:ilvl w:val="1"/>
          <w:numId w:val="4"/>
        </w:numPr>
        <w:tabs>
          <w:tab w:val="left" w:pos="1479"/>
          <w:tab w:val="left" w:pos="1480"/>
        </w:tabs>
        <w:spacing w:before="22" w:after="0" w:line="240" w:lineRule="auto"/>
        <w:ind w:left="1480" w:right="0" w:hanging="360"/>
        <w:jc w:val="left"/>
        <w:rPr>
          <w:sz w:val="22"/>
        </w:rPr>
      </w:pPr>
      <w:r>
        <w:rPr>
          <w:sz w:val="22"/>
        </w:rPr>
        <w:t>£62.0 million funding for Energy Efficiency Loans through</w:t>
      </w:r>
      <w:r>
        <w:rPr>
          <w:spacing w:val="-7"/>
          <w:sz w:val="22"/>
        </w:rPr>
        <w:t xml:space="preserve"> </w:t>
      </w:r>
      <w:r>
        <w:rPr>
          <w:sz w:val="22"/>
        </w:rPr>
        <w:t>Salix;</w:t>
      </w:r>
    </w:p>
    <w:p>
      <w:pPr>
        <w:pStyle w:val="BodyText"/>
        <w:rPr>
          <w:sz w:val="20"/>
        </w:rPr>
      </w:pPr>
    </w:p>
    <w:p>
      <w:pPr>
        <w:pStyle w:val="BodyText"/>
        <w:spacing w:before="6"/>
        <w:rPr>
          <w:sz w:val="18"/>
        </w:rPr>
      </w:pPr>
      <w:r>
        <w:pict>
          <v:shape id="_x0000_s1212" style="height:0.1pt;margin-left:1in;margin-top:13.67pt;mso-position-horizontal-relative:page;mso-wrap-distance-left:0;mso-wrap-distance-right:0;position:absolute;width:2in;z-index:-251652096" coordorigin="1440,273" coordsize="2880,21600" path="m1440,273l4320,273e" strokecolor="black" strokeweight="0.72pt">
            <v:stroke dashstyle="solid"/>
            <v:path arrowok="t"/>
            <w10:wrap type="topAndBottom"/>
          </v:shape>
        </w:pict>
      </w:r>
    </w:p>
    <w:p>
      <w:pPr>
        <w:spacing w:before="70"/>
        <w:ind w:left="400" w:right="0" w:firstLine="0"/>
        <w:jc w:val="left"/>
        <w:rPr>
          <w:rFonts w:ascii="Arial"/>
          <w:sz w:val="20"/>
        </w:rPr>
      </w:pPr>
      <w:r>
        <w:rPr>
          <w:rFonts w:ascii="Arial"/>
          <w:position w:val="6"/>
          <w:sz w:val="13"/>
        </w:rPr>
        <w:t xml:space="preserve">5 </w:t>
      </w:r>
      <w:r>
        <w:rPr>
          <w:rFonts w:ascii="Arial"/>
          <w:color w:val="0000FF"/>
          <w:spacing w:val="-111"/>
          <w:sz w:val="20"/>
          <w:u w:val="single" w:color="0000FF"/>
        </w:rPr>
        <w:t>h</w:t>
      </w:r>
      <w:r>
        <w:rPr>
          <w:rFonts w:ascii="Arial"/>
          <w:color w:val="0000FF"/>
          <w:spacing w:val="57"/>
          <w:sz w:val="20"/>
        </w:rPr>
        <w:t xml:space="preserve"> </w:t>
      </w:r>
      <w:r>
        <w:rPr>
          <w:rFonts w:ascii="Arial"/>
          <w:color w:val="0000FF"/>
          <w:sz w:val="20"/>
          <w:u w:val="single" w:color="0000FF"/>
        </w:rPr>
        <w:t>ttps://questions-statements.parliament.uk/written-statements/detail/2021-01-26/hcws735</w:t>
      </w:r>
    </w:p>
    <w:p>
      <w:pPr>
        <w:pStyle w:val="BodyText"/>
        <w:rPr>
          <w:rFonts w:ascii="Arial"/>
          <w:sz w:val="12"/>
        </w:rPr>
      </w:pPr>
    </w:p>
    <w:p>
      <w:pPr>
        <w:spacing w:before="93"/>
        <w:ind w:left="400" w:right="1351" w:firstLine="0"/>
        <w:jc w:val="left"/>
        <w:rPr>
          <w:rFonts w:ascii="Arial"/>
          <w:sz w:val="20"/>
        </w:rPr>
      </w:pPr>
      <w:r>
        <w:rPr>
          <w:rFonts w:ascii="Arial"/>
          <w:position w:val="6"/>
          <w:sz w:val="13"/>
        </w:rPr>
        <w:t>6</w:t>
      </w:r>
      <w:r>
        <w:rPr>
          <w:rFonts w:ascii="Arial"/>
          <w:spacing w:val="24"/>
          <w:position w:val="6"/>
          <w:sz w:val="13"/>
        </w:rPr>
        <w:t xml:space="preserve"> </w:t>
      </w:r>
      <w:r>
        <w:rPr>
          <w:rFonts w:ascii="Arial"/>
          <w:color w:val="0000FF"/>
          <w:spacing w:val="-111"/>
          <w:sz w:val="20"/>
          <w:u w:val="single" w:color="0000FF"/>
        </w:rPr>
        <w:t>h</w:t>
      </w:r>
      <w:r>
        <w:rPr>
          <w:rFonts w:ascii="Arial"/>
          <w:color w:val="0000FF"/>
          <w:spacing w:val="57"/>
          <w:sz w:val="20"/>
        </w:rPr>
        <w:t xml:space="preserve"> </w:t>
      </w:r>
      <w:r>
        <w:rPr>
          <w:rFonts w:ascii="Arial"/>
          <w:color w:val="0000FF"/>
          <w:sz w:val="20"/>
          <w:u w:val="single" w:color="0000FF"/>
        </w:rPr>
        <w:t>ttps://</w:t>
      </w:r>
      <w:r>
        <w:fldChar w:fldCharType="begin"/>
      </w:r>
      <w:r>
        <w:instrText xml:space="preserve"> HYPERLINK "http://www.gov.uk/government/news/government-boosts-energy-efficiency-spending-to-13-billion-" </w:instrText>
      </w:r>
      <w:r>
        <w:fldChar w:fldCharType="separate"/>
      </w:r>
      <w:r>
        <w:rPr>
          <w:rFonts w:ascii="Arial"/>
          <w:color w:val="0000FF"/>
          <w:sz w:val="20"/>
          <w:u w:val="single" w:color="0000FF"/>
        </w:rPr>
        <w:t>www.gov.uk/government/news/government-boosts-energy-efficiency-spending-to-13-billion-</w:t>
      </w:r>
      <w:r>
        <w:fldChar w:fldCharType="end"/>
      </w:r>
      <w:r>
        <w:rPr>
          <w:rFonts w:ascii="Arial"/>
          <w:color w:val="0000FF"/>
          <w:spacing w:val="3"/>
          <w:w w:val="99"/>
          <w:sz w:val="20"/>
        </w:rPr>
        <w:t xml:space="preserve"> </w:t>
      </w:r>
      <w:r>
        <w:rPr>
          <w:rFonts w:ascii="Arial"/>
          <w:color w:val="0000FF"/>
          <w:spacing w:val="-144"/>
          <w:sz w:val="20"/>
          <w:u w:val="single" w:color="0000FF"/>
        </w:rPr>
        <w:t>w</w:t>
      </w:r>
      <w:r>
        <w:rPr>
          <w:rFonts w:ascii="Arial"/>
          <w:color w:val="0000FF"/>
          <w:spacing w:val="90"/>
          <w:sz w:val="20"/>
        </w:rPr>
        <w:t xml:space="preserve"> </w:t>
      </w:r>
      <w:r>
        <w:rPr>
          <w:rFonts w:ascii="Arial"/>
          <w:color w:val="0000FF"/>
          <w:sz w:val="20"/>
          <w:u w:val="single" w:color="0000FF"/>
        </w:rPr>
        <w:t>ith-extra-funding-for-green-homes</w:t>
      </w:r>
    </w:p>
    <w:p>
      <w:pPr>
        <w:spacing w:after="0"/>
        <w:jc w:val="left"/>
        <w:rPr>
          <w:rFonts w:ascii="Arial"/>
          <w:sz w:val="20"/>
        </w:rPr>
        <w:sectPr>
          <w:pgSz w:w="11910" w:h="16840"/>
          <w:pgMar w:top="1380" w:right="280" w:bottom="280" w:left="1040" w:header="720" w:footer="720"/>
          <w:cols w:space="720"/>
        </w:sectPr>
      </w:pPr>
    </w:p>
    <w:p>
      <w:pPr>
        <w:pStyle w:val="ListParagraph"/>
        <w:numPr>
          <w:ilvl w:val="1"/>
          <w:numId w:val="4"/>
        </w:numPr>
        <w:tabs>
          <w:tab w:val="left" w:pos="1479"/>
          <w:tab w:val="left" w:pos="1480"/>
        </w:tabs>
        <w:spacing w:before="81" w:after="0" w:line="259" w:lineRule="auto"/>
        <w:ind w:left="1480" w:right="1719" w:hanging="360"/>
        <w:jc w:val="left"/>
        <w:rPr>
          <w:sz w:val="22"/>
        </w:rPr>
      </w:pPr>
      <w:r>
        <w:rPr>
          <w:sz w:val="22"/>
        </w:rPr>
        <w:t>£140.0 million for Carbon Capture and Storage Infrastructure Fund, part of over £1 billion of funding as announced in</w:t>
      </w:r>
      <w:r>
        <w:rPr>
          <w:spacing w:val="-4"/>
          <w:sz w:val="22"/>
        </w:rPr>
        <w:t xml:space="preserve"> </w:t>
      </w:r>
      <w:r>
        <w:rPr>
          <w:sz w:val="22"/>
        </w:rPr>
        <w:t>SR20;</w:t>
      </w:r>
    </w:p>
    <w:p>
      <w:pPr>
        <w:pStyle w:val="ListParagraph"/>
        <w:numPr>
          <w:ilvl w:val="1"/>
          <w:numId w:val="4"/>
        </w:numPr>
        <w:tabs>
          <w:tab w:val="left" w:pos="1479"/>
          <w:tab w:val="left" w:pos="1480"/>
        </w:tabs>
        <w:spacing w:before="0" w:after="0" w:line="259" w:lineRule="auto"/>
        <w:ind w:left="1480" w:right="1841" w:hanging="360"/>
        <w:jc w:val="left"/>
        <w:rPr>
          <w:sz w:val="22"/>
        </w:rPr>
      </w:pPr>
      <w:r>
        <w:rPr>
          <w:sz w:val="22"/>
        </w:rPr>
        <w:t>£90.0 million funding announcement for Portside Hubs in the Humber region and Teesside</w:t>
      </w:r>
      <w:r>
        <w:rPr>
          <w:sz w:val="22"/>
          <w:vertAlign w:val="superscript"/>
        </w:rPr>
        <w:t>7</w:t>
      </w:r>
      <w:r>
        <w:rPr>
          <w:sz w:val="22"/>
          <w:vertAlign w:val="baseline"/>
        </w:rPr>
        <w:t>; and</w:t>
      </w:r>
    </w:p>
    <w:p>
      <w:pPr>
        <w:pStyle w:val="ListParagraph"/>
        <w:numPr>
          <w:ilvl w:val="1"/>
          <w:numId w:val="4"/>
        </w:numPr>
        <w:tabs>
          <w:tab w:val="left" w:pos="1479"/>
          <w:tab w:val="left" w:pos="1480"/>
        </w:tabs>
        <w:spacing w:before="0" w:after="0" w:line="240" w:lineRule="auto"/>
        <w:ind w:left="1480" w:right="0" w:hanging="360"/>
        <w:jc w:val="left"/>
        <w:rPr>
          <w:sz w:val="22"/>
        </w:rPr>
      </w:pPr>
      <w:r>
        <w:rPr>
          <w:sz w:val="22"/>
        </w:rPr>
        <w:t>£20.0 million for Net Zero Hydrogen</w:t>
      </w:r>
      <w:r>
        <w:rPr>
          <w:spacing w:val="-7"/>
          <w:sz w:val="22"/>
        </w:rPr>
        <w:t xml:space="preserve"> </w:t>
      </w:r>
      <w:r>
        <w:rPr>
          <w:sz w:val="22"/>
        </w:rPr>
        <w:t>Fund.</w:t>
      </w:r>
    </w:p>
    <w:p>
      <w:pPr>
        <w:pStyle w:val="BodyText"/>
        <w:spacing w:before="6"/>
        <w:rPr>
          <w:sz w:val="38"/>
        </w:rPr>
      </w:pPr>
    </w:p>
    <w:p>
      <w:pPr>
        <w:pStyle w:val="ListParagraph"/>
        <w:numPr>
          <w:ilvl w:val="0"/>
          <w:numId w:val="4"/>
        </w:numPr>
        <w:tabs>
          <w:tab w:val="left" w:pos="728"/>
        </w:tabs>
        <w:spacing w:before="0" w:after="0" w:line="240" w:lineRule="auto"/>
        <w:ind w:left="727" w:right="0" w:hanging="328"/>
        <w:jc w:val="left"/>
        <w:rPr>
          <w:rFonts w:ascii="Calibri Light"/>
          <w:b w:val="0"/>
          <w:sz w:val="22"/>
        </w:rPr>
      </w:pPr>
      <w:r>
        <w:rPr>
          <w:rFonts w:ascii="Calibri Light"/>
          <w:b w:val="0"/>
          <w:color w:val="2F5495"/>
          <w:sz w:val="22"/>
        </w:rPr>
        <w:t>Managing our energy legacy safely and</w:t>
      </w:r>
      <w:r>
        <w:rPr>
          <w:rFonts w:ascii="Calibri Light"/>
          <w:b w:val="0"/>
          <w:color w:val="2F5495"/>
          <w:spacing w:val="-2"/>
          <w:sz w:val="22"/>
        </w:rPr>
        <w:t xml:space="preserve"> </w:t>
      </w:r>
      <w:r>
        <w:rPr>
          <w:rFonts w:ascii="Calibri Light"/>
          <w:b w:val="0"/>
          <w:color w:val="2F5495"/>
          <w:sz w:val="22"/>
        </w:rPr>
        <w:t>responsibly</w:t>
      </w:r>
    </w:p>
    <w:p>
      <w:pPr>
        <w:pStyle w:val="BodyText"/>
        <w:spacing w:before="22" w:line="256" w:lineRule="auto"/>
        <w:ind w:left="1120" w:right="1640"/>
      </w:pPr>
      <w:r>
        <w:t>Capital DEL spending under these subheads is, overall, forecast to decrease by £5,000.6 million, or 98.1%, compared to 2020-21.</w:t>
      </w:r>
    </w:p>
    <w:p>
      <w:pPr>
        <w:pStyle w:val="BodyText"/>
        <w:spacing w:before="4"/>
        <w:ind w:left="1120"/>
      </w:pPr>
      <w:r>
        <w:t>This is driven largely by:</w:t>
      </w:r>
    </w:p>
    <w:p>
      <w:pPr>
        <w:pStyle w:val="ListParagraph"/>
        <w:numPr>
          <w:ilvl w:val="1"/>
          <w:numId w:val="4"/>
        </w:numPr>
        <w:tabs>
          <w:tab w:val="left" w:pos="1839"/>
          <w:tab w:val="left" w:pos="1840"/>
        </w:tabs>
        <w:spacing w:before="22" w:after="0" w:line="256" w:lineRule="auto"/>
        <w:ind w:left="1840" w:right="1316" w:hanging="360"/>
        <w:jc w:val="left"/>
        <w:rPr>
          <w:sz w:val="22"/>
        </w:rPr>
      </w:pPr>
      <w:r>
        <w:rPr>
          <w:sz w:val="22"/>
        </w:rPr>
        <w:t>One off funding in 2020-21 of £5,070.0 million for the Nuclear Liabilities Fund (NLF) in the form of a deposit in the National Loans</w:t>
      </w:r>
      <w:r>
        <w:rPr>
          <w:spacing w:val="-7"/>
          <w:sz w:val="22"/>
        </w:rPr>
        <w:t xml:space="preserve"> </w:t>
      </w:r>
      <w:r>
        <w:rPr>
          <w:sz w:val="22"/>
        </w:rPr>
        <w:t>Fund;</w:t>
      </w:r>
    </w:p>
    <w:p>
      <w:pPr>
        <w:pStyle w:val="ListParagraph"/>
        <w:numPr>
          <w:ilvl w:val="1"/>
          <w:numId w:val="4"/>
        </w:numPr>
        <w:tabs>
          <w:tab w:val="left" w:pos="1839"/>
          <w:tab w:val="left" w:pos="1840"/>
        </w:tabs>
        <w:spacing w:before="4" w:after="0" w:line="259" w:lineRule="auto"/>
        <w:ind w:left="1840" w:right="1602" w:hanging="360"/>
        <w:jc w:val="left"/>
        <w:rPr>
          <w:sz w:val="22"/>
        </w:rPr>
      </w:pPr>
      <w:r>
        <w:rPr>
          <w:sz w:val="22"/>
        </w:rPr>
        <w:t>£37.4 million allocated in SR20 for nuclear safety, including £31.5 million for the National Nuclear Laboratory;</w:t>
      </w:r>
      <w:r>
        <w:rPr>
          <w:spacing w:val="-3"/>
          <w:sz w:val="22"/>
        </w:rPr>
        <w:t xml:space="preserve"> </w:t>
      </w:r>
      <w:r>
        <w:rPr>
          <w:sz w:val="22"/>
        </w:rPr>
        <w:t>and</w:t>
      </w:r>
    </w:p>
    <w:p>
      <w:pPr>
        <w:pStyle w:val="ListParagraph"/>
        <w:numPr>
          <w:ilvl w:val="1"/>
          <w:numId w:val="4"/>
        </w:numPr>
        <w:tabs>
          <w:tab w:val="left" w:pos="1839"/>
          <w:tab w:val="left" w:pos="1840"/>
        </w:tabs>
        <w:spacing w:before="1" w:after="0" w:line="240" w:lineRule="auto"/>
        <w:ind w:left="1840" w:right="0" w:hanging="360"/>
        <w:jc w:val="left"/>
        <w:rPr>
          <w:sz w:val="22"/>
        </w:rPr>
      </w:pPr>
      <w:r>
        <w:rPr>
          <w:sz w:val="22"/>
        </w:rPr>
        <w:t>an increase of £10.9 million for the Civil Nuclear Police</w:t>
      </w:r>
      <w:r>
        <w:rPr>
          <w:spacing w:val="-8"/>
          <w:sz w:val="22"/>
        </w:rPr>
        <w:t xml:space="preserve"> </w:t>
      </w:r>
      <w:r>
        <w:rPr>
          <w:sz w:val="22"/>
        </w:rPr>
        <w:t>Authority.</w:t>
      </w:r>
    </w:p>
    <w:p>
      <w:pPr>
        <w:pStyle w:val="BodyText"/>
        <w:spacing w:before="6"/>
        <w:rPr>
          <w:sz w:val="38"/>
        </w:rPr>
      </w:pPr>
    </w:p>
    <w:p>
      <w:pPr>
        <w:pStyle w:val="ListParagraph"/>
        <w:numPr>
          <w:ilvl w:val="0"/>
          <w:numId w:val="4"/>
        </w:numPr>
        <w:tabs>
          <w:tab w:val="left" w:pos="728"/>
        </w:tabs>
        <w:spacing w:before="0" w:after="0" w:line="240" w:lineRule="auto"/>
        <w:ind w:left="727" w:right="0" w:hanging="328"/>
        <w:jc w:val="left"/>
        <w:rPr>
          <w:rFonts w:ascii="Calibri Light"/>
          <w:b w:val="0"/>
          <w:sz w:val="22"/>
        </w:rPr>
      </w:pPr>
      <w:r>
        <w:rPr>
          <w:rFonts w:ascii="Calibri Light"/>
          <w:b w:val="0"/>
          <w:color w:val="2F5495"/>
          <w:sz w:val="22"/>
        </w:rPr>
        <w:t>Science and Research</w:t>
      </w:r>
    </w:p>
    <w:p>
      <w:pPr>
        <w:pStyle w:val="BodyText"/>
        <w:spacing w:before="20"/>
        <w:ind w:left="1120" w:right="1246"/>
      </w:pPr>
      <w:r>
        <w:t>Total capital spending under these subheads is forecast to increase by £880.7 million, or 8.6%, compared to 2020-21. This is partially due to the fact that budgets for Partner Organisations on other Estimate subheads (Met Office and National Measurement Service) had not been confirmed by the time of preparing this Estimate. However, it also reflects the increase in Research and Development Budgets confirmed through SR20, together with the additional funding announced on 1</w:t>
      </w:r>
      <w:r>
        <w:rPr>
          <w:vertAlign w:val="superscript"/>
        </w:rPr>
        <w:t>st</w:t>
      </w:r>
      <w:r>
        <w:rPr>
          <w:vertAlign w:val="baseline"/>
        </w:rPr>
        <w:t xml:space="preserve"> April</w:t>
      </w:r>
      <w:r>
        <w:rPr>
          <w:vertAlign w:val="superscript"/>
        </w:rPr>
        <w:t>8</w:t>
      </w:r>
      <w:r>
        <w:rPr>
          <w:vertAlign w:val="baseline"/>
        </w:rPr>
        <w:t>.</w:t>
      </w:r>
    </w:p>
    <w:p>
      <w:pPr>
        <w:pStyle w:val="BodyText"/>
        <w:spacing w:before="1"/>
        <w:ind w:left="1120"/>
      </w:pPr>
      <w:r>
        <w:t>Increases in specific budgets include:</w:t>
      </w:r>
    </w:p>
    <w:p>
      <w:pPr>
        <w:pStyle w:val="ListParagraph"/>
        <w:numPr>
          <w:ilvl w:val="1"/>
          <w:numId w:val="4"/>
        </w:numPr>
        <w:tabs>
          <w:tab w:val="left" w:pos="1479"/>
          <w:tab w:val="left" w:pos="1480"/>
        </w:tabs>
        <w:spacing w:before="1" w:after="0" w:line="279" w:lineRule="exact"/>
        <w:ind w:left="1480" w:right="0" w:hanging="360"/>
        <w:jc w:val="left"/>
        <w:rPr>
          <w:sz w:val="22"/>
        </w:rPr>
      </w:pPr>
      <w:r>
        <w:rPr>
          <w:sz w:val="22"/>
        </w:rPr>
        <w:t>an increase of £60.5 million for Vaccines Taskforce compared to</w:t>
      </w:r>
      <w:r>
        <w:rPr>
          <w:spacing w:val="-14"/>
          <w:sz w:val="22"/>
        </w:rPr>
        <w:t xml:space="preserve"> </w:t>
      </w:r>
      <w:r>
        <w:rPr>
          <w:sz w:val="22"/>
        </w:rPr>
        <w:t>2020-21;</w:t>
      </w:r>
    </w:p>
    <w:p>
      <w:pPr>
        <w:pStyle w:val="ListParagraph"/>
        <w:numPr>
          <w:ilvl w:val="1"/>
          <w:numId w:val="4"/>
        </w:numPr>
        <w:tabs>
          <w:tab w:val="left" w:pos="1479"/>
          <w:tab w:val="left" w:pos="1480"/>
        </w:tabs>
        <w:spacing w:before="0" w:after="0" w:line="279" w:lineRule="exact"/>
        <w:ind w:left="1480" w:right="0" w:hanging="360"/>
        <w:jc w:val="left"/>
        <w:rPr>
          <w:sz w:val="22"/>
        </w:rPr>
      </w:pPr>
      <w:r>
        <w:rPr>
          <w:sz w:val="22"/>
        </w:rPr>
        <w:t>£50.0 million for the Advanced Research and Invention Agency</w:t>
      </w:r>
      <w:r>
        <w:rPr>
          <w:sz w:val="22"/>
          <w:vertAlign w:val="superscript"/>
        </w:rPr>
        <w:t>9</w:t>
      </w:r>
      <w:r>
        <w:rPr>
          <w:sz w:val="22"/>
          <w:vertAlign w:val="baseline"/>
        </w:rPr>
        <w:t>;</w:t>
      </w:r>
      <w:r>
        <w:rPr>
          <w:spacing w:val="-6"/>
          <w:sz w:val="22"/>
          <w:vertAlign w:val="baseline"/>
        </w:rPr>
        <w:t xml:space="preserve"> </w:t>
      </w:r>
      <w:r>
        <w:rPr>
          <w:sz w:val="22"/>
          <w:vertAlign w:val="baseline"/>
        </w:rPr>
        <w:t>and</w:t>
      </w:r>
    </w:p>
    <w:p>
      <w:pPr>
        <w:pStyle w:val="ListParagraph"/>
        <w:numPr>
          <w:ilvl w:val="1"/>
          <w:numId w:val="4"/>
        </w:numPr>
        <w:tabs>
          <w:tab w:val="left" w:pos="1479"/>
          <w:tab w:val="left" w:pos="1480"/>
        </w:tabs>
        <w:spacing w:before="0" w:after="0" w:line="240" w:lineRule="auto"/>
        <w:ind w:left="1480" w:right="0" w:hanging="360"/>
        <w:jc w:val="left"/>
        <w:rPr>
          <w:sz w:val="22"/>
        </w:rPr>
      </w:pPr>
      <w:r>
        <w:rPr>
          <w:sz w:val="22"/>
        </w:rPr>
        <w:t>£20.0 million for Life Sciences</w:t>
      </w:r>
      <w:r>
        <w:rPr>
          <w:spacing w:val="-8"/>
          <w:sz w:val="22"/>
        </w:rPr>
        <w:t xml:space="preserve"> </w:t>
      </w:r>
      <w:r>
        <w:rPr>
          <w:sz w:val="22"/>
        </w:rPr>
        <w:t>manufacturing</w:t>
      </w:r>
      <w:r>
        <w:rPr>
          <w:sz w:val="22"/>
          <w:vertAlign w:val="superscript"/>
        </w:rPr>
        <w:t>10</w:t>
      </w:r>
      <w:r>
        <w:rPr>
          <w:sz w:val="22"/>
          <w:vertAlign w:val="baseline"/>
        </w:rPr>
        <w:t>.</w:t>
      </w:r>
    </w:p>
    <w:p>
      <w:pPr>
        <w:pStyle w:val="BodyText"/>
        <w:spacing w:before="10"/>
        <w:rPr>
          <w:sz w:val="36"/>
        </w:rPr>
      </w:pPr>
    </w:p>
    <w:p>
      <w:pPr>
        <w:pStyle w:val="ListParagraph"/>
        <w:numPr>
          <w:ilvl w:val="0"/>
          <w:numId w:val="4"/>
        </w:numPr>
        <w:tabs>
          <w:tab w:val="left" w:pos="728"/>
        </w:tabs>
        <w:spacing w:before="0" w:after="0" w:line="240" w:lineRule="auto"/>
        <w:ind w:left="727" w:right="0" w:hanging="328"/>
        <w:jc w:val="left"/>
        <w:rPr>
          <w:rFonts w:ascii="Calibri Light"/>
          <w:b w:val="0"/>
          <w:sz w:val="22"/>
        </w:rPr>
      </w:pPr>
      <w:r>
        <w:rPr>
          <w:rFonts w:ascii="Calibri Light"/>
          <w:b w:val="0"/>
          <w:color w:val="2F5495"/>
          <w:sz w:val="22"/>
        </w:rPr>
        <w:t>Capability</w:t>
      </w:r>
    </w:p>
    <w:p>
      <w:pPr>
        <w:pStyle w:val="BodyText"/>
        <w:spacing w:before="22"/>
        <w:ind w:left="1120" w:right="1460"/>
      </w:pPr>
      <w:r>
        <w:t>Capital spending under these subheads is, overall, forecast to increase by £38.4 million or 520.0%, compared to 2020-21.</w:t>
      </w:r>
    </w:p>
    <w:p>
      <w:pPr>
        <w:pStyle w:val="BodyText"/>
        <w:ind w:left="1120"/>
      </w:pPr>
      <w:r>
        <w:t>This is driven largely by:</w:t>
      </w:r>
    </w:p>
    <w:p>
      <w:pPr>
        <w:pStyle w:val="ListParagraph"/>
        <w:numPr>
          <w:ilvl w:val="1"/>
          <w:numId w:val="4"/>
        </w:numPr>
        <w:tabs>
          <w:tab w:val="left" w:pos="1479"/>
          <w:tab w:val="left" w:pos="1480"/>
        </w:tabs>
        <w:spacing w:before="1" w:after="0" w:line="259" w:lineRule="auto"/>
        <w:ind w:left="1480" w:right="2545" w:hanging="360"/>
        <w:jc w:val="left"/>
        <w:rPr>
          <w:sz w:val="22"/>
        </w:rPr>
      </w:pPr>
      <w:r>
        <w:rPr>
          <w:sz w:val="22"/>
        </w:rPr>
        <w:t>an increase of £22.1 million in core Department budgets, arising from the implementation of</w:t>
      </w:r>
      <w:r>
        <w:rPr>
          <w:spacing w:val="-3"/>
          <w:sz w:val="22"/>
        </w:rPr>
        <w:t xml:space="preserve"> </w:t>
      </w:r>
      <w:r>
        <w:rPr>
          <w:sz w:val="22"/>
        </w:rPr>
        <w:t>IFRS16;</w:t>
      </w:r>
    </w:p>
    <w:p>
      <w:pPr>
        <w:pStyle w:val="ListParagraph"/>
        <w:numPr>
          <w:ilvl w:val="1"/>
          <w:numId w:val="4"/>
        </w:numPr>
        <w:tabs>
          <w:tab w:val="left" w:pos="1479"/>
          <w:tab w:val="left" w:pos="1480"/>
        </w:tabs>
        <w:spacing w:before="0" w:after="0" w:line="259" w:lineRule="auto"/>
        <w:ind w:left="1480" w:right="1318" w:hanging="360"/>
        <w:jc w:val="left"/>
        <w:rPr>
          <w:sz w:val="22"/>
        </w:rPr>
      </w:pPr>
      <w:r>
        <w:rPr>
          <w:sz w:val="22"/>
        </w:rPr>
        <w:t>an increase of £23.6 million in centrally held budgets at the time of preparing this Main Estimate, compared to</w:t>
      </w:r>
      <w:r>
        <w:rPr>
          <w:spacing w:val="-4"/>
          <w:sz w:val="22"/>
        </w:rPr>
        <w:t xml:space="preserve"> </w:t>
      </w:r>
      <w:r>
        <w:rPr>
          <w:sz w:val="22"/>
        </w:rPr>
        <w:t>2020-21;</w:t>
      </w:r>
    </w:p>
    <w:p>
      <w:pPr>
        <w:pStyle w:val="ListParagraph"/>
        <w:numPr>
          <w:ilvl w:val="1"/>
          <w:numId w:val="4"/>
        </w:numPr>
        <w:tabs>
          <w:tab w:val="left" w:pos="1479"/>
          <w:tab w:val="left" w:pos="1480"/>
        </w:tabs>
        <w:spacing w:before="0" w:after="0" w:line="240" w:lineRule="auto"/>
        <w:ind w:left="1480" w:right="0" w:hanging="360"/>
        <w:jc w:val="left"/>
        <w:rPr>
          <w:sz w:val="22"/>
        </w:rPr>
      </w:pPr>
      <w:r>
        <w:rPr>
          <w:sz w:val="22"/>
        </w:rPr>
        <w:t>partially offset by a reduction in EU Exit budgets of £8.3 million compared to last</w:t>
      </w:r>
      <w:r>
        <w:rPr>
          <w:spacing w:val="-19"/>
          <w:sz w:val="22"/>
        </w:rPr>
        <w:t xml:space="preserve"> </w:t>
      </w:r>
      <w:r>
        <w:rPr>
          <w:sz w:val="22"/>
        </w:rPr>
        <w:t>year.</w:t>
      </w:r>
    </w:p>
    <w:p>
      <w:pPr>
        <w:pStyle w:val="BodyText"/>
        <w:spacing w:before="6"/>
        <w:rPr>
          <w:sz w:val="38"/>
        </w:rPr>
      </w:pPr>
    </w:p>
    <w:p>
      <w:pPr>
        <w:pStyle w:val="ListParagraph"/>
        <w:numPr>
          <w:ilvl w:val="0"/>
          <w:numId w:val="4"/>
        </w:numPr>
        <w:tabs>
          <w:tab w:val="left" w:pos="728"/>
        </w:tabs>
        <w:spacing w:before="0" w:after="0" w:line="240" w:lineRule="auto"/>
        <w:ind w:left="727" w:right="0" w:hanging="328"/>
        <w:jc w:val="left"/>
        <w:rPr>
          <w:rFonts w:ascii="Calibri Light"/>
          <w:b w:val="0"/>
          <w:sz w:val="22"/>
        </w:rPr>
      </w:pPr>
      <w:r>
        <w:rPr>
          <w:rFonts w:ascii="Calibri Light"/>
          <w:b w:val="0"/>
          <w:color w:val="2F5495"/>
          <w:sz w:val="22"/>
        </w:rPr>
        <w:t>Government as</w:t>
      </w:r>
      <w:r>
        <w:rPr>
          <w:rFonts w:ascii="Calibri Light"/>
          <w:b w:val="0"/>
          <w:color w:val="2F5495"/>
          <w:spacing w:val="-3"/>
          <w:sz w:val="22"/>
        </w:rPr>
        <w:t xml:space="preserve"> </w:t>
      </w:r>
      <w:r>
        <w:rPr>
          <w:rFonts w:ascii="Calibri Light"/>
          <w:b w:val="0"/>
          <w:color w:val="2F5495"/>
          <w:sz w:val="22"/>
        </w:rPr>
        <w:t>Shareholder</w:t>
      </w:r>
    </w:p>
    <w:p>
      <w:pPr>
        <w:pStyle w:val="BodyText"/>
        <w:spacing w:before="20"/>
        <w:ind w:left="1120" w:right="1290"/>
      </w:pPr>
      <w:r>
        <w:t>Capital spending under these subheads is, overall, forecast to decrease by £735.6 million or 47.1%, compared to 2020-21.</w:t>
      </w:r>
    </w:p>
    <w:p>
      <w:pPr>
        <w:pStyle w:val="BodyText"/>
        <w:spacing w:before="11"/>
        <w:rPr>
          <w:sz w:val="12"/>
        </w:rPr>
      </w:pPr>
      <w:r>
        <w:pict>
          <v:shape id="_x0000_s1213" style="height:0.1pt;margin-left:1in;margin-top:10.25pt;mso-position-horizontal-relative:page;mso-wrap-distance-left:0;mso-wrap-distance-right:0;position:absolute;width:2in;z-index:-251651072" coordorigin="1440,205" coordsize="2880,21600" path="m1440,205l4320,205e" strokecolor="black" strokeweight="0.72pt">
            <v:stroke dashstyle="solid"/>
            <v:path arrowok="t"/>
            <w10:wrap type="topAndBottom"/>
          </v:shape>
        </w:pict>
      </w:r>
    </w:p>
    <w:p>
      <w:pPr>
        <w:spacing w:before="68"/>
        <w:ind w:left="400" w:right="0" w:firstLine="0"/>
        <w:jc w:val="left"/>
        <w:rPr>
          <w:rFonts w:ascii="Arial"/>
          <w:sz w:val="20"/>
        </w:rPr>
      </w:pPr>
      <w:r>
        <w:rPr>
          <w:rFonts w:ascii="Arial"/>
          <w:position w:val="6"/>
          <w:sz w:val="13"/>
        </w:rPr>
        <w:t xml:space="preserve">7 </w:t>
      </w:r>
      <w:r>
        <w:rPr>
          <w:rFonts w:ascii="Arial"/>
          <w:color w:val="0000FF"/>
          <w:spacing w:val="-111"/>
          <w:sz w:val="20"/>
          <w:u w:val="single" w:color="0000FF"/>
        </w:rPr>
        <w:t>h</w:t>
      </w:r>
      <w:r>
        <w:rPr>
          <w:rFonts w:ascii="Arial"/>
          <w:color w:val="0000FF"/>
          <w:spacing w:val="56"/>
          <w:sz w:val="20"/>
        </w:rPr>
        <w:t xml:space="preserve"> </w:t>
      </w:r>
      <w:r>
        <w:rPr>
          <w:rFonts w:ascii="Arial"/>
          <w:color w:val="0000FF"/>
          <w:sz w:val="20"/>
          <w:u w:val="single" w:color="0000FF"/>
        </w:rPr>
        <w:t>ttps://</w:t>
      </w:r>
      <w:r>
        <w:fldChar w:fldCharType="begin"/>
      </w:r>
      <w:r>
        <w:instrText xml:space="preserve"> HYPERLINK "http://www.gov.uk/government/news/second-wind-for-the-humber-teeside-and-uk-energy-industry" </w:instrText>
      </w:r>
      <w:r>
        <w:fldChar w:fldCharType="separate"/>
      </w:r>
      <w:r>
        <w:rPr>
          <w:rFonts w:ascii="Arial"/>
          <w:color w:val="0000FF"/>
          <w:sz w:val="20"/>
          <w:u w:val="single" w:color="0000FF"/>
        </w:rPr>
        <w:t>www.gov.uk/government/news/second-wind-for-the-humber-teeside-and-uk-energy-industry</w:t>
      </w:r>
      <w:r>
        <w:fldChar w:fldCharType="end"/>
      </w:r>
    </w:p>
    <w:p>
      <w:pPr>
        <w:spacing w:before="0"/>
        <w:ind w:left="400" w:right="1618" w:firstLine="0"/>
        <w:jc w:val="left"/>
        <w:rPr>
          <w:rFonts w:ascii="Arial"/>
          <w:sz w:val="20"/>
        </w:rPr>
      </w:pPr>
      <w:r>
        <w:rPr>
          <w:rFonts w:ascii="Arial"/>
          <w:position w:val="6"/>
          <w:sz w:val="13"/>
        </w:rPr>
        <w:t>8</w:t>
      </w:r>
      <w:r>
        <w:rPr>
          <w:rFonts w:ascii="Arial"/>
          <w:spacing w:val="24"/>
          <w:position w:val="6"/>
          <w:sz w:val="13"/>
        </w:rPr>
        <w:t xml:space="preserve"> </w:t>
      </w:r>
      <w:r>
        <w:rPr>
          <w:rFonts w:ascii="Arial"/>
          <w:color w:val="0000FF"/>
          <w:spacing w:val="-111"/>
          <w:sz w:val="20"/>
          <w:u w:val="single" w:color="0000FF"/>
        </w:rPr>
        <w:t>h</w:t>
      </w:r>
      <w:r>
        <w:rPr>
          <w:rFonts w:ascii="Arial"/>
          <w:color w:val="0000FF"/>
          <w:spacing w:val="57"/>
          <w:sz w:val="20"/>
        </w:rPr>
        <w:t xml:space="preserve"> </w:t>
      </w:r>
      <w:r>
        <w:rPr>
          <w:rFonts w:ascii="Arial"/>
          <w:color w:val="0000FF"/>
          <w:sz w:val="20"/>
          <w:u w:val="single" w:color="0000FF"/>
        </w:rPr>
        <w:t>ttps://</w:t>
      </w:r>
      <w:r>
        <w:fldChar w:fldCharType="begin"/>
      </w:r>
      <w:r>
        <w:instrText xml:space="preserve"> HYPERLINK "http://www.gov.uk/government/news/250-million-additional-funding-to-boost-collaboration-and-" </w:instrText>
      </w:r>
      <w:r>
        <w:fldChar w:fldCharType="separate"/>
      </w:r>
      <w:r>
        <w:rPr>
          <w:rFonts w:ascii="Arial"/>
          <w:color w:val="0000FF"/>
          <w:sz w:val="20"/>
          <w:u w:val="single" w:color="0000FF"/>
        </w:rPr>
        <w:t>www.gov.uk/government/news/250-million-additional-funding-to-boost-collaboration-and-</w:t>
      </w:r>
      <w:r>
        <w:fldChar w:fldCharType="end"/>
      </w:r>
      <w:r>
        <w:rPr>
          <w:rFonts w:ascii="Arial"/>
          <w:color w:val="0000FF"/>
          <w:spacing w:val="3"/>
          <w:w w:val="99"/>
          <w:sz w:val="20"/>
        </w:rPr>
        <w:t xml:space="preserve"> </w:t>
      </w:r>
      <w:r>
        <w:rPr>
          <w:rFonts w:ascii="Arial"/>
          <w:color w:val="0000FF"/>
          <w:spacing w:val="-111"/>
          <w:sz w:val="20"/>
          <w:u w:val="single" w:color="0000FF"/>
        </w:rPr>
        <w:t>p</w:t>
      </w:r>
      <w:r>
        <w:rPr>
          <w:rFonts w:ascii="Arial"/>
          <w:color w:val="0000FF"/>
          <w:spacing w:val="57"/>
          <w:sz w:val="20"/>
        </w:rPr>
        <w:t xml:space="preserve"> </w:t>
      </w:r>
      <w:r>
        <w:rPr>
          <w:rFonts w:ascii="Arial"/>
          <w:color w:val="0000FF"/>
          <w:sz w:val="20"/>
          <w:u w:val="single" w:color="0000FF"/>
        </w:rPr>
        <w:t>rotect-ongoing-research</w:t>
      </w:r>
    </w:p>
    <w:p>
      <w:pPr>
        <w:spacing w:before="1"/>
        <w:ind w:left="400" w:right="1313" w:firstLine="0"/>
        <w:jc w:val="left"/>
        <w:rPr>
          <w:rFonts w:ascii="Arial"/>
          <w:sz w:val="20"/>
        </w:rPr>
      </w:pPr>
      <w:r>
        <w:rPr>
          <w:rFonts w:ascii="Arial"/>
          <w:position w:val="6"/>
          <w:sz w:val="13"/>
        </w:rPr>
        <w:t xml:space="preserve">9 </w:t>
      </w:r>
      <w:r>
        <w:rPr>
          <w:rFonts w:ascii="Arial"/>
          <w:color w:val="0000FF"/>
          <w:spacing w:val="-111"/>
          <w:sz w:val="20"/>
          <w:u w:val="single" w:color="0000FF"/>
        </w:rPr>
        <w:t>h</w:t>
      </w:r>
      <w:r>
        <w:rPr>
          <w:rFonts w:ascii="Arial"/>
          <w:color w:val="0000FF"/>
          <w:spacing w:val="44"/>
          <w:sz w:val="20"/>
        </w:rPr>
        <w:t xml:space="preserve"> </w:t>
      </w:r>
      <w:r>
        <w:rPr>
          <w:rFonts w:ascii="Arial"/>
          <w:color w:val="0000FF"/>
          <w:sz w:val="20"/>
          <w:u w:val="single" w:color="0000FF"/>
        </w:rPr>
        <w:t>ttps://</w:t>
      </w:r>
      <w:r>
        <w:fldChar w:fldCharType="begin"/>
      </w:r>
      <w:r>
        <w:instrText xml:space="preserve"> HYPERLINK "http://www.gov.uk/government/news/uk-to-launch-new-research-agency-to-support-high-risk-high-" </w:instrText>
      </w:r>
      <w:r>
        <w:fldChar w:fldCharType="separate"/>
      </w:r>
      <w:r>
        <w:rPr>
          <w:rFonts w:ascii="Arial"/>
          <w:color w:val="0000FF"/>
          <w:sz w:val="20"/>
          <w:u w:val="single" w:color="0000FF"/>
        </w:rPr>
        <w:t>www.gov.uk/government/news/uk-to-launch-new-research-agency-to-support-high-risk-high-</w:t>
      </w:r>
      <w:r>
        <w:fldChar w:fldCharType="end"/>
      </w:r>
      <w:r>
        <w:rPr>
          <w:rFonts w:ascii="Arial"/>
          <w:color w:val="0000FF"/>
          <w:sz w:val="20"/>
        </w:rPr>
        <w:t xml:space="preserve"> </w:t>
      </w:r>
      <w:r>
        <w:rPr>
          <w:rFonts w:ascii="Arial"/>
          <w:color w:val="0000FF"/>
          <w:spacing w:val="-67"/>
          <w:sz w:val="20"/>
          <w:u w:val="single" w:color="0000FF"/>
        </w:rPr>
        <w:t>r</w:t>
      </w:r>
      <w:r>
        <w:rPr>
          <w:rFonts w:ascii="Arial"/>
          <w:color w:val="0000FF"/>
          <w:spacing w:val="11"/>
          <w:sz w:val="20"/>
          <w:u w:val="single" w:color="0000FF"/>
        </w:rPr>
        <w:t xml:space="preserve"> </w:t>
      </w:r>
      <w:r>
        <w:rPr>
          <w:rFonts w:ascii="Arial"/>
          <w:color w:val="0000FF"/>
          <w:sz w:val="20"/>
          <w:u w:val="single" w:color="0000FF"/>
        </w:rPr>
        <w:t>eward-science</w:t>
      </w:r>
    </w:p>
    <w:p>
      <w:pPr>
        <w:spacing w:before="1"/>
        <w:ind w:left="400" w:right="1292" w:firstLine="0"/>
        <w:jc w:val="left"/>
        <w:rPr>
          <w:rFonts w:ascii="Arial"/>
          <w:sz w:val="20"/>
        </w:rPr>
      </w:pPr>
      <w:r>
        <w:rPr>
          <w:rFonts w:ascii="Arial"/>
          <w:position w:val="6"/>
          <w:sz w:val="13"/>
        </w:rPr>
        <w:t>10</w:t>
      </w:r>
      <w:r>
        <w:rPr>
          <w:rFonts w:ascii="Arial"/>
          <w:spacing w:val="23"/>
          <w:position w:val="6"/>
          <w:sz w:val="13"/>
        </w:rPr>
        <w:t xml:space="preserve"> </w:t>
      </w:r>
      <w:r>
        <w:rPr>
          <w:rFonts w:ascii="Arial"/>
          <w:color w:val="0000FF"/>
          <w:spacing w:val="-111"/>
          <w:sz w:val="20"/>
          <w:u w:val="single" w:color="0000FF"/>
        </w:rPr>
        <w:t>h</w:t>
      </w:r>
      <w:r>
        <w:rPr>
          <w:rFonts w:ascii="Arial"/>
          <w:color w:val="0000FF"/>
          <w:spacing w:val="57"/>
          <w:sz w:val="20"/>
        </w:rPr>
        <w:t xml:space="preserve"> </w:t>
      </w:r>
      <w:r>
        <w:rPr>
          <w:rFonts w:ascii="Arial"/>
          <w:color w:val="0000FF"/>
          <w:sz w:val="20"/>
          <w:u w:val="single" w:color="0000FF"/>
        </w:rPr>
        <w:t>ttps://</w:t>
      </w:r>
      <w:r>
        <w:fldChar w:fldCharType="begin"/>
      </w:r>
      <w:r>
        <w:instrText xml:space="preserve"> HYPERLINK "http://www.gov.uk/government/news/new-20-million-fund-to-grow-uk-life-sciences-manufacturing-" </w:instrText>
      </w:r>
      <w:r>
        <w:fldChar w:fldCharType="separate"/>
      </w:r>
      <w:r>
        <w:rPr>
          <w:rFonts w:ascii="Arial"/>
          <w:color w:val="0000FF"/>
          <w:sz w:val="20"/>
          <w:u w:val="single" w:color="0000FF"/>
        </w:rPr>
        <w:t>www.gov.uk/government/news/new-20-million-fund-to-grow-uk-life-sciences-manufacturing-</w:t>
      </w:r>
      <w:r>
        <w:fldChar w:fldCharType="end"/>
      </w:r>
      <w:r>
        <w:rPr>
          <w:rFonts w:ascii="Arial"/>
          <w:color w:val="0000FF"/>
          <w:spacing w:val="1"/>
          <w:w w:val="99"/>
          <w:sz w:val="20"/>
        </w:rPr>
        <w:t xml:space="preserve"> </w:t>
      </w:r>
      <w:r>
        <w:rPr>
          <w:rFonts w:ascii="Arial"/>
          <w:color w:val="0000FF"/>
          <w:spacing w:val="-111"/>
          <w:sz w:val="20"/>
          <w:u w:val="single" w:color="0000FF"/>
        </w:rPr>
        <w:t>o</w:t>
      </w:r>
      <w:r>
        <w:rPr>
          <w:rFonts w:ascii="Arial"/>
          <w:color w:val="0000FF"/>
          <w:spacing w:val="57"/>
          <w:sz w:val="20"/>
        </w:rPr>
        <w:t xml:space="preserve"> </w:t>
      </w:r>
      <w:r>
        <w:rPr>
          <w:rFonts w:ascii="Arial"/>
          <w:color w:val="0000FF"/>
          <w:sz w:val="20"/>
          <w:u w:val="single" w:color="0000FF"/>
        </w:rPr>
        <w:t>pens-for-applications</w:t>
      </w:r>
    </w:p>
    <w:p>
      <w:pPr>
        <w:spacing w:after="0"/>
        <w:jc w:val="left"/>
        <w:rPr>
          <w:rFonts w:ascii="Arial"/>
          <w:sz w:val="20"/>
        </w:rPr>
        <w:sectPr>
          <w:pgSz w:w="11910" w:h="16840"/>
          <w:pgMar w:top="1340" w:right="280" w:bottom="280" w:left="1040" w:header="720" w:footer="720"/>
          <w:cols w:space="720"/>
        </w:sectPr>
      </w:pPr>
    </w:p>
    <w:p>
      <w:pPr>
        <w:pStyle w:val="BodyText"/>
        <w:spacing w:before="41"/>
        <w:ind w:left="1120"/>
      </w:pPr>
      <w:r>
        <w:t>This is driven largely by:</w:t>
      </w:r>
    </w:p>
    <w:p>
      <w:pPr>
        <w:pStyle w:val="ListParagraph"/>
        <w:numPr>
          <w:ilvl w:val="1"/>
          <w:numId w:val="4"/>
        </w:numPr>
        <w:tabs>
          <w:tab w:val="left" w:pos="1479"/>
          <w:tab w:val="left" w:pos="1480"/>
        </w:tabs>
        <w:spacing w:before="0" w:after="0" w:line="259" w:lineRule="auto"/>
        <w:ind w:left="1480" w:right="1523" w:hanging="360"/>
        <w:jc w:val="left"/>
        <w:rPr>
          <w:sz w:val="22"/>
        </w:rPr>
      </w:pPr>
      <w:r>
        <w:rPr>
          <w:sz w:val="22"/>
        </w:rPr>
        <w:t>a reduction of £1,050.0 million in funding for the Future Fund; funding for the Future Fund: Breakthrough scheme will be considered at the Supplementary</w:t>
      </w:r>
      <w:r>
        <w:rPr>
          <w:spacing w:val="-9"/>
          <w:sz w:val="22"/>
        </w:rPr>
        <w:t xml:space="preserve"> </w:t>
      </w:r>
      <w:r>
        <w:rPr>
          <w:sz w:val="22"/>
        </w:rPr>
        <w:t>Estimate;</w:t>
      </w:r>
    </w:p>
    <w:p>
      <w:pPr>
        <w:pStyle w:val="ListParagraph"/>
        <w:numPr>
          <w:ilvl w:val="1"/>
          <w:numId w:val="4"/>
        </w:numPr>
        <w:tabs>
          <w:tab w:val="left" w:pos="1479"/>
          <w:tab w:val="left" w:pos="1480"/>
        </w:tabs>
        <w:spacing w:before="0" w:after="0" w:line="259" w:lineRule="auto"/>
        <w:ind w:left="1480" w:right="1586" w:hanging="360"/>
        <w:jc w:val="left"/>
        <w:rPr>
          <w:sz w:val="22"/>
        </w:rPr>
      </w:pPr>
      <w:r>
        <w:rPr>
          <w:sz w:val="22"/>
        </w:rPr>
        <w:t>an increase of £177.0 million for Post Office Limited (POL) This consists of a £125m equity injection into POL, which is conditional on relevant associated network investment milestones being achieved by POL as per their funding agreement, and</w:t>
      </w:r>
      <w:r>
        <w:rPr>
          <w:spacing w:val="-19"/>
          <w:sz w:val="22"/>
        </w:rPr>
        <w:t xml:space="preserve"> </w:t>
      </w:r>
      <w:r>
        <w:rPr>
          <w:sz w:val="22"/>
        </w:rPr>
        <w:t>a</w:t>
      </w:r>
    </w:p>
    <w:p>
      <w:pPr>
        <w:pStyle w:val="BodyText"/>
        <w:spacing w:line="267" w:lineRule="exact"/>
        <w:ind w:left="1480"/>
      </w:pPr>
      <w:r>
        <w:t>£52m loan to POL for the purpose of investment funding; and</w:t>
      </w:r>
    </w:p>
    <w:p>
      <w:pPr>
        <w:pStyle w:val="ListParagraph"/>
        <w:numPr>
          <w:ilvl w:val="1"/>
          <w:numId w:val="4"/>
        </w:numPr>
        <w:tabs>
          <w:tab w:val="left" w:pos="1479"/>
          <w:tab w:val="left" w:pos="1480"/>
        </w:tabs>
        <w:spacing w:before="21" w:after="0" w:line="259" w:lineRule="auto"/>
        <w:ind w:left="1480" w:right="1238" w:hanging="360"/>
        <w:jc w:val="left"/>
        <w:rPr>
          <w:sz w:val="22"/>
        </w:rPr>
      </w:pPr>
      <w:r>
        <w:rPr>
          <w:sz w:val="22"/>
        </w:rPr>
        <w:t>£(276.6) million income relating to Enable funding in 2020-21 only. Due to final allocations not having been decided in time for the Main Estimate, all funding for the British Business Bank and associated programmes is included under the heading “British Business Bank”; budgets will be updated for the Supplementary</w:t>
      </w:r>
      <w:r>
        <w:rPr>
          <w:spacing w:val="-14"/>
          <w:sz w:val="22"/>
        </w:rPr>
        <w:t xml:space="preserve"> </w:t>
      </w:r>
      <w:r>
        <w:rPr>
          <w:sz w:val="22"/>
        </w:rPr>
        <w:t>Estimate.</w:t>
      </w:r>
    </w:p>
    <w:p>
      <w:pPr>
        <w:pStyle w:val="BodyText"/>
      </w:pPr>
    </w:p>
    <w:p>
      <w:pPr>
        <w:pStyle w:val="ListParagraph"/>
        <w:numPr>
          <w:ilvl w:val="0"/>
          <w:numId w:val="4"/>
        </w:numPr>
        <w:tabs>
          <w:tab w:val="left" w:pos="678"/>
        </w:tabs>
        <w:spacing w:before="181" w:after="0" w:line="240" w:lineRule="auto"/>
        <w:ind w:left="677" w:right="0" w:hanging="278"/>
        <w:jc w:val="left"/>
        <w:rPr>
          <w:rFonts w:ascii="Calibri Light"/>
          <w:b w:val="0"/>
          <w:sz w:val="22"/>
        </w:rPr>
      </w:pPr>
      <w:r>
        <w:rPr>
          <w:rFonts w:ascii="Calibri Light"/>
          <w:b w:val="0"/>
          <w:color w:val="2F5495"/>
          <w:sz w:val="22"/>
        </w:rPr>
        <w:t>Nuclear Decommissioning</w:t>
      </w:r>
      <w:r>
        <w:rPr>
          <w:rFonts w:ascii="Calibri Light"/>
          <w:b w:val="0"/>
          <w:color w:val="2F5495"/>
          <w:spacing w:val="-3"/>
          <w:sz w:val="22"/>
        </w:rPr>
        <w:t xml:space="preserve"> </w:t>
      </w:r>
      <w:r>
        <w:rPr>
          <w:rFonts w:ascii="Calibri Light"/>
          <w:b w:val="0"/>
          <w:color w:val="2F5495"/>
          <w:sz w:val="22"/>
        </w:rPr>
        <w:t>Authority</w:t>
      </w:r>
    </w:p>
    <w:p>
      <w:pPr>
        <w:pStyle w:val="BodyText"/>
        <w:spacing w:before="20" w:line="259" w:lineRule="auto"/>
        <w:ind w:left="1120" w:right="1358"/>
      </w:pPr>
      <w:r>
        <w:t>Net Capital DEL spending under these subheads, is, overall, forecast to increase by £218.1 million, or 12.1%, compared to 2020-21. The split of expenditure between Resource and Capital DEL for the NDA is reviewed each year for the Supplementary Estimate in line with expenditure profiles for the year for nuclear decommissioning costs (£141.0m having been effectively transferred to Capital DEL in 2020-21). Overall net DEL expenditure for the NDA for 2020-21 is increased by £77.2m compared to 2020-21.</w:t>
      </w:r>
    </w:p>
    <w:p>
      <w:pPr>
        <w:spacing w:before="158"/>
        <w:ind w:left="3280" w:right="0" w:firstLine="0"/>
        <w:jc w:val="left"/>
        <w:rPr>
          <w:i/>
          <w:sz w:val="22"/>
        </w:rPr>
      </w:pPr>
      <w:r>
        <w:rPr>
          <w:i/>
          <w:color w:val="2F5495"/>
          <w:w w:val="100"/>
          <w:sz w:val="22"/>
        </w:rPr>
        <w:t xml:space="preserve"> </w:t>
      </w:r>
    </w:p>
    <w:p>
      <w:pPr>
        <w:spacing w:after="0"/>
        <w:jc w:val="left"/>
        <w:rPr>
          <w:sz w:val="22"/>
        </w:rPr>
        <w:sectPr>
          <w:pgSz w:w="11910" w:h="16840"/>
          <w:pgMar w:top="1380" w:right="280" w:bottom="280" w:left="1040" w:header="720" w:footer="720"/>
          <w:cols w:space="720"/>
        </w:sectPr>
      </w:pPr>
    </w:p>
    <w:p>
      <w:pPr>
        <w:pStyle w:val="Heading3"/>
        <w:rPr>
          <w:b w:val="0"/>
        </w:rPr>
      </w:pPr>
      <w:r>
        <w:rPr>
          <w:b w:val="0"/>
          <w:color w:val="1F3864"/>
        </w:rPr>
        <w:t>Resource AME</w:t>
      </w:r>
    </w:p>
    <w:p>
      <w:pPr>
        <w:pStyle w:val="BodyText"/>
        <w:spacing w:before="23"/>
        <w:ind w:left="400"/>
      </w:pPr>
      <w:r>
        <w:t>The table below shows how spending plans for Resource AME compare with last year.</w:t>
      </w:r>
    </w:p>
    <w:p>
      <w:pPr>
        <w:pStyle w:val="BodyText"/>
        <w:spacing w:before="10"/>
        <w:rPr>
          <w:sz w:val="14"/>
        </w:rPr>
      </w:pPr>
    </w:p>
    <w:tbl>
      <w:tblPr>
        <w:tblW w:w="0" w:type="auto"/>
        <w:jc w:val="left"/>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80"/>
        <w:gridCol w:w="3031"/>
        <w:gridCol w:w="1440"/>
        <w:gridCol w:w="1253"/>
        <w:gridCol w:w="1277"/>
        <w:gridCol w:w="1275"/>
        <w:gridCol w:w="848"/>
      </w:tblGrid>
      <w:tr>
        <w:tblPrEx>
          <w:tblW w:w="0" w:type="auto"/>
          <w:jc w:val="left"/>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292"/>
          <w:jc w:val="left"/>
        </w:trPr>
        <w:tc>
          <w:tcPr>
            <w:tcW w:w="1080" w:type="dxa"/>
          </w:tcPr>
          <w:p>
            <w:pPr>
              <w:pStyle w:val="TableParagraph"/>
              <w:spacing w:before="23" w:line="249" w:lineRule="exact"/>
              <w:ind w:left="107"/>
              <w:rPr>
                <w:sz w:val="22"/>
              </w:rPr>
            </w:pPr>
            <w:r>
              <w:rPr>
                <w:sz w:val="22"/>
              </w:rPr>
              <w:t>Subheads</w:t>
            </w:r>
          </w:p>
        </w:tc>
        <w:tc>
          <w:tcPr>
            <w:tcW w:w="3031" w:type="dxa"/>
          </w:tcPr>
          <w:p>
            <w:pPr>
              <w:pStyle w:val="TableParagraph"/>
              <w:spacing w:before="23" w:line="249" w:lineRule="exact"/>
              <w:ind w:left="107"/>
              <w:rPr>
                <w:sz w:val="22"/>
              </w:rPr>
            </w:pPr>
            <w:r>
              <w:rPr>
                <w:sz w:val="22"/>
              </w:rPr>
              <w:t>Description</w:t>
            </w:r>
          </w:p>
        </w:tc>
        <w:tc>
          <w:tcPr>
            <w:tcW w:w="6093" w:type="dxa"/>
            <w:gridSpan w:val="5"/>
          </w:tcPr>
          <w:p>
            <w:pPr>
              <w:pStyle w:val="TableParagraph"/>
              <w:spacing w:line="272" w:lineRule="exact"/>
              <w:ind w:left="107"/>
              <w:rPr>
                <w:b/>
                <w:sz w:val="24"/>
              </w:rPr>
            </w:pPr>
            <w:r>
              <w:rPr>
                <w:b/>
                <w:sz w:val="24"/>
              </w:rPr>
              <w:t>Resource AME</w:t>
            </w:r>
          </w:p>
        </w:tc>
      </w:tr>
      <w:tr>
        <w:tblPrEx>
          <w:tblW w:w="0" w:type="auto"/>
          <w:jc w:val="left"/>
          <w:tblInd w:w="122" w:type="dxa"/>
          <w:tblLayout w:type="fixed"/>
          <w:tblCellMar>
            <w:top w:w="0" w:type="dxa"/>
            <w:left w:w="0" w:type="dxa"/>
            <w:bottom w:w="0" w:type="dxa"/>
            <w:right w:w="0" w:type="dxa"/>
          </w:tblCellMar>
          <w:tblLook w:val="01E0"/>
        </w:tblPrEx>
        <w:trPr>
          <w:trHeight w:val="273"/>
          <w:jc w:val="left"/>
        </w:trPr>
        <w:tc>
          <w:tcPr>
            <w:tcW w:w="1080" w:type="dxa"/>
          </w:tcPr>
          <w:p>
            <w:pPr>
              <w:pStyle w:val="TableParagraph"/>
              <w:rPr>
                <w:rFonts w:ascii="Times New Roman"/>
                <w:sz w:val="20"/>
              </w:rPr>
            </w:pPr>
          </w:p>
        </w:tc>
        <w:tc>
          <w:tcPr>
            <w:tcW w:w="3031" w:type="dxa"/>
          </w:tcPr>
          <w:p>
            <w:pPr>
              <w:pStyle w:val="TableParagraph"/>
              <w:rPr>
                <w:rFonts w:ascii="Times New Roman"/>
                <w:sz w:val="20"/>
              </w:rPr>
            </w:pPr>
          </w:p>
        </w:tc>
        <w:tc>
          <w:tcPr>
            <w:tcW w:w="3970" w:type="dxa"/>
            <w:gridSpan w:val="3"/>
          </w:tcPr>
          <w:p>
            <w:pPr>
              <w:pStyle w:val="TableParagraph"/>
              <w:spacing w:before="4" w:line="249" w:lineRule="exact"/>
              <w:ind w:left="107"/>
              <w:rPr>
                <w:sz w:val="22"/>
              </w:rPr>
            </w:pPr>
            <w:r>
              <w:rPr>
                <w:sz w:val="22"/>
              </w:rPr>
              <w:t>£ million</w:t>
            </w:r>
          </w:p>
        </w:tc>
        <w:tc>
          <w:tcPr>
            <w:tcW w:w="1275" w:type="dxa"/>
          </w:tcPr>
          <w:p>
            <w:pPr>
              <w:pStyle w:val="TableParagraph"/>
              <w:spacing w:before="4" w:line="249" w:lineRule="exact"/>
              <w:ind w:left="107"/>
              <w:rPr>
                <w:sz w:val="22"/>
              </w:rPr>
            </w:pPr>
            <w:r>
              <w:rPr>
                <w:w w:val="100"/>
                <w:sz w:val="22"/>
              </w:rPr>
              <w:t>%</w:t>
            </w:r>
          </w:p>
        </w:tc>
        <w:tc>
          <w:tcPr>
            <w:tcW w:w="848" w:type="dxa"/>
          </w:tcPr>
          <w:p>
            <w:pPr>
              <w:pStyle w:val="TableParagraph"/>
              <w:rPr>
                <w:rFonts w:ascii="Times New Roman"/>
                <w:sz w:val="20"/>
              </w:rPr>
            </w:pPr>
          </w:p>
        </w:tc>
      </w:tr>
      <w:tr>
        <w:tblPrEx>
          <w:tblW w:w="0" w:type="auto"/>
          <w:jc w:val="left"/>
          <w:tblInd w:w="122" w:type="dxa"/>
          <w:tblLayout w:type="fixed"/>
          <w:tblCellMar>
            <w:top w:w="0" w:type="dxa"/>
            <w:left w:w="0" w:type="dxa"/>
            <w:bottom w:w="0" w:type="dxa"/>
            <w:right w:w="0" w:type="dxa"/>
          </w:tblCellMar>
          <w:tblLook w:val="01E0"/>
        </w:tblPrEx>
        <w:trPr>
          <w:trHeight w:val="1463"/>
          <w:jc w:val="left"/>
        </w:trPr>
        <w:tc>
          <w:tcPr>
            <w:tcW w:w="1080" w:type="dxa"/>
          </w:tcPr>
          <w:p>
            <w:pPr>
              <w:pStyle w:val="TableParagraph"/>
              <w:rPr>
                <w:rFonts w:ascii="Times New Roman"/>
                <w:sz w:val="20"/>
              </w:rPr>
            </w:pPr>
          </w:p>
        </w:tc>
        <w:tc>
          <w:tcPr>
            <w:tcW w:w="3031" w:type="dxa"/>
          </w:tcPr>
          <w:p>
            <w:pPr>
              <w:pStyle w:val="TableParagraph"/>
              <w:rPr>
                <w:rFonts w:ascii="Times New Roman"/>
                <w:sz w:val="20"/>
              </w:rPr>
            </w:pPr>
          </w:p>
        </w:tc>
        <w:tc>
          <w:tcPr>
            <w:tcW w:w="1440" w:type="dxa"/>
          </w:tcPr>
          <w:p>
            <w:pPr>
              <w:pStyle w:val="TableParagraph"/>
              <w:spacing w:before="2"/>
              <w:rPr>
                <w:sz w:val="20"/>
              </w:rPr>
            </w:pPr>
          </w:p>
          <w:p>
            <w:pPr>
              <w:pStyle w:val="TableParagraph"/>
              <w:ind w:left="107" w:right="124"/>
              <w:rPr>
                <w:i/>
                <w:sz w:val="20"/>
              </w:rPr>
            </w:pPr>
            <w:r>
              <w:rPr>
                <w:i/>
                <w:sz w:val="20"/>
              </w:rPr>
              <w:t xml:space="preserve">This year </w:t>
            </w:r>
            <w:r>
              <w:rPr>
                <w:i/>
                <w:sz w:val="20"/>
              </w:rPr>
              <w:t>(2021-22 Main</w:t>
            </w:r>
          </w:p>
          <w:p>
            <w:pPr>
              <w:pStyle w:val="TableParagraph"/>
              <w:ind w:left="107" w:right="513"/>
              <w:rPr>
                <w:i/>
                <w:sz w:val="20"/>
              </w:rPr>
            </w:pPr>
            <w:r>
              <w:rPr>
                <w:i/>
                <w:sz w:val="20"/>
              </w:rPr>
              <w:t xml:space="preserve">Estimates </w:t>
            </w:r>
            <w:r>
              <w:rPr>
                <w:i/>
                <w:sz w:val="20"/>
              </w:rPr>
              <w:t>budget</w:t>
            </w:r>
          </w:p>
          <w:p>
            <w:pPr>
              <w:pStyle w:val="TableParagraph"/>
              <w:spacing w:line="222" w:lineRule="exact"/>
              <w:ind w:left="107"/>
              <w:rPr>
                <w:i/>
                <w:sz w:val="20"/>
              </w:rPr>
            </w:pPr>
            <w:r>
              <w:rPr>
                <w:i/>
                <w:sz w:val="20"/>
              </w:rPr>
              <w:t>sought)</w:t>
            </w:r>
          </w:p>
        </w:tc>
        <w:tc>
          <w:tcPr>
            <w:tcW w:w="1253" w:type="dxa"/>
          </w:tcPr>
          <w:p>
            <w:pPr>
              <w:pStyle w:val="TableParagraph"/>
              <w:spacing w:before="1"/>
              <w:ind w:left="107" w:right="399"/>
              <w:rPr>
                <w:i/>
                <w:sz w:val="20"/>
              </w:rPr>
            </w:pPr>
            <w:r>
              <w:rPr>
                <w:i/>
                <w:sz w:val="20"/>
              </w:rPr>
              <w:t xml:space="preserve">Last year </w:t>
            </w:r>
            <w:r>
              <w:rPr>
                <w:i/>
                <w:sz w:val="20"/>
              </w:rPr>
              <w:t>(2020-21</w:t>
            </w:r>
          </w:p>
          <w:p>
            <w:pPr>
              <w:pStyle w:val="TableParagraph"/>
              <w:ind w:left="107" w:right="326"/>
              <w:rPr>
                <w:i/>
                <w:sz w:val="20"/>
              </w:rPr>
            </w:pPr>
            <w:r>
              <w:rPr>
                <w:i/>
                <w:sz w:val="20"/>
              </w:rPr>
              <w:t xml:space="preserve">Supp </w:t>
            </w:r>
            <w:r>
              <w:rPr>
                <w:i/>
                <w:sz w:val="20"/>
              </w:rPr>
              <w:t>Estimates budget</w:t>
            </w:r>
          </w:p>
          <w:p>
            <w:pPr>
              <w:pStyle w:val="TableParagraph"/>
              <w:spacing w:line="223" w:lineRule="exact"/>
              <w:ind w:left="107"/>
              <w:rPr>
                <w:i/>
                <w:sz w:val="20"/>
              </w:rPr>
            </w:pPr>
            <w:r>
              <w:rPr>
                <w:i/>
                <w:sz w:val="20"/>
              </w:rPr>
              <w:t>approved)</w:t>
            </w:r>
          </w:p>
        </w:tc>
        <w:tc>
          <w:tcPr>
            <w:tcW w:w="2552" w:type="dxa"/>
            <w:gridSpan w:val="2"/>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12"/>
              <w:rPr>
                <w:sz w:val="19"/>
              </w:rPr>
            </w:pPr>
          </w:p>
          <w:p>
            <w:pPr>
              <w:pStyle w:val="TableParagraph"/>
              <w:spacing w:line="223" w:lineRule="exact"/>
              <w:ind w:left="107"/>
              <w:rPr>
                <w:sz w:val="20"/>
              </w:rPr>
            </w:pPr>
            <w:r>
              <w:rPr>
                <w:sz w:val="20"/>
              </w:rPr>
              <w:t>change from last year</w:t>
            </w:r>
          </w:p>
        </w:tc>
        <w:tc>
          <w:tcPr>
            <w:tcW w:w="848" w:type="dxa"/>
          </w:tcPr>
          <w:p>
            <w:pPr>
              <w:pStyle w:val="TableParagraph"/>
              <w:rPr>
                <w:sz w:val="20"/>
              </w:rPr>
            </w:pPr>
          </w:p>
          <w:p>
            <w:pPr>
              <w:pStyle w:val="TableParagraph"/>
              <w:rPr>
                <w:sz w:val="20"/>
              </w:rPr>
            </w:pPr>
          </w:p>
          <w:p>
            <w:pPr>
              <w:pStyle w:val="TableParagraph"/>
              <w:rPr>
                <w:sz w:val="20"/>
              </w:rPr>
            </w:pPr>
          </w:p>
          <w:p>
            <w:pPr>
              <w:pStyle w:val="TableParagraph"/>
              <w:spacing w:before="10"/>
              <w:rPr>
                <w:sz w:val="19"/>
              </w:rPr>
            </w:pPr>
          </w:p>
          <w:p>
            <w:pPr>
              <w:pStyle w:val="TableParagraph"/>
              <w:spacing w:line="242" w:lineRule="exact"/>
              <w:ind w:left="106" w:right="81"/>
              <w:rPr>
                <w:i/>
                <w:sz w:val="20"/>
              </w:rPr>
            </w:pPr>
            <w:r>
              <w:rPr>
                <w:i/>
                <w:sz w:val="20"/>
              </w:rPr>
              <w:t xml:space="preserve">note </w:t>
            </w:r>
            <w:r>
              <w:rPr>
                <w:i/>
                <w:sz w:val="20"/>
              </w:rPr>
              <w:t>number</w:t>
            </w:r>
          </w:p>
        </w:tc>
      </w:tr>
      <w:tr>
        <w:tblPrEx>
          <w:tblW w:w="0" w:type="auto"/>
          <w:jc w:val="left"/>
          <w:tblInd w:w="122" w:type="dxa"/>
          <w:tblLayout w:type="fixed"/>
          <w:tblCellMar>
            <w:top w:w="0" w:type="dxa"/>
            <w:left w:w="0" w:type="dxa"/>
            <w:bottom w:w="0" w:type="dxa"/>
            <w:right w:w="0" w:type="dxa"/>
          </w:tblCellMar>
          <w:tblLook w:val="01E0"/>
        </w:tblPrEx>
        <w:trPr>
          <w:trHeight w:val="558"/>
          <w:jc w:val="left"/>
        </w:trPr>
        <w:tc>
          <w:tcPr>
            <w:tcW w:w="1080" w:type="dxa"/>
          </w:tcPr>
          <w:p>
            <w:pPr>
              <w:pStyle w:val="TableParagraph"/>
              <w:spacing w:before="10"/>
              <w:rPr>
                <w:sz w:val="25"/>
              </w:rPr>
            </w:pPr>
          </w:p>
          <w:p>
            <w:pPr>
              <w:pStyle w:val="TableParagraph"/>
              <w:spacing w:line="223" w:lineRule="exact"/>
              <w:ind w:left="107"/>
              <w:rPr>
                <w:sz w:val="20"/>
              </w:rPr>
            </w:pPr>
            <w:r>
              <w:rPr>
                <w:sz w:val="20"/>
              </w:rPr>
              <w:t>T, AA</w:t>
            </w:r>
          </w:p>
        </w:tc>
        <w:tc>
          <w:tcPr>
            <w:tcW w:w="3031" w:type="dxa"/>
          </w:tcPr>
          <w:p>
            <w:pPr>
              <w:pStyle w:val="TableParagraph"/>
              <w:spacing w:before="70" w:line="242" w:lineRule="exact"/>
              <w:ind w:left="107" w:right="411"/>
              <w:rPr>
                <w:sz w:val="20"/>
              </w:rPr>
            </w:pPr>
            <w:r>
              <w:rPr>
                <w:sz w:val="20"/>
              </w:rPr>
              <w:t>Deliver an ambitious industrial strategy</w:t>
            </w:r>
          </w:p>
        </w:tc>
        <w:tc>
          <w:tcPr>
            <w:tcW w:w="1440" w:type="dxa"/>
          </w:tcPr>
          <w:p>
            <w:pPr>
              <w:pStyle w:val="TableParagraph"/>
              <w:spacing w:before="10"/>
              <w:rPr>
                <w:sz w:val="25"/>
              </w:rPr>
            </w:pPr>
          </w:p>
          <w:p>
            <w:pPr>
              <w:pStyle w:val="TableParagraph"/>
              <w:spacing w:line="223" w:lineRule="exact"/>
              <w:ind w:right="98"/>
              <w:jc w:val="right"/>
              <w:rPr>
                <w:sz w:val="20"/>
              </w:rPr>
            </w:pPr>
            <w:r>
              <w:rPr>
                <w:w w:val="95"/>
                <w:sz w:val="20"/>
              </w:rPr>
              <w:t>27.9</w:t>
            </w:r>
          </w:p>
        </w:tc>
        <w:tc>
          <w:tcPr>
            <w:tcW w:w="1253" w:type="dxa"/>
          </w:tcPr>
          <w:p>
            <w:pPr>
              <w:pStyle w:val="TableParagraph"/>
              <w:spacing w:before="10"/>
              <w:rPr>
                <w:sz w:val="25"/>
              </w:rPr>
            </w:pPr>
          </w:p>
          <w:p>
            <w:pPr>
              <w:pStyle w:val="TableParagraph"/>
              <w:spacing w:line="223" w:lineRule="exact"/>
              <w:ind w:right="97"/>
              <w:jc w:val="right"/>
              <w:rPr>
                <w:sz w:val="20"/>
              </w:rPr>
            </w:pPr>
            <w:r>
              <w:rPr>
                <w:w w:val="95"/>
                <w:sz w:val="20"/>
              </w:rPr>
              <w:t>-9,619.6</w:t>
            </w:r>
          </w:p>
        </w:tc>
        <w:tc>
          <w:tcPr>
            <w:tcW w:w="1277" w:type="dxa"/>
          </w:tcPr>
          <w:p>
            <w:pPr>
              <w:pStyle w:val="TableParagraph"/>
              <w:spacing w:before="10"/>
              <w:rPr>
                <w:sz w:val="25"/>
              </w:rPr>
            </w:pPr>
          </w:p>
          <w:p>
            <w:pPr>
              <w:pStyle w:val="TableParagraph"/>
              <w:spacing w:line="223" w:lineRule="exact"/>
              <w:ind w:right="99"/>
              <w:jc w:val="right"/>
              <w:rPr>
                <w:b/>
                <w:sz w:val="20"/>
              </w:rPr>
            </w:pPr>
            <w:r>
              <w:rPr>
                <w:b/>
                <w:sz w:val="20"/>
              </w:rPr>
              <w:t>9,647.5</w:t>
            </w:r>
          </w:p>
        </w:tc>
        <w:tc>
          <w:tcPr>
            <w:tcW w:w="1275" w:type="dxa"/>
          </w:tcPr>
          <w:p>
            <w:pPr>
              <w:pStyle w:val="TableParagraph"/>
              <w:spacing w:before="10"/>
              <w:rPr>
                <w:sz w:val="25"/>
              </w:rPr>
            </w:pPr>
          </w:p>
          <w:p>
            <w:pPr>
              <w:pStyle w:val="TableParagraph"/>
              <w:spacing w:line="223" w:lineRule="exact"/>
              <w:ind w:right="98"/>
              <w:jc w:val="right"/>
              <w:rPr>
                <w:b/>
                <w:sz w:val="20"/>
              </w:rPr>
            </w:pPr>
            <w:r>
              <w:rPr>
                <w:b/>
                <w:sz w:val="20"/>
              </w:rPr>
              <w:t>-100.3%</w:t>
            </w:r>
          </w:p>
        </w:tc>
        <w:tc>
          <w:tcPr>
            <w:tcW w:w="848" w:type="dxa"/>
          </w:tcPr>
          <w:p>
            <w:pPr>
              <w:pStyle w:val="TableParagraph"/>
              <w:spacing w:before="10"/>
              <w:rPr>
                <w:sz w:val="25"/>
              </w:rPr>
            </w:pPr>
          </w:p>
          <w:p>
            <w:pPr>
              <w:pStyle w:val="TableParagraph"/>
              <w:spacing w:line="223" w:lineRule="exact"/>
              <w:ind w:right="97"/>
              <w:jc w:val="right"/>
              <w:rPr>
                <w:sz w:val="20"/>
              </w:rPr>
            </w:pPr>
            <w:r>
              <w:rPr>
                <w:w w:val="95"/>
                <w:sz w:val="20"/>
              </w:rPr>
              <w:t>19</w:t>
            </w:r>
          </w:p>
        </w:tc>
      </w:tr>
      <w:tr>
        <w:tblPrEx>
          <w:tblW w:w="0" w:type="auto"/>
          <w:jc w:val="left"/>
          <w:tblInd w:w="122" w:type="dxa"/>
          <w:tblLayout w:type="fixed"/>
          <w:tblCellMar>
            <w:top w:w="0" w:type="dxa"/>
            <w:left w:w="0" w:type="dxa"/>
            <w:bottom w:w="0" w:type="dxa"/>
            <w:right w:w="0" w:type="dxa"/>
          </w:tblCellMar>
          <w:tblLook w:val="01E0"/>
        </w:tblPrEx>
        <w:trPr>
          <w:trHeight w:val="817"/>
          <w:jc w:val="left"/>
        </w:trPr>
        <w:tc>
          <w:tcPr>
            <w:tcW w:w="1080" w:type="dxa"/>
          </w:tcPr>
          <w:p>
            <w:pPr>
              <w:pStyle w:val="TableParagraph"/>
              <w:rPr>
                <w:sz w:val="20"/>
              </w:rPr>
            </w:pPr>
          </w:p>
          <w:p>
            <w:pPr>
              <w:pStyle w:val="TableParagraph"/>
              <w:spacing w:before="1"/>
              <w:rPr>
                <w:sz w:val="27"/>
              </w:rPr>
            </w:pPr>
          </w:p>
          <w:p>
            <w:pPr>
              <w:pStyle w:val="TableParagraph"/>
              <w:spacing w:line="223" w:lineRule="exact"/>
              <w:ind w:left="107"/>
              <w:rPr>
                <w:sz w:val="20"/>
              </w:rPr>
            </w:pPr>
            <w:r>
              <w:rPr>
                <w:sz w:val="20"/>
              </w:rPr>
              <w:t>U, AB, AI</w:t>
            </w:r>
          </w:p>
        </w:tc>
        <w:tc>
          <w:tcPr>
            <w:tcW w:w="3031" w:type="dxa"/>
          </w:tcPr>
          <w:p>
            <w:pPr>
              <w:pStyle w:val="TableParagraph"/>
              <w:spacing w:before="12"/>
              <w:rPr>
                <w:sz w:val="26"/>
              </w:rPr>
            </w:pPr>
          </w:p>
          <w:p>
            <w:pPr>
              <w:pStyle w:val="TableParagraph"/>
              <w:spacing w:line="242" w:lineRule="exact"/>
              <w:ind w:left="107" w:right="111"/>
              <w:rPr>
                <w:sz w:val="20"/>
              </w:rPr>
            </w:pPr>
            <w:r>
              <w:rPr>
                <w:sz w:val="20"/>
              </w:rPr>
              <w:t>Promote competitive markets and responsible business practices</w:t>
            </w:r>
          </w:p>
        </w:tc>
        <w:tc>
          <w:tcPr>
            <w:tcW w:w="1440" w:type="dxa"/>
          </w:tcPr>
          <w:p>
            <w:pPr>
              <w:pStyle w:val="TableParagraph"/>
              <w:rPr>
                <w:sz w:val="20"/>
              </w:rPr>
            </w:pPr>
          </w:p>
          <w:p>
            <w:pPr>
              <w:pStyle w:val="TableParagraph"/>
              <w:spacing w:before="1"/>
              <w:rPr>
                <w:sz w:val="27"/>
              </w:rPr>
            </w:pPr>
          </w:p>
          <w:p>
            <w:pPr>
              <w:pStyle w:val="TableParagraph"/>
              <w:spacing w:line="223" w:lineRule="exact"/>
              <w:ind w:right="97"/>
              <w:jc w:val="right"/>
              <w:rPr>
                <w:sz w:val="20"/>
              </w:rPr>
            </w:pPr>
            <w:r>
              <w:rPr>
                <w:sz w:val="20"/>
              </w:rPr>
              <w:t>859.2</w:t>
            </w:r>
          </w:p>
        </w:tc>
        <w:tc>
          <w:tcPr>
            <w:tcW w:w="1253" w:type="dxa"/>
          </w:tcPr>
          <w:p>
            <w:pPr>
              <w:pStyle w:val="TableParagraph"/>
              <w:rPr>
                <w:sz w:val="20"/>
              </w:rPr>
            </w:pPr>
          </w:p>
          <w:p>
            <w:pPr>
              <w:pStyle w:val="TableParagraph"/>
              <w:spacing w:before="1"/>
              <w:rPr>
                <w:sz w:val="27"/>
              </w:rPr>
            </w:pPr>
          </w:p>
          <w:p>
            <w:pPr>
              <w:pStyle w:val="TableParagraph"/>
              <w:spacing w:line="223" w:lineRule="exact"/>
              <w:ind w:right="97"/>
              <w:jc w:val="right"/>
              <w:rPr>
                <w:sz w:val="20"/>
              </w:rPr>
            </w:pPr>
            <w:r>
              <w:rPr>
                <w:sz w:val="20"/>
              </w:rPr>
              <w:t>713.2</w:t>
            </w:r>
          </w:p>
        </w:tc>
        <w:tc>
          <w:tcPr>
            <w:tcW w:w="1277" w:type="dxa"/>
          </w:tcPr>
          <w:p>
            <w:pPr>
              <w:pStyle w:val="TableParagraph"/>
              <w:rPr>
                <w:sz w:val="20"/>
              </w:rPr>
            </w:pPr>
          </w:p>
          <w:p>
            <w:pPr>
              <w:pStyle w:val="TableParagraph"/>
              <w:spacing w:before="1"/>
              <w:rPr>
                <w:sz w:val="27"/>
              </w:rPr>
            </w:pPr>
          </w:p>
          <w:p>
            <w:pPr>
              <w:pStyle w:val="TableParagraph"/>
              <w:spacing w:line="223" w:lineRule="exact"/>
              <w:ind w:right="99"/>
              <w:jc w:val="right"/>
              <w:rPr>
                <w:b/>
                <w:sz w:val="20"/>
              </w:rPr>
            </w:pPr>
            <w:r>
              <w:rPr>
                <w:b/>
                <w:sz w:val="20"/>
              </w:rPr>
              <w:t>146.0</w:t>
            </w:r>
          </w:p>
        </w:tc>
        <w:tc>
          <w:tcPr>
            <w:tcW w:w="1275" w:type="dxa"/>
          </w:tcPr>
          <w:p>
            <w:pPr>
              <w:pStyle w:val="TableParagraph"/>
              <w:rPr>
                <w:sz w:val="20"/>
              </w:rPr>
            </w:pPr>
          </w:p>
          <w:p>
            <w:pPr>
              <w:pStyle w:val="TableParagraph"/>
              <w:spacing w:before="1"/>
              <w:rPr>
                <w:sz w:val="27"/>
              </w:rPr>
            </w:pPr>
          </w:p>
          <w:p>
            <w:pPr>
              <w:pStyle w:val="TableParagraph"/>
              <w:spacing w:line="223" w:lineRule="exact"/>
              <w:ind w:right="101"/>
              <w:jc w:val="right"/>
              <w:rPr>
                <w:b/>
                <w:sz w:val="20"/>
              </w:rPr>
            </w:pPr>
            <w:r>
              <w:rPr>
                <w:b/>
                <w:sz w:val="20"/>
              </w:rPr>
              <w:t>20.5%</w:t>
            </w:r>
          </w:p>
        </w:tc>
        <w:tc>
          <w:tcPr>
            <w:tcW w:w="848" w:type="dxa"/>
          </w:tcPr>
          <w:p>
            <w:pPr>
              <w:pStyle w:val="TableParagraph"/>
              <w:rPr>
                <w:sz w:val="20"/>
              </w:rPr>
            </w:pPr>
          </w:p>
          <w:p>
            <w:pPr>
              <w:pStyle w:val="TableParagraph"/>
              <w:spacing w:before="1"/>
              <w:rPr>
                <w:sz w:val="27"/>
              </w:rPr>
            </w:pPr>
          </w:p>
          <w:p>
            <w:pPr>
              <w:pStyle w:val="TableParagraph"/>
              <w:spacing w:line="223" w:lineRule="exact"/>
              <w:ind w:right="97"/>
              <w:jc w:val="right"/>
              <w:rPr>
                <w:sz w:val="20"/>
              </w:rPr>
            </w:pPr>
            <w:r>
              <w:rPr>
                <w:w w:val="95"/>
                <w:sz w:val="20"/>
              </w:rPr>
              <w:t>20</w:t>
            </w:r>
          </w:p>
        </w:tc>
      </w:tr>
      <w:tr>
        <w:tblPrEx>
          <w:tblW w:w="0" w:type="auto"/>
          <w:jc w:val="left"/>
          <w:tblInd w:w="122" w:type="dxa"/>
          <w:tblLayout w:type="fixed"/>
          <w:tblCellMar>
            <w:top w:w="0" w:type="dxa"/>
            <w:left w:w="0" w:type="dxa"/>
            <w:bottom w:w="0" w:type="dxa"/>
            <w:right w:w="0" w:type="dxa"/>
          </w:tblCellMar>
          <w:tblLook w:val="01E0"/>
        </w:tblPrEx>
        <w:trPr>
          <w:trHeight w:val="489"/>
          <w:jc w:val="left"/>
        </w:trPr>
        <w:tc>
          <w:tcPr>
            <w:tcW w:w="1080" w:type="dxa"/>
          </w:tcPr>
          <w:p>
            <w:pPr>
              <w:pStyle w:val="TableParagraph"/>
              <w:spacing w:before="2"/>
              <w:rPr>
                <w:sz w:val="20"/>
              </w:rPr>
            </w:pPr>
          </w:p>
          <w:p>
            <w:pPr>
              <w:pStyle w:val="TableParagraph"/>
              <w:spacing w:line="223" w:lineRule="exact"/>
              <w:ind w:left="107"/>
              <w:rPr>
                <w:sz w:val="20"/>
              </w:rPr>
            </w:pPr>
            <w:r>
              <w:rPr>
                <w:sz w:val="20"/>
              </w:rPr>
              <w:t>V, AC, AH</w:t>
            </w:r>
          </w:p>
        </w:tc>
        <w:tc>
          <w:tcPr>
            <w:tcW w:w="3031" w:type="dxa"/>
          </w:tcPr>
          <w:p>
            <w:pPr>
              <w:pStyle w:val="TableParagraph"/>
              <w:spacing w:before="1" w:line="240" w:lineRule="atLeast"/>
              <w:ind w:left="107" w:right="411"/>
              <w:rPr>
                <w:sz w:val="20"/>
              </w:rPr>
            </w:pPr>
            <w:r>
              <w:rPr>
                <w:sz w:val="20"/>
              </w:rPr>
              <w:t>Managing our energy legacy safely and responsibly</w:t>
            </w:r>
          </w:p>
        </w:tc>
        <w:tc>
          <w:tcPr>
            <w:tcW w:w="1440" w:type="dxa"/>
          </w:tcPr>
          <w:p>
            <w:pPr>
              <w:pStyle w:val="TableParagraph"/>
              <w:spacing w:before="2"/>
              <w:rPr>
                <w:sz w:val="20"/>
              </w:rPr>
            </w:pPr>
          </w:p>
          <w:p>
            <w:pPr>
              <w:pStyle w:val="TableParagraph"/>
              <w:spacing w:line="223" w:lineRule="exact"/>
              <w:ind w:right="97"/>
              <w:jc w:val="right"/>
              <w:rPr>
                <w:sz w:val="20"/>
              </w:rPr>
            </w:pPr>
            <w:r>
              <w:rPr>
                <w:sz w:val="20"/>
              </w:rPr>
              <w:t>420.2</w:t>
            </w:r>
          </w:p>
        </w:tc>
        <w:tc>
          <w:tcPr>
            <w:tcW w:w="1253" w:type="dxa"/>
          </w:tcPr>
          <w:p>
            <w:pPr>
              <w:pStyle w:val="TableParagraph"/>
              <w:spacing w:before="2"/>
              <w:rPr>
                <w:sz w:val="20"/>
              </w:rPr>
            </w:pPr>
          </w:p>
          <w:p>
            <w:pPr>
              <w:pStyle w:val="TableParagraph"/>
              <w:spacing w:line="223" w:lineRule="exact"/>
              <w:ind w:right="98"/>
              <w:jc w:val="right"/>
              <w:rPr>
                <w:sz w:val="20"/>
              </w:rPr>
            </w:pPr>
            <w:r>
              <w:rPr>
                <w:w w:val="95"/>
                <w:sz w:val="20"/>
              </w:rPr>
              <w:t>93.8</w:t>
            </w:r>
          </w:p>
        </w:tc>
        <w:tc>
          <w:tcPr>
            <w:tcW w:w="1277" w:type="dxa"/>
          </w:tcPr>
          <w:p>
            <w:pPr>
              <w:pStyle w:val="TableParagraph"/>
              <w:spacing w:before="2"/>
              <w:rPr>
                <w:sz w:val="20"/>
              </w:rPr>
            </w:pPr>
          </w:p>
          <w:p>
            <w:pPr>
              <w:pStyle w:val="TableParagraph"/>
              <w:spacing w:line="223" w:lineRule="exact"/>
              <w:ind w:right="99"/>
              <w:jc w:val="right"/>
              <w:rPr>
                <w:b/>
                <w:sz w:val="20"/>
              </w:rPr>
            </w:pPr>
            <w:r>
              <w:rPr>
                <w:b/>
                <w:sz w:val="20"/>
              </w:rPr>
              <w:t>326.4</w:t>
            </w:r>
          </w:p>
        </w:tc>
        <w:tc>
          <w:tcPr>
            <w:tcW w:w="1275" w:type="dxa"/>
          </w:tcPr>
          <w:p>
            <w:pPr>
              <w:pStyle w:val="TableParagraph"/>
              <w:spacing w:before="2"/>
              <w:rPr>
                <w:sz w:val="20"/>
              </w:rPr>
            </w:pPr>
          </w:p>
          <w:p>
            <w:pPr>
              <w:pStyle w:val="TableParagraph"/>
              <w:spacing w:line="223" w:lineRule="exact"/>
              <w:ind w:right="100"/>
              <w:jc w:val="right"/>
              <w:rPr>
                <w:b/>
                <w:sz w:val="20"/>
              </w:rPr>
            </w:pPr>
            <w:r>
              <w:rPr>
                <w:b/>
                <w:sz w:val="20"/>
              </w:rPr>
              <w:t>348.0%</w:t>
            </w:r>
          </w:p>
        </w:tc>
        <w:tc>
          <w:tcPr>
            <w:tcW w:w="848" w:type="dxa"/>
          </w:tcPr>
          <w:p>
            <w:pPr>
              <w:pStyle w:val="TableParagraph"/>
              <w:spacing w:before="2"/>
              <w:rPr>
                <w:sz w:val="20"/>
              </w:rPr>
            </w:pPr>
          </w:p>
          <w:p>
            <w:pPr>
              <w:pStyle w:val="TableParagraph"/>
              <w:spacing w:line="223" w:lineRule="exact"/>
              <w:ind w:right="97"/>
              <w:jc w:val="right"/>
              <w:rPr>
                <w:sz w:val="20"/>
              </w:rPr>
            </w:pPr>
            <w:r>
              <w:rPr>
                <w:w w:val="95"/>
                <w:sz w:val="20"/>
              </w:rPr>
              <w:t>21</w:t>
            </w:r>
          </w:p>
        </w:tc>
      </w:tr>
      <w:tr>
        <w:tblPrEx>
          <w:tblW w:w="0" w:type="auto"/>
          <w:jc w:val="left"/>
          <w:tblInd w:w="122" w:type="dxa"/>
          <w:tblLayout w:type="fixed"/>
          <w:tblCellMar>
            <w:top w:w="0" w:type="dxa"/>
            <w:left w:w="0" w:type="dxa"/>
            <w:bottom w:w="0" w:type="dxa"/>
            <w:right w:w="0" w:type="dxa"/>
          </w:tblCellMar>
          <w:tblLook w:val="01E0"/>
        </w:tblPrEx>
        <w:trPr>
          <w:trHeight w:val="273"/>
          <w:jc w:val="left"/>
        </w:trPr>
        <w:tc>
          <w:tcPr>
            <w:tcW w:w="1080" w:type="dxa"/>
          </w:tcPr>
          <w:p>
            <w:pPr>
              <w:pStyle w:val="TableParagraph"/>
              <w:spacing w:before="30" w:line="223" w:lineRule="exact"/>
              <w:ind w:left="107"/>
              <w:rPr>
                <w:sz w:val="20"/>
              </w:rPr>
            </w:pPr>
            <w:r>
              <w:rPr>
                <w:sz w:val="20"/>
              </w:rPr>
              <w:t>W, AD</w:t>
            </w:r>
          </w:p>
        </w:tc>
        <w:tc>
          <w:tcPr>
            <w:tcW w:w="3031" w:type="dxa"/>
          </w:tcPr>
          <w:p>
            <w:pPr>
              <w:pStyle w:val="TableParagraph"/>
              <w:spacing w:before="30" w:line="223" w:lineRule="exact"/>
              <w:ind w:left="107"/>
              <w:rPr>
                <w:sz w:val="20"/>
              </w:rPr>
            </w:pPr>
            <w:r>
              <w:rPr>
                <w:sz w:val="20"/>
              </w:rPr>
              <w:t>Science and Research</w:t>
            </w:r>
          </w:p>
        </w:tc>
        <w:tc>
          <w:tcPr>
            <w:tcW w:w="1440" w:type="dxa"/>
          </w:tcPr>
          <w:p>
            <w:pPr>
              <w:pStyle w:val="TableParagraph"/>
              <w:spacing w:before="30" w:line="223" w:lineRule="exact"/>
              <w:ind w:right="98"/>
              <w:jc w:val="right"/>
              <w:rPr>
                <w:sz w:val="20"/>
              </w:rPr>
            </w:pPr>
            <w:r>
              <w:rPr>
                <w:w w:val="95"/>
                <w:sz w:val="20"/>
              </w:rPr>
              <w:t>23,583.1</w:t>
            </w:r>
          </w:p>
        </w:tc>
        <w:tc>
          <w:tcPr>
            <w:tcW w:w="1253" w:type="dxa"/>
          </w:tcPr>
          <w:p>
            <w:pPr>
              <w:pStyle w:val="TableParagraph"/>
              <w:spacing w:before="30" w:line="223" w:lineRule="exact"/>
              <w:ind w:right="98"/>
              <w:jc w:val="right"/>
              <w:rPr>
                <w:sz w:val="20"/>
              </w:rPr>
            </w:pPr>
            <w:r>
              <w:rPr>
                <w:w w:val="95"/>
                <w:sz w:val="20"/>
              </w:rPr>
              <w:t>20,502.6</w:t>
            </w:r>
          </w:p>
        </w:tc>
        <w:tc>
          <w:tcPr>
            <w:tcW w:w="1277" w:type="dxa"/>
          </w:tcPr>
          <w:p>
            <w:pPr>
              <w:pStyle w:val="TableParagraph"/>
              <w:spacing w:before="30" w:line="223" w:lineRule="exact"/>
              <w:ind w:right="99"/>
              <w:jc w:val="right"/>
              <w:rPr>
                <w:b/>
                <w:sz w:val="20"/>
              </w:rPr>
            </w:pPr>
            <w:r>
              <w:rPr>
                <w:b/>
                <w:sz w:val="20"/>
              </w:rPr>
              <w:t>3,080.5</w:t>
            </w:r>
          </w:p>
        </w:tc>
        <w:tc>
          <w:tcPr>
            <w:tcW w:w="1275" w:type="dxa"/>
          </w:tcPr>
          <w:p>
            <w:pPr>
              <w:pStyle w:val="TableParagraph"/>
              <w:spacing w:before="30" w:line="223" w:lineRule="exact"/>
              <w:ind w:right="101"/>
              <w:jc w:val="right"/>
              <w:rPr>
                <w:b/>
                <w:sz w:val="20"/>
              </w:rPr>
            </w:pPr>
            <w:r>
              <w:rPr>
                <w:b/>
                <w:sz w:val="20"/>
              </w:rPr>
              <w:t>15.0%</w:t>
            </w:r>
          </w:p>
        </w:tc>
        <w:tc>
          <w:tcPr>
            <w:tcW w:w="848" w:type="dxa"/>
          </w:tcPr>
          <w:p>
            <w:pPr>
              <w:pStyle w:val="TableParagraph"/>
              <w:spacing w:before="30" w:line="223" w:lineRule="exact"/>
              <w:ind w:right="97"/>
              <w:jc w:val="right"/>
              <w:rPr>
                <w:sz w:val="20"/>
              </w:rPr>
            </w:pPr>
            <w:r>
              <w:rPr>
                <w:w w:val="95"/>
                <w:sz w:val="20"/>
              </w:rPr>
              <w:t>22</w:t>
            </w:r>
          </w:p>
        </w:tc>
      </w:tr>
      <w:tr>
        <w:tblPrEx>
          <w:tblW w:w="0" w:type="auto"/>
          <w:jc w:val="left"/>
          <w:tblInd w:w="122" w:type="dxa"/>
          <w:tblLayout w:type="fixed"/>
          <w:tblCellMar>
            <w:top w:w="0" w:type="dxa"/>
            <w:left w:w="0" w:type="dxa"/>
            <w:bottom w:w="0" w:type="dxa"/>
            <w:right w:w="0" w:type="dxa"/>
          </w:tblCellMar>
          <w:tblLook w:val="01E0"/>
        </w:tblPrEx>
        <w:trPr>
          <w:trHeight w:val="270"/>
          <w:jc w:val="left"/>
        </w:trPr>
        <w:tc>
          <w:tcPr>
            <w:tcW w:w="1080" w:type="dxa"/>
          </w:tcPr>
          <w:p>
            <w:pPr>
              <w:pStyle w:val="TableParagraph"/>
              <w:spacing w:before="27" w:line="223" w:lineRule="exact"/>
              <w:ind w:left="107"/>
              <w:rPr>
                <w:sz w:val="20"/>
              </w:rPr>
            </w:pPr>
            <w:r>
              <w:rPr>
                <w:sz w:val="20"/>
              </w:rPr>
              <w:t>X, AE</w:t>
            </w:r>
          </w:p>
        </w:tc>
        <w:tc>
          <w:tcPr>
            <w:tcW w:w="3031" w:type="dxa"/>
          </w:tcPr>
          <w:p>
            <w:pPr>
              <w:pStyle w:val="TableParagraph"/>
              <w:spacing w:before="27" w:line="223" w:lineRule="exact"/>
              <w:ind w:left="107"/>
              <w:rPr>
                <w:sz w:val="20"/>
              </w:rPr>
            </w:pPr>
            <w:r>
              <w:rPr>
                <w:sz w:val="20"/>
              </w:rPr>
              <w:t>Capability</w:t>
            </w:r>
          </w:p>
        </w:tc>
        <w:tc>
          <w:tcPr>
            <w:tcW w:w="1440" w:type="dxa"/>
          </w:tcPr>
          <w:p>
            <w:pPr>
              <w:pStyle w:val="TableParagraph"/>
              <w:spacing w:before="27" w:line="223" w:lineRule="exact"/>
              <w:ind w:right="98"/>
              <w:jc w:val="right"/>
              <w:rPr>
                <w:sz w:val="20"/>
              </w:rPr>
            </w:pPr>
            <w:r>
              <w:rPr>
                <w:sz w:val="20"/>
              </w:rPr>
              <w:t>-1.0</w:t>
            </w:r>
          </w:p>
        </w:tc>
        <w:tc>
          <w:tcPr>
            <w:tcW w:w="1253" w:type="dxa"/>
          </w:tcPr>
          <w:p>
            <w:pPr>
              <w:pStyle w:val="TableParagraph"/>
              <w:spacing w:before="27" w:line="223" w:lineRule="exact"/>
              <w:ind w:right="98"/>
              <w:jc w:val="right"/>
              <w:rPr>
                <w:sz w:val="20"/>
              </w:rPr>
            </w:pPr>
            <w:r>
              <w:rPr>
                <w:w w:val="95"/>
                <w:sz w:val="20"/>
              </w:rPr>
              <w:t>1.0</w:t>
            </w:r>
          </w:p>
        </w:tc>
        <w:tc>
          <w:tcPr>
            <w:tcW w:w="1277" w:type="dxa"/>
          </w:tcPr>
          <w:p>
            <w:pPr>
              <w:pStyle w:val="TableParagraph"/>
              <w:spacing w:before="27" w:line="223" w:lineRule="exact"/>
              <w:ind w:right="98"/>
              <w:jc w:val="right"/>
              <w:rPr>
                <w:b/>
                <w:sz w:val="20"/>
              </w:rPr>
            </w:pPr>
            <w:r>
              <w:rPr>
                <w:b/>
                <w:sz w:val="20"/>
              </w:rPr>
              <w:t>-1.9</w:t>
            </w:r>
          </w:p>
        </w:tc>
        <w:tc>
          <w:tcPr>
            <w:tcW w:w="1275" w:type="dxa"/>
          </w:tcPr>
          <w:p>
            <w:pPr>
              <w:pStyle w:val="TableParagraph"/>
              <w:spacing w:before="27" w:line="223" w:lineRule="exact"/>
              <w:ind w:right="98"/>
              <w:jc w:val="right"/>
              <w:rPr>
                <w:b/>
                <w:sz w:val="20"/>
              </w:rPr>
            </w:pPr>
            <w:r>
              <w:rPr>
                <w:b/>
                <w:sz w:val="20"/>
              </w:rPr>
              <w:t>-198.5%</w:t>
            </w:r>
          </w:p>
        </w:tc>
        <w:tc>
          <w:tcPr>
            <w:tcW w:w="848" w:type="dxa"/>
          </w:tcPr>
          <w:p>
            <w:pPr>
              <w:pStyle w:val="TableParagraph"/>
              <w:rPr>
                <w:rFonts w:ascii="Times New Roman"/>
                <w:sz w:val="20"/>
              </w:rPr>
            </w:pPr>
          </w:p>
        </w:tc>
      </w:tr>
      <w:tr>
        <w:tblPrEx>
          <w:tblW w:w="0" w:type="auto"/>
          <w:jc w:val="left"/>
          <w:tblInd w:w="122" w:type="dxa"/>
          <w:tblLayout w:type="fixed"/>
          <w:tblCellMar>
            <w:top w:w="0" w:type="dxa"/>
            <w:left w:w="0" w:type="dxa"/>
            <w:bottom w:w="0" w:type="dxa"/>
            <w:right w:w="0" w:type="dxa"/>
          </w:tblCellMar>
          <w:tblLook w:val="01E0"/>
        </w:tblPrEx>
        <w:trPr>
          <w:trHeight w:val="273"/>
          <w:jc w:val="left"/>
        </w:trPr>
        <w:tc>
          <w:tcPr>
            <w:tcW w:w="1080" w:type="dxa"/>
          </w:tcPr>
          <w:p>
            <w:pPr>
              <w:pStyle w:val="TableParagraph"/>
              <w:spacing w:before="30" w:line="223" w:lineRule="exact"/>
              <w:ind w:left="107"/>
              <w:rPr>
                <w:sz w:val="20"/>
              </w:rPr>
            </w:pPr>
            <w:r>
              <w:rPr>
                <w:sz w:val="20"/>
              </w:rPr>
              <w:t>Y, AF</w:t>
            </w:r>
          </w:p>
        </w:tc>
        <w:tc>
          <w:tcPr>
            <w:tcW w:w="3031" w:type="dxa"/>
          </w:tcPr>
          <w:p>
            <w:pPr>
              <w:pStyle w:val="TableParagraph"/>
              <w:spacing w:before="30" w:line="223" w:lineRule="exact"/>
              <w:ind w:left="107"/>
              <w:rPr>
                <w:sz w:val="20"/>
              </w:rPr>
            </w:pPr>
            <w:r>
              <w:rPr>
                <w:sz w:val="20"/>
              </w:rPr>
              <w:t>Government as Shareholder</w:t>
            </w:r>
          </w:p>
        </w:tc>
        <w:tc>
          <w:tcPr>
            <w:tcW w:w="1440" w:type="dxa"/>
          </w:tcPr>
          <w:p>
            <w:pPr>
              <w:pStyle w:val="TableParagraph"/>
              <w:spacing w:before="30" w:line="223" w:lineRule="exact"/>
              <w:ind w:right="98"/>
              <w:jc w:val="right"/>
              <w:rPr>
                <w:sz w:val="20"/>
              </w:rPr>
            </w:pPr>
            <w:r>
              <w:rPr>
                <w:sz w:val="20"/>
              </w:rPr>
              <w:t>-253.0</w:t>
            </w:r>
          </w:p>
        </w:tc>
        <w:tc>
          <w:tcPr>
            <w:tcW w:w="1253" w:type="dxa"/>
          </w:tcPr>
          <w:p>
            <w:pPr>
              <w:pStyle w:val="TableParagraph"/>
              <w:spacing w:before="30" w:line="223" w:lineRule="exact"/>
              <w:ind w:right="97"/>
              <w:jc w:val="right"/>
              <w:rPr>
                <w:sz w:val="20"/>
              </w:rPr>
            </w:pPr>
            <w:r>
              <w:rPr>
                <w:sz w:val="20"/>
              </w:rPr>
              <w:t>431.5</w:t>
            </w:r>
          </w:p>
        </w:tc>
        <w:tc>
          <w:tcPr>
            <w:tcW w:w="1277" w:type="dxa"/>
          </w:tcPr>
          <w:p>
            <w:pPr>
              <w:pStyle w:val="TableParagraph"/>
              <w:spacing w:before="30" w:line="223" w:lineRule="exact"/>
              <w:ind w:right="97"/>
              <w:jc w:val="right"/>
              <w:rPr>
                <w:b/>
                <w:sz w:val="20"/>
              </w:rPr>
            </w:pPr>
            <w:r>
              <w:rPr>
                <w:b/>
                <w:w w:val="95"/>
                <w:sz w:val="20"/>
              </w:rPr>
              <w:t>-684.5</w:t>
            </w:r>
          </w:p>
        </w:tc>
        <w:tc>
          <w:tcPr>
            <w:tcW w:w="1275" w:type="dxa"/>
          </w:tcPr>
          <w:p>
            <w:pPr>
              <w:pStyle w:val="TableParagraph"/>
              <w:spacing w:before="30" w:line="223" w:lineRule="exact"/>
              <w:ind w:right="98"/>
              <w:jc w:val="right"/>
              <w:rPr>
                <w:b/>
                <w:sz w:val="20"/>
              </w:rPr>
            </w:pPr>
            <w:r>
              <w:rPr>
                <w:b/>
                <w:sz w:val="20"/>
              </w:rPr>
              <w:t>-158.6%</w:t>
            </w:r>
          </w:p>
        </w:tc>
        <w:tc>
          <w:tcPr>
            <w:tcW w:w="848" w:type="dxa"/>
          </w:tcPr>
          <w:p>
            <w:pPr>
              <w:pStyle w:val="TableParagraph"/>
              <w:spacing w:before="30" w:line="223" w:lineRule="exact"/>
              <w:ind w:right="97"/>
              <w:jc w:val="right"/>
              <w:rPr>
                <w:sz w:val="20"/>
              </w:rPr>
            </w:pPr>
            <w:r>
              <w:rPr>
                <w:w w:val="95"/>
                <w:sz w:val="20"/>
              </w:rPr>
              <w:t>23</w:t>
            </w:r>
          </w:p>
        </w:tc>
      </w:tr>
      <w:tr>
        <w:tblPrEx>
          <w:tblW w:w="0" w:type="auto"/>
          <w:jc w:val="left"/>
          <w:tblInd w:w="122" w:type="dxa"/>
          <w:tblLayout w:type="fixed"/>
          <w:tblCellMar>
            <w:top w:w="0" w:type="dxa"/>
            <w:left w:w="0" w:type="dxa"/>
            <w:bottom w:w="0" w:type="dxa"/>
            <w:right w:w="0" w:type="dxa"/>
          </w:tblCellMar>
          <w:tblLook w:val="01E0"/>
        </w:tblPrEx>
        <w:trPr>
          <w:trHeight w:val="270"/>
          <w:jc w:val="left"/>
        </w:trPr>
        <w:tc>
          <w:tcPr>
            <w:tcW w:w="1080" w:type="dxa"/>
          </w:tcPr>
          <w:p>
            <w:pPr>
              <w:pStyle w:val="TableParagraph"/>
              <w:spacing w:before="27" w:line="223" w:lineRule="exact"/>
              <w:ind w:left="107"/>
              <w:rPr>
                <w:sz w:val="20"/>
              </w:rPr>
            </w:pPr>
            <w:r>
              <w:rPr>
                <w:w w:val="99"/>
                <w:sz w:val="20"/>
              </w:rPr>
              <w:t>Z</w:t>
            </w:r>
          </w:p>
        </w:tc>
        <w:tc>
          <w:tcPr>
            <w:tcW w:w="3031" w:type="dxa"/>
          </w:tcPr>
          <w:p>
            <w:pPr>
              <w:pStyle w:val="TableParagraph"/>
              <w:spacing w:before="27" w:line="223" w:lineRule="exact"/>
              <w:ind w:left="107"/>
              <w:rPr>
                <w:sz w:val="20"/>
              </w:rPr>
            </w:pPr>
            <w:r>
              <w:rPr>
                <w:sz w:val="20"/>
              </w:rPr>
              <w:t>Renewable Heat Incentive</w:t>
            </w:r>
          </w:p>
        </w:tc>
        <w:tc>
          <w:tcPr>
            <w:tcW w:w="1440" w:type="dxa"/>
          </w:tcPr>
          <w:p>
            <w:pPr>
              <w:pStyle w:val="TableParagraph"/>
              <w:spacing w:before="27" w:line="223" w:lineRule="exact"/>
              <w:ind w:right="98"/>
              <w:jc w:val="right"/>
              <w:rPr>
                <w:sz w:val="20"/>
              </w:rPr>
            </w:pPr>
            <w:r>
              <w:rPr>
                <w:w w:val="95"/>
                <w:sz w:val="20"/>
              </w:rPr>
              <w:t>1,081.0</w:t>
            </w:r>
          </w:p>
        </w:tc>
        <w:tc>
          <w:tcPr>
            <w:tcW w:w="1253" w:type="dxa"/>
          </w:tcPr>
          <w:p>
            <w:pPr>
              <w:pStyle w:val="TableParagraph"/>
              <w:spacing w:before="27" w:line="223" w:lineRule="exact"/>
              <w:ind w:right="98"/>
              <w:jc w:val="right"/>
              <w:rPr>
                <w:sz w:val="20"/>
              </w:rPr>
            </w:pPr>
            <w:r>
              <w:rPr>
                <w:w w:val="95"/>
                <w:sz w:val="20"/>
              </w:rPr>
              <w:t>1,150.0</w:t>
            </w:r>
          </w:p>
        </w:tc>
        <w:tc>
          <w:tcPr>
            <w:tcW w:w="1277" w:type="dxa"/>
          </w:tcPr>
          <w:p>
            <w:pPr>
              <w:pStyle w:val="TableParagraph"/>
              <w:spacing w:before="27" w:line="223" w:lineRule="exact"/>
              <w:ind w:right="99"/>
              <w:jc w:val="right"/>
              <w:rPr>
                <w:b/>
                <w:sz w:val="20"/>
              </w:rPr>
            </w:pPr>
            <w:r>
              <w:rPr>
                <w:b/>
                <w:w w:val="95"/>
                <w:sz w:val="20"/>
              </w:rPr>
              <w:t>-69.0</w:t>
            </w:r>
          </w:p>
        </w:tc>
        <w:tc>
          <w:tcPr>
            <w:tcW w:w="1275" w:type="dxa"/>
          </w:tcPr>
          <w:p>
            <w:pPr>
              <w:pStyle w:val="TableParagraph"/>
              <w:spacing w:before="27" w:line="223" w:lineRule="exact"/>
              <w:ind w:right="101"/>
              <w:jc w:val="right"/>
              <w:rPr>
                <w:b/>
                <w:sz w:val="20"/>
              </w:rPr>
            </w:pPr>
            <w:r>
              <w:rPr>
                <w:b/>
                <w:w w:val="95"/>
                <w:sz w:val="20"/>
              </w:rPr>
              <w:t>-6.0%</w:t>
            </w:r>
          </w:p>
        </w:tc>
        <w:tc>
          <w:tcPr>
            <w:tcW w:w="848" w:type="dxa"/>
          </w:tcPr>
          <w:p>
            <w:pPr>
              <w:pStyle w:val="TableParagraph"/>
              <w:rPr>
                <w:rFonts w:ascii="Times New Roman"/>
                <w:sz w:val="20"/>
              </w:rPr>
            </w:pPr>
          </w:p>
        </w:tc>
      </w:tr>
      <w:tr>
        <w:tblPrEx>
          <w:tblW w:w="0" w:type="auto"/>
          <w:jc w:val="left"/>
          <w:tblInd w:w="122" w:type="dxa"/>
          <w:tblLayout w:type="fixed"/>
          <w:tblCellMar>
            <w:top w:w="0" w:type="dxa"/>
            <w:left w:w="0" w:type="dxa"/>
            <w:bottom w:w="0" w:type="dxa"/>
            <w:right w:w="0" w:type="dxa"/>
          </w:tblCellMar>
          <w:tblLook w:val="01E0"/>
        </w:tblPrEx>
        <w:trPr>
          <w:trHeight w:val="489"/>
          <w:jc w:val="left"/>
        </w:trPr>
        <w:tc>
          <w:tcPr>
            <w:tcW w:w="1080" w:type="dxa"/>
          </w:tcPr>
          <w:p>
            <w:pPr>
              <w:pStyle w:val="TableParagraph"/>
              <w:spacing w:before="2"/>
              <w:rPr>
                <w:sz w:val="20"/>
              </w:rPr>
            </w:pPr>
          </w:p>
          <w:p>
            <w:pPr>
              <w:pStyle w:val="TableParagraph"/>
              <w:spacing w:line="223" w:lineRule="exact"/>
              <w:ind w:left="107"/>
              <w:rPr>
                <w:sz w:val="20"/>
              </w:rPr>
            </w:pPr>
            <w:r>
              <w:rPr>
                <w:sz w:val="20"/>
              </w:rPr>
              <w:t>AG</w:t>
            </w:r>
          </w:p>
        </w:tc>
        <w:tc>
          <w:tcPr>
            <w:tcW w:w="3031" w:type="dxa"/>
          </w:tcPr>
          <w:p>
            <w:pPr>
              <w:pStyle w:val="TableParagraph"/>
              <w:spacing w:before="1" w:line="240" w:lineRule="atLeast"/>
              <w:ind w:left="107" w:right="783"/>
              <w:rPr>
                <w:sz w:val="20"/>
              </w:rPr>
            </w:pPr>
            <w:r>
              <w:rPr>
                <w:sz w:val="20"/>
              </w:rPr>
              <w:t>Nuclear Decommissioning Authority</w:t>
            </w:r>
          </w:p>
        </w:tc>
        <w:tc>
          <w:tcPr>
            <w:tcW w:w="1440" w:type="dxa"/>
          </w:tcPr>
          <w:p>
            <w:pPr>
              <w:pStyle w:val="TableParagraph"/>
              <w:spacing w:before="2"/>
              <w:rPr>
                <w:sz w:val="20"/>
              </w:rPr>
            </w:pPr>
          </w:p>
          <w:p>
            <w:pPr>
              <w:pStyle w:val="TableParagraph"/>
              <w:spacing w:line="223" w:lineRule="exact"/>
              <w:ind w:right="97"/>
              <w:jc w:val="right"/>
              <w:rPr>
                <w:sz w:val="20"/>
              </w:rPr>
            </w:pPr>
            <w:r>
              <w:rPr>
                <w:sz w:val="20"/>
              </w:rPr>
              <w:t>605.0</w:t>
            </w:r>
          </w:p>
        </w:tc>
        <w:tc>
          <w:tcPr>
            <w:tcW w:w="1253" w:type="dxa"/>
          </w:tcPr>
          <w:p>
            <w:pPr>
              <w:pStyle w:val="TableParagraph"/>
              <w:spacing w:before="2"/>
              <w:rPr>
                <w:sz w:val="20"/>
              </w:rPr>
            </w:pPr>
          </w:p>
          <w:p>
            <w:pPr>
              <w:pStyle w:val="TableParagraph"/>
              <w:spacing w:line="223" w:lineRule="exact"/>
              <w:ind w:right="98"/>
              <w:jc w:val="right"/>
              <w:rPr>
                <w:sz w:val="20"/>
              </w:rPr>
            </w:pPr>
            <w:r>
              <w:rPr>
                <w:w w:val="95"/>
                <w:sz w:val="20"/>
              </w:rPr>
              <w:t>1,940.0</w:t>
            </w:r>
          </w:p>
        </w:tc>
        <w:tc>
          <w:tcPr>
            <w:tcW w:w="1277" w:type="dxa"/>
          </w:tcPr>
          <w:p>
            <w:pPr>
              <w:pStyle w:val="TableParagraph"/>
              <w:spacing w:before="2"/>
              <w:rPr>
                <w:sz w:val="20"/>
              </w:rPr>
            </w:pPr>
          </w:p>
          <w:p>
            <w:pPr>
              <w:pStyle w:val="TableParagraph"/>
              <w:spacing w:line="223" w:lineRule="exact"/>
              <w:ind w:right="99"/>
              <w:jc w:val="right"/>
              <w:rPr>
                <w:b/>
                <w:sz w:val="20"/>
              </w:rPr>
            </w:pPr>
            <w:r>
              <w:rPr>
                <w:b/>
                <w:sz w:val="20"/>
              </w:rPr>
              <w:t>-1,335.0</w:t>
            </w:r>
          </w:p>
        </w:tc>
        <w:tc>
          <w:tcPr>
            <w:tcW w:w="1275" w:type="dxa"/>
          </w:tcPr>
          <w:p>
            <w:pPr>
              <w:pStyle w:val="TableParagraph"/>
              <w:spacing w:before="2"/>
              <w:rPr>
                <w:sz w:val="20"/>
              </w:rPr>
            </w:pPr>
          </w:p>
          <w:p>
            <w:pPr>
              <w:pStyle w:val="TableParagraph"/>
              <w:spacing w:line="223" w:lineRule="exact"/>
              <w:ind w:right="101"/>
              <w:jc w:val="right"/>
              <w:rPr>
                <w:b/>
                <w:sz w:val="20"/>
              </w:rPr>
            </w:pPr>
            <w:r>
              <w:rPr>
                <w:b/>
                <w:w w:val="95"/>
                <w:sz w:val="20"/>
              </w:rPr>
              <w:t>-68.8%</w:t>
            </w:r>
          </w:p>
        </w:tc>
        <w:tc>
          <w:tcPr>
            <w:tcW w:w="848" w:type="dxa"/>
          </w:tcPr>
          <w:p>
            <w:pPr>
              <w:pStyle w:val="TableParagraph"/>
              <w:spacing w:before="2"/>
              <w:rPr>
                <w:sz w:val="20"/>
              </w:rPr>
            </w:pPr>
          </w:p>
          <w:p>
            <w:pPr>
              <w:pStyle w:val="TableParagraph"/>
              <w:spacing w:line="223" w:lineRule="exact"/>
              <w:ind w:right="97"/>
              <w:jc w:val="right"/>
              <w:rPr>
                <w:sz w:val="20"/>
              </w:rPr>
            </w:pPr>
            <w:r>
              <w:rPr>
                <w:w w:val="95"/>
                <w:sz w:val="20"/>
              </w:rPr>
              <w:t>24</w:t>
            </w:r>
          </w:p>
        </w:tc>
      </w:tr>
      <w:tr>
        <w:tblPrEx>
          <w:tblW w:w="0" w:type="auto"/>
          <w:jc w:val="left"/>
          <w:tblInd w:w="122" w:type="dxa"/>
          <w:tblLayout w:type="fixed"/>
          <w:tblCellMar>
            <w:top w:w="0" w:type="dxa"/>
            <w:left w:w="0" w:type="dxa"/>
            <w:bottom w:w="0" w:type="dxa"/>
            <w:right w:w="0" w:type="dxa"/>
          </w:tblCellMar>
          <w:tblLook w:val="01E0"/>
        </w:tblPrEx>
        <w:trPr>
          <w:trHeight w:val="544"/>
          <w:jc w:val="left"/>
        </w:trPr>
        <w:tc>
          <w:tcPr>
            <w:tcW w:w="1080" w:type="dxa"/>
          </w:tcPr>
          <w:p>
            <w:pPr>
              <w:pStyle w:val="TableParagraph"/>
              <w:rPr>
                <w:rFonts w:ascii="Times New Roman"/>
                <w:sz w:val="20"/>
              </w:rPr>
            </w:pPr>
          </w:p>
        </w:tc>
        <w:tc>
          <w:tcPr>
            <w:tcW w:w="3031" w:type="dxa"/>
          </w:tcPr>
          <w:p>
            <w:pPr>
              <w:pStyle w:val="TableParagraph"/>
              <w:spacing w:before="56" w:line="240" w:lineRule="atLeast"/>
              <w:ind w:left="107" w:right="300"/>
              <w:rPr>
                <w:sz w:val="20"/>
              </w:rPr>
            </w:pPr>
            <w:r>
              <w:rPr>
                <w:sz w:val="20"/>
              </w:rPr>
              <w:t>Delivering affordable energy for households and business</w:t>
            </w:r>
          </w:p>
        </w:tc>
        <w:tc>
          <w:tcPr>
            <w:tcW w:w="1440" w:type="dxa"/>
          </w:tcPr>
          <w:p>
            <w:pPr>
              <w:pStyle w:val="TableParagraph"/>
              <w:spacing w:before="8"/>
              <w:rPr>
                <w:sz w:val="24"/>
              </w:rPr>
            </w:pPr>
          </w:p>
          <w:p>
            <w:pPr>
              <w:pStyle w:val="TableParagraph"/>
              <w:spacing w:line="223" w:lineRule="exact"/>
              <w:ind w:right="97"/>
              <w:jc w:val="right"/>
              <w:rPr>
                <w:sz w:val="20"/>
              </w:rPr>
            </w:pPr>
            <w:r>
              <w:rPr>
                <w:w w:val="99"/>
                <w:sz w:val="20"/>
              </w:rPr>
              <w:t>-</w:t>
            </w:r>
          </w:p>
        </w:tc>
        <w:tc>
          <w:tcPr>
            <w:tcW w:w="1253" w:type="dxa"/>
          </w:tcPr>
          <w:p>
            <w:pPr>
              <w:pStyle w:val="TableParagraph"/>
              <w:spacing w:before="8"/>
              <w:rPr>
                <w:sz w:val="24"/>
              </w:rPr>
            </w:pPr>
          </w:p>
          <w:p>
            <w:pPr>
              <w:pStyle w:val="TableParagraph"/>
              <w:spacing w:line="223" w:lineRule="exact"/>
              <w:ind w:right="98"/>
              <w:jc w:val="right"/>
              <w:rPr>
                <w:sz w:val="20"/>
              </w:rPr>
            </w:pPr>
            <w:r>
              <w:rPr>
                <w:w w:val="95"/>
                <w:sz w:val="20"/>
              </w:rPr>
              <w:t>94.0</w:t>
            </w:r>
          </w:p>
        </w:tc>
        <w:tc>
          <w:tcPr>
            <w:tcW w:w="1277" w:type="dxa"/>
          </w:tcPr>
          <w:p>
            <w:pPr>
              <w:pStyle w:val="TableParagraph"/>
              <w:spacing w:before="8"/>
              <w:rPr>
                <w:sz w:val="24"/>
              </w:rPr>
            </w:pPr>
          </w:p>
          <w:p>
            <w:pPr>
              <w:pStyle w:val="TableParagraph"/>
              <w:spacing w:line="223" w:lineRule="exact"/>
              <w:ind w:right="99"/>
              <w:jc w:val="right"/>
              <w:rPr>
                <w:b/>
                <w:sz w:val="20"/>
              </w:rPr>
            </w:pPr>
            <w:r>
              <w:rPr>
                <w:b/>
                <w:w w:val="95"/>
                <w:sz w:val="20"/>
              </w:rPr>
              <w:t>-94.0</w:t>
            </w:r>
          </w:p>
        </w:tc>
        <w:tc>
          <w:tcPr>
            <w:tcW w:w="1275" w:type="dxa"/>
          </w:tcPr>
          <w:p>
            <w:pPr>
              <w:pStyle w:val="TableParagraph"/>
              <w:spacing w:before="8"/>
              <w:rPr>
                <w:sz w:val="24"/>
              </w:rPr>
            </w:pPr>
          </w:p>
          <w:p>
            <w:pPr>
              <w:pStyle w:val="TableParagraph"/>
              <w:spacing w:line="223" w:lineRule="exact"/>
              <w:ind w:right="98"/>
              <w:jc w:val="right"/>
              <w:rPr>
                <w:b/>
                <w:sz w:val="20"/>
              </w:rPr>
            </w:pPr>
            <w:r>
              <w:rPr>
                <w:b/>
                <w:sz w:val="20"/>
              </w:rPr>
              <w:t>-100.0%</w:t>
            </w:r>
          </w:p>
        </w:tc>
        <w:tc>
          <w:tcPr>
            <w:tcW w:w="848" w:type="dxa"/>
          </w:tcPr>
          <w:p>
            <w:pPr>
              <w:pStyle w:val="TableParagraph"/>
              <w:spacing w:before="8"/>
              <w:rPr>
                <w:sz w:val="24"/>
              </w:rPr>
            </w:pPr>
          </w:p>
          <w:p>
            <w:pPr>
              <w:pStyle w:val="TableParagraph"/>
              <w:spacing w:line="223" w:lineRule="exact"/>
              <w:ind w:right="97"/>
              <w:jc w:val="right"/>
              <w:rPr>
                <w:sz w:val="20"/>
              </w:rPr>
            </w:pPr>
            <w:r>
              <w:rPr>
                <w:w w:val="95"/>
                <w:sz w:val="20"/>
              </w:rPr>
              <w:t>25</w:t>
            </w:r>
          </w:p>
        </w:tc>
      </w:tr>
      <w:tr>
        <w:tblPrEx>
          <w:tblW w:w="0" w:type="auto"/>
          <w:jc w:val="left"/>
          <w:tblInd w:w="122" w:type="dxa"/>
          <w:tblLayout w:type="fixed"/>
          <w:tblCellMar>
            <w:top w:w="0" w:type="dxa"/>
            <w:left w:w="0" w:type="dxa"/>
            <w:bottom w:w="0" w:type="dxa"/>
            <w:right w:w="0" w:type="dxa"/>
          </w:tblCellMar>
          <w:tblLook w:val="01E0"/>
        </w:tblPrEx>
        <w:trPr>
          <w:trHeight w:val="489"/>
          <w:jc w:val="left"/>
        </w:trPr>
        <w:tc>
          <w:tcPr>
            <w:tcW w:w="1080" w:type="dxa"/>
          </w:tcPr>
          <w:p>
            <w:pPr>
              <w:pStyle w:val="TableParagraph"/>
              <w:rPr>
                <w:rFonts w:ascii="Times New Roman"/>
                <w:sz w:val="20"/>
              </w:rPr>
            </w:pPr>
          </w:p>
        </w:tc>
        <w:tc>
          <w:tcPr>
            <w:tcW w:w="3031" w:type="dxa"/>
          </w:tcPr>
          <w:p>
            <w:pPr>
              <w:pStyle w:val="TableParagraph"/>
              <w:spacing w:before="1" w:line="240" w:lineRule="atLeast"/>
              <w:ind w:left="107" w:right="286"/>
              <w:rPr>
                <w:sz w:val="20"/>
              </w:rPr>
            </w:pPr>
            <w:r>
              <w:rPr>
                <w:sz w:val="20"/>
              </w:rPr>
              <w:t>Taking action on climate change and decarbonisation</w:t>
            </w:r>
          </w:p>
        </w:tc>
        <w:tc>
          <w:tcPr>
            <w:tcW w:w="1440" w:type="dxa"/>
          </w:tcPr>
          <w:p>
            <w:pPr>
              <w:pStyle w:val="TableParagraph"/>
              <w:spacing w:before="2"/>
              <w:rPr>
                <w:sz w:val="20"/>
              </w:rPr>
            </w:pPr>
          </w:p>
          <w:p>
            <w:pPr>
              <w:pStyle w:val="TableParagraph"/>
              <w:spacing w:line="223" w:lineRule="exact"/>
              <w:ind w:right="97"/>
              <w:jc w:val="right"/>
              <w:rPr>
                <w:sz w:val="20"/>
              </w:rPr>
            </w:pPr>
            <w:r>
              <w:rPr>
                <w:w w:val="99"/>
                <w:sz w:val="20"/>
              </w:rPr>
              <w:t>-</w:t>
            </w:r>
          </w:p>
        </w:tc>
        <w:tc>
          <w:tcPr>
            <w:tcW w:w="1253" w:type="dxa"/>
          </w:tcPr>
          <w:p>
            <w:pPr>
              <w:pStyle w:val="TableParagraph"/>
              <w:spacing w:before="2"/>
              <w:rPr>
                <w:sz w:val="20"/>
              </w:rPr>
            </w:pPr>
          </w:p>
          <w:p>
            <w:pPr>
              <w:pStyle w:val="TableParagraph"/>
              <w:spacing w:line="223" w:lineRule="exact"/>
              <w:ind w:right="98"/>
              <w:jc w:val="right"/>
              <w:rPr>
                <w:sz w:val="20"/>
              </w:rPr>
            </w:pPr>
            <w:r>
              <w:rPr>
                <w:w w:val="95"/>
                <w:sz w:val="20"/>
              </w:rPr>
              <w:t>8,000.2</w:t>
            </w:r>
          </w:p>
        </w:tc>
        <w:tc>
          <w:tcPr>
            <w:tcW w:w="1277" w:type="dxa"/>
          </w:tcPr>
          <w:p>
            <w:pPr>
              <w:pStyle w:val="TableParagraph"/>
              <w:spacing w:before="2"/>
              <w:rPr>
                <w:sz w:val="20"/>
              </w:rPr>
            </w:pPr>
          </w:p>
          <w:p>
            <w:pPr>
              <w:pStyle w:val="TableParagraph"/>
              <w:spacing w:line="223" w:lineRule="exact"/>
              <w:ind w:right="99"/>
              <w:jc w:val="right"/>
              <w:rPr>
                <w:b/>
                <w:sz w:val="20"/>
              </w:rPr>
            </w:pPr>
            <w:r>
              <w:rPr>
                <w:b/>
                <w:sz w:val="20"/>
              </w:rPr>
              <w:t>-8,000.2</w:t>
            </w:r>
          </w:p>
        </w:tc>
        <w:tc>
          <w:tcPr>
            <w:tcW w:w="1275" w:type="dxa"/>
          </w:tcPr>
          <w:p>
            <w:pPr>
              <w:pStyle w:val="TableParagraph"/>
              <w:spacing w:before="2"/>
              <w:rPr>
                <w:sz w:val="20"/>
              </w:rPr>
            </w:pPr>
          </w:p>
          <w:p>
            <w:pPr>
              <w:pStyle w:val="TableParagraph"/>
              <w:spacing w:line="223" w:lineRule="exact"/>
              <w:ind w:right="98"/>
              <w:jc w:val="right"/>
              <w:rPr>
                <w:b/>
                <w:sz w:val="20"/>
              </w:rPr>
            </w:pPr>
            <w:r>
              <w:rPr>
                <w:b/>
                <w:sz w:val="20"/>
              </w:rPr>
              <w:t>-100.0%</w:t>
            </w:r>
          </w:p>
        </w:tc>
        <w:tc>
          <w:tcPr>
            <w:tcW w:w="848" w:type="dxa"/>
          </w:tcPr>
          <w:p>
            <w:pPr>
              <w:pStyle w:val="TableParagraph"/>
              <w:spacing w:before="2"/>
              <w:rPr>
                <w:sz w:val="20"/>
              </w:rPr>
            </w:pPr>
          </w:p>
          <w:p>
            <w:pPr>
              <w:pStyle w:val="TableParagraph"/>
              <w:spacing w:line="223" w:lineRule="exact"/>
              <w:ind w:right="97"/>
              <w:jc w:val="right"/>
              <w:rPr>
                <w:sz w:val="20"/>
              </w:rPr>
            </w:pPr>
            <w:r>
              <w:rPr>
                <w:w w:val="95"/>
                <w:sz w:val="20"/>
              </w:rPr>
              <w:t>26</w:t>
            </w:r>
          </w:p>
        </w:tc>
      </w:tr>
      <w:tr>
        <w:tblPrEx>
          <w:tblW w:w="0" w:type="auto"/>
          <w:jc w:val="left"/>
          <w:tblInd w:w="122" w:type="dxa"/>
          <w:tblLayout w:type="fixed"/>
          <w:tblCellMar>
            <w:top w:w="0" w:type="dxa"/>
            <w:left w:w="0" w:type="dxa"/>
            <w:bottom w:w="0" w:type="dxa"/>
            <w:right w:w="0" w:type="dxa"/>
          </w:tblCellMar>
          <w:tblLook w:val="01E0"/>
        </w:tblPrEx>
        <w:trPr>
          <w:trHeight w:val="270"/>
          <w:jc w:val="left"/>
        </w:trPr>
        <w:tc>
          <w:tcPr>
            <w:tcW w:w="1080" w:type="dxa"/>
          </w:tcPr>
          <w:p>
            <w:pPr>
              <w:pStyle w:val="TableParagraph"/>
              <w:rPr>
                <w:rFonts w:ascii="Times New Roman"/>
                <w:sz w:val="20"/>
              </w:rPr>
            </w:pPr>
          </w:p>
        </w:tc>
        <w:tc>
          <w:tcPr>
            <w:tcW w:w="3031" w:type="dxa"/>
          </w:tcPr>
          <w:p>
            <w:pPr>
              <w:pStyle w:val="TableParagraph"/>
              <w:spacing w:before="27" w:line="223" w:lineRule="exact"/>
              <w:ind w:left="107"/>
              <w:rPr>
                <w:sz w:val="20"/>
              </w:rPr>
            </w:pPr>
            <w:r>
              <w:rPr>
                <w:sz w:val="20"/>
              </w:rPr>
              <w:t>Total voted and non voted</w:t>
            </w:r>
          </w:p>
        </w:tc>
        <w:tc>
          <w:tcPr>
            <w:tcW w:w="1440" w:type="dxa"/>
          </w:tcPr>
          <w:p>
            <w:pPr>
              <w:pStyle w:val="TableParagraph"/>
              <w:spacing w:before="27" w:line="223" w:lineRule="exact"/>
              <w:ind w:right="98"/>
              <w:jc w:val="right"/>
              <w:rPr>
                <w:sz w:val="20"/>
              </w:rPr>
            </w:pPr>
            <w:r>
              <w:rPr>
                <w:w w:val="95"/>
                <w:sz w:val="20"/>
              </w:rPr>
              <w:t>26,322.4</w:t>
            </w:r>
          </w:p>
        </w:tc>
        <w:tc>
          <w:tcPr>
            <w:tcW w:w="1253" w:type="dxa"/>
          </w:tcPr>
          <w:p>
            <w:pPr>
              <w:pStyle w:val="TableParagraph"/>
              <w:spacing w:before="27" w:line="223" w:lineRule="exact"/>
              <w:ind w:right="98"/>
              <w:jc w:val="right"/>
              <w:rPr>
                <w:sz w:val="20"/>
              </w:rPr>
            </w:pPr>
            <w:r>
              <w:rPr>
                <w:w w:val="95"/>
                <w:sz w:val="20"/>
              </w:rPr>
              <w:t>23,306.5</w:t>
            </w:r>
          </w:p>
        </w:tc>
        <w:tc>
          <w:tcPr>
            <w:tcW w:w="1277" w:type="dxa"/>
          </w:tcPr>
          <w:p>
            <w:pPr>
              <w:pStyle w:val="TableParagraph"/>
              <w:spacing w:before="27" w:line="223" w:lineRule="exact"/>
              <w:ind w:right="99"/>
              <w:jc w:val="right"/>
              <w:rPr>
                <w:b/>
                <w:sz w:val="20"/>
              </w:rPr>
            </w:pPr>
            <w:r>
              <w:rPr>
                <w:b/>
                <w:sz w:val="20"/>
              </w:rPr>
              <w:t>3,015.9</w:t>
            </w:r>
          </w:p>
        </w:tc>
        <w:tc>
          <w:tcPr>
            <w:tcW w:w="1275" w:type="dxa"/>
          </w:tcPr>
          <w:p>
            <w:pPr>
              <w:pStyle w:val="TableParagraph"/>
              <w:spacing w:before="27" w:line="223" w:lineRule="exact"/>
              <w:ind w:right="101"/>
              <w:jc w:val="right"/>
              <w:rPr>
                <w:b/>
                <w:sz w:val="20"/>
              </w:rPr>
            </w:pPr>
            <w:r>
              <w:rPr>
                <w:b/>
                <w:sz w:val="20"/>
              </w:rPr>
              <w:t>12.9%</w:t>
            </w:r>
          </w:p>
        </w:tc>
        <w:tc>
          <w:tcPr>
            <w:tcW w:w="848" w:type="dxa"/>
          </w:tcPr>
          <w:p>
            <w:pPr>
              <w:pStyle w:val="TableParagraph"/>
              <w:rPr>
                <w:rFonts w:ascii="Times New Roman"/>
                <w:sz w:val="20"/>
              </w:rPr>
            </w:pPr>
          </w:p>
        </w:tc>
      </w:tr>
    </w:tbl>
    <w:p>
      <w:pPr>
        <w:pStyle w:val="BodyText"/>
      </w:pPr>
    </w:p>
    <w:p>
      <w:pPr>
        <w:pStyle w:val="BodyText"/>
        <w:spacing w:before="182"/>
        <w:ind w:left="400"/>
      </w:pPr>
      <w:r>
        <w:t>Differences of more than 10% which are more than £10 million are explained below.</w:t>
      </w:r>
    </w:p>
    <w:p>
      <w:pPr>
        <w:pStyle w:val="BodyText"/>
      </w:pPr>
    </w:p>
    <w:p>
      <w:pPr>
        <w:pStyle w:val="BodyText"/>
        <w:spacing w:before="8"/>
        <w:rPr>
          <w:sz w:val="29"/>
        </w:rPr>
      </w:pPr>
    </w:p>
    <w:p>
      <w:pPr>
        <w:pStyle w:val="ListParagraph"/>
        <w:numPr>
          <w:ilvl w:val="0"/>
          <w:numId w:val="4"/>
        </w:numPr>
        <w:tabs>
          <w:tab w:val="left" w:pos="728"/>
        </w:tabs>
        <w:spacing w:before="1" w:after="0" w:line="240" w:lineRule="auto"/>
        <w:ind w:left="727" w:right="0" w:hanging="328"/>
        <w:jc w:val="left"/>
        <w:rPr>
          <w:rFonts w:ascii="Calibri Light"/>
          <w:b w:val="0"/>
          <w:sz w:val="22"/>
        </w:rPr>
      </w:pPr>
      <w:r>
        <w:rPr>
          <w:rFonts w:ascii="Calibri Light"/>
          <w:b w:val="0"/>
          <w:color w:val="2F5495"/>
          <w:sz w:val="22"/>
        </w:rPr>
        <w:t>Deliver an ambitious industrial</w:t>
      </w:r>
      <w:r>
        <w:rPr>
          <w:rFonts w:ascii="Calibri Light"/>
          <w:b w:val="0"/>
          <w:color w:val="2F5495"/>
          <w:spacing w:val="-5"/>
          <w:sz w:val="22"/>
        </w:rPr>
        <w:t xml:space="preserve"> </w:t>
      </w:r>
      <w:r>
        <w:rPr>
          <w:rFonts w:ascii="Calibri Light"/>
          <w:b w:val="0"/>
          <w:color w:val="2F5495"/>
          <w:sz w:val="22"/>
        </w:rPr>
        <w:t>strategy</w:t>
      </w:r>
    </w:p>
    <w:p>
      <w:pPr>
        <w:pStyle w:val="BodyText"/>
        <w:spacing w:before="19" w:line="259" w:lineRule="auto"/>
        <w:ind w:left="1120" w:right="1377"/>
      </w:pPr>
      <w:r>
        <w:t>Resource AME spending on these subheads is forecast to be £9,647.5 million lower than in 2020-21. This is largely due to a credit of £10,824.2 million reflecting the utilisation of a provision raised in 2019-20 for the Covid-19 Business Support Grants issued on 1</w:t>
      </w:r>
      <w:r>
        <w:rPr>
          <w:vertAlign w:val="superscript"/>
        </w:rPr>
        <w:t>st</w:t>
      </w:r>
      <w:r>
        <w:rPr>
          <w:vertAlign w:val="baseline"/>
        </w:rPr>
        <w:t xml:space="preserve"> April 2020, together with an increase of £22.0 million in non-cash impairments for Repayable Launch Investments. This is partially offset by a budget in 2020-21 only of £1,200.0 million for Trade Credit Reinsurance provisions.</w:t>
      </w:r>
    </w:p>
    <w:p>
      <w:pPr>
        <w:pStyle w:val="ListParagraph"/>
        <w:numPr>
          <w:ilvl w:val="0"/>
          <w:numId w:val="4"/>
        </w:numPr>
        <w:tabs>
          <w:tab w:val="left" w:pos="777"/>
        </w:tabs>
        <w:spacing w:before="158" w:after="0" w:line="240" w:lineRule="auto"/>
        <w:ind w:left="776" w:right="0" w:hanging="377"/>
        <w:jc w:val="left"/>
        <w:rPr>
          <w:rFonts w:ascii="Calibri Light"/>
          <w:b w:val="0"/>
          <w:sz w:val="22"/>
        </w:rPr>
      </w:pPr>
      <w:r>
        <w:rPr>
          <w:rFonts w:ascii="Calibri Light"/>
          <w:b w:val="0"/>
          <w:color w:val="2F5495"/>
          <w:sz w:val="22"/>
        </w:rPr>
        <w:t>Promote competitive markets and responsible business</w:t>
      </w:r>
      <w:r>
        <w:rPr>
          <w:rFonts w:ascii="Calibri Light"/>
          <w:b w:val="0"/>
          <w:color w:val="2F5495"/>
          <w:spacing w:val="-8"/>
          <w:sz w:val="22"/>
        </w:rPr>
        <w:t xml:space="preserve"> </w:t>
      </w:r>
      <w:r>
        <w:rPr>
          <w:rFonts w:ascii="Calibri Light"/>
          <w:b w:val="0"/>
          <w:color w:val="2F5495"/>
          <w:sz w:val="22"/>
        </w:rPr>
        <w:t>practices</w:t>
      </w:r>
    </w:p>
    <w:p>
      <w:pPr>
        <w:pStyle w:val="BodyText"/>
        <w:spacing w:before="22" w:line="259" w:lineRule="auto"/>
        <w:ind w:left="1120" w:right="1198"/>
      </w:pPr>
      <w:r>
        <w:t>Resource AME spending on these subheads is forecast to be £146.0 million higher than in 2020-21. This is largely due to a forecast increase (based on estimates from the Office for Budget Responsibility) of £148.0 million for redundancy payments, and a decrease of £2.0 million for parental leave schemes in line with the latest forecasts and revisions to prior year outturn calculated by the Government Actuary’s Department.</w:t>
      </w:r>
    </w:p>
    <w:p>
      <w:pPr>
        <w:spacing w:after="0" w:line="259" w:lineRule="auto"/>
        <w:sectPr>
          <w:pgSz w:w="11910" w:h="16840"/>
          <w:pgMar w:top="1380" w:right="280" w:bottom="280" w:left="1040" w:header="720" w:footer="720"/>
          <w:cols w:space="720"/>
        </w:sectPr>
      </w:pPr>
    </w:p>
    <w:p>
      <w:pPr>
        <w:pStyle w:val="ListParagraph"/>
        <w:numPr>
          <w:ilvl w:val="0"/>
          <w:numId w:val="4"/>
        </w:numPr>
        <w:tabs>
          <w:tab w:val="left" w:pos="728"/>
        </w:tabs>
        <w:spacing w:before="41" w:after="0" w:line="240" w:lineRule="auto"/>
        <w:ind w:left="727" w:right="0" w:hanging="328"/>
        <w:jc w:val="left"/>
        <w:rPr>
          <w:rFonts w:ascii="Calibri Light"/>
          <w:b w:val="0"/>
          <w:sz w:val="22"/>
        </w:rPr>
      </w:pPr>
      <w:r>
        <w:rPr>
          <w:rFonts w:ascii="Calibri Light"/>
          <w:b w:val="0"/>
          <w:color w:val="2F5495"/>
          <w:sz w:val="22"/>
        </w:rPr>
        <w:t>Managing our energy legacy safely and</w:t>
      </w:r>
      <w:r>
        <w:rPr>
          <w:rFonts w:ascii="Calibri Light"/>
          <w:b w:val="0"/>
          <w:color w:val="2F5495"/>
          <w:spacing w:val="-2"/>
          <w:sz w:val="22"/>
        </w:rPr>
        <w:t xml:space="preserve"> </w:t>
      </w:r>
      <w:r>
        <w:rPr>
          <w:rFonts w:ascii="Calibri Light"/>
          <w:b w:val="0"/>
          <w:color w:val="2F5495"/>
          <w:sz w:val="22"/>
        </w:rPr>
        <w:t>responsibly</w:t>
      </w:r>
    </w:p>
    <w:p>
      <w:pPr>
        <w:pStyle w:val="BodyText"/>
        <w:spacing w:before="21" w:line="259" w:lineRule="auto"/>
        <w:ind w:left="1120" w:right="1484"/>
      </w:pPr>
      <w:r>
        <w:t>Resource AME spending on these subheads is forecast to be £326.4 million higher than in 2020-21 due largely to increases in non-cash movements in provisions for Coal Authority (£287.5 million), Concessionary Fuel (£29.1 million) and British Energy liabilities (£18.8 million); partially offset by the inclusion of a provision in 2020-21 only for the Oil and Gas Authority of £9.0 million for possible decommissioning costs.</w:t>
      </w:r>
    </w:p>
    <w:p>
      <w:pPr>
        <w:pStyle w:val="ListParagraph"/>
        <w:numPr>
          <w:ilvl w:val="0"/>
          <w:numId w:val="4"/>
        </w:numPr>
        <w:tabs>
          <w:tab w:val="left" w:pos="777"/>
        </w:tabs>
        <w:spacing w:before="158" w:after="0" w:line="240" w:lineRule="auto"/>
        <w:ind w:left="776" w:right="0" w:hanging="377"/>
        <w:jc w:val="left"/>
        <w:rPr>
          <w:rFonts w:ascii="Calibri Light"/>
          <w:b w:val="0"/>
          <w:sz w:val="22"/>
        </w:rPr>
      </w:pPr>
      <w:r>
        <w:rPr>
          <w:rFonts w:ascii="Calibri Light"/>
          <w:b w:val="0"/>
          <w:color w:val="2F5495"/>
          <w:sz w:val="22"/>
        </w:rPr>
        <w:t>Science and</w:t>
      </w:r>
      <w:r>
        <w:rPr>
          <w:rFonts w:ascii="Calibri Light"/>
          <w:b w:val="0"/>
          <w:color w:val="2F5495"/>
          <w:spacing w:val="-4"/>
          <w:sz w:val="22"/>
        </w:rPr>
        <w:t xml:space="preserve"> </w:t>
      </w:r>
      <w:r>
        <w:rPr>
          <w:rFonts w:ascii="Calibri Light"/>
          <w:b w:val="0"/>
          <w:color w:val="2F5495"/>
          <w:sz w:val="22"/>
        </w:rPr>
        <w:t>Research</w:t>
      </w:r>
    </w:p>
    <w:p>
      <w:pPr>
        <w:pStyle w:val="BodyText"/>
        <w:spacing w:before="22" w:line="259" w:lineRule="auto"/>
        <w:ind w:left="1120" w:right="1165"/>
      </w:pPr>
      <w:r>
        <w:t>Resource AME spending on these subheads is forecast to be £3,080.5 million higher than in 2020-21. This is largely due to the recognition of a provision relating to the decision for the UK to associate with Horizon Europe and Euratom following EU Exit. Resource AME budget is required on recognition of a provision, and whilst £20,308.0 million was requested in the 2020-21 Supplementary Estimate, both the timing and expected amount of the provision has been revised and the provision will now be recognised in 2021-22 at the higher value of</w:t>
      </w:r>
    </w:p>
    <w:p>
      <w:pPr>
        <w:pStyle w:val="BodyText"/>
        <w:spacing w:line="259" w:lineRule="auto"/>
        <w:ind w:left="1120" w:right="1273"/>
      </w:pPr>
      <w:r>
        <w:t>£23,404.1 million, the additional budget sought at Main Estimate reflects this. This is partially offset by a £7.9 million decrease in provisions for UK Research and Innovation compared to 2020-21, and the inclusion in 2020-21 only of £9.9 million for SURE provisions.</w:t>
      </w:r>
    </w:p>
    <w:p>
      <w:pPr>
        <w:pStyle w:val="ListParagraph"/>
        <w:numPr>
          <w:ilvl w:val="0"/>
          <w:numId w:val="4"/>
        </w:numPr>
        <w:tabs>
          <w:tab w:val="left" w:pos="728"/>
        </w:tabs>
        <w:spacing w:before="157" w:after="0" w:line="240" w:lineRule="auto"/>
        <w:ind w:left="727" w:right="0" w:hanging="328"/>
        <w:jc w:val="left"/>
        <w:rPr>
          <w:rFonts w:ascii="Calibri Light"/>
          <w:b w:val="0"/>
          <w:sz w:val="22"/>
        </w:rPr>
      </w:pPr>
      <w:r>
        <w:rPr>
          <w:rFonts w:ascii="Calibri Light"/>
          <w:b w:val="0"/>
          <w:color w:val="2F5495"/>
          <w:sz w:val="22"/>
        </w:rPr>
        <w:t>Government as</w:t>
      </w:r>
      <w:r>
        <w:rPr>
          <w:rFonts w:ascii="Calibri Light"/>
          <w:b w:val="0"/>
          <w:color w:val="2F5495"/>
          <w:spacing w:val="-3"/>
          <w:sz w:val="22"/>
        </w:rPr>
        <w:t xml:space="preserve"> </w:t>
      </w:r>
      <w:r>
        <w:rPr>
          <w:rFonts w:ascii="Calibri Light"/>
          <w:b w:val="0"/>
          <w:color w:val="2F5495"/>
          <w:sz w:val="22"/>
        </w:rPr>
        <w:t>Shareholder</w:t>
      </w:r>
    </w:p>
    <w:p>
      <w:pPr>
        <w:pStyle w:val="BodyText"/>
        <w:spacing w:before="22" w:line="259" w:lineRule="auto"/>
        <w:ind w:left="1120" w:right="1432"/>
        <w:jc w:val="both"/>
      </w:pPr>
      <w:r>
        <w:t>Resource AME spending on these subheads is forecast to be £684.5 million lower than in 2020-21, due largely to the inclusion in 2020-21 only, of budgets for Post Office Limited of</w:t>
      </w:r>
    </w:p>
    <w:p>
      <w:pPr>
        <w:pStyle w:val="BodyText"/>
        <w:spacing w:before="1" w:line="259" w:lineRule="auto"/>
        <w:ind w:left="1120" w:right="1172"/>
        <w:jc w:val="both"/>
      </w:pPr>
      <w:r>
        <w:t>£285.0 million and £50.0 million for Future Fund. The inclusion in 2021-22 of £(229.6) million for the expected Scheme Lender Fee income for Coronavirus Business Loans also contributes to the lower budget requirement seen compared with the previous financial year.</w:t>
      </w:r>
    </w:p>
    <w:p>
      <w:pPr>
        <w:pStyle w:val="BodyText"/>
        <w:spacing w:before="159" w:line="259" w:lineRule="auto"/>
        <w:ind w:left="1120" w:right="1344"/>
      </w:pPr>
      <w:r>
        <w:t>In addition, there are forecast reductions in non-cash movements for British Business Bank (£(43.9) million), Northern Powerhouse (£(18.5) million) and Midlands Engine (£(13.4) million), and a reduction in provisions for Enterprise Finance Guarantee/Small Firms Loan Guarantee (£(36.1) million).</w:t>
      </w:r>
    </w:p>
    <w:p>
      <w:pPr>
        <w:pStyle w:val="BodyText"/>
        <w:spacing w:before="157"/>
        <w:ind w:left="400"/>
        <w:rPr>
          <w:rFonts w:ascii="Calibri Light"/>
          <w:b w:val="0"/>
        </w:rPr>
      </w:pPr>
      <w:r>
        <w:rPr>
          <w:rFonts w:ascii="Calibri Light"/>
          <w:b w:val="0"/>
          <w:color w:val="2F5495"/>
        </w:rPr>
        <w:t>23. Nuclear Decommissioning Authority</w:t>
      </w:r>
    </w:p>
    <w:p>
      <w:pPr>
        <w:pStyle w:val="BodyText"/>
        <w:spacing w:before="22" w:line="259" w:lineRule="auto"/>
        <w:ind w:left="1120" w:right="1545"/>
      </w:pPr>
      <w:r>
        <w:t>Resource AME spending on this subhead is forecast to be £1,335.0 million lower than in 2020-21. This is primarily due to a smaller increase in the NDA Nuclear Decommissioning provision forecast for 2021-22 compared to 2020-21; this will be reviewed ahead of the Supplementary Estimate.</w:t>
      </w:r>
    </w:p>
    <w:p>
      <w:pPr>
        <w:pStyle w:val="ListParagraph"/>
        <w:numPr>
          <w:ilvl w:val="0"/>
          <w:numId w:val="3"/>
        </w:numPr>
        <w:tabs>
          <w:tab w:val="left" w:pos="777"/>
        </w:tabs>
        <w:spacing w:before="160" w:after="0" w:line="240" w:lineRule="auto"/>
        <w:ind w:left="776" w:right="0" w:hanging="377"/>
        <w:jc w:val="left"/>
        <w:rPr>
          <w:rFonts w:ascii="Calibri Light"/>
          <w:b w:val="0"/>
          <w:sz w:val="22"/>
        </w:rPr>
      </w:pPr>
      <w:r>
        <w:rPr>
          <w:rFonts w:ascii="Calibri Light"/>
          <w:b w:val="0"/>
          <w:color w:val="2F5495"/>
          <w:sz w:val="22"/>
        </w:rPr>
        <w:t>Delivering affordable energy for households and</w:t>
      </w:r>
      <w:r>
        <w:rPr>
          <w:rFonts w:ascii="Calibri Light"/>
          <w:b w:val="0"/>
          <w:color w:val="2F5495"/>
          <w:spacing w:val="-9"/>
          <w:sz w:val="22"/>
        </w:rPr>
        <w:t xml:space="preserve"> </w:t>
      </w:r>
      <w:r>
        <w:rPr>
          <w:rFonts w:ascii="Calibri Light"/>
          <w:b w:val="0"/>
          <w:color w:val="2F5495"/>
          <w:sz w:val="22"/>
        </w:rPr>
        <w:t>business</w:t>
      </w:r>
    </w:p>
    <w:p>
      <w:pPr>
        <w:pStyle w:val="BodyText"/>
        <w:spacing w:before="22"/>
        <w:ind w:left="1120"/>
        <w:jc w:val="both"/>
      </w:pPr>
      <w:r>
        <w:t>Resource AME spending on this subhead is forecast to be £94.0 million lower than in 2020-</w:t>
      </w:r>
    </w:p>
    <w:p>
      <w:pPr>
        <w:pStyle w:val="BodyText"/>
        <w:spacing w:before="19" w:line="259" w:lineRule="auto"/>
        <w:ind w:left="1120" w:right="1373"/>
      </w:pPr>
      <w:r>
        <w:t>21. The budget in 2020-21 related to unredeemed Green Homes Grant Vouchers issued by 31</w:t>
      </w:r>
      <w:r>
        <w:rPr>
          <w:vertAlign w:val="superscript"/>
        </w:rPr>
        <w:t>st</w:t>
      </w:r>
      <w:r>
        <w:rPr>
          <w:vertAlign w:val="baseline"/>
        </w:rPr>
        <w:t xml:space="preserve"> March 2021; this scheme has now closed to further applications.</w:t>
      </w:r>
    </w:p>
    <w:p>
      <w:pPr>
        <w:pStyle w:val="ListParagraph"/>
        <w:numPr>
          <w:ilvl w:val="0"/>
          <w:numId w:val="3"/>
        </w:numPr>
        <w:tabs>
          <w:tab w:val="left" w:pos="727"/>
        </w:tabs>
        <w:spacing w:before="160" w:after="0" w:line="240" w:lineRule="auto"/>
        <w:ind w:left="726" w:right="0" w:hanging="327"/>
        <w:jc w:val="left"/>
        <w:rPr>
          <w:rFonts w:ascii="Calibri Light"/>
          <w:b w:val="0"/>
          <w:sz w:val="22"/>
        </w:rPr>
      </w:pPr>
      <w:r>
        <w:rPr>
          <w:rFonts w:ascii="Calibri Light"/>
          <w:b w:val="0"/>
          <w:color w:val="2F5495"/>
          <w:sz w:val="22"/>
        </w:rPr>
        <w:t>Taking action on climate change and</w:t>
      </w:r>
      <w:r>
        <w:rPr>
          <w:rFonts w:ascii="Calibri Light"/>
          <w:b w:val="0"/>
          <w:color w:val="2F5495"/>
          <w:spacing w:val="-4"/>
          <w:sz w:val="22"/>
        </w:rPr>
        <w:t xml:space="preserve"> </w:t>
      </w:r>
      <w:r>
        <w:rPr>
          <w:rFonts w:ascii="Calibri Light"/>
          <w:b w:val="0"/>
          <w:color w:val="2F5495"/>
          <w:sz w:val="22"/>
        </w:rPr>
        <w:t>decarbonisation</w:t>
      </w:r>
    </w:p>
    <w:p>
      <w:pPr>
        <w:pStyle w:val="BodyText"/>
        <w:spacing w:before="21" w:line="259" w:lineRule="auto"/>
        <w:ind w:left="1120" w:right="1296"/>
      </w:pPr>
      <w:r>
        <w:t>Resource AME spending on this subhead is forecast to be £8,000.2 million lower than in 2020-21 largely due to the budget for the movements in the fair value of Contracts for Difference (held by the Low Carbon Contracts Company) being requested each year in the Supplementary Estimate. The costs associated with Contracts for Difference are calculated nearer the end of the financial year as at this early stage of the year, any values used would be heavily estimated and run the risk of requesting resources in excess of those required.</w:t>
      </w:r>
    </w:p>
    <w:p>
      <w:pPr>
        <w:spacing w:after="0" w:line="259" w:lineRule="auto"/>
        <w:sectPr>
          <w:pgSz w:w="11910" w:h="16840"/>
          <w:pgMar w:top="1380" w:right="280" w:bottom="280" w:left="1040" w:header="720" w:footer="720"/>
          <w:cols w:space="720"/>
        </w:sectPr>
      </w:pPr>
    </w:p>
    <w:p>
      <w:pPr>
        <w:pStyle w:val="Heading3"/>
        <w:rPr>
          <w:b w:val="0"/>
        </w:rPr>
      </w:pPr>
      <w:r>
        <w:rPr>
          <w:b w:val="0"/>
          <w:color w:val="1F3864"/>
        </w:rPr>
        <w:t>Capital AME</w:t>
      </w:r>
    </w:p>
    <w:p>
      <w:pPr>
        <w:pStyle w:val="BodyText"/>
        <w:spacing w:before="23"/>
        <w:ind w:left="400"/>
      </w:pPr>
      <w:r>
        <w:t>The table below shows how spending plans for Capital AME compare with last year.</w:t>
      </w:r>
    </w:p>
    <w:p>
      <w:pPr>
        <w:pStyle w:val="BodyText"/>
        <w:spacing w:before="10"/>
        <w:rPr>
          <w:sz w:val="14"/>
        </w:rPr>
      </w:pPr>
    </w:p>
    <w:tbl>
      <w:tblPr>
        <w:tblW w:w="0" w:type="auto"/>
        <w:jc w:val="left"/>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80"/>
        <w:gridCol w:w="3314"/>
        <w:gridCol w:w="1560"/>
        <w:gridCol w:w="1274"/>
        <w:gridCol w:w="1135"/>
        <w:gridCol w:w="1133"/>
        <w:gridCol w:w="847"/>
      </w:tblGrid>
      <w:tr>
        <w:tblPrEx>
          <w:tblW w:w="0" w:type="auto"/>
          <w:jc w:val="left"/>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292"/>
          <w:jc w:val="left"/>
        </w:trPr>
        <w:tc>
          <w:tcPr>
            <w:tcW w:w="1080" w:type="dxa"/>
          </w:tcPr>
          <w:p>
            <w:pPr>
              <w:pStyle w:val="TableParagraph"/>
              <w:spacing w:before="23" w:line="249" w:lineRule="exact"/>
              <w:ind w:left="107"/>
              <w:rPr>
                <w:sz w:val="22"/>
              </w:rPr>
            </w:pPr>
            <w:r>
              <w:rPr>
                <w:sz w:val="22"/>
              </w:rPr>
              <w:t>Subheads</w:t>
            </w:r>
          </w:p>
        </w:tc>
        <w:tc>
          <w:tcPr>
            <w:tcW w:w="3314" w:type="dxa"/>
          </w:tcPr>
          <w:p>
            <w:pPr>
              <w:pStyle w:val="TableParagraph"/>
              <w:spacing w:before="23" w:line="249" w:lineRule="exact"/>
              <w:ind w:left="107"/>
              <w:rPr>
                <w:sz w:val="22"/>
              </w:rPr>
            </w:pPr>
            <w:r>
              <w:rPr>
                <w:sz w:val="22"/>
              </w:rPr>
              <w:t>Description</w:t>
            </w:r>
          </w:p>
        </w:tc>
        <w:tc>
          <w:tcPr>
            <w:tcW w:w="5949" w:type="dxa"/>
            <w:gridSpan w:val="5"/>
          </w:tcPr>
          <w:p>
            <w:pPr>
              <w:pStyle w:val="TableParagraph"/>
              <w:spacing w:line="272" w:lineRule="exact"/>
              <w:ind w:left="108"/>
              <w:rPr>
                <w:b/>
                <w:sz w:val="24"/>
              </w:rPr>
            </w:pPr>
            <w:r>
              <w:rPr>
                <w:b/>
                <w:sz w:val="24"/>
              </w:rPr>
              <w:t>Capital AME</w:t>
            </w:r>
          </w:p>
        </w:tc>
      </w:tr>
      <w:tr>
        <w:tblPrEx>
          <w:tblW w:w="0" w:type="auto"/>
          <w:jc w:val="left"/>
          <w:tblInd w:w="122" w:type="dxa"/>
          <w:tblLayout w:type="fixed"/>
          <w:tblCellMar>
            <w:top w:w="0" w:type="dxa"/>
            <w:left w:w="0" w:type="dxa"/>
            <w:bottom w:w="0" w:type="dxa"/>
            <w:right w:w="0" w:type="dxa"/>
          </w:tblCellMar>
          <w:tblLook w:val="01E0"/>
        </w:tblPrEx>
        <w:trPr>
          <w:trHeight w:val="273"/>
          <w:jc w:val="left"/>
        </w:trPr>
        <w:tc>
          <w:tcPr>
            <w:tcW w:w="1080" w:type="dxa"/>
          </w:tcPr>
          <w:p>
            <w:pPr>
              <w:pStyle w:val="TableParagraph"/>
              <w:rPr>
                <w:rFonts w:ascii="Times New Roman"/>
                <w:sz w:val="20"/>
              </w:rPr>
            </w:pPr>
          </w:p>
        </w:tc>
        <w:tc>
          <w:tcPr>
            <w:tcW w:w="3314" w:type="dxa"/>
          </w:tcPr>
          <w:p>
            <w:pPr>
              <w:pStyle w:val="TableParagraph"/>
              <w:rPr>
                <w:rFonts w:ascii="Times New Roman"/>
                <w:sz w:val="20"/>
              </w:rPr>
            </w:pPr>
          </w:p>
        </w:tc>
        <w:tc>
          <w:tcPr>
            <w:tcW w:w="3969" w:type="dxa"/>
            <w:gridSpan w:val="3"/>
          </w:tcPr>
          <w:p>
            <w:pPr>
              <w:pStyle w:val="TableParagraph"/>
              <w:spacing w:before="4" w:line="249" w:lineRule="exact"/>
              <w:ind w:left="109"/>
              <w:rPr>
                <w:sz w:val="22"/>
              </w:rPr>
            </w:pPr>
            <w:r>
              <w:rPr>
                <w:sz w:val="22"/>
              </w:rPr>
              <w:t>£ million</w:t>
            </w:r>
          </w:p>
        </w:tc>
        <w:tc>
          <w:tcPr>
            <w:tcW w:w="1133" w:type="dxa"/>
          </w:tcPr>
          <w:p>
            <w:pPr>
              <w:pStyle w:val="TableParagraph"/>
              <w:spacing w:before="4" w:line="249" w:lineRule="exact"/>
              <w:ind w:left="108"/>
              <w:rPr>
                <w:sz w:val="22"/>
              </w:rPr>
            </w:pPr>
            <w:r>
              <w:rPr>
                <w:w w:val="100"/>
                <w:sz w:val="22"/>
              </w:rPr>
              <w:t>%</w:t>
            </w:r>
          </w:p>
        </w:tc>
        <w:tc>
          <w:tcPr>
            <w:tcW w:w="847" w:type="dxa"/>
          </w:tcPr>
          <w:p>
            <w:pPr>
              <w:pStyle w:val="TableParagraph"/>
              <w:rPr>
                <w:rFonts w:ascii="Times New Roman"/>
                <w:sz w:val="20"/>
              </w:rPr>
            </w:pPr>
          </w:p>
        </w:tc>
      </w:tr>
      <w:tr>
        <w:tblPrEx>
          <w:tblW w:w="0" w:type="auto"/>
          <w:jc w:val="left"/>
          <w:tblInd w:w="122" w:type="dxa"/>
          <w:tblLayout w:type="fixed"/>
          <w:tblCellMar>
            <w:top w:w="0" w:type="dxa"/>
            <w:left w:w="0" w:type="dxa"/>
            <w:bottom w:w="0" w:type="dxa"/>
            <w:right w:w="0" w:type="dxa"/>
          </w:tblCellMar>
          <w:tblLook w:val="01E0"/>
        </w:tblPrEx>
        <w:trPr>
          <w:trHeight w:val="1463"/>
          <w:jc w:val="left"/>
        </w:trPr>
        <w:tc>
          <w:tcPr>
            <w:tcW w:w="1080" w:type="dxa"/>
          </w:tcPr>
          <w:p>
            <w:pPr>
              <w:pStyle w:val="TableParagraph"/>
              <w:rPr>
                <w:rFonts w:ascii="Times New Roman"/>
                <w:sz w:val="20"/>
              </w:rPr>
            </w:pPr>
          </w:p>
        </w:tc>
        <w:tc>
          <w:tcPr>
            <w:tcW w:w="3314" w:type="dxa"/>
          </w:tcPr>
          <w:p>
            <w:pPr>
              <w:pStyle w:val="TableParagraph"/>
              <w:rPr>
                <w:rFonts w:ascii="Times New Roman"/>
                <w:sz w:val="20"/>
              </w:rPr>
            </w:pPr>
          </w:p>
        </w:tc>
        <w:tc>
          <w:tcPr>
            <w:tcW w:w="1560" w:type="dxa"/>
          </w:tcPr>
          <w:p>
            <w:pPr>
              <w:pStyle w:val="TableParagraph"/>
              <w:rPr>
                <w:sz w:val="20"/>
              </w:rPr>
            </w:pPr>
          </w:p>
          <w:p>
            <w:pPr>
              <w:pStyle w:val="TableParagraph"/>
              <w:rPr>
                <w:sz w:val="20"/>
              </w:rPr>
            </w:pPr>
          </w:p>
          <w:p>
            <w:pPr>
              <w:pStyle w:val="TableParagraph"/>
              <w:ind w:left="108" w:right="244"/>
              <w:rPr>
                <w:i/>
                <w:sz w:val="20"/>
              </w:rPr>
            </w:pPr>
            <w:r>
              <w:rPr>
                <w:i/>
                <w:sz w:val="20"/>
              </w:rPr>
              <w:t xml:space="preserve">This year </w:t>
            </w:r>
            <w:r>
              <w:rPr>
                <w:i/>
                <w:sz w:val="20"/>
              </w:rPr>
              <w:t>(2021-22 Main</w:t>
            </w:r>
          </w:p>
          <w:p>
            <w:pPr>
              <w:pStyle w:val="TableParagraph"/>
              <w:spacing w:before="1" w:line="243" w:lineRule="exact"/>
              <w:ind w:left="108"/>
              <w:rPr>
                <w:i/>
                <w:sz w:val="20"/>
              </w:rPr>
            </w:pPr>
            <w:r>
              <w:rPr>
                <w:i/>
                <w:sz w:val="20"/>
              </w:rPr>
              <w:t>Estimates</w:t>
            </w:r>
          </w:p>
          <w:p>
            <w:pPr>
              <w:pStyle w:val="TableParagraph"/>
              <w:spacing w:line="222" w:lineRule="exact"/>
              <w:ind w:left="108"/>
              <w:rPr>
                <w:i/>
                <w:sz w:val="20"/>
              </w:rPr>
            </w:pPr>
            <w:r>
              <w:rPr>
                <w:i/>
                <w:sz w:val="20"/>
              </w:rPr>
              <w:t>budget sought)</w:t>
            </w:r>
          </w:p>
        </w:tc>
        <w:tc>
          <w:tcPr>
            <w:tcW w:w="1274" w:type="dxa"/>
          </w:tcPr>
          <w:p>
            <w:pPr>
              <w:pStyle w:val="TableParagraph"/>
              <w:spacing w:before="1"/>
              <w:ind w:left="105" w:right="422"/>
              <w:rPr>
                <w:i/>
                <w:sz w:val="20"/>
              </w:rPr>
            </w:pPr>
            <w:r>
              <w:rPr>
                <w:i/>
                <w:sz w:val="20"/>
              </w:rPr>
              <w:t xml:space="preserve">Last year </w:t>
            </w:r>
            <w:r>
              <w:rPr>
                <w:i/>
                <w:sz w:val="20"/>
              </w:rPr>
              <w:t>(2020-21</w:t>
            </w:r>
          </w:p>
          <w:p>
            <w:pPr>
              <w:pStyle w:val="TableParagraph"/>
              <w:ind w:left="105" w:right="349"/>
              <w:rPr>
                <w:i/>
                <w:sz w:val="20"/>
              </w:rPr>
            </w:pPr>
            <w:r>
              <w:rPr>
                <w:i/>
                <w:sz w:val="20"/>
              </w:rPr>
              <w:t xml:space="preserve">Supp </w:t>
            </w:r>
            <w:r>
              <w:rPr>
                <w:i/>
                <w:sz w:val="20"/>
              </w:rPr>
              <w:t>Estimates budget</w:t>
            </w:r>
          </w:p>
          <w:p>
            <w:pPr>
              <w:pStyle w:val="TableParagraph"/>
              <w:spacing w:line="223" w:lineRule="exact"/>
              <w:ind w:left="105"/>
              <w:rPr>
                <w:i/>
                <w:sz w:val="20"/>
              </w:rPr>
            </w:pPr>
            <w:r>
              <w:rPr>
                <w:i/>
                <w:sz w:val="20"/>
              </w:rPr>
              <w:t>approved)</w:t>
            </w:r>
          </w:p>
        </w:tc>
        <w:tc>
          <w:tcPr>
            <w:tcW w:w="2268" w:type="dxa"/>
            <w:gridSpan w:val="2"/>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12"/>
              <w:rPr>
                <w:sz w:val="19"/>
              </w:rPr>
            </w:pPr>
          </w:p>
          <w:p>
            <w:pPr>
              <w:pStyle w:val="TableParagraph"/>
              <w:spacing w:line="223" w:lineRule="exact"/>
              <w:ind w:left="108"/>
              <w:rPr>
                <w:sz w:val="20"/>
              </w:rPr>
            </w:pPr>
            <w:r>
              <w:rPr>
                <w:sz w:val="20"/>
              </w:rPr>
              <w:t>change from last year</w:t>
            </w:r>
          </w:p>
        </w:tc>
        <w:tc>
          <w:tcPr>
            <w:tcW w:w="847" w:type="dxa"/>
          </w:tcPr>
          <w:p>
            <w:pPr>
              <w:pStyle w:val="TableParagraph"/>
              <w:rPr>
                <w:sz w:val="20"/>
              </w:rPr>
            </w:pPr>
          </w:p>
          <w:p>
            <w:pPr>
              <w:pStyle w:val="TableParagraph"/>
              <w:rPr>
                <w:sz w:val="20"/>
              </w:rPr>
            </w:pPr>
          </w:p>
          <w:p>
            <w:pPr>
              <w:pStyle w:val="TableParagraph"/>
              <w:rPr>
                <w:sz w:val="20"/>
              </w:rPr>
            </w:pPr>
          </w:p>
          <w:p>
            <w:pPr>
              <w:pStyle w:val="TableParagraph"/>
              <w:spacing w:before="10"/>
              <w:rPr>
                <w:sz w:val="19"/>
              </w:rPr>
            </w:pPr>
          </w:p>
          <w:p>
            <w:pPr>
              <w:pStyle w:val="TableParagraph"/>
              <w:spacing w:line="242" w:lineRule="exact"/>
              <w:ind w:left="108" w:right="78"/>
              <w:rPr>
                <w:i/>
                <w:sz w:val="20"/>
              </w:rPr>
            </w:pPr>
            <w:r>
              <w:rPr>
                <w:i/>
                <w:sz w:val="20"/>
              </w:rPr>
              <w:t xml:space="preserve">note </w:t>
            </w:r>
            <w:r>
              <w:rPr>
                <w:i/>
                <w:sz w:val="20"/>
              </w:rPr>
              <w:t>number</w:t>
            </w:r>
          </w:p>
        </w:tc>
      </w:tr>
      <w:tr>
        <w:tblPrEx>
          <w:tblW w:w="0" w:type="auto"/>
          <w:jc w:val="left"/>
          <w:tblInd w:w="122" w:type="dxa"/>
          <w:tblLayout w:type="fixed"/>
          <w:tblCellMar>
            <w:top w:w="0" w:type="dxa"/>
            <w:left w:w="0" w:type="dxa"/>
            <w:bottom w:w="0" w:type="dxa"/>
            <w:right w:w="0" w:type="dxa"/>
          </w:tblCellMar>
          <w:tblLook w:val="01E0"/>
        </w:tblPrEx>
        <w:trPr>
          <w:trHeight w:val="558"/>
          <w:jc w:val="left"/>
        </w:trPr>
        <w:tc>
          <w:tcPr>
            <w:tcW w:w="1080" w:type="dxa"/>
          </w:tcPr>
          <w:p>
            <w:pPr>
              <w:pStyle w:val="TableParagraph"/>
              <w:spacing w:before="10"/>
              <w:rPr>
                <w:sz w:val="25"/>
              </w:rPr>
            </w:pPr>
          </w:p>
          <w:p>
            <w:pPr>
              <w:pStyle w:val="TableParagraph"/>
              <w:spacing w:line="223" w:lineRule="exact"/>
              <w:ind w:left="107"/>
              <w:rPr>
                <w:sz w:val="20"/>
              </w:rPr>
            </w:pPr>
            <w:r>
              <w:rPr>
                <w:sz w:val="20"/>
              </w:rPr>
              <w:t>T, AA</w:t>
            </w:r>
          </w:p>
        </w:tc>
        <w:tc>
          <w:tcPr>
            <w:tcW w:w="3314" w:type="dxa"/>
          </w:tcPr>
          <w:p>
            <w:pPr>
              <w:pStyle w:val="TableParagraph"/>
              <w:spacing w:before="70" w:line="242" w:lineRule="exact"/>
              <w:ind w:left="107" w:right="694"/>
              <w:rPr>
                <w:sz w:val="20"/>
              </w:rPr>
            </w:pPr>
            <w:r>
              <w:rPr>
                <w:sz w:val="20"/>
              </w:rPr>
              <w:t>Deliver an ambitious industrial strategy</w:t>
            </w:r>
          </w:p>
        </w:tc>
        <w:tc>
          <w:tcPr>
            <w:tcW w:w="1560" w:type="dxa"/>
          </w:tcPr>
          <w:p>
            <w:pPr>
              <w:pStyle w:val="TableParagraph"/>
              <w:spacing w:before="10"/>
              <w:rPr>
                <w:sz w:val="25"/>
              </w:rPr>
            </w:pPr>
          </w:p>
          <w:p>
            <w:pPr>
              <w:pStyle w:val="TableParagraph"/>
              <w:spacing w:line="223" w:lineRule="exact"/>
              <w:ind w:right="97"/>
              <w:jc w:val="right"/>
              <w:rPr>
                <w:sz w:val="20"/>
              </w:rPr>
            </w:pPr>
            <w:r>
              <w:rPr>
                <w:w w:val="95"/>
                <w:sz w:val="20"/>
              </w:rPr>
              <w:t>10.0</w:t>
            </w:r>
          </w:p>
        </w:tc>
        <w:tc>
          <w:tcPr>
            <w:tcW w:w="1274" w:type="dxa"/>
          </w:tcPr>
          <w:p>
            <w:pPr>
              <w:pStyle w:val="TableParagraph"/>
              <w:spacing w:before="10"/>
              <w:rPr>
                <w:sz w:val="25"/>
              </w:rPr>
            </w:pPr>
          </w:p>
          <w:p>
            <w:pPr>
              <w:pStyle w:val="TableParagraph"/>
              <w:spacing w:line="223" w:lineRule="exact"/>
              <w:ind w:right="97"/>
              <w:jc w:val="right"/>
              <w:rPr>
                <w:sz w:val="20"/>
              </w:rPr>
            </w:pPr>
            <w:r>
              <w:rPr>
                <w:sz w:val="20"/>
              </w:rPr>
              <w:t>10.0</w:t>
            </w:r>
          </w:p>
        </w:tc>
        <w:tc>
          <w:tcPr>
            <w:tcW w:w="1135" w:type="dxa"/>
          </w:tcPr>
          <w:p>
            <w:pPr>
              <w:pStyle w:val="TableParagraph"/>
              <w:spacing w:before="10"/>
              <w:rPr>
                <w:sz w:val="25"/>
              </w:rPr>
            </w:pPr>
          </w:p>
          <w:p>
            <w:pPr>
              <w:pStyle w:val="TableParagraph"/>
              <w:spacing w:line="223" w:lineRule="exact"/>
              <w:ind w:right="99"/>
              <w:jc w:val="right"/>
              <w:rPr>
                <w:b/>
                <w:sz w:val="20"/>
              </w:rPr>
            </w:pPr>
            <w:r>
              <w:rPr>
                <w:b/>
                <w:w w:val="99"/>
                <w:sz w:val="20"/>
              </w:rPr>
              <w:t>-</w:t>
            </w:r>
          </w:p>
        </w:tc>
        <w:tc>
          <w:tcPr>
            <w:tcW w:w="1133" w:type="dxa"/>
          </w:tcPr>
          <w:p>
            <w:pPr>
              <w:pStyle w:val="TableParagraph"/>
              <w:spacing w:before="10"/>
              <w:rPr>
                <w:sz w:val="25"/>
              </w:rPr>
            </w:pPr>
          </w:p>
          <w:p>
            <w:pPr>
              <w:pStyle w:val="TableParagraph"/>
              <w:spacing w:line="223" w:lineRule="exact"/>
              <w:ind w:right="96"/>
              <w:jc w:val="right"/>
              <w:rPr>
                <w:b/>
                <w:sz w:val="20"/>
              </w:rPr>
            </w:pPr>
            <w:r>
              <w:rPr>
                <w:b/>
                <w:w w:val="99"/>
                <w:sz w:val="20"/>
              </w:rPr>
              <w:t>-</w:t>
            </w:r>
          </w:p>
        </w:tc>
        <w:tc>
          <w:tcPr>
            <w:tcW w:w="847" w:type="dxa"/>
          </w:tcPr>
          <w:p>
            <w:pPr>
              <w:pStyle w:val="TableParagraph"/>
              <w:rPr>
                <w:rFonts w:ascii="Times New Roman"/>
                <w:sz w:val="20"/>
              </w:rPr>
            </w:pPr>
          </w:p>
        </w:tc>
      </w:tr>
      <w:tr>
        <w:tblPrEx>
          <w:tblW w:w="0" w:type="auto"/>
          <w:jc w:val="left"/>
          <w:tblInd w:w="122" w:type="dxa"/>
          <w:tblLayout w:type="fixed"/>
          <w:tblCellMar>
            <w:top w:w="0" w:type="dxa"/>
            <w:left w:w="0" w:type="dxa"/>
            <w:bottom w:w="0" w:type="dxa"/>
            <w:right w:w="0" w:type="dxa"/>
          </w:tblCellMar>
          <w:tblLook w:val="01E0"/>
        </w:tblPrEx>
        <w:trPr>
          <w:trHeight w:val="489"/>
          <w:jc w:val="left"/>
        </w:trPr>
        <w:tc>
          <w:tcPr>
            <w:tcW w:w="1080" w:type="dxa"/>
          </w:tcPr>
          <w:p>
            <w:pPr>
              <w:pStyle w:val="TableParagraph"/>
              <w:spacing w:before="2"/>
              <w:rPr>
                <w:sz w:val="20"/>
              </w:rPr>
            </w:pPr>
          </w:p>
          <w:p>
            <w:pPr>
              <w:pStyle w:val="TableParagraph"/>
              <w:spacing w:line="223" w:lineRule="exact"/>
              <w:ind w:left="107"/>
              <w:rPr>
                <w:sz w:val="20"/>
              </w:rPr>
            </w:pPr>
            <w:r>
              <w:rPr>
                <w:sz w:val="20"/>
              </w:rPr>
              <w:t>V, AC, AH</w:t>
            </w:r>
          </w:p>
        </w:tc>
        <w:tc>
          <w:tcPr>
            <w:tcW w:w="3314" w:type="dxa"/>
          </w:tcPr>
          <w:p>
            <w:pPr>
              <w:pStyle w:val="TableParagraph"/>
              <w:spacing w:before="1" w:line="240" w:lineRule="atLeast"/>
              <w:ind w:left="107" w:right="694"/>
              <w:rPr>
                <w:sz w:val="20"/>
              </w:rPr>
            </w:pPr>
            <w:r>
              <w:rPr>
                <w:sz w:val="20"/>
              </w:rPr>
              <w:t>Managing our energy legacy safely and responsibly</w:t>
            </w:r>
          </w:p>
        </w:tc>
        <w:tc>
          <w:tcPr>
            <w:tcW w:w="1560" w:type="dxa"/>
          </w:tcPr>
          <w:p>
            <w:pPr>
              <w:pStyle w:val="TableParagraph"/>
              <w:spacing w:before="2"/>
              <w:rPr>
                <w:sz w:val="20"/>
              </w:rPr>
            </w:pPr>
          </w:p>
          <w:p>
            <w:pPr>
              <w:pStyle w:val="TableParagraph"/>
              <w:spacing w:line="223" w:lineRule="exact"/>
              <w:ind w:right="98"/>
              <w:jc w:val="right"/>
              <w:rPr>
                <w:sz w:val="20"/>
              </w:rPr>
            </w:pPr>
            <w:r>
              <w:rPr>
                <w:sz w:val="20"/>
              </w:rPr>
              <w:t>-119.3</w:t>
            </w:r>
          </w:p>
        </w:tc>
        <w:tc>
          <w:tcPr>
            <w:tcW w:w="1274" w:type="dxa"/>
          </w:tcPr>
          <w:p>
            <w:pPr>
              <w:pStyle w:val="TableParagraph"/>
              <w:spacing w:before="2"/>
              <w:rPr>
                <w:sz w:val="20"/>
              </w:rPr>
            </w:pPr>
          </w:p>
          <w:p>
            <w:pPr>
              <w:pStyle w:val="TableParagraph"/>
              <w:spacing w:line="223" w:lineRule="exact"/>
              <w:ind w:right="98"/>
              <w:jc w:val="right"/>
              <w:rPr>
                <w:sz w:val="20"/>
              </w:rPr>
            </w:pPr>
            <w:r>
              <w:rPr>
                <w:sz w:val="20"/>
              </w:rPr>
              <w:t>-115.1</w:t>
            </w:r>
          </w:p>
        </w:tc>
        <w:tc>
          <w:tcPr>
            <w:tcW w:w="1135" w:type="dxa"/>
          </w:tcPr>
          <w:p>
            <w:pPr>
              <w:pStyle w:val="TableParagraph"/>
              <w:spacing w:before="2"/>
              <w:rPr>
                <w:sz w:val="20"/>
              </w:rPr>
            </w:pPr>
          </w:p>
          <w:p>
            <w:pPr>
              <w:pStyle w:val="TableParagraph"/>
              <w:spacing w:line="223" w:lineRule="exact"/>
              <w:ind w:right="99"/>
              <w:jc w:val="right"/>
              <w:rPr>
                <w:b/>
                <w:sz w:val="20"/>
              </w:rPr>
            </w:pPr>
            <w:r>
              <w:rPr>
                <w:b/>
                <w:sz w:val="20"/>
              </w:rPr>
              <w:t>-4.3</w:t>
            </w:r>
          </w:p>
        </w:tc>
        <w:tc>
          <w:tcPr>
            <w:tcW w:w="1133" w:type="dxa"/>
          </w:tcPr>
          <w:p>
            <w:pPr>
              <w:pStyle w:val="TableParagraph"/>
              <w:spacing w:before="2"/>
              <w:rPr>
                <w:sz w:val="20"/>
              </w:rPr>
            </w:pPr>
          </w:p>
          <w:p>
            <w:pPr>
              <w:pStyle w:val="TableParagraph"/>
              <w:spacing w:line="223" w:lineRule="exact"/>
              <w:ind w:right="99"/>
              <w:jc w:val="right"/>
              <w:rPr>
                <w:b/>
                <w:sz w:val="20"/>
              </w:rPr>
            </w:pPr>
            <w:r>
              <w:rPr>
                <w:b/>
                <w:w w:val="95"/>
                <w:sz w:val="20"/>
              </w:rPr>
              <w:t>-3.7%</w:t>
            </w:r>
          </w:p>
        </w:tc>
        <w:tc>
          <w:tcPr>
            <w:tcW w:w="847" w:type="dxa"/>
          </w:tcPr>
          <w:p>
            <w:pPr>
              <w:pStyle w:val="TableParagraph"/>
              <w:rPr>
                <w:rFonts w:ascii="Times New Roman"/>
                <w:sz w:val="20"/>
              </w:rPr>
            </w:pPr>
          </w:p>
        </w:tc>
      </w:tr>
      <w:tr>
        <w:tblPrEx>
          <w:tblW w:w="0" w:type="auto"/>
          <w:jc w:val="left"/>
          <w:tblInd w:w="122" w:type="dxa"/>
          <w:tblLayout w:type="fixed"/>
          <w:tblCellMar>
            <w:top w:w="0" w:type="dxa"/>
            <w:left w:w="0" w:type="dxa"/>
            <w:bottom w:w="0" w:type="dxa"/>
            <w:right w:w="0" w:type="dxa"/>
          </w:tblCellMar>
          <w:tblLook w:val="01E0"/>
        </w:tblPrEx>
        <w:trPr>
          <w:trHeight w:val="273"/>
          <w:jc w:val="left"/>
        </w:trPr>
        <w:tc>
          <w:tcPr>
            <w:tcW w:w="1080" w:type="dxa"/>
          </w:tcPr>
          <w:p>
            <w:pPr>
              <w:pStyle w:val="TableParagraph"/>
              <w:spacing w:before="30" w:line="223" w:lineRule="exact"/>
              <w:ind w:left="107"/>
              <w:rPr>
                <w:sz w:val="20"/>
              </w:rPr>
            </w:pPr>
            <w:r>
              <w:rPr>
                <w:sz w:val="20"/>
              </w:rPr>
              <w:t>W, AD</w:t>
            </w:r>
          </w:p>
        </w:tc>
        <w:tc>
          <w:tcPr>
            <w:tcW w:w="3314" w:type="dxa"/>
          </w:tcPr>
          <w:p>
            <w:pPr>
              <w:pStyle w:val="TableParagraph"/>
              <w:spacing w:before="30" w:line="223" w:lineRule="exact"/>
              <w:ind w:left="107"/>
              <w:rPr>
                <w:sz w:val="20"/>
              </w:rPr>
            </w:pPr>
            <w:r>
              <w:rPr>
                <w:sz w:val="20"/>
              </w:rPr>
              <w:t>Science and Research</w:t>
            </w:r>
          </w:p>
        </w:tc>
        <w:tc>
          <w:tcPr>
            <w:tcW w:w="1560" w:type="dxa"/>
          </w:tcPr>
          <w:p>
            <w:pPr>
              <w:pStyle w:val="TableParagraph"/>
              <w:spacing w:before="30" w:line="223" w:lineRule="exact"/>
              <w:ind w:right="98"/>
              <w:jc w:val="right"/>
              <w:rPr>
                <w:sz w:val="20"/>
              </w:rPr>
            </w:pPr>
            <w:r>
              <w:rPr>
                <w:sz w:val="20"/>
              </w:rPr>
              <w:t>-51.4</w:t>
            </w:r>
          </w:p>
        </w:tc>
        <w:tc>
          <w:tcPr>
            <w:tcW w:w="1274" w:type="dxa"/>
          </w:tcPr>
          <w:p>
            <w:pPr>
              <w:pStyle w:val="TableParagraph"/>
              <w:spacing w:before="30" w:line="223" w:lineRule="exact"/>
              <w:ind w:right="96"/>
              <w:jc w:val="right"/>
              <w:rPr>
                <w:sz w:val="20"/>
              </w:rPr>
            </w:pPr>
            <w:r>
              <w:rPr>
                <w:w w:val="99"/>
                <w:sz w:val="20"/>
              </w:rPr>
              <w:t>-</w:t>
            </w:r>
          </w:p>
        </w:tc>
        <w:tc>
          <w:tcPr>
            <w:tcW w:w="1135" w:type="dxa"/>
          </w:tcPr>
          <w:p>
            <w:pPr>
              <w:pStyle w:val="TableParagraph"/>
              <w:spacing w:before="30" w:line="223" w:lineRule="exact"/>
              <w:ind w:right="100"/>
              <w:jc w:val="right"/>
              <w:rPr>
                <w:b/>
                <w:sz w:val="20"/>
              </w:rPr>
            </w:pPr>
            <w:r>
              <w:rPr>
                <w:b/>
                <w:w w:val="95"/>
                <w:sz w:val="20"/>
              </w:rPr>
              <w:t>-51.4</w:t>
            </w:r>
          </w:p>
        </w:tc>
        <w:tc>
          <w:tcPr>
            <w:tcW w:w="1133" w:type="dxa"/>
          </w:tcPr>
          <w:p>
            <w:pPr>
              <w:pStyle w:val="TableParagraph"/>
              <w:spacing w:before="30" w:line="223" w:lineRule="exact"/>
              <w:ind w:right="95"/>
              <w:jc w:val="right"/>
              <w:rPr>
                <w:b/>
                <w:sz w:val="20"/>
              </w:rPr>
            </w:pPr>
            <w:r>
              <w:rPr>
                <w:b/>
                <w:sz w:val="20"/>
              </w:rPr>
              <w:t>n/a</w:t>
            </w:r>
          </w:p>
        </w:tc>
        <w:tc>
          <w:tcPr>
            <w:tcW w:w="847" w:type="dxa"/>
          </w:tcPr>
          <w:p>
            <w:pPr>
              <w:pStyle w:val="TableParagraph"/>
              <w:spacing w:before="30" w:line="223" w:lineRule="exact"/>
              <w:ind w:right="94"/>
              <w:jc w:val="right"/>
              <w:rPr>
                <w:sz w:val="20"/>
              </w:rPr>
            </w:pPr>
            <w:r>
              <w:rPr>
                <w:w w:val="95"/>
                <w:sz w:val="20"/>
              </w:rPr>
              <w:t>27</w:t>
            </w:r>
          </w:p>
        </w:tc>
      </w:tr>
      <w:tr>
        <w:tblPrEx>
          <w:tblW w:w="0" w:type="auto"/>
          <w:jc w:val="left"/>
          <w:tblInd w:w="122" w:type="dxa"/>
          <w:tblLayout w:type="fixed"/>
          <w:tblCellMar>
            <w:top w:w="0" w:type="dxa"/>
            <w:left w:w="0" w:type="dxa"/>
            <w:bottom w:w="0" w:type="dxa"/>
            <w:right w:w="0" w:type="dxa"/>
          </w:tblCellMar>
          <w:tblLook w:val="01E0"/>
        </w:tblPrEx>
        <w:trPr>
          <w:trHeight w:val="270"/>
          <w:jc w:val="left"/>
        </w:trPr>
        <w:tc>
          <w:tcPr>
            <w:tcW w:w="1080" w:type="dxa"/>
          </w:tcPr>
          <w:p>
            <w:pPr>
              <w:pStyle w:val="TableParagraph"/>
              <w:spacing w:before="27" w:line="223" w:lineRule="exact"/>
              <w:ind w:left="107"/>
              <w:rPr>
                <w:sz w:val="20"/>
              </w:rPr>
            </w:pPr>
            <w:r>
              <w:rPr>
                <w:sz w:val="20"/>
              </w:rPr>
              <w:t>Y, AF</w:t>
            </w:r>
          </w:p>
        </w:tc>
        <w:tc>
          <w:tcPr>
            <w:tcW w:w="3314" w:type="dxa"/>
          </w:tcPr>
          <w:p>
            <w:pPr>
              <w:pStyle w:val="TableParagraph"/>
              <w:spacing w:before="27" w:line="223" w:lineRule="exact"/>
              <w:ind w:left="107"/>
              <w:rPr>
                <w:sz w:val="20"/>
              </w:rPr>
            </w:pPr>
            <w:r>
              <w:rPr>
                <w:sz w:val="20"/>
              </w:rPr>
              <w:t>Government as Shareholder</w:t>
            </w:r>
          </w:p>
        </w:tc>
        <w:tc>
          <w:tcPr>
            <w:tcW w:w="1560" w:type="dxa"/>
          </w:tcPr>
          <w:p>
            <w:pPr>
              <w:pStyle w:val="TableParagraph"/>
              <w:spacing w:before="27" w:line="223" w:lineRule="exact"/>
              <w:ind w:right="98"/>
              <w:jc w:val="right"/>
              <w:rPr>
                <w:sz w:val="20"/>
              </w:rPr>
            </w:pPr>
            <w:r>
              <w:rPr>
                <w:w w:val="95"/>
                <w:sz w:val="20"/>
              </w:rPr>
              <w:t>1,759.8</w:t>
            </w:r>
          </w:p>
        </w:tc>
        <w:tc>
          <w:tcPr>
            <w:tcW w:w="1274" w:type="dxa"/>
          </w:tcPr>
          <w:p>
            <w:pPr>
              <w:pStyle w:val="TableParagraph"/>
              <w:spacing w:before="27" w:line="223" w:lineRule="exact"/>
              <w:ind w:right="97"/>
              <w:jc w:val="right"/>
              <w:rPr>
                <w:sz w:val="20"/>
              </w:rPr>
            </w:pPr>
            <w:r>
              <w:rPr>
                <w:w w:val="95"/>
                <w:sz w:val="20"/>
              </w:rPr>
              <w:t>32,229.6</w:t>
            </w:r>
          </w:p>
        </w:tc>
        <w:tc>
          <w:tcPr>
            <w:tcW w:w="1135" w:type="dxa"/>
          </w:tcPr>
          <w:p>
            <w:pPr>
              <w:pStyle w:val="TableParagraph"/>
              <w:spacing w:before="27" w:line="223" w:lineRule="exact"/>
              <w:ind w:right="100"/>
              <w:jc w:val="right"/>
              <w:rPr>
                <w:b/>
                <w:sz w:val="20"/>
              </w:rPr>
            </w:pPr>
            <w:r>
              <w:rPr>
                <w:b/>
                <w:w w:val="95"/>
                <w:sz w:val="20"/>
              </w:rPr>
              <w:t>-30,469.8</w:t>
            </w:r>
          </w:p>
        </w:tc>
        <w:tc>
          <w:tcPr>
            <w:tcW w:w="1133" w:type="dxa"/>
          </w:tcPr>
          <w:p>
            <w:pPr>
              <w:pStyle w:val="TableParagraph"/>
              <w:spacing w:before="27" w:line="223" w:lineRule="exact"/>
              <w:ind w:right="99"/>
              <w:jc w:val="right"/>
              <w:rPr>
                <w:b/>
                <w:sz w:val="20"/>
              </w:rPr>
            </w:pPr>
            <w:r>
              <w:rPr>
                <w:b/>
                <w:w w:val="95"/>
                <w:sz w:val="20"/>
              </w:rPr>
              <w:t>-94.5%</w:t>
            </w:r>
          </w:p>
        </w:tc>
        <w:tc>
          <w:tcPr>
            <w:tcW w:w="847" w:type="dxa"/>
          </w:tcPr>
          <w:p>
            <w:pPr>
              <w:pStyle w:val="TableParagraph"/>
              <w:spacing w:before="27" w:line="223" w:lineRule="exact"/>
              <w:ind w:right="94"/>
              <w:jc w:val="right"/>
              <w:rPr>
                <w:sz w:val="20"/>
              </w:rPr>
            </w:pPr>
            <w:r>
              <w:rPr>
                <w:w w:val="95"/>
                <w:sz w:val="20"/>
              </w:rPr>
              <w:t>28</w:t>
            </w:r>
          </w:p>
        </w:tc>
      </w:tr>
      <w:tr>
        <w:tblPrEx>
          <w:tblW w:w="0" w:type="auto"/>
          <w:jc w:val="left"/>
          <w:tblInd w:w="122" w:type="dxa"/>
          <w:tblLayout w:type="fixed"/>
          <w:tblCellMar>
            <w:top w:w="0" w:type="dxa"/>
            <w:left w:w="0" w:type="dxa"/>
            <w:bottom w:w="0" w:type="dxa"/>
            <w:right w:w="0" w:type="dxa"/>
          </w:tblCellMar>
          <w:tblLook w:val="01E0"/>
        </w:tblPrEx>
        <w:trPr>
          <w:trHeight w:val="489"/>
          <w:jc w:val="left"/>
        </w:trPr>
        <w:tc>
          <w:tcPr>
            <w:tcW w:w="1080" w:type="dxa"/>
          </w:tcPr>
          <w:p>
            <w:pPr>
              <w:pStyle w:val="TableParagraph"/>
              <w:rPr>
                <w:rFonts w:ascii="Times New Roman"/>
                <w:sz w:val="20"/>
              </w:rPr>
            </w:pPr>
          </w:p>
        </w:tc>
        <w:tc>
          <w:tcPr>
            <w:tcW w:w="3314" w:type="dxa"/>
          </w:tcPr>
          <w:p>
            <w:pPr>
              <w:pStyle w:val="TableParagraph"/>
              <w:spacing w:before="1" w:line="240" w:lineRule="atLeast"/>
              <w:ind w:left="107" w:right="218"/>
              <w:rPr>
                <w:sz w:val="20"/>
              </w:rPr>
            </w:pPr>
            <w:r>
              <w:rPr>
                <w:sz w:val="20"/>
              </w:rPr>
              <w:t>Taking action on climate change and decarbonisation</w:t>
            </w:r>
          </w:p>
        </w:tc>
        <w:tc>
          <w:tcPr>
            <w:tcW w:w="1560" w:type="dxa"/>
          </w:tcPr>
          <w:p>
            <w:pPr>
              <w:pStyle w:val="TableParagraph"/>
              <w:spacing w:before="2"/>
              <w:rPr>
                <w:sz w:val="20"/>
              </w:rPr>
            </w:pPr>
          </w:p>
          <w:p>
            <w:pPr>
              <w:pStyle w:val="TableParagraph"/>
              <w:spacing w:line="223" w:lineRule="exact"/>
              <w:ind w:right="97"/>
              <w:jc w:val="right"/>
              <w:rPr>
                <w:sz w:val="20"/>
              </w:rPr>
            </w:pPr>
            <w:r>
              <w:rPr>
                <w:w w:val="99"/>
                <w:sz w:val="20"/>
              </w:rPr>
              <w:t>-</w:t>
            </w:r>
          </w:p>
        </w:tc>
        <w:tc>
          <w:tcPr>
            <w:tcW w:w="1274" w:type="dxa"/>
          </w:tcPr>
          <w:p>
            <w:pPr>
              <w:pStyle w:val="TableParagraph"/>
              <w:spacing w:before="2"/>
              <w:rPr>
                <w:sz w:val="20"/>
              </w:rPr>
            </w:pPr>
          </w:p>
          <w:p>
            <w:pPr>
              <w:pStyle w:val="TableParagraph"/>
              <w:spacing w:line="223" w:lineRule="exact"/>
              <w:ind w:right="97"/>
              <w:jc w:val="right"/>
              <w:rPr>
                <w:sz w:val="20"/>
              </w:rPr>
            </w:pPr>
            <w:r>
              <w:rPr>
                <w:sz w:val="20"/>
              </w:rPr>
              <w:t>3.3</w:t>
            </w:r>
          </w:p>
        </w:tc>
        <w:tc>
          <w:tcPr>
            <w:tcW w:w="1135" w:type="dxa"/>
          </w:tcPr>
          <w:p>
            <w:pPr>
              <w:pStyle w:val="TableParagraph"/>
              <w:spacing w:before="2"/>
              <w:rPr>
                <w:sz w:val="20"/>
              </w:rPr>
            </w:pPr>
          </w:p>
          <w:p>
            <w:pPr>
              <w:pStyle w:val="TableParagraph"/>
              <w:spacing w:line="223" w:lineRule="exact"/>
              <w:ind w:right="99"/>
              <w:jc w:val="right"/>
              <w:rPr>
                <w:b/>
                <w:sz w:val="20"/>
              </w:rPr>
            </w:pPr>
            <w:r>
              <w:rPr>
                <w:b/>
                <w:sz w:val="20"/>
              </w:rPr>
              <w:t>-3.3</w:t>
            </w:r>
          </w:p>
        </w:tc>
        <w:tc>
          <w:tcPr>
            <w:tcW w:w="1133" w:type="dxa"/>
          </w:tcPr>
          <w:p>
            <w:pPr>
              <w:pStyle w:val="TableParagraph"/>
              <w:spacing w:before="2"/>
              <w:rPr>
                <w:sz w:val="20"/>
              </w:rPr>
            </w:pPr>
          </w:p>
          <w:p>
            <w:pPr>
              <w:pStyle w:val="TableParagraph"/>
              <w:spacing w:line="223" w:lineRule="exact"/>
              <w:ind w:right="96"/>
              <w:jc w:val="right"/>
              <w:rPr>
                <w:b/>
                <w:sz w:val="20"/>
              </w:rPr>
            </w:pPr>
            <w:r>
              <w:rPr>
                <w:b/>
                <w:sz w:val="20"/>
              </w:rPr>
              <w:t>-100.0%</w:t>
            </w:r>
          </w:p>
        </w:tc>
        <w:tc>
          <w:tcPr>
            <w:tcW w:w="847" w:type="dxa"/>
          </w:tcPr>
          <w:p>
            <w:pPr>
              <w:pStyle w:val="TableParagraph"/>
              <w:rPr>
                <w:rFonts w:ascii="Times New Roman"/>
                <w:sz w:val="20"/>
              </w:rPr>
            </w:pPr>
          </w:p>
        </w:tc>
      </w:tr>
      <w:tr>
        <w:tblPrEx>
          <w:tblW w:w="0" w:type="auto"/>
          <w:jc w:val="left"/>
          <w:tblInd w:w="122" w:type="dxa"/>
          <w:tblLayout w:type="fixed"/>
          <w:tblCellMar>
            <w:top w:w="0" w:type="dxa"/>
            <w:left w:w="0" w:type="dxa"/>
            <w:bottom w:w="0" w:type="dxa"/>
            <w:right w:w="0" w:type="dxa"/>
          </w:tblCellMar>
          <w:tblLook w:val="01E0"/>
        </w:tblPrEx>
        <w:trPr>
          <w:trHeight w:val="270"/>
          <w:jc w:val="left"/>
        </w:trPr>
        <w:tc>
          <w:tcPr>
            <w:tcW w:w="1080" w:type="dxa"/>
          </w:tcPr>
          <w:p>
            <w:pPr>
              <w:pStyle w:val="TableParagraph"/>
              <w:rPr>
                <w:rFonts w:ascii="Times New Roman"/>
                <w:sz w:val="20"/>
              </w:rPr>
            </w:pPr>
          </w:p>
        </w:tc>
        <w:tc>
          <w:tcPr>
            <w:tcW w:w="3314" w:type="dxa"/>
          </w:tcPr>
          <w:p>
            <w:pPr>
              <w:pStyle w:val="TableParagraph"/>
              <w:spacing w:before="27" w:line="223" w:lineRule="exact"/>
              <w:ind w:left="107"/>
              <w:rPr>
                <w:sz w:val="20"/>
              </w:rPr>
            </w:pPr>
            <w:r>
              <w:rPr>
                <w:sz w:val="20"/>
              </w:rPr>
              <w:t>Total voted and non voted</w:t>
            </w:r>
          </w:p>
        </w:tc>
        <w:tc>
          <w:tcPr>
            <w:tcW w:w="1560" w:type="dxa"/>
          </w:tcPr>
          <w:p>
            <w:pPr>
              <w:pStyle w:val="TableParagraph"/>
              <w:spacing w:before="27" w:line="223" w:lineRule="exact"/>
              <w:ind w:right="98"/>
              <w:jc w:val="right"/>
              <w:rPr>
                <w:sz w:val="20"/>
              </w:rPr>
            </w:pPr>
            <w:r>
              <w:rPr>
                <w:w w:val="95"/>
                <w:sz w:val="20"/>
              </w:rPr>
              <w:t>1,599.1</w:t>
            </w:r>
          </w:p>
        </w:tc>
        <w:tc>
          <w:tcPr>
            <w:tcW w:w="1274" w:type="dxa"/>
          </w:tcPr>
          <w:p>
            <w:pPr>
              <w:pStyle w:val="TableParagraph"/>
              <w:spacing w:before="27" w:line="223" w:lineRule="exact"/>
              <w:ind w:right="97"/>
              <w:jc w:val="right"/>
              <w:rPr>
                <w:sz w:val="20"/>
              </w:rPr>
            </w:pPr>
            <w:r>
              <w:rPr>
                <w:w w:val="95"/>
                <w:sz w:val="20"/>
              </w:rPr>
              <w:t>32,127.8</w:t>
            </w:r>
          </w:p>
        </w:tc>
        <w:tc>
          <w:tcPr>
            <w:tcW w:w="1135" w:type="dxa"/>
          </w:tcPr>
          <w:p>
            <w:pPr>
              <w:pStyle w:val="TableParagraph"/>
              <w:spacing w:before="27" w:line="223" w:lineRule="exact"/>
              <w:ind w:right="100"/>
              <w:jc w:val="right"/>
              <w:rPr>
                <w:b/>
                <w:sz w:val="20"/>
              </w:rPr>
            </w:pPr>
            <w:r>
              <w:rPr>
                <w:b/>
                <w:w w:val="95"/>
                <w:sz w:val="20"/>
              </w:rPr>
              <w:t>-30,528.7</w:t>
            </w:r>
          </w:p>
        </w:tc>
        <w:tc>
          <w:tcPr>
            <w:tcW w:w="1133" w:type="dxa"/>
          </w:tcPr>
          <w:p>
            <w:pPr>
              <w:pStyle w:val="TableParagraph"/>
              <w:spacing w:before="27" w:line="223" w:lineRule="exact"/>
              <w:ind w:right="99"/>
              <w:jc w:val="right"/>
              <w:rPr>
                <w:b/>
                <w:sz w:val="20"/>
              </w:rPr>
            </w:pPr>
            <w:r>
              <w:rPr>
                <w:b/>
                <w:w w:val="95"/>
                <w:sz w:val="20"/>
              </w:rPr>
              <w:t>-95.0%</w:t>
            </w:r>
          </w:p>
        </w:tc>
        <w:tc>
          <w:tcPr>
            <w:tcW w:w="847" w:type="dxa"/>
          </w:tcPr>
          <w:p>
            <w:pPr>
              <w:pStyle w:val="TableParagraph"/>
              <w:rPr>
                <w:rFonts w:ascii="Times New Roman"/>
                <w:sz w:val="20"/>
              </w:rPr>
            </w:pPr>
          </w:p>
        </w:tc>
      </w:tr>
    </w:tbl>
    <w:p>
      <w:pPr>
        <w:pStyle w:val="BodyText"/>
      </w:pPr>
    </w:p>
    <w:p>
      <w:pPr>
        <w:pStyle w:val="ListParagraph"/>
        <w:numPr>
          <w:ilvl w:val="0"/>
          <w:numId w:val="3"/>
        </w:numPr>
        <w:tabs>
          <w:tab w:val="left" w:pos="728"/>
        </w:tabs>
        <w:spacing w:before="182" w:after="0" w:line="240" w:lineRule="auto"/>
        <w:ind w:left="727" w:right="0" w:hanging="328"/>
        <w:jc w:val="left"/>
        <w:rPr>
          <w:rFonts w:ascii="Calibri Light"/>
          <w:b w:val="0"/>
          <w:sz w:val="22"/>
        </w:rPr>
      </w:pPr>
      <w:r>
        <w:rPr>
          <w:rFonts w:ascii="Calibri Light"/>
          <w:b w:val="0"/>
          <w:color w:val="2F5495"/>
          <w:sz w:val="22"/>
        </w:rPr>
        <w:t>Science and Research</w:t>
      </w:r>
    </w:p>
    <w:p>
      <w:pPr>
        <w:pStyle w:val="BodyText"/>
        <w:spacing w:before="22" w:line="259" w:lineRule="auto"/>
        <w:ind w:left="1120" w:right="1227"/>
      </w:pPr>
      <w:r>
        <w:t>Capital AME expenditure on these subheads is forecast to be £51.4 million lower than 2020- 21 due to the inclusion of £51.4 million credits relating to the Medical Research Council pension scheme.</w:t>
      </w:r>
    </w:p>
    <w:p>
      <w:pPr>
        <w:pStyle w:val="BodyText"/>
      </w:pPr>
    </w:p>
    <w:p>
      <w:pPr>
        <w:pStyle w:val="BodyText"/>
        <w:spacing w:before="9"/>
        <w:rPr>
          <w:sz w:val="27"/>
        </w:rPr>
      </w:pPr>
    </w:p>
    <w:p>
      <w:pPr>
        <w:pStyle w:val="ListParagraph"/>
        <w:numPr>
          <w:ilvl w:val="0"/>
          <w:numId w:val="3"/>
        </w:numPr>
        <w:tabs>
          <w:tab w:val="left" w:pos="728"/>
        </w:tabs>
        <w:spacing w:before="1" w:after="0" w:line="240" w:lineRule="auto"/>
        <w:ind w:left="727" w:right="0" w:hanging="328"/>
        <w:jc w:val="left"/>
        <w:rPr>
          <w:rFonts w:ascii="Calibri Light"/>
          <w:b w:val="0"/>
          <w:sz w:val="22"/>
        </w:rPr>
      </w:pPr>
      <w:r>
        <w:rPr>
          <w:rFonts w:ascii="Calibri Light"/>
          <w:b w:val="0"/>
          <w:color w:val="2F5495"/>
          <w:sz w:val="22"/>
        </w:rPr>
        <w:t>Government as</w:t>
      </w:r>
      <w:r>
        <w:rPr>
          <w:rFonts w:ascii="Calibri Light"/>
          <w:b w:val="0"/>
          <w:color w:val="2F5495"/>
          <w:spacing w:val="-3"/>
          <w:sz w:val="22"/>
        </w:rPr>
        <w:t xml:space="preserve"> </w:t>
      </w:r>
      <w:r>
        <w:rPr>
          <w:rFonts w:ascii="Calibri Light"/>
          <w:b w:val="0"/>
          <w:color w:val="2F5495"/>
          <w:sz w:val="22"/>
        </w:rPr>
        <w:t>Shareholder</w:t>
      </w:r>
    </w:p>
    <w:p>
      <w:pPr>
        <w:pStyle w:val="BodyText"/>
        <w:spacing w:before="22" w:line="259" w:lineRule="auto"/>
        <w:ind w:left="1120" w:right="1458"/>
      </w:pPr>
      <w:r>
        <w:t>Capital AME expenditure on these subheads is forecast to be £30,469.8 million lower in 2021-22 due to the change in budget required for covid response measures. £31,430.0 million was included in 2020-21 for the Financial Guarantees arising from the Coronavirus Business Loan schemes (BBLS, CBILS and CLBILS), compared to £960.0 million this year for the Covid Recovery Loan scheme.</w:t>
      </w:r>
    </w:p>
    <w:p>
      <w:pPr>
        <w:spacing w:after="0" w:line="259" w:lineRule="auto"/>
        <w:sectPr>
          <w:pgSz w:w="11910" w:h="16840"/>
          <w:pgMar w:top="1380" w:right="280" w:bottom="280" w:left="1040" w:header="720" w:footer="720"/>
          <w:cols w:space="720"/>
        </w:sectPr>
      </w:pPr>
    </w:p>
    <w:p>
      <w:pPr>
        <w:pStyle w:val="Heading2"/>
        <w:numPr>
          <w:ilvl w:val="1"/>
          <w:numId w:val="2"/>
        </w:numPr>
        <w:tabs>
          <w:tab w:val="left" w:pos="1120"/>
          <w:tab w:val="left" w:pos="1121"/>
        </w:tabs>
        <w:spacing w:before="23" w:after="0" w:line="240" w:lineRule="auto"/>
        <w:ind w:left="1120" w:right="0" w:hanging="721"/>
        <w:jc w:val="left"/>
        <w:rPr>
          <w:b w:val="0"/>
        </w:rPr>
      </w:pPr>
      <w:r>
        <w:rPr>
          <w:b w:val="0"/>
          <w:color w:val="2F5495"/>
        </w:rPr>
        <w:t>Ring fenced</w:t>
      </w:r>
      <w:r>
        <w:rPr>
          <w:b w:val="0"/>
          <w:color w:val="2F5495"/>
          <w:spacing w:val="-4"/>
        </w:rPr>
        <w:t xml:space="preserve"> </w:t>
      </w:r>
      <w:r>
        <w:rPr>
          <w:b w:val="0"/>
          <w:color w:val="2F5495"/>
        </w:rPr>
        <w:t>budgets</w:t>
      </w:r>
    </w:p>
    <w:p>
      <w:pPr>
        <w:pStyle w:val="BodyText"/>
        <w:spacing w:before="66" w:line="259" w:lineRule="auto"/>
        <w:ind w:left="400" w:right="1209"/>
      </w:pPr>
      <w:r>
        <w:rPr>
          <w:color w:val="333333"/>
        </w:rPr>
        <w:t>Within the totals, the following elements are ring fenced i.e. savings in these budgets may not be used to fund pressures on other budgets without express permission from HM Treasury. This list of ringfences has been updated to reflect those set by HM Treasury as part of SR20. The R&amp;D ringfence has been changed from 2021-22 to encompass all R&amp;D spend within General Capital (with the exception of Vaccines Taskforce which is due to transfer to DHSC during 2021).</w:t>
      </w:r>
    </w:p>
    <w:p>
      <w:pPr>
        <w:pStyle w:val="BodyText"/>
        <w:rPr>
          <w:sz w:val="20"/>
        </w:rPr>
      </w:pPr>
    </w:p>
    <w:p>
      <w:pPr>
        <w:pStyle w:val="BodyText"/>
        <w:spacing w:before="9" w:after="1"/>
        <w:rPr>
          <w:sz w:val="16"/>
        </w:rPr>
      </w:pPr>
    </w:p>
    <w:tbl>
      <w:tblPr>
        <w:tblW w:w="0" w:type="auto"/>
        <w:jc w:val="left"/>
        <w:tblInd w:w="4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89"/>
        <w:gridCol w:w="1385"/>
        <w:gridCol w:w="1541"/>
        <w:gridCol w:w="1440"/>
        <w:gridCol w:w="1438"/>
        <w:gridCol w:w="1325"/>
      </w:tblGrid>
      <w:tr>
        <w:tblPrEx>
          <w:tblW w:w="0" w:type="auto"/>
          <w:jc w:val="left"/>
          <w:tblInd w:w="4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1725"/>
          <w:jc w:val="left"/>
        </w:trPr>
        <w:tc>
          <w:tcPr>
            <w:tcW w:w="3274" w:type="dxa"/>
            <w:gridSpan w:val="2"/>
            <w:vMerge w:val="restart"/>
          </w:tcPr>
          <w:p>
            <w:pPr>
              <w:pStyle w:val="TableParagraph"/>
              <w:ind w:left="107"/>
              <w:rPr>
                <w:rFonts w:ascii="Verdana"/>
                <w:b/>
                <w:sz w:val="19"/>
              </w:rPr>
            </w:pPr>
            <w:r>
              <w:rPr>
                <w:rFonts w:ascii="Verdana"/>
                <w:b/>
                <w:color w:val="333333"/>
                <w:sz w:val="19"/>
              </w:rPr>
              <w:t>Spending total</w:t>
            </w:r>
          </w:p>
          <w:p>
            <w:pPr>
              <w:pStyle w:val="TableParagraph"/>
              <w:spacing w:before="178" w:line="427" w:lineRule="auto"/>
              <w:ind w:left="107" w:right="389"/>
              <w:rPr>
                <w:rFonts w:ascii="Verdana"/>
                <w:b/>
                <w:sz w:val="19"/>
              </w:rPr>
            </w:pPr>
            <w:r>
              <w:rPr>
                <w:rFonts w:ascii="Verdana"/>
                <w:b/>
                <w:color w:val="333333"/>
                <w:sz w:val="19"/>
              </w:rPr>
              <w:t>Amounts sought this year (Main Estimate 2021-22)</w:t>
            </w:r>
          </w:p>
        </w:tc>
        <w:tc>
          <w:tcPr>
            <w:tcW w:w="2981" w:type="dxa"/>
            <w:gridSpan w:val="2"/>
          </w:tcPr>
          <w:p>
            <w:pPr>
              <w:pStyle w:val="TableParagraph"/>
              <w:spacing w:line="259" w:lineRule="auto"/>
              <w:ind w:left="107" w:right="130"/>
              <w:rPr>
                <w:rFonts w:ascii="Verdana"/>
                <w:b/>
                <w:sz w:val="19"/>
              </w:rPr>
            </w:pPr>
            <w:r>
              <w:rPr>
                <w:rFonts w:ascii="Verdana"/>
                <w:b/>
                <w:color w:val="333333"/>
                <w:sz w:val="19"/>
              </w:rPr>
              <w:t>Compared to final budget last year</w:t>
            </w:r>
          </w:p>
          <w:p>
            <w:pPr>
              <w:pStyle w:val="TableParagraph"/>
              <w:spacing w:before="159" w:line="259" w:lineRule="auto"/>
              <w:ind w:left="107" w:right="136"/>
              <w:rPr>
                <w:rFonts w:ascii="Verdana"/>
                <w:b/>
                <w:sz w:val="19"/>
              </w:rPr>
            </w:pPr>
            <w:r>
              <w:rPr>
                <w:rFonts w:ascii="Verdana"/>
                <w:b/>
                <w:color w:val="333333"/>
                <w:sz w:val="19"/>
              </w:rPr>
              <w:t>(Supplementary Estimate 2020-21)</w:t>
            </w:r>
          </w:p>
        </w:tc>
        <w:tc>
          <w:tcPr>
            <w:tcW w:w="2763" w:type="dxa"/>
            <w:gridSpan w:val="2"/>
          </w:tcPr>
          <w:p>
            <w:pPr>
              <w:pStyle w:val="TableParagraph"/>
              <w:spacing w:line="259" w:lineRule="auto"/>
              <w:ind w:left="107" w:right="382"/>
              <w:rPr>
                <w:rFonts w:ascii="Verdana"/>
                <w:b/>
                <w:sz w:val="19"/>
              </w:rPr>
            </w:pPr>
            <w:r>
              <w:rPr>
                <w:rFonts w:ascii="Verdana"/>
                <w:b/>
                <w:color w:val="333333"/>
                <w:sz w:val="19"/>
              </w:rPr>
              <w:t>Compared to original budget last year</w:t>
            </w:r>
          </w:p>
          <w:p>
            <w:pPr>
              <w:pStyle w:val="TableParagraph"/>
              <w:spacing w:before="159"/>
              <w:ind w:left="107"/>
              <w:rPr>
                <w:rFonts w:ascii="Verdana"/>
                <w:b/>
                <w:sz w:val="19"/>
              </w:rPr>
            </w:pPr>
            <w:r>
              <w:rPr>
                <w:rFonts w:ascii="Verdana"/>
                <w:b/>
                <w:color w:val="333333"/>
                <w:sz w:val="19"/>
              </w:rPr>
              <w:t>(Main Estimate 2020-</w:t>
            </w:r>
          </w:p>
          <w:p>
            <w:pPr>
              <w:pStyle w:val="TableParagraph"/>
              <w:spacing w:before="19"/>
              <w:ind w:left="107"/>
              <w:rPr>
                <w:rFonts w:ascii="Verdana"/>
                <w:b/>
                <w:sz w:val="19"/>
              </w:rPr>
            </w:pPr>
            <w:r>
              <w:rPr>
                <w:rFonts w:ascii="Verdana"/>
                <w:b/>
                <w:color w:val="333333"/>
                <w:sz w:val="19"/>
              </w:rPr>
              <w:t>21)</w:t>
            </w:r>
          </w:p>
        </w:tc>
      </w:tr>
      <w:tr>
        <w:tblPrEx>
          <w:tblW w:w="0" w:type="auto"/>
          <w:jc w:val="left"/>
          <w:tblInd w:w="410" w:type="dxa"/>
          <w:tblLayout w:type="fixed"/>
          <w:tblCellMar>
            <w:top w:w="0" w:type="dxa"/>
            <w:left w:w="0" w:type="dxa"/>
            <w:bottom w:w="0" w:type="dxa"/>
            <w:right w:w="0" w:type="dxa"/>
          </w:tblCellMar>
          <w:tblLook w:val="01E0"/>
        </w:tblPrEx>
        <w:trPr>
          <w:trHeight w:val="410"/>
          <w:jc w:val="left"/>
        </w:trPr>
        <w:tc>
          <w:tcPr>
            <w:tcW w:w="3274" w:type="dxa"/>
            <w:gridSpan w:val="2"/>
            <w:vMerge/>
            <w:tcBorders>
              <w:top w:val="nil"/>
            </w:tcBorders>
          </w:tcPr>
          <w:p>
            <w:pPr>
              <w:rPr>
                <w:sz w:val="2"/>
                <w:szCs w:val="2"/>
              </w:rPr>
            </w:pPr>
          </w:p>
        </w:tc>
        <w:tc>
          <w:tcPr>
            <w:tcW w:w="1541" w:type="dxa"/>
          </w:tcPr>
          <w:p>
            <w:pPr>
              <w:pStyle w:val="TableParagraph"/>
              <w:ind w:left="107"/>
              <w:rPr>
                <w:rFonts w:ascii="Verdana" w:hAnsi="Verdana"/>
                <w:b/>
                <w:sz w:val="19"/>
              </w:rPr>
            </w:pPr>
            <w:r>
              <w:rPr>
                <w:rFonts w:ascii="Verdana" w:hAnsi="Verdana"/>
                <w:b/>
                <w:color w:val="333333"/>
                <w:sz w:val="19"/>
              </w:rPr>
              <w:t>£m</w:t>
            </w:r>
          </w:p>
        </w:tc>
        <w:tc>
          <w:tcPr>
            <w:tcW w:w="1440" w:type="dxa"/>
          </w:tcPr>
          <w:p>
            <w:pPr>
              <w:pStyle w:val="TableParagraph"/>
              <w:ind w:left="107"/>
              <w:rPr>
                <w:rFonts w:ascii="Verdana"/>
                <w:b/>
                <w:sz w:val="19"/>
              </w:rPr>
            </w:pPr>
            <w:r>
              <w:rPr>
                <w:rFonts w:ascii="Verdana"/>
                <w:b/>
                <w:color w:val="333333"/>
                <w:w w:val="99"/>
                <w:sz w:val="19"/>
              </w:rPr>
              <w:t>%</w:t>
            </w:r>
          </w:p>
        </w:tc>
        <w:tc>
          <w:tcPr>
            <w:tcW w:w="1438" w:type="dxa"/>
          </w:tcPr>
          <w:p>
            <w:pPr>
              <w:pStyle w:val="TableParagraph"/>
              <w:ind w:left="107"/>
              <w:rPr>
                <w:rFonts w:ascii="Verdana" w:hAnsi="Verdana"/>
                <w:b/>
                <w:sz w:val="19"/>
              </w:rPr>
            </w:pPr>
            <w:r>
              <w:rPr>
                <w:rFonts w:ascii="Verdana" w:hAnsi="Verdana"/>
                <w:b/>
                <w:color w:val="333333"/>
                <w:sz w:val="19"/>
              </w:rPr>
              <w:t>£m</w:t>
            </w:r>
          </w:p>
        </w:tc>
        <w:tc>
          <w:tcPr>
            <w:tcW w:w="1325" w:type="dxa"/>
          </w:tcPr>
          <w:p>
            <w:pPr>
              <w:pStyle w:val="TableParagraph"/>
              <w:ind w:left="106"/>
              <w:rPr>
                <w:rFonts w:ascii="Verdana"/>
                <w:b/>
                <w:sz w:val="19"/>
              </w:rPr>
            </w:pPr>
            <w:r>
              <w:rPr>
                <w:rFonts w:ascii="Verdana"/>
                <w:b/>
                <w:color w:val="333333"/>
                <w:w w:val="99"/>
                <w:sz w:val="19"/>
              </w:rPr>
              <w:t>%</w:t>
            </w:r>
          </w:p>
        </w:tc>
      </w:tr>
      <w:tr>
        <w:tblPrEx>
          <w:tblW w:w="0" w:type="auto"/>
          <w:jc w:val="left"/>
          <w:tblInd w:w="410" w:type="dxa"/>
          <w:tblLayout w:type="fixed"/>
          <w:tblCellMar>
            <w:top w:w="0" w:type="dxa"/>
            <w:left w:w="0" w:type="dxa"/>
            <w:bottom w:w="0" w:type="dxa"/>
            <w:right w:w="0" w:type="dxa"/>
          </w:tblCellMar>
          <w:tblLook w:val="01E0"/>
        </w:tblPrEx>
        <w:trPr>
          <w:trHeight w:val="1156"/>
          <w:jc w:val="left"/>
        </w:trPr>
        <w:tc>
          <w:tcPr>
            <w:tcW w:w="1889" w:type="dxa"/>
          </w:tcPr>
          <w:p>
            <w:pPr>
              <w:pStyle w:val="TableParagraph"/>
              <w:spacing w:line="259" w:lineRule="auto"/>
              <w:ind w:left="107"/>
              <w:rPr>
                <w:rFonts w:ascii="Verdana"/>
                <w:sz w:val="19"/>
              </w:rPr>
            </w:pPr>
            <w:r>
              <w:rPr>
                <w:rFonts w:ascii="Verdana"/>
                <w:color w:val="333333"/>
                <w:sz w:val="19"/>
              </w:rPr>
              <w:t>Research and Development* (General Capital DEL)</w:t>
            </w:r>
          </w:p>
        </w:tc>
        <w:tc>
          <w:tcPr>
            <w:tcW w:w="1385" w:type="dxa"/>
          </w:tcPr>
          <w:p>
            <w:pPr>
              <w:pStyle w:val="TableParagraph"/>
              <w:ind w:right="99"/>
              <w:jc w:val="right"/>
              <w:rPr>
                <w:rFonts w:ascii="Verdana" w:hAnsi="Verdana"/>
                <w:sz w:val="19"/>
              </w:rPr>
            </w:pPr>
            <w:r>
              <w:rPr>
                <w:rFonts w:ascii="Verdana" w:hAnsi="Verdana"/>
                <w:color w:val="333333"/>
                <w:sz w:val="19"/>
              </w:rPr>
              <w:t>£11,070.0m</w:t>
            </w:r>
          </w:p>
        </w:tc>
        <w:tc>
          <w:tcPr>
            <w:tcW w:w="1541" w:type="dxa"/>
          </w:tcPr>
          <w:p>
            <w:pPr>
              <w:pStyle w:val="TableParagraph"/>
              <w:ind w:right="97"/>
              <w:jc w:val="right"/>
              <w:rPr>
                <w:rFonts w:ascii="Verdana"/>
                <w:sz w:val="19"/>
              </w:rPr>
            </w:pPr>
            <w:r>
              <w:rPr>
                <w:rFonts w:ascii="Verdana"/>
                <w:color w:val="333333"/>
                <w:sz w:val="19"/>
              </w:rPr>
              <w:t>n/a</w:t>
            </w:r>
          </w:p>
        </w:tc>
        <w:tc>
          <w:tcPr>
            <w:tcW w:w="1440" w:type="dxa"/>
          </w:tcPr>
          <w:p>
            <w:pPr>
              <w:pStyle w:val="TableParagraph"/>
              <w:ind w:right="97"/>
              <w:jc w:val="right"/>
              <w:rPr>
                <w:rFonts w:ascii="Verdana"/>
                <w:sz w:val="19"/>
              </w:rPr>
            </w:pPr>
            <w:r>
              <w:rPr>
                <w:rFonts w:ascii="Verdana"/>
                <w:color w:val="333333"/>
                <w:sz w:val="19"/>
              </w:rPr>
              <w:t>n/a</w:t>
            </w:r>
          </w:p>
        </w:tc>
        <w:tc>
          <w:tcPr>
            <w:tcW w:w="1438" w:type="dxa"/>
          </w:tcPr>
          <w:p>
            <w:pPr>
              <w:pStyle w:val="TableParagraph"/>
              <w:ind w:right="97"/>
              <w:jc w:val="right"/>
              <w:rPr>
                <w:rFonts w:ascii="Verdana"/>
                <w:sz w:val="19"/>
              </w:rPr>
            </w:pPr>
            <w:r>
              <w:rPr>
                <w:rFonts w:ascii="Verdana"/>
                <w:color w:val="333333"/>
                <w:sz w:val="19"/>
              </w:rPr>
              <w:t>n/a</w:t>
            </w:r>
          </w:p>
        </w:tc>
        <w:tc>
          <w:tcPr>
            <w:tcW w:w="1325" w:type="dxa"/>
          </w:tcPr>
          <w:p>
            <w:pPr>
              <w:pStyle w:val="TableParagraph"/>
              <w:ind w:right="97"/>
              <w:jc w:val="right"/>
              <w:rPr>
                <w:rFonts w:ascii="Verdana"/>
                <w:sz w:val="19"/>
              </w:rPr>
            </w:pPr>
            <w:r>
              <w:rPr>
                <w:rFonts w:ascii="Verdana"/>
                <w:color w:val="333333"/>
                <w:sz w:val="19"/>
              </w:rPr>
              <w:t>n/a</w:t>
            </w:r>
          </w:p>
        </w:tc>
      </w:tr>
      <w:tr>
        <w:tblPrEx>
          <w:tblW w:w="0" w:type="auto"/>
          <w:jc w:val="left"/>
          <w:tblInd w:w="410" w:type="dxa"/>
          <w:tblLayout w:type="fixed"/>
          <w:tblCellMar>
            <w:top w:w="0" w:type="dxa"/>
            <w:left w:w="0" w:type="dxa"/>
            <w:bottom w:w="0" w:type="dxa"/>
            <w:right w:w="0" w:type="dxa"/>
          </w:tblCellMar>
          <w:tblLook w:val="01E0"/>
        </w:tblPrEx>
        <w:trPr>
          <w:trHeight w:val="1902"/>
          <w:jc w:val="left"/>
        </w:trPr>
        <w:tc>
          <w:tcPr>
            <w:tcW w:w="1889" w:type="dxa"/>
          </w:tcPr>
          <w:p>
            <w:pPr>
              <w:pStyle w:val="TableParagraph"/>
              <w:spacing w:line="259" w:lineRule="auto"/>
              <w:ind w:left="107" w:right="233"/>
              <w:rPr>
                <w:rFonts w:ascii="Verdana"/>
                <w:sz w:val="19"/>
              </w:rPr>
            </w:pPr>
            <w:r>
              <w:rPr>
                <w:rFonts w:ascii="Verdana"/>
                <w:color w:val="333333"/>
                <w:sz w:val="19"/>
              </w:rPr>
              <w:t>International Climate Finance (ICF) ODA</w:t>
            </w:r>
          </w:p>
          <w:p>
            <w:pPr>
              <w:pStyle w:val="TableParagraph"/>
              <w:spacing w:line="259" w:lineRule="auto"/>
              <w:ind w:left="107" w:right="267"/>
              <w:rPr>
                <w:rFonts w:ascii="Verdana"/>
                <w:sz w:val="19"/>
              </w:rPr>
            </w:pPr>
            <w:r>
              <w:rPr>
                <w:rFonts w:ascii="Verdana"/>
                <w:color w:val="333333"/>
                <w:sz w:val="19"/>
              </w:rPr>
              <w:t>(Official Development Assistance) (Resource DEL)</w:t>
            </w:r>
          </w:p>
        </w:tc>
        <w:tc>
          <w:tcPr>
            <w:tcW w:w="1385" w:type="dxa"/>
          </w:tcPr>
          <w:p>
            <w:pPr>
              <w:pStyle w:val="TableParagraph"/>
              <w:ind w:right="99"/>
              <w:jc w:val="right"/>
              <w:rPr>
                <w:rFonts w:ascii="Verdana" w:hAnsi="Verdana"/>
                <w:sz w:val="19"/>
              </w:rPr>
            </w:pPr>
            <w:r>
              <w:rPr>
                <w:rFonts w:ascii="Verdana" w:hAnsi="Verdana"/>
                <w:color w:val="333333"/>
                <w:sz w:val="19"/>
              </w:rPr>
              <w:t>£139.0m</w:t>
            </w:r>
          </w:p>
        </w:tc>
        <w:tc>
          <w:tcPr>
            <w:tcW w:w="1541" w:type="dxa"/>
          </w:tcPr>
          <w:p>
            <w:pPr>
              <w:pStyle w:val="TableParagraph"/>
              <w:ind w:right="99"/>
              <w:jc w:val="right"/>
              <w:rPr>
                <w:rFonts w:ascii="Verdana" w:hAnsi="Verdana"/>
                <w:sz w:val="19"/>
              </w:rPr>
            </w:pPr>
            <w:r>
              <w:rPr>
                <w:rFonts w:ascii="Verdana" w:hAnsi="Verdana"/>
                <w:color w:val="333333"/>
                <w:sz w:val="19"/>
              </w:rPr>
              <w:t>+£51.9m</w:t>
            </w:r>
          </w:p>
        </w:tc>
        <w:tc>
          <w:tcPr>
            <w:tcW w:w="1440" w:type="dxa"/>
          </w:tcPr>
          <w:p>
            <w:pPr>
              <w:pStyle w:val="TableParagraph"/>
              <w:ind w:right="99"/>
              <w:jc w:val="right"/>
              <w:rPr>
                <w:rFonts w:ascii="Verdana"/>
                <w:sz w:val="19"/>
              </w:rPr>
            </w:pPr>
            <w:r>
              <w:rPr>
                <w:rFonts w:ascii="Verdana"/>
                <w:color w:val="333333"/>
                <w:sz w:val="19"/>
              </w:rPr>
              <w:t>+59.7%</w:t>
            </w:r>
          </w:p>
        </w:tc>
        <w:tc>
          <w:tcPr>
            <w:tcW w:w="1438" w:type="dxa"/>
          </w:tcPr>
          <w:p>
            <w:pPr>
              <w:pStyle w:val="TableParagraph"/>
              <w:ind w:right="100"/>
              <w:jc w:val="right"/>
              <w:rPr>
                <w:rFonts w:ascii="Verdana" w:hAnsi="Verdana"/>
                <w:sz w:val="19"/>
              </w:rPr>
            </w:pPr>
            <w:r>
              <w:rPr>
                <w:rFonts w:ascii="Verdana" w:hAnsi="Verdana"/>
                <w:color w:val="333333"/>
                <w:sz w:val="19"/>
              </w:rPr>
              <w:t>+£73.9m</w:t>
            </w:r>
          </w:p>
        </w:tc>
        <w:tc>
          <w:tcPr>
            <w:tcW w:w="1325" w:type="dxa"/>
          </w:tcPr>
          <w:p>
            <w:pPr>
              <w:pStyle w:val="TableParagraph"/>
              <w:ind w:right="100"/>
              <w:jc w:val="right"/>
              <w:rPr>
                <w:rFonts w:ascii="Verdana"/>
                <w:sz w:val="19"/>
              </w:rPr>
            </w:pPr>
            <w:r>
              <w:rPr>
                <w:rFonts w:ascii="Verdana"/>
                <w:color w:val="333333"/>
                <w:sz w:val="19"/>
              </w:rPr>
              <w:t>+113.6%</w:t>
            </w:r>
          </w:p>
        </w:tc>
      </w:tr>
      <w:tr>
        <w:tblPrEx>
          <w:tblW w:w="0" w:type="auto"/>
          <w:jc w:val="left"/>
          <w:tblInd w:w="410" w:type="dxa"/>
          <w:tblLayout w:type="fixed"/>
          <w:tblCellMar>
            <w:top w:w="0" w:type="dxa"/>
            <w:left w:w="0" w:type="dxa"/>
            <w:bottom w:w="0" w:type="dxa"/>
            <w:right w:w="0" w:type="dxa"/>
          </w:tblCellMar>
          <w:tblLook w:val="01E0"/>
        </w:tblPrEx>
        <w:trPr>
          <w:trHeight w:val="1158"/>
          <w:jc w:val="left"/>
        </w:trPr>
        <w:tc>
          <w:tcPr>
            <w:tcW w:w="1889" w:type="dxa"/>
          </w:tcPr>
          <w:p>
            <w:pPr>
              <w:pStyle w:val="TableParagraph"/>
              <w:spacing w:before="3" w:line="259" w:lineRule="auto"/>
              <w:ind w:left="107" w:right="233"/>
              <w:rPr>
                <w:rFonts w:ascii="Verdana"/>
                <w:sz w:val="19"/>
              </w:rPr>
            </w:pPr>
            <w:r>
              <w:rPr>
                <w:rFonts w:ascii="Verdana"/>
                <w:color w:val="333333"/>
                <w:sz w:val="19"/>
              </w:rPr>
              <w:t>International Climate Finance ODA (Capital DEL)</w:t>
            </w:r>
          </w:p>
        </w:tc>
        <w:tc>
          <w:tcPr>
            <w:tcW w:w="1385" w:type="dxa"/>
          </w:tcPr>
          <w:p>
            <w:pPr>
              <w:pStyle w:val="TableParagraph"/>
              <w:spacing w:before="3"/>
              <w:ind w:right="99"/>
              <w:jc w:val="right"/>
              <w:rPr>
                <w:rFonts w:ascii="Verdana" w:hAnsi="Verdana"/>
                <w:sz w:val="19"/>
              </w:rPr>
            </w:pPr>
            <w:r>
              <w:rPr>
                <w:rFonts w:ascii="Verdana" w:hAnsi="Verdana"/>
                <w:color w:val="333333"/>
                <w:sz w:val="19"/>
              </w:rPr>
              <w:t>£321.0m</w:t>
            </w:r>
          </w:p>
        </w:tc>
        <w:tc>
          <w:tcPr>
            <w:tcW w:w="1541" w:type="dxa"/>
          </w:tcPr>
          <w:p>
            <w:pPr>
              <w:pStyle w:val="TableParagraph"/>
              <w:spacing w:before="3"/>
              <w:ind w:right="99"/>
              <w:jc w:val="right"/>
              <w:rPr>
                <w:rFonts w:ascii="Verdana" w:hAnsi="Verdana"/>
                <w:sz w:val="19"/>
              </w:rPr>
            </w:pPr>
            <w:r>
              <w:rPr>
                <w:rFonts w:ascii="Verdana" w:hAnsi="Verdana"/>
                <w:color w:val="333333"/>
                <w:sz w:val="19"/>
              </w:rPr>
              <w:t>-£171.0m</w:t>
            </w:r>
          </w:p>
        </w:tc>
        <w:tc>
          <w:tcPr>
            <w:tcW w:w="1440" w:type="dxa"/>
          </w:tcPr>
          <w:p>
            <w:pPr>
              <w:pStyle w:val="TableParagraph"/>
              <w:spacing w:before="3"/>
              <w:ind w:right="99"/>
              <w:jc w:val="right"/>
              <w:rPr>
                <w:rFonts w:ascii="Verdana"/>
                <w:sz w:val="19"/>
              </w:rPr>
            </w:pPr>
            <w:r>
              <w:rPr>
                <w:rFonts w:ascii="Verdana"/>
                <w:color w:val="333333"/>
                <w:sz w:val="19"/>
              </w:rPr>
              <w:t>-34.8%</w:t>
            </w:r>
          </w:p>
        </w:tc>
        <w:tc>
          <w:tcPr>
            <w:tcW w:w="1438" w:type="dxa"/>
          </w:tcPr>
          <w:p>
            <w:pPr>
              <w:pStyle w:val="TableParagraph"/>
              <w:spacing w:before="3"/>
              <w:ind w:right="100"/>
              <w:jc w:val="right"/>
              <w:rPr>
                <w:rFonts w:ascii="Verdana" w:hAnsi="Verdana"/>
                <w:sz w:val="19"/>
              </w:rPr>
            </w:pPr>
            <w:r>
              <w:rPr>
                <w:rFonts w:ascii="Verdana" w:hAnsi="Verdana"/>
                <w:color w:val="333333"/>
                <w:sz w:val="19"/>
              </w:rPr>
              <w:t>-£171.1m</w:t>
            </w:r>
          </w:p>
        </w:tc>
        <w:tc>
          <w:tcPr>
            <w:tcW w:w="1325" w:type="dxa"/>
          </w:tcPr>
          <w:p>
            <w:pPr>
              <w:pStyle w:val="TableParagraph"/>
              <w:spacing w:before="3"/>
              <w:ind w:right="100"/>
              <w:jc w:val="right"/>
              <w:rPr>
                <w:rFonts w:ascii="Verdana"/>
                <w:sz w:val="19"/>
              </w:rPr>
            </w:pPr>
            <w:r>
              <w:rPr>
                <w:rFonts w:ascii="Verdana"/>
                <w:color w:val="333333"/>
                <w:sz w:val="19"/>
              </w:rPr>
              <w:t>-34.8%</w:t>
            </w:r>
          </w:p>
        </w:tc>
      </w:tr>
      <w:tr>
        <w:tblPrEx>
          <w:tblW w:w="0" w:type="auto"/>
          <w:jc w:val="left"/>
          <w:tblInd w:w="410" w:type="dxa"/>
          <w:tblLayout w:type="fixed"/>
          <w:tblCellMar>
            <w:top w:w="0" w:type="dxa"/>
            <w:left w:w="0" w:type="dxa"/>
            <w:bottom w:w="0" w:type="dxa"/>
            <w:right w:w="0" w:type="dxa"/>
          </w:tblCellMar>
          <w:tblLook w:val="01E0"/>
        </w:tblPrEx>
        <w:trPr>
          <w:trHeight w:val="241"/>
          <w:jc w:val="left"/>
        </w:trPr>
        <w:tc>
          <w:tcPr>
            <w:tcW w:w="1889" w:type="dxa"/>
            <w:tcBorders>
              <w:bottom w:val="nil"/>
            </w:tcBorders>
          </w:tcPr>
          <w:p>
            <w:pPr>
              <w:pStyle w:val="TableParagraph"/>
              <w:spacing w:line="220" w:lineRule="exact"/>
              <w:ind w:left="107"/>
              <w:rPr>
                <w:rFonts w:ascii="Verdana"/>
                <w:sz w:val="19"/>
              </w:rPr>
            </w:pPr>
            <w:r>
              <w:rPr>
                <w:rFonts w:ascii="Verdana"/>
                <w:color w:val="333333"/>
                <w:sz w:val="19"/>
              </w:rPr>
              <w:t>Financial</w:t>
            </w:r>
          </w:p>
        </w:tc>
        <w:tc>
          <w:tcPr>
            <w:tcW w:w="1385" w:type="dxa"/>
            <w:tcBorders>
              <w:bottom w:val="nil"/>
            </w:tcBorders>
          </w:tcPr>
          <w:p>
            <w:pPr>
              <w:pStyle w:val="TableParagraph"/>
              <w:spacing w:line="220" w:lineRule="exact"/>
              <w:ind w:right="97"/>
              <w:jc w:val="right"/>
              <w:rPr>
                <w:rFonts w:ascii="Verdana" w:hAnsi="Verdana"/>
                <w:sz w:val="19"/>
              </w:rPr>
            </w:pPr>
            <w:r>
              <w:rPr>
                <w:rFonts w:ascii="Verdana" w:hAnsi="Verdana"/>
                <w:color w:val="333333"/>
                <w:sz w:val="19"/>
              </w:rPr>
              <w:t>£1,046.6m</w:t>
            </w:r>
          </w:p>
        </w:tc>
        <w:tc>
          <w:tcPr>
            <w:tcW w:w="1541" w:type="dxa"/>
            <w:tcBorders>
              <w:bottom w:val="nil"/>
            </w:tcBorders>
          </w:tcPr>
          <w:p>
            <w:pPr>
              <w:pStyle w:val="TableParagraph"/>
              <w:spacing w:line="220" w:lineRule="exact"/>
              <w:ind w:right="99"/>
              <w:jc w:val="right"/>
              <w:rPr>
                <w:rFonts w:ascii="Verdana" w:hAnsi="Verdana"/>
                <w:sz w:val="19"/>
              </w:rPr>
            </w:pPr>
            <w:r>
              <w:rPr>
                <w:rFonts w:ascii="Verdana" w:hAnsi="Verdana"/>
                <w:color w:val="333333"/>
                <w:sz w:val="19"/>
              </w:rPr>
              <w:t>-£870.6m</w:t>
            </w:r>
          </w:p>
        </w:tc>
        <w:tc>
          <w:tcPr>
            <w:tcW w:w="1440" w:type="dxa"/>
            <w:tcBorders>
              <w:bottom w:val="nil"/>
            </w:tcBorders>
          </w:tcPr>
          <w:p>
            <w:pPr>
              <w:pStyle w:val="TableParagraph"/>
              <w:spacing w:line="220" w:lineRule="exact"/>
              <w:ind w:right="99"/>
              <w:jc w:val="right"/>
              <w:rPr>
                <w:rFonts w:ascii="Verdana"/>
                <w:sz w:val="19"/>
              </w:rPr>
            </w:pPr>
            <w:r>
              <w:rPr>
                <w:rFonts w:ascii="Verdana"/>
                <w:color w:val="333333"/>
                <w:sz w:val="19"/>
              </w:rPr>
              <w:t>-45.4%</w:t>
            </w:r>
          </w:p>
        </w:tc>
        <w:tc>
          <w:tcPr>
            <w:tcW w:w="1438" w:type="dxa"/>
            <w:tcBorders>
              <w:bottom w:val="nil"/>
            </w:tcBorders>
          </w:tcPr>
          <w:p>
            <w:pPr>
              <w:pStyle w:val="TableParagraph"/>
              <w:spacing w:line="220" w:lineRule="exact"/>
              <w:ind w:right="100"/>
              <w:jc w:val="right"/>
              <w:rPr>
                <w:rFonts w:ascii="Verdana" w:hAnsi="Verdana"/>
                <w:sz w:val="19"/>
              </w:rPr>
            </w:pPr>
            <w:r>
              <w:rPr>
                <w:rFonts w:ascii="Verdana" w:hAnsi="Verdana"/>
                <w:color w:val="333333"/>
                <w:sz w:val="19"/>
              </w:rPr>
              <w:t>+£854.7m</w:t>
            </w:r>
          </w:p>
        </w:tc>
        <w:tc>
          <w:tcPr>
            <w:tcW w:w="1325" w:type="dxa"/>
            <w:tcBorders>
              <w:bottom w:val="nil"/>
            </w:tcBorders>
          </w:tcPr>
          <w:p>
            <w:pPr>
              <w:pStyle w:val="TableParagraph"/>
              <w:spacing w:line="220" w:lineRule="exact"/>
              <w:ind w:right="100"/>
              <w:jc w:val="right"/>
              <w:rPr>
                <w:rFonts w:ascii="Verdana"/>
                <w:sz w:val="19"/>
              </w:rPr>
            </w:pPr>
            <w:r>
              <w:rPr>
                <w:rFonts w:ascii="Verdana"/>
                <w:color w:val="333333"/>
                <w:sz w:val="19"/>
              </w:rPr>
              <w:t>+445.4%</w:t>
            </w:r>
          </w:p>
        </w:tc>
      </w:tr>
      <w:tr>
        <w:tblPrEx>
          <w:tblW w:w="0" w:type="auto"/>
          <w:jc w:val="left"/>
          <w:tblInd w:w="410" w:type="dxa"/>
          <w:tblLayout w:type="fixed"/>
          <w:tblCellMar>
            <w:top w:w="0" w:type="dxa"/>
            <w:left w:w="0" w:type="dxa"/>
            <w:bottom w:w="0" w:type="dxa"/>
            <w:right w:w="0" w:type="dxa"/>
          </w:tblCellMar>
          <w:tblLook w:val="01E0"/>
        </w:tblPrEx>
        <w:trPr>
          <w:trHeight w:val="328"/>
          <w:jc w:val="left"/>
        </w:trPr>
        <w:tc>
          <w:tcPr>
            <w:tcW w:w="1889" w:type="dxa"/>
            <w:tcBorders>
              <w:top w:val="nil"/>
              <w:bottom w:val="nil"/>
            </w:tcBorders>
          </w:tcPr>
          <w:p>
            <w:pPr>
              <w:pStyle w:val="TableParagraph"/>
              <w:spacing w:before="9"/>
              <w:ind w:left="107"/>
              <w:rPr>
                <w:rFonts w:ascii="Verdana"/>
                <w:sz w:val="19"/>
              </w:rPr>
            </w:pPr>
            <w:r>
              <w:rPr>
                <w:rFonts w:ascii="Verdana"/>
                <w:color w:val="333333"/>
                <w:sz w:val="19"/>
              </w:rPr>
              <w:t>transactions</w:t>
            </w:r>
          </w:p>
        </w:tc>
        <w:tc>
          <w:tcPr>
            <w:tcW w:w="1385" w:type="dxa"/>
            <w:tcBorders>
              <w:top w:val="nil"/>
              <w:bottom w:val="nil"/>
            </w:tcBorders>
          </w:tcPr>
          <w:p>
            <w:pPr>
              <w:pStyle w:val="TableParagraph"/>
              <w:rPr>
                <w:rFonts w:ascii="Times New Roman"/>
                <w:sz w:val="20"/>
              </w:rPr>
            </w:pPr>
          </w:p>
        </w:tc>
        <w:tc>
          <w:tcPr>
            <w:tcW w:w="1541" w:type="dxa"/>
            <w:tcBorders>
              <w:top w:val="nil"/>
              <w:bottom w:val="nil"/>
            </w:tcBorders>
          </w:tcPr>
          <w:p>
            <w:pPr>
              <w:pStyle w:val="TableParagraph"/>
              <w:rPr>
                <w:rFonts w:ascii="Times New Roman"/>
                <w:sz w:val="20"/>
              </w:rPr>
            </w:pPr>
          </w:p>
        </w:tc>
        <w:tc>
          <w:tcPr>
            <w:tcW w:w="1440" w:type="dxa"/>
            <w:tcBorders>
              <w:top w:val="nil"/>
              <w:bottom w:val="nil"/>
            </w:tcBorders>
          </w:tcPr>
          <w:p>
            <w:pPr>
              <w:pStyle w:val="TableParagraph"/>
              <w:rPr>
                <w:rFonts w:ascii="Times New Roman"/>
                <w:sz w:val="20"/>
              </w:rPr>
            </w:pPr>
          </w:p>
        </w:tc>
        <w:tc>
          <w:tcPr>
            <w:tcW w:w="1438" w:type="dxa"/>
            <w:tcBorders>
              <w:top w:val="nil"/>
              <w:bottom w:val="nil"/>
            </w:tcBorders>
          </w:tcPr>
          <w:p>
            <w:pPr>
              <w:pStyle w:val="TableParagraph"/>
              <w:rPr>
                <w:rFonts w:ascii="Times New Roman"/>
                <w:sz w:val="20"/>
              </w:rPr>
            </w:pPr>
          </w:p>
        </w:tc>
        <w:tc>
          <w:tcPr>
            <w:tcW w:w="1325" w:type="dxa"/>
            <w:tcBorders>
              <w:top w:val="nil"/>
              <w:bottom w:val="nil"/>
            </w:tcBorders>
          </w:tcPr>
          <w:p>
            <w:pPr>
              <w:pStyle w:val="TableParagraph"/>
              <w:rPr>
                <w:rFonts w:ascii="Times New Roman"/>
                <w:sz w:val="20"/>
              </w:rPr>
            </w:pPr>
          </w:p>
        </w:tc>
      </w:tr>
      <w:tr>
        <w:tblPrEx>
          <w:tblW w:w="0" w:type="auto"/>
          <w:jc w:val="left"/>
          <w:tblInd w:w="410" w:type="dxa"/>
          <w:tblLayout w:type="fixed"/>
          <w:tblCellMar>
            <w:top w:w="0" w:type="dxa"/>
            <w:left w:w="0" w:type="dxa"/>
            <w:bottom w:w="0" w:type="dxa"/>
            <w:right w:w="0" w:type="dxa"/>
          </w:tblCellMar>
          <w:tblLook w:val="01E0"/>
        </w:tblPrEx>
        <w:trPr>
          <w:trHeight w:val="408"/>
          <w:jc w:val="left"/>
        </w:trPr>
        <w:tc>
          <w:tcPr>
            <w:tcW w:w="1889" w:type="dxa"/>
            <w:tcBorders>
              <w:top w:val="nil"/>
              <w:bottom w:val="nil"/>
            </w:tcBorders>
          </w:tcPr>
          <w:p>
            <w:pPr>
              <w:pStyle w:val="TableParagraph"/>
              <w:spacing w:before="88"/>
              <w:ind w:left="107"/>
              <w:rPr>
                <w:rFonts w:ascii="Verdana"/>
                <w:i/>
                <w:sz w:val="19"/>
              </w:rPr>
            </w:pPr>
            <w:r>
              <w:rPr>
                <w:rFonts w:ascii="Verdana"/>
                <w:i/>
                <w:color w:val="333333"/>
                <w:sz w:val="19"/>
              </w:rPr>
              <w:t>Of which:</w:t>
            </w:r>
          </w:p>
        </w:tc>
        <w:tc>
          <w:tcPr>
            <w:tcW w:w="1385" w:type="dxa"/>
            <w:tcBorders>
              <w:top w:val="nil"/>
              <w:bottom w:val="nil"/>
            </w:tcBorders>
          </w:tcPr>
          <w:p>
            <w:pPr>
              <w:pStyle w:val="TableParagraph"/>
              <w:rPr>
                <w:rFonts w:ascii="Times New Roman"/>
                <w:sz w:val="20"/>
              </w:rPr>
            </w:pPr>
          </w:p>
        </w:tc>
        <w:tc>
          <w:tcPr>
            <w:tcW w:w="1541" w:type="dxa"/>
            <w:tcBorders>
              <w:top w:val="nil"/>
              <w:bottom w:val="nil"/>
            </w:tcBorders>
          </w:tcPr>
          <w:p>
            <w:pPr>
              <w:pStyle w:val="TableParagraph"/>
              <w:rPr>
                <w:rFonts w:ascii="Times New Roman"/>
                <w:sz w:val="20"/>
              </w:rPr>
            </w:pPr>
          </w:p>
        </w:tc>
        <w:tc>
          <w:tcPr>
            <w:tcW w:w="1440" w:type="dxa"/>
            <w:tcBorders>
              <w:top w:val="nil"/>
              <w:bottom w:val="nil"/>
            </w:tcBorders>
          </w:tcPr>
          <w:p>
            <w:pPr>
              <w:pStyle w:val="TableParagraph"/>
              <w:rPr>
                <w:rFonts w:ascii="Times New Roman"/>
                <w:sz w:val="20"/>
              </w:rPr>
            </w:pPr>
          </w:p>
        </w:tc>
        <w:tc>
          <w:tcPr>
            <w:tcW w:w="1438" w:type="dxa"/>
            <w:tcBorders>
              <w:top w:val="nil"/>
              <w:bottom w:val="nil"/>
            </w:tcBorders>
          </w:tcPr>
          <w:p>
            <w:pPr>
              <w:pStyle w:val="TableParagraph"/>
              <w:rPr>
                <w:rFonts w:ascii="Times New Roman"/>
                <w:sz w:val="20"/>
              </w:rPr>
            </w:pPr>
          </w:p>
        </w:tc>
        <w:tc>
          <w:tcPr>
            <w:tcW w:w="1325" w:type="dxa"/>
            <w:tcBorders>
              <w:top w:val="nil"/>
              <w:bottom w:val="nil"/>
            </w:tcBorders>
          </w:tcPr>
          <w:p>
            <w:pPr>
              <w:pStyle w:val="TableParagraph"/>
              <w:rPr>
                <w:rFonts w:ascii="Times New Roman"/>
                <w:sz w:val="20"/>
              </w:rPr>
            </w:pPr>
          </w:p>
        </w:tc>
      </w:tr>
      <w:tr>
        <w:tblPrEx>
          <w:tblW w:w="0" w:type="auto"/>
          <w:jc w:val="left"/>
          <w:tblInd w:w="410" w:type="dxa"/>
          <w:tblLayout w:type="fixed"/>
          <w:tblCellMar>
            <w:top w:w="0" w:type="dxa"/>
            <w:left w:w="0" w:type="dxa"/>
            <w:bottom w:w="0" w:type="dxa"/>
            <w:right w:w="0" w:type="dxa"/>
          </w:tblCellMar>
          <w:tblLook w:val="01E0"/>
        </w:tblPrEx>
        <w:trPr>
          <w:trHeight w:val="610"/>
          <w:jc w:val="left"/>
        </w:trPr>
        <w:tc>
          <w:tcPr>
            <w:tcW w:w="1889" w:type="dxa"/>
            <w:tcBorders>
              <w:top w:val="nil"/>
              <w:bottom w:val="nil"/>
            </w:tcBorders>
          </w:tcPr>
          <w:p>
            <w:pPr>
              <w:pStyle w:val="TableParagraph"/>
              <w:spacing w:before="88"/>
              <w:ind w:left="107" w:right="242"/>
              <w:rPr>
                <w:rFonts w:ascii="Verdana"/>
                <w:i/>
                <w:sz w:val="19"/>
              </w:rPr>
            </w:pPr>
            <w:r>
              <w:rPr>
                <w:rFonts w:ascii="Verdana"/>
                <w:i/>
                <w:sz w:val="19"/>
              </w:rPr>
              <w:t xml:space="preserve">British Business </w:t>
            </w:r>
            <w:r>
              <w:rPr>
                <w:rFonts w:ascii="Verdana"/>
                <w:i/>
                <w:sz w:val="19"/>
              </w:rPr>
              <w:t>Bank</w:t>
            </w:r>
          </w:p>
        </w:tc>
        <w:tc>
          <w:tcPr>
            <w:tcW w:w="1385" w:type="dxa"/>
            <w:tcBorders>
              <w:top w:val="nil"/>
              <w:bottom w:val="nil"/>
            </w:tcBorders>
          </w:tcPr>
          <w:p>
            <w:pPr>
              <w:pStyle w:val="TableParagraph"/>
              <w:spacing w:before="90"/>
              <w:ind w:right="100"/>
              <w:jc w:val="right"/>
              <w:rPr>
                <w:rFonts w:ascii="Verdana" w:hAnsi="Verdana"/>
                <w:i/>
                <w:sz w:val="19"/>
              </w:rPr>
            </w:pPr>
            <w:r>
              <w:rPr>
                <w:rFonts w:ascii="Verdana" w:hAnsi="Verdana"/>
                <w:i/>
                <w:color w:val="333333"/>
                <w:sz w:val="19"/>
              </w:rPr>
              <w:t>£492.5m</w:t>
            </w:r>
          </w:p>
        </w:tc>
        <w:tc>
          <w:tcPr>
            <w:tcW w:w="1541" w:type="dxa"/>
            <w:tcBorders>
              <w:top w:val="nil"/>
              <w:bottom w:val="nil"/>
            </w:tcBorders>
          </w:tcPr>
          <w:p>
            <w:pPr>
              <w:pStyle w:val="TableParagraph"/>
              <w:spacing w:before="90"/>
              <w:ind w:right="99"/>
              <w:jc w:val="right"/>
              <w:rPr>
                <w:rFonts w:ascii="Verdana" w:hAnsi="Verdana"/>
                <w:i/>
                <w:sz w:val="19"/>
              </w:rPr>
            </w:pPr>
            <w:r>
              <w:rPr>
                <w:rFonts w:ascii="Verdana" w:hAnsi="Verdana"/>
                <w:i/>
                <w:color w:val="333333"/>
                <w:sz w:val="19"/>
              </w:rPr>
              <w:t>-£2.4m</w:t>
            </w:r>
          </w:p>
        </w:tc>
        <w:tc>
          <w:tcPr>
            <w:tcW w:w="1440" w:type="dxa"/>
            <w:tcBorders>
              <w:top w:val="nil"/>
              <w:bottom w:val="nil"/>
            </w:tcBorders>
          </w:tcPr>
          <w:p>
            <w:pPr>
              <w:pStyle w:val="TableParagraph"/>
              <w:spacing w:before="90"/>
              <w:ind w:right="98"/>
              <w:jc w:val="right"/>
              <w:rPr>
                <w:rFonts w:ascii="Verdana"/>
                <w:i/>
                <w:sz w:val="19"/>
              </w:rPr>
            </w:pPr>
            <w:r>
              <w:rPr>
                <w:rFonts w:ascii="Verdana"/>
                <w:i/>
                <w:color w:val="333333"/>
                <w:sz w:val="19"/>
              </w:rPr>
              <w:t>-0.5%</w:t>
            </w:r>
          </w:p>
        </w:tc>
        <w:tc>
          <w:tcPr>
            <w:tcW w:w="1438" w:type="dxa"/>
            <w:tcBorders>
              <w:top w:val="nil"/>
              <w:bottom w:val="nil"/>
            </w:tcBorders>
          </w:tcPr>
          <w:p>
            <w:pPr>
              <w:pStyle w:val="TableParagraph"/>
              <w:spacing w:before="90"/>
              <w:ind w:right="100"/>
              <w:jc w:val="right"/>
              <w:rPr>
                <w:rFonts w:ascii="Verdana" w:hAnsi="Verdana"/>
                <w:i/>
                <w:sz w:val="19"/>
              </w:rPr>
            </w:pPr>
            <w:r>
              <w:rPr>
                <w:rFonts w:ascii="Verdana" w:hAnsi="Verdana"/>
                <w:i/>
                <w:color w:val="333333"/>
                <w:sz w:val="19"/>
              </w:rPr>
              <w:t>+£433.6m</w:t>
            </w:r>
          </w:p>
        </w:tc>
        <w:tc>
          <w:tcPr>
            <w:tcW w:w="1325" w:type="dxa"/>
            <w:tcBorders>
              <w:top w:val="nil"/>
              <w:bottom w:val="nil"/>
            </w:tcBorders>
          </w:tcPr>
          <w:p>
            <w:pPr>
              <w:pStyle w:val="TableParagraph"/>
              <w:spacing w:before="90"/>
              <w:ind w:right="100"/>
              <w:jc w:val="right"/>
              <w:rPr>
                <w:rFonts w:ascii="Verdana"/>
                <w:i/>
                <w:sz w:val="19"/>
              </w:rPr>
            </w:pPr>
            <w:r>
              <w:rPr>
                <w:rFonts w:ascii="Verdana"/>
                <w:i/>
                <w:color w:val="333333"/>
                <w:sz w:val="19"/>
              </w:rPr>
              <w:t>+736.5%</w:t>
            </w:r>
          </w:p>
        </w:tc>
      </w:tr>
      <w:tr>
        <w:tblPrEx>
          <w:tblW w:w="0" w:type="auto"/>
          <w:jc w:val="left"/>
          <w:tblInd w:w="410" w:type="dxa"/>
          <w:tblLayout w:type="fixed"/>
          <w:tblCellMar>
            <w:top w:w="0" w:type="dxa"/>
            <w:left w:w="0" w:type="dxa"/>
            <w:bottom w:w="0" w:type="dxa"/>
            <w:right w:w="0" w:type="dxa"/>
          </w:tblCellMar>
          <w:tblLook w:val="01E0"/>
        </w:tblPrEx>
        <w:trPr>
          <w:trHeight w:val="582"/>
          <w:jc w:val="left"/>
        </w:trPr>
        <w:tc>
          <w:tcPr>
            <w:tcW w:w="1889" w:type="dxa"/>
            <w:tcBorders>
              <w:top w:val="nil"/>
              <w:bottom w:val="nil"/>
            </w:tcBorders>
          </w:tcPr>
          <w:p>
            <w:pPr>
              <w:pStyle w:val="TableParagraph"/>
              <w:spacing w:before="58"/>
              <w:ind w:left="107" w:right="604"/>
              <w:rPr>
                <w:rFonts w:ascii="Verdana"/>
                <w:i/>
                <w:sz w:val="19"/>
              </w:rPr>
            </w:pPr>
            <w:r>
              <w:rPr>
                <w:rFonts w:ascii="Verdana"/>
                <w:i/>
                <w:sz w:val="19"/>
              </w:rPr>
              <w:t xml:space="preserve">Northern </w:t>
            </w:r>
            <w:r>
              <w:rPr>
                <w:rFonts w:ascii="Verdana"/>
                <w:i/>
                <w:sz w:val="19"/>
              </w:rPr>
              <w:t>Powerhouse</w:t>
            </w:r>
          </w:p>
        </w:tc>
        <w:tc>
          <w:tcPr>
            <w:tcW w:w="1385" w:type="dxa"/>
            <w:tcBorders>
              <w:top w:val="nil"/>
              <w:bottom w:val="nil"/>
            </w:tcBorders>
          </w:tcPr>
          <w:p>
            <w:pPr>
              <w:pStyle w:val="TableParagraph"/>
              <w:spacing w:before="60"/>
              <w:ind w:right="97"/>
              <w:jc w:val="right"/>
              <w:rPr>
                <w:rFonts w:ascii="Verdana"/>
                <w:i/>
                <w:sz w:val="19"/>
              </w:rPr>
            </w:pPr>
            <w:r>
              <w:rPr>
                <w:rFonts w:ascii="Verdana"/>
                <w:i/>
                <w:color w:val="333333"/>
                <w:w w:val="95"/>
                <w:sz w:val="19"/>
              </w:rPr>
              <w:t>tbc</w:t>
            </w:r>
          </w:p>
        </w:tc>
        <w:tc>
          <w:tcPr>
            <w:tcW w:w="1541" w:type="dxa"/>
            <w:tcBorders>
              <w:top w:val="nil"/>
              <w:bottom w:val="nil"/>
            </w:tcBorders>
          </w:tcPr>
          <w:p>
            <w:pPr>
              <w:pStyle w:val="TableParagraph"/>
              <w:spacing w:before="60"/>
              <w:ind w:right="100"/>
              <w:jc w:val="right"/>
              <w:rPr>
                <w:rFonts w:ascii="Verdana" w:hAnsi="Verdana"/>
                <w:i/>
                <w:sz w:val="19"/>
              </w:rPr>
            </w:pPr>
            <w:r>
              <w:rPr>
                <w:rFonts w:ascii="Verdana" w:hAnsi="Verdana"/>
                <w:i/>
                <w:color w:val="333333"/>
                <w:w w:val="95"/>
                <w:sz w:val="19"/>
              </w:rPr>
              <w:t>-£70.3m</w:t>
            </w:r>
          </w:p>
        </w:tc>
        <w:tc>
          <w:tcPr>
            <w:tcW w:w="1440" w:type="dxa"/>
            <w:tcBorders>
              <w:top w:val="nil"/>
              <w:bottom w:val="nil"/>
            </w:tcBorders>
          </w:tcPr>
          <w:p>
            <w:pPr>
              <w:pStyle w:val="TableParagraph"/>
              <w:spacing w:before="60"/>
              <w:ind w:right="99"/>
              <w:jc w:val="right"/>
              <w:rPr>
                <w:rFonts w:ascii="Verdana"/>
                <w:i/>
                <w:sz w:val="19"/>
              </w:rPr>
            </w:pPr>
            <w:r>
              <w:rPr>
                <w:rFonts w:ascii="Verdana"/>
                <w:i/>
                <w:color w:val="333333"/>
                <w:w w:val="95"/>
                <w:sz w:val="19"/>
              </w:rPr>
              <w:t>-100.0%</w:t>
            </w:r>
          </w:p>
        </w:tc>
        <w:tc>
          <w:tcPr>
            <w:tcW w:w="1438" w:type="dxa"/>
            <w:tcBorders>
              <w:top w:val="nil"/>
              <w:bottom w:val="nil"/>
            </w:tcBorders>
          </w:tcPr>
          <w:p>
            <w:pPr>
              <w:pStyle w:val="TableParagraph"/>
              <w:spacing w:before="60"/>
              <w:ind w:right="100"/>
              <w:jc w:val="right"/>
              <w:rPr>
                <w:rFonts w:ascii="Verdana" w:hAnsi="Verdana"/>
                <w:i/>
                <w:sz w:val="19"/>
              </w:rPr>
            </w:pPr>
            <w:r>
              <w:rPr>
                <w:rFonts w:ascii="Verdana" w:hAnsi="Verdana"/>
                <w:i/>
                <w:color w:val="333333"/>
                <w:w w:val="95"/>
                <w:sz w:val="19"/>
              </w:rPr>
              <w:t>-£73.1m</w:t>
            </w:r>
          </w:p>
        </w:tc>
        <w:tc>
          <w:tcPr>
            <w:tcW w:w="1325" w:type="dxa"/>
            <w:tcBorders>
              <w:top w:val="nil"/>
              <w:bottom w:val="nil"/>
            </w:tcBorders>
          </w:tcPr>
          <w:p>
            <w:pPr>
              <w:pStyle w:val="TableParagraph"/>
              <w:spacing w:before="60"/>
              <w:ind w:right="100"/>
              <w:jc w:val="right"/>
              <w:rPr>
                <w:rFonts w:ascii="Verdana"/>
                <w:i/>
                <w:sz w:val="19"/>
              </w:rPr>
            </w:pPr>
            <w:r>
              <w:rPr>
                <w:rFonts w:ascii="Verdana"/>
                <w:i/>
                <w:color w:val="333333"/>
                <w:w w:val="95"/>
                <w:sz w:val="19"/>
              </w:rPr>
              <w:t>-100.0%</w:t>
            </w:r>
          </w:p>
        </w:tc>
      </w:tr>
      <w:tr>
        <w:tblPrEx>
          <w:tblW w:w="0" w:type="auto"/>
          <w:jc w:val="left"/>
          <w:tblInd w:w="410" w:type="dxa"/>
          <w:tblLayout w:type="fixed"/>
          <w:tblCellMar>
            <w:top w:w="0" w:type="dxa"/>
            <w:left w:w="0" w:type="dxa"/>
            <w:bottom w:w="0" w:type="dxa"/>
            <w:right w:w="0" w:type="dxa"/>
          </w:tblCellMar>
          <w:tblLook w:val="01E0"/>
        </w:tblPrEx>
        <w:trPr>
          <w:trHeight w:val="379"/>
          <w:jc w:val="left"/>
        </w:trPr>
        <w:tc>
          <w:tcPr>
            <w:tcW w:w="1889" w:type="dxa"/>
            <w:tcBorders>
              <w:top w:val="nil"/>
              <w:bottom w:val="nil"/>
            </w:tcBorders>
          </w:tcPr>
          <w:p>
            <w:pPr>
              <w:pStyle w:val="TableParagraph"/>
              <w:spacing w:before="59"/>
              <w:ind w:left="107"/>
              <w:rPr>
                <w:rFonts w:ascii="Verdana"/>
                <w:i/>
                <w:sz w:val="19"/>
              </w:rPr>
            </w:pPr>
            <w:r>
              <w:rPr>
                <w:rFonts w:ascii="Verdana"/>
                <w:i/>
                <w:sz w:val="19"/>
              </w:rPr>
              <w:t>Midlands Engine</w:t>
            </w:r>
          </w:p>
        </w:tc>
        <w:tc>
          <w:tcPr>
            <w:tcW w:w="1385" w:type="dxa"/>
            <w:tcBorders>
              <w:top w:val="nil"/>
              <w:bottom w:val="nil"/>
            </w:tcBorders>
          </w:tcPr>
          <w:p>
            <w:pPr>
              <w:pStyle w:val="TableParagraph"/>
              <w:spacing w:before="59"/>
              <w:ind w:right="97"/>
              <w:jc w:val="right"/>
              <w:rPr>
                <w:rFonts w:ascii="Verdana"/>
                <w:i/>
                <w:sz w:val="19"/>
              </w:rPr>
            </w:pPr>
            <w:r>
              <w:rPr>
                <w:rFonts w:ascii="Verdana"/>
                <w:i/>
                <w:color w:val="333333"/>
                <w:w w:val="95"/>
                <w:sz w:val="19"/>
              </w:rPr>
              <w:t>tbc</w:t>
            </w:r>
          </w:p>
        </w:tc>
        <w:tc>
          <w:tcPr>
            <w:tcW w:w="1541" w:type="dxa"/>
            <w:tcBorders>
              <w:top w:val="nil"/>
              <w:bottom w:val="nil"/>
            </w:tcBorders>
          </w:tcPr>
          <w:p>
            <w:pPr>
              <w:pStyle w:val="TableParagraph"/>
              <w:spacing w:before="59"/>
              <w:ind w:right="100"/>
              <w:jc w:val="right"/>
              <w:rPr>
                <w:rFonts w:ascii="Verdana" w:hAnsi="Verdana"/>
                <w:i/>
                <w:sz w:val="19"/>
              </w:rPr>
            </w:pPr>
            <w:r>
              <w:rPr>
                <w:rFonts w:ascii="Verdana" w:hAnsi="Verdana"/>
                <w:i/>
                <w:color w:val="333333"/>
                <w:w w:val="95"/>
                <w:sz w:val="19"/>
              </w:rPr>
              <w:t>-£73.2m</w:t>
            </w:r>
          </w:p>
        </w:tc>
        <w:tc>
          <w:tcPr>
            <w:tcW w:w="1440" w:type="dxa"/>
            <w:tcBorders>
              <w:top w:val="nil"/>
              <w:bottom w:val="nil"/>
            </w:tcBorders>
          </w:tcPr>
          <w:p>
            <w:pPr>
              <w:pStyle w:val="TableParagraph"/>
              <w:spacing w:before="59"/>
              <w:ind w:right="99"/>
              <w:jc w:val="right"/>
              <w:rPr>
                <w:rFonts w:ascii="Verdana"/>
                <w:i/>
                <w:sz w:val="19"/>
              </w:rPr>
            </w:pPr>
            <w:r>
              <w:rPr>
                <w:rFonts w:ascii="Verdana"/>
                <w:i/>
                <w:color w:val="333333"/>
                <w:w w:val="95"/>
                <w:sz w:val="19"/>
              </w:rPr>
              <w:t>-100.0%</w:t>
            </w:r>
          </w:p>
        </w:tc>
        <w:tc>
          <w:tcPr>
            <w:tcW w:w="1438" w:type="dxa"/>
            <w:tcBorders>
              <w:top w:val="nil"/>
              <w:bottom w:val="nil"/>
            </w:tcBorders>
          </w:tcPr>
          <w:p>
            <w:pPr>
              <w:pStyle w:val="TableParagraph"/>
              <w:spacing w:before="59"/>
              <w:ind w:right="100"/>
              <w:jc w:val="right"/>
              <w:rPr>
                <w:rFonts w:ascii="Verdana" w:hAnsi="Verdana"/>
                <w:i/>
                <w:sz w:val="19"/>
              </w:rPr>
            </w:pPr>
            <w:r>
              <w:rPr>
                <w:rFonts w:ascii="Verdana" w:hAnsi="Verdana"/>
                <w:i/>
                <w:color w:val="333333"/>
                <w:w w:val="95"/>
                <w:sz w:val="19"/>
              </w:rPr>
              <w:t>-£70.3m</w:t>
            </w:r>
          </w:p>
        </w:tc>
        <w:tc>
          <w:tcPr>
            <w:tcW w:w="1325" w:type="dxa"/>
            <w:tcBorders>
              <w:top w:val="nil"/>
              <w:bottom w:val="nil"/>
            </w:tcBorders>
          </w:tcPr>
          <w:p>
            <w:pPr>
              <w:pStyle w:val="TableParagraph"/>
              <w:spacing w:before="59"/>
              <w:ind w:right="100"/>
              <w:jc w:val="right"/>
              <w:rPr>
                <w:rFonts w:ascii="Verdana"/>
                <w:i/>
                <w:sz w:val="19"/>
              </w:rPr>
            </w:pPr>
            <w:r>
              <w:rPr>
                <w:rFonts w:ascii="Verdana"/>
                <w:i/>
                <w:color w:val="333333"/>
                <w:w w:val="95"/>
                <w:sz w:val="19"/>
              </w:rPr>
              <w:t>-100.0%</w:t>
            </w:r>
          </w:p>
        </w:tc>
      </w:tr>
      <w:tr>
        <w:tblPrEx>
          <w:tblW w:w="0" w:type="auto"/>
          <w:jc w:val="left"/>
          <w:tblInd w:w="410" w:type="dxa"/>
          <w:tblLayout w:type="fixed"/>
          <w:tblCellMar>
            <w:top w:w="0" w:type="dxa"/>
            <w:left w:w="0" w:type="dxa"/>
            <w:bottom w:w="0" w:type="dxa"/>
            <w:right w:w="0" w:type="dxa"/>
          </w:tblCellMar>
          <w:tblLook w:val="01E0"/>
        </w:tblPrEx>
        <w:trPr>
          <w:trHeight w:val="550"/>
          <w:jc w:val="left"/>
        </w:trPr>
        <w:tc>
          <w:tcPr>
            <w:tcW w:w="1889" w:type="dxa"/>
            <w:tcBorders>
              <w:top w:val="nil"/>
              <w:bottom w:val="nil"/>
            </w:tcBorders>
          </w:tcPr>
          <w:p>
            <w:pPr>
              <w:pStyle w:val="TableParagraph"/>
              <w:spacing w:before="95" w:line="230" w:lineRule="exact"/>
              <w:ind w:left="107" w:right="669"/>
              <w:rPr>
                <w:rFonts w:ascii="Verdana"/>
                <w:i/>
                <w:sz w:val="19"/>
              </w:rPr>
            </w:pPr>
            <w:r>
              <w:rPr>
                <w:rFonts w:ascii="Verdana"/>
                <w:i/>
                <w:sz w:val="19"/>
              </w:rPr>
              <w:t xml:space="preserve">British </w:t>
            </w:r>
            <w:r>
              <w:rPr>
                <w:rFonts w:ascii="Verdana"/>
                <w:i/>
                <w:sz w:val="19"/>
              </w:rPr>
              <w:t>Technology</w:t>
            </w:r>
          </w:p>
        </w:tc>
        <w:tc>
          <w:tcPr>
            <w:tcW w:w="1385" w:type="dxa"/>
            <w:tcBorders>
              <w:top w:val="nil"/>
              <w:bottom w:val="nil"/>
            </w:tcBorders>
          </w:tcPr>
          <w:p>
            <w:pPr>
              <w:pStyle w:val="TableParagraph"/>
              <w:spacing w:before="90"/>
              <w:ind w:right="98"/>
              <w:jc w:val="right"/>
              <w:rPr>
                <w:rFonts w:ascii="Verdana" w:hAnsi="Verdana"/>
                <w:i/>
                <w:sz w:val="19"/>
              </w:rPr>
            </w:pPr>
            <w:r>
              <w:rPr>
                <w:rFonts w:ascii="Verdana" w:hAnsi="Verdana"/>
                <w:i/>
                <w:color w:val="333333"/>
                <w:sz w:val="19"/>
              </w:rPr>
              <w:t>£45.0</w:t>
            </w:r>
          </w:p>
        </w:tc>
        <w:tc>
          <w:tcPr>
            <w:tcW w:w="1541" w:type="dxa"/>
            <w:tcBorders>
              <w:top w:val="nil"/>
              <w:bottom w:val="nil"/>
            </w:tcBorders>
          </w:tcPr>
          <w:p>
            <w:pPr>
              <w:pStyle w:val="TableParagraph"/>
              <w:spacing w:before="90"/>
              <w:ind w:right="99"/>
              <w:jc w:val="right"/>
              <w:rPr>
                <w:rFonts w:ascii="Verdana" w:hAnsi="Verdana"/>
                <w:i/>
                <w:sz w:val="19"/>
              </w:rPr>
            </w:pPr>
            <w:r>
              <w:rPr>
                <w:rFonts w:ascii="Verdana" w:hAnsi="Verdana"/>
                <w:i/>
                <w:color w:val="333333"/>
                <w:sz w:val="19"/>
              </w:rPr>
              <w:t>+£29.0m</w:t>
            </w:r>
          </w:p>
        </w:tc>
        <w:tc>
          <w:tcPr>
            <w:tcW w:w="1440" w:type="dxa"/>
            <w:tcBorders>
              <w:top w:val="nil"/>
              <w:bottom w:val="nil"/>
            </w:tcBorders>
          </w:tcPr>
          <w:p>
            <w:pPr>
              <w:pStyle w:val="TableParagraph"/>
              <w:spacing w:before="90"/>
              <w:ind w:right="99"/>
              <w:jc w:val="right"/>
              <w:rPr>
                <w:rFonts w:ascii="Verdana"/>
                <w:i/>
                <w:sz w:val="19"/>
              </w:rPr>
            </w:pPr>
            <w:r>
              <w:rPr>
                <w:rFonts w:ascii="Verdana"/>
                <w:i/>
                <w:color w:val="333333"/>
                <w:sz w:val="19"/>
              </w:rPr>
              <w:t>+181.3%</w:t>
            </w:r>
          </w:p>
        </w:tc>
        <w:tc>
          <w:tcPr>
            <w:tcW w:w="1438" w:type="dxa"/>
            <w:tcBorders>
              <w:top w:val="nil"/>
              <w:bottom w:val="nil"/>
            </w:tcBorders>
          </w:tcPr>
          <w:p>
            <w:pPr>
              <w:pStyle w:val="TableParagraph"/>
              <w:spacing w:before="90"/>
              <w:ind w:right="100"/>
              <w:jc w:val="right"/>
              <w:rPr>
                <w:rFonts w:ascii="Verdana" w:hAnsi="Verdana"/>
                <w:i/>
                <w:sz w:val="19"/>
              </w:rPr>
            </w:pPr>
            <w:r>
              <w:rPr>
                <w:rFonts w:ascii="Verdana" w:hAnsi="Verdana"/>
                <w:i/>
                <w:color w:val="333333"/>
                <w:sz w:val="19"/>
              </w:rPr>
              <w:t>-£5.0m</w:t>
            </w:r>
          </w:p>
        </w:tc>
        <w:tc>
          <w:tcPr>
            <w:tcW w:w="1325" w:type="dxa"/>
            <w:tcBorders>
              <w:top w:val="nil"/>
              <w:bottom w:val="nil"/>
            </w:tcBorders>
          </w:tcPr>
          <w:p>
            <w:pPr>
              <w:pStyle w:val="TableParagraph"/>
              <w:spacing w:before="90"/>
              <w:ind w:right="100"/>
              <w:jc w:val="right"/>
              <w:rPr>
                <w:rFonts w:ascii="Verdana"/>
                <w:i/>
                <w:sz w:val="19"/>
              </w:rPr>
            </w:pPr>
            <w:r>
              <w:rPr>
                <w:rFonts w:ascii="Verdana"/>
                <w:i/>
                <w:color w:val="333333"/>
                <w:sz w:val="19"/>
              </w:rPr>
              <w:t>-10.0%</w:t>
            </w:r>
          </w:p>
        </w:tc>
      </w:tr>
      <w:tr>
        <w:tblPrEx>
          <w:tblW w:w="0" w:type="auto"/>
          <w:jc w:val="left"/>
          <w:tblInd w:w="410" w:type="dxa"/>
          <w:tblLayout w:type="fixed"/>
          <w:tblCellMar>
            <w:top w:w="0" w:type="dxa"/>
            <w:left w:w="0" w:type="dxa"/>
            <w:bottom w:w="0" w:type="dxa"/>
            <w:right w:w="0" w:type="dxa"/>
          </w:tblCellMar>
          <w:tblLook w:val="01E0"/>
        </w:tblPrEx>
        <w:trPr>
          <w:trHeight w:val="291"/>
          <w:jc w:val="left"/>
        </w:trPr>
        <w:tc>
          <w:tcPr>
            <w:tcW w:w="1889" w:type="dxa"/>
            <w:tcBorders>
              <w:top w:val="nil"/>
              <w:bottom w:val="nil"/>
            </w:tcBorders>
          </w:tcPr>
          <w:p>
            <w:pPr>
              <w:pStyle w:val="TableParagraph"/>
              <w:spacing w:line="228" w:lineRule="exact"/>
              <w:ind w:left="107"/>
              <w:rPr>
                <w:rFonts w:ascii="Verdana"/>
                <w:i/>
                <w:sz w:val="19"/>
              </w:rPr>
            </w:pPr>
            <w:r>
              <w:rPr>
                <w:rFonts w:ascii="Verdana"/>
                <w:i/>
                <w:sz w:val="19"/>
              </w:rPr>
              <w:t>Investments</w:t>
            </w:r>
          </w:p>
        </w:tc>
        <w:tc>
          <w:tcPr>
            <w:tcW w:w="1385" w:type="dxa"/>
            <w:tcBorders>
              <w:top w:val="nil"/>
              <w:bottom w:val="nil"/>
            </w:tcBorders>
          </w:tcPr>
          <w:p>
            <w:pPr>
              <w:pStyle w:val="TableParagraph"/>
              <w:rPr>
                <w:rFonts w:ascii="Times New Roman"/>
                <w:sz w:val="20"/>
              </w:rPr>
            </w:pPr>
          </w:p>
        </w:tc>
        <w:tc>
          <w:tcPr>
            <w:tcW w:w="1541" w:type="dxa"/>
            <w:tcBorders>
              <w:top w:val="nil"/>
              <w:bottom w:val="nil"/>
            </w:tcBorders>
          </w:tcPr>
          <w:p>
            <w:pPr>
              <w:pStyle w:val="TableParagraph"/>
              <w:rPr>
                <w:rFonts w:ascii="Times New Roman"/>
                <w:sz w:val="20"/>
              </w:rPr>
            </w:pPr>
          </w:p>
        </w:tc>
        <w:tc>
          <w:tcPr>
            <w:tcW w:w="1440" w:type="dxa"/>
            <w:tcBorders>
              <w:top w:val="nil"/>
              <w:bottom w:val="nil"/>
            </w:tcBorders>
          </w:tcPr>
          <w:p>
            <w:pPr>
              <w:pStyle w:val="TableParagraph"/>
              <w:rPr>
                <w:rFonts w:ascii="Times New Roman"/>
                <w:sz w:val="20"/>
              </w:rPr>
            </w:pPr>
          </w:p>
        </w:tc>
        <w:tc>
          <w:tcPr>
            <w:tcW w:w="1438" w:type="dxa"/>
            <w:tcBorders>
              <w:top w:val="nil"/>
              <w:bottom w:val="nil"/>
            </w:tcBorders>
          </w:tcPr>
          <w:p>
            <w:pPr>
              <w:pStyle w:val="TableParagraph"/>
              <w:rPr>
                <w:rFonts w:ascii="Times New Roman"/>
                <w:sz w:val="20"/>
              </w:rPr>
            </w:pPr>
          </w:p>
        </w:tc>
        <w:tc>
          <w:tcPr>
            <w:tcW w:w="1325" w:type="dxa"/>
            <w:tcBorders>
              <w:top w:val="nil"/>
              <w:bottom w:val="nil"/>
            </w:tcBorders>
          </w:tcPr>
          <w:p>
            <w:pPr>
              <w:pStyle w:val="TableParagraph"/>
              <w:rPr>
                <w:rFonts w:ascii="Times New Roman"/>
                <w:sz w:val="20"/>
              </w:rPr>
            </w:pPr>
          </w:p>
        </w:tc>
      </w:tr>
      <w:tr>
        <w:tblPrEx>
          <w:tblW w:w="0" w:type="auto"/>
          <w:jc w:val="left"/>
          <w:tblInd w:w="410" w:type="dxa"/>
          <w:tblLayout w:type="fixed"/>
          <w:tblCellMar>
            <w:top w:w="0" w:type="dxa"/>
            <w:left w:w="0" w:type="dxa"/>
            <w:bottom w:w="0" w:type="dxa"/>
            <w:right w:w="0" w:type="dxa"/>
          </w:tblCellMar>
          <w:tblLook w:val="01E0"/>
        </w:tblPrEx>
        <w:trPr>
          <w:trHeight w:val="382"/>
          <w:jc w:val="left"/>
        </w:trPr>
        <w:tc>
          <w:tcPr>
            <w:tcW w:w="1889" w:type="dxa"/>
            <w:tcBorders>
              <w:top w:val="nil"/>
              <w:bottom w:val="nil"/>
            </w:tcBorders>
          </w:tcPr>
          <w:p>
            <w:pPr>
              <w:pStyle w:val="TableParagraph"/>
              <w:spacing w:before="63"/>
              <w:ind w:left="107"/>
              <w:rPr>
                <w:rFonts w:ascii="Verdana"/>
                <w:i/>
                <w:sz w:val="19"/>
              </w:rPr>
            </w:pPr>
            <w:r>
              <w:rPr>
                <w:rFonts w:ascii="Verdana"/>
                <w:i/>
                <w:sz w:val="19"/>
              </w:rPr>
              <w:t>Future Fund</w:t>
            </w:r>
          </w:p>
        </w:tc>
        <w:tc>
          <w:tcPr>
            <w:tcW w:w="1385" w:type="dxa"/>
            <w:tcBorders>
              <w:top w:val="nil"/>
              <w:bottom w:val="nil"/>
            </w:tcBorders>
          </w:tcPr>
          <w:p>
            <w:pPr>
              <w:pStyle w:val="TableParagraph"/>
              <w:spacing w:before="63"/>
              <w:ind w:right="99"/>
              <w:jc w:val="right"/>
              <w:rPr>
                <w:rFonts w:ascii="Verdana" w:hAnsi="Verdana"/>
                <w:i/>
                <w:sz w:val="19"/>
              </w:rPr>
            </w:pPr>
            <w:r>
              <w:rPr>
                <w:rFonts w:ascii="Verdana" w:hAnsi="Verdana"/>
                <w:i/>
                <w:color w:val="333333"/>
                <w:w w:val="95"/>
                <w:sz w:val="19"/>
              </w:rPr>
              <w:t>£50.0m</w:t>
            </w:r>
          </w:p>
        </w:tc>
        <w:tc>
          <w:tcPr>
            <w:tcW w:w="1541" w:type="dxa"/>
            <w:tcBorders>
              <w:top w:val="nil"/>
              <w:bottom w:val="nil"/>
            </w:tcBorders>
          </w:tcPr>
          <w:p>
            <w:pPr>
              <w:pStyle w:val="TableParagraph"/>
              <w:spacing w:before="63"/>
              <w:ind w:right="100"/>
              <w:jc w:val="right"/>
              <w:rPr>
                <w:rFonts w:ascii="Verdana" w:hAnsi="Verdana"/>
                <w:i/>
                <w:sz w:val="19"/>
              </w:rPr>
            </w:pPr>
            <w:r>
              <w:rPr>
                <w:rFonts w:ascii="Verdana" w:hAnsi="Verdana"/>
                <w:i/>
                <w:color w:val="333333"/>
                <w:sz w:val="19"/>
              </w:rPr>
              <w:t>-£1,050.0m</w:t>
            </w:r>
          </w:p>
        </w:tc>
        <w:tc>
          <w:tcPr>
            <w:tcW w:w="1440" w:type="dxa"/>
            <w:tcBorders>
              <w:top w:val="nil"/>
              <w:bottom w:val="nil"/>
            </w:tcBorders>
          </w:tcPr>
          <w:p>
            <w:pPr>
              <w:pStyle w:val="TableParagraph"/>
              <w:spacing w:before="63"/>
              <w:ind w:right="99"/>
              <w:jc w:val="right"/>
              <w:rPr>
                <w:rFonts w:ascii="Verdana"/>
                <w:i/>
                <w:sz w:val="19"/>
              </w:rPr>
            </w:pPr>
            <w:r>
              <w:rPr>
                <w:rFonts w:ascii="Verdana"/>
                <w:i/>
                <w:color w:val="333333"/>
                <w:sz w:val="19"/>
              </w:rPr>
              <w:t>-95.5%</w:t>
            </w:r>
          </w:p>
        </w:tc>
        <w:tc>
          <w:tcPr>
            <w:tcW w:w="1438" w:type="dxa"/>
            <w:tcBorders>
              <w:top w:val="nil"/>
              <w:bottom w:val="nil"/>
            </w:tcBorders>
          </w:tcPr>
          <w:p>
            <w:pPr>
              <w:pStyle w:val="TableParagraph"/>
              <w:spacing w:before="63"/>
              <w:ind w:right="97"/>
              <w:jc w:val="right"/>
              <w:rPr>
                <w:rFonts w:ascii="Verdana"/>
                <w:i/>
                <w:sz w:val="19"/>
              </w:rPr>
            </w:pPr>
            <w:r>
              <w:rPr>
                <w:rFonts w:ascii="Verdana"/>
                <w:i/>
                <w:color w:val="333333"/>
                <w:sz w:val="19"/>
              </w:rPr>
              <w:t>n/a</w:t>
            </w:r>
          </w:p>
        </w:tc>
        <w:tc>
          <w:tcPr>
            <w:tcW w:w="1325" w:type="dxa"/>
            <w:tcBorders>
              <w:top w:val="nil"/>
              <w:bottom w:val="nil"/>
            </w:tcBorders>
          </w:tcPr>
          <w:p>
            <w:pPr>
              <w:pStyle w:val="TableParagraph"/>
              <w:spacing w:before="63"/>
              <w:ind w:right="97"/>
              <w:jc w:val="right"/>
              <w:rPr>
                <w:rFonts w:ascii="Verdana"/>
                <w:i/>
                <w:sz w:val="19"/>
              </w:rPr>
            </w:pPr>
            <w:r>
              <w:rPr>
                <w:rFonts w:ascii="Verdana"/>
                <w:i/>
                <w:color w:val="333333"/>
                <w:sz w:val="19"/>
              </w:rPr>
              <w:t>n/a</w:t>
            </w:r>
          </w:p>
        </w:tc>
      </w:tr>
      <w:tr>
        <w:tblPrEx>
          <w:tblW w:w="0" w:type="auto"/>
          <w:jc w:val="left"/>
          <w:tblInd w:w="410" w:type="dxa"/>
          <w:tblLayout w:type="fixed"/>
          <w:tblCellMar>
            <w:top w:w="0" w:type="dxa"/>
            <w:left w:w="0" w:type="dxa"/>
            <w:bottom w:w="0" w:type="dxa"/>
            <w:right w:w="0" w:type="dxa"/>
          </w:tblCellMar>
          <w:tblLook w:val="01E0"/>
        </w:tblPrEx>
        <w:trPr>
          <w:trHeight w:val="409"/>
          <w:jc w:val="left"/>
        </w:trPr>
        <w:tc>
          <w:tcPr>
            <w:tcW w:w="1889" w:type="dxa"/>
            <w:tcBorders>
              <w:top w:val="nil"/>
              <w:bottom w:val="nil"/>
            </w:tcBorders>
          </w:tcPr>
          <w:p>
            <w:pPr>
              <w:pStyle w:val="TableParagraph"/>
              <w:spacing w:before="88"/>
              <w:ind w:left="107"/>
              <w:rPr>
                <w:rFonts w:ascii="Verdana"/>
                <w:i/>
                <w:sz w:val="19"/>
              </w:rPr>
            </w:pPr>
            <w:r>
              <w:rPr>
                <w:rFonts w:ascii="Verdana"/>
                <w:i/>
                <w:sz w:val="19"/>
              </w:rPr>
              <w:t>OneWeb</w:t>
            </w:r>
          </w:p>
        </w:tc>
        <w:tc>
          <w:tcPr>
            <w:tcW w:w="1385" w:type="dxa"/>
            <w:tcBorders>
              <w:top w:val="nil"/>
              <w:bottom w:val="nil"/>
            </w:tcBorders>
          </w:tcPr>
          <w:p>
            <w:pPr>
              <w:pStyle w:val="TableParagraph"/>
              <w:spacing w:before="88"/>
              <w:ind w:right="99"/>
              <w:jc w:val="right"/>
              <w:rPr>
                <w:rFonts w:ascii="Verdana" w:hAnsi="Verdana"/>
                <w:i/>
                <w:sz w:val="19"/>
              </w:rPr>
            </w:pPr>
            <w:r>
              <w:rPr>
                <w:rFonts w:ascii="Verdana" w:hAnsi="Verdana"/>
                <w:i/>
                <w:color w:val="333333"/>
                <w:w w:val="95"/>
                <w:sz w:val="19"/>
              </w:rPr>
              <w:t>£81.0m</w:t>
            </w:r>
          </w:p>
        </w:tc>
        <w:tc>
          <w:tcPr>
            <w:tcW w:w="1541" w:type="dxa"/>
            <w:tcBorders>
              <w:top w:val="nil"/>
              <w:bottom w:val="nil"/>
            </w:tcBorders>
          </w:tcPr>
          <w:p>
            <w:pPr>
              <w:pStyle w:val="TableParagraph"/>
              <w:spacing w:before="88"/>
              <w:ind w:right="99"/>
              <w:jc w:val="right"/>
              <w:rPr>
                <w:rFonts w:ascii="Verdana" w:hAnsi="Verdana"/>
                <w:i/>
                <w:sz w:val="19"/>
              </w:rPr>
            </w:pPr>
            <w:r>
              <w:rPr>
                <w:rFonts w:ascii="Verdana" w:hAnsi="Verdana"/>
                <w:i/>
                <w:color w:val="333333"/>
                <w:sz w:val="19"/>
              </w:rPr>
              <w:t>-£237.8m</w:t>
            </w:r>
          </w:p>
        </w:tc>
        <w:tc>
          <w:tcPr>
            <w:tcW w:w="1440" w:type="dxa"/>
            <w:tcBorders>
              <w:top w:val="nil"/>
              <w:bottom w:val="nil"/>
            </w:tcBorders>
          </w:tcPr>
          <w:p>
            <w:pPr>
              <w:pStyle w:val="TableParagraph"/>
              <w:spacing w:before="88"/>
              <w:ind w:right="99"/>
              <w:jc w:val="right"/>
              <w:rPr>
                <w:rFonts w:ascii="Verdana"/>
                <w:i/>
                <w:sz w:val="19"/>
              </w:rPr>
            </w:pPr>
            <w:r>
              <w:rPr>
                <w:rFonts w:ascii="Verdana"/>
                <w:i/>
                <w:color w:val="333333"/>
                <w:sz w:val="19"/>
              </w:rPr>
              <w:t>-74.6%</w:t>
            </w:r>
          </w:p>
        </w:tc>
        <w:tc>
          <w:tcPr>
            <w:tcW w:w="1438" w:type="dxa"/>
            <w:tcBorders>
              <w:top w:val="nil"/>
              <w:bottom w:val="nil"/>
            </w:tcBorders>
          </w:tcPr>
          <w:p>
            <w:pPr>
              <w:pStyle w:val="TableParagraph"/>
              <w:spacing w:before="88"/>
              <w:ind w:right="97"/>
              <w:jc w:val="right"/>
              <w:rPr>
                <w:rFonts w:ascii="Verdana"/>
                <w:i/>
                <w:sz w:val="19"/>
              </w:rPr>
            </w:pPr>
            <w:r>
              <w:rPr>
                <w:rFonts w:ascii="Verdana"/>
                <w:i/>
                <w:color w:val="333333"/>
                <w:sz w:val="19"/>
              </w:rPr>
              <w:t>n/a</w:t>
            </w:r>
          </w:p>
        </w:tc>
        <w:tc>
          <w:tcPr>
            <w:tcW w:w="1325" w:type="dxa"/>
            <w:tcBorders>
              <w:top w:val="nil"/>
              <w:bottom w:val="nil"/>
            </w:tcBorders>
          </w:tcPr>
          <w:p>
            <w:pPr>
              <w:pStyle w:val="TableParagraph"/>
              <w:spacing w:before="88"/>
              <w:ind w:right="97"/>
              <w:jc w:val="right"/>
              <w:rPr>
                <w:rFonts w:ascii="Verdana"/>
                <w:i/>
                <w:sz w:val="19"/>
              </w:rPr>
            </w:pPr>
            <w:r>
              <w:rPr>
                <w:rFonts w:ascii="Verdana"/>
                <w:i/>
                <w:color w:val="333333"/>
                <w:sz w:val="19"/>
              </w:rPr>
              <w:t>n/a</w:t>
            </w:r>
          </w:p>
        </w:tc>
      </w:tr>
      <w:tr>
        <w:tblPrEx>
          <w:tblW w:w="0" w:type="auto"/>
          <w:jc w:val="left"/>
          <w:tblInd w:w="410" w:type="dxa"/>
          <w:tblLayout w:type="fixed"/>
          <w:tblCellMar>
            <w:top w:w="0" w:type="dxa"/>
            <w:left w:w="0" w:type="dxa"/>
            <w:bottom w:w="0" w:type="dxa"/>
            <w:right w:w="0" w:type="dxa"/>
          </w:tblCellMar>
          <w:tblLook w:val="01E0"/>
        </w:tblPrEx>
        <w:trPr>
          <w:trHeight w:val="409"/>
          <w:jc w:val="left"/>
        </w:trPr>
        <w:tc>
          <w:tcPr>
            <w:tcW w:w="1889" w:type="dxa"/>
            <w:tcBorders>
              <w:top w:val="nil"/>
              <w:bottom w:val="nil"/>
            </w:tcBorders>
          </w:tcPr>
          <w:p>
            <w:pPr>
              <w:pStyle w:val="TableParagraph"/>
              <w:spacing w:before="89"/>
              <w:ind w:left="107"/>
              <w:rPr>
                <w:rFonts w:ascii="Verdana"/>
                <w:i/>
                <w:sz w:val="19"/>
              </w:rPr>
            </w:pPr>
            <w:r>
              <w:rPr>
                <w:rFonts w:ascii="Verdana"/>
                <w:i/>
                <w:sz w:val="19"/>
              </w:rPr>
              <w:t>ICF ODA</w:t>
            </w:r>
          </w:p>
        </w:tc>
        <w:tc>
          <w:tcPr>
            <w:tcW w:w="1385" w:type="dxa"/>
            <w:tcBorders>
              <w:top w:val="nil"/>
              <w:bottom w:val="nil"/>
            </w:tcBorders>
          </w:tcPr>
          <w:p>
            <w:pPr>
              <w:pStyle w:val="TableParagraph"/>
              <w:spacing w:before="89"/>
              <w:ind w:right="96"/>
              <w:jc w:val="right"/>
              <w:rPr>
                <w:rFonts w:ascii="Verdana"/>
                <w:i/>
                <w:sz w:val="19"/>
              </w:rPr>
            </w:pPr>
            <w:r>
              <w:rPr>
                <w:rFonts w:ascii="Verdana"/>
                <w:i/>
                <w:color w:val="333333"/>
                <w:w w:val="99"/>
                <w:sz w:val="19"/>
              </w:rPr>
              <w:t>-</w:t>
            </w:r>
          </w:p>
        </w:tc>
        <w:tc>
          <w:tcPr>
            <w:tcW w:w="1541" w:type="dxa"/>
            <w:tcBorders>
              <w:top w:val="nil"/>
              <w:bottom w:val="nil"/>
            </w:tcBorders>
          </w:tcPr>
          <w:p>
            <w:pPr>
              <w:pStyle w:val="TableParagraph"/>
              <w:spacing w:before="89"/>
              <w:ind w:right="100"/>
              <w:jc w:val="right"/>
              <w:rPr>
                <w:rFonts w:ascii="Verdana" w:hAnsi="Verdana"/>
                <w:i/>
                <w:sz w:val="19"/>
              </w:rPr>
            </w:pPr>
            <w:r>
              <w:rPr>
                <w:rFonts w:ascii="Verdana" w:hAnsi="Verdana"/>
                <w:i/>
                <w:color w:val="333333"/>
                <w:w w:val="95"/>
                <w:sz w:val="19"/>
              </w:rPr>
              <w:t>-£84.0m</w:t>
            </w:r>
          </w:p>
        </w:tc>
        <w:tc>
          <w:tcPr>
            <w:tcW w:w="1440" w:type="dxa"/>
            <w:tcBorders>
              <w:top w:val="nil"/>
              <w:bottom w:val="nil"/>
            </w:tcBorders>
          </w:tcPr>
          <w:p>
            <w:pPr>
              <w:pStyle w:val="TableParagraph"/>
              <w:spacing w:before="89"/>
              <w:ind w:right="99"/>
              <w:jc w:val="right"/>
              <w:rPr>
                <w:rFonts w:ascii="Verdana"/>
                <w:i/>
                <w:sz w:val="19"/>
              </w:rPr>
            </w:pPr>
            <w:r>
              <w:rPr>
                <w:rFonts w:ascii="Verdana"/>
                <w:i/>
                <w:color w:val="333333"/>
                <w:w w:val="95"/>
                <w:sz w:val="19"/>
              </w:rPr>
              <w:t>-100.0%</w:t>
            </w:r>
          </w:p>
        </w:tc>
        <w:tc>
          <w:tcPr>
            <w:tcW w:w="1438" w:type="dxa"/>
            <w:tcBorders>
              <w:top w:val="nil"/>
              <w:bottom w:val="nil"/>
            </w:tcBorders>
          </w:tcPr>
          <w:p>
            <w:pPr>
              <w:pStyle w:val="TableParagraph"/>
              <w:spacing w:before="89"/>
              <w:ind w:right="97"/>
              <w:jc w:val="right"/>
              <w:rPr>
                <w:rFonts w:ascii="Verdana"/>
                <w:i/>
                <w:sz w:val="19"/>
              </w:rPr>
            </w:pPr>
            <w:r>
              <w:rPr>
                <w:rFonts w:ascii="Verdana"/>
                <w:i/>
                <w:color w:val="333333"/>
                <w:sz w:val="19"/>
              </w:rPr>
              <w:t>n/a</w:t>
            </w:r>
          </w:p>
        </w:tc>
        <w:tc>
          <w:tcPr>
            <w:tcW w:w="1325" w:type="dxa"/>
            <w:tcBorders>
              <w:top w:val="nil"/>
              <w:bottom w:val="nil"/>
            </w:tcBorders>
          </w:tcPr>
          <w:p>
            <w:pPr>
              <w:pStyle w:val="TableParagraph"/>
              <w:spacing w:before="89"/>
              <w:ind w:right="97"/>
              <w:jc w:val="right"/>
              <w:rPr>
                <w:rFonts w:ascii="Verdana"/>
                <w:i/>
                <w:sz w:val="19"/>
              </w:rPr>
            </w:pPr>
            <w:r>
              <w:rPr>
                <w:rFonts w:ascii="Verdana"/>
                <w:i/>
                <w:color w:val="333333"/>
                <w:sz w:val="19"/>
              </w:rPr>
              <w:t>n/a</w:t>
            </w:r>
          </w:p>
        </w:tc>
      </w:tr>
      <w:tr>
        <w:tblPrEx>
          <w:tblW w:w="0" w:type="auto"/>
          <w:jc w:val="left"/>
          <w:tblInd w:w="410" w:type="dxa"/>
          <w:tblLayout w:type="fixed"/>
          <w:tblCellMar>
            <w:top w:w="0" w:type="dxa"/>
            <w:left w:w="0" w:type="dxa"/>
            <w:bottom w:w="0" w:type="dxa"/>
            <w:right w:w="0" w:type="dxa"/>
          </w:tblCellMar>
          <w:tblLook w:val="01E0"/>
        </w:tblPrEx>
        <w:trPr>
          <w:trHeight w:val="409"/>
          <w:jc w:val="left"/>
        </w:trPr>
        <w:tc>
          <w:tcPr>
            <w:tcW w:w="1889" w:type="dxa"/>
            <w:tcBorders>
              <w:top w:val="nil"/>
              <w:bottom w:val="nil"/>
            </w:tcBorders>
          </w:tcPr>
          <w:p>
            <w:pPr>
              <w:pStyle w:val="TableParagraph"/>
              <w:spacing w:before="88"/>
              <w:ind w:left="107"/>
              <w:rPr>
                <w:rFonts w:ascii="Verdana"/>
                <w:i/>
                <w:sz w:val="19"/>
              </w:rPr>
            </w:pPr>
            <w:r>
              <w:rPr>
                <w:rFonts w:ascii="Verdana"/>
                <w:i/>
                <w:sz w:val="19"/>
              </w:rPr>
              <w:t>Heat Networks</w:t>
            </w:r>
          </w:p>
        </w:tc>
        <w:tc>
          <w:tcPr>
            <w:tcW w:w="1385" w:type="dxa"/>
            <w:tcBorders>
              <w:top w:val="nil"/>
              <w:bottom w:val="nil"/>
            </w:tcBorders>
          </w:tcPr>
          <w:p>
            <w:pPr>
              <w:pStyle w:val="TableParagraph"/>
              <w:spacing w:before="88"/>
              <w:ind w:right="99"/>
              <w:jc w:val="right"/>
              <w:rPr>
                <w:rFonts w:ascii="Verdana" w:hAnsi="Verdana"/>
                <w:i/>
                <w:sz w:val="19"/>
              </w:rPr>
            </w:pPr>
            <w:r>
              <w:rPr>
                <w:rFonts w:ascii="Verdana" w:hAnsi="Verdana"/>
                <w:i/>
                <w:color w:val="333333"/>
                <w:w w:val="95"/>
                <w:sz w:val="19"/>
              </w:rPr>
              <w:t>£68.0m</w:t>
            </w:r>
          </w:p>
        </w:tc>
        <w:tc>
          <w:tcPr>
            <w:tcW w:w="1541" w:type="dxa"/>
            <w:tcBorders>
              <w:top w:val="nil"/>
              <w:bottom w:val="nil"/>
            </w:tcBorders>
          </w:tcPr>
          <w:p>
            <w:pPr>
              <w:pStyle w:val="TableParagraph"/>
              <w:spacing w:before="88"/>
              <w:ind w:right="99"/>
              <w:jc w:val="right"/>
              <w:rPr>
                <w:rFonts w:ascii="Verdana" w:hAnsi="Verdana"/>
                <w:i/>
                <w:sz w:val="19"/>
              </w:rPr>
            </w:pPr>
            <w:r>
              <w:rPr>
                <w:rFonts w:ascii="Verdana" w:hAnsi="Verdana"/>
                <w:i/>
                <w:color w:val="333333"/>
                <w:sz w:val="19"/>
              </w:rPr>
              <w:t>+£32.0m</w:t>
            </w:r>
          </w:p>
        </w:tc>
        <w:tc>
          <w:tcPr>
            <w:tcW w:w="1440" w:type="dxa"/>
            <w:tcBorders>
              <w:top w:val="nil"/>
              <w:bottom w:val="nil"/>
            </w:tcBorders>
          </w:tcPr>
          <w:p>
            <w:pPr>
              <w:pStyle w:val="TableParagraph"/>
              <w:spacing w:before="88"/>
              <w:ind w:right="99"/>
              <w:jc w:val="right"/>
              <w:rPr>
                <w:rFonts w:ascii="Verdana"/>
                <w:i/>
                <w:sz w:val="19"/>
              </w:rPr>
            </w:pPr>
            <w:r>
              <w:rPr>
                <w:rFonts w:ascii="Verdana"/>
                <w:i/>
                <w:color w:val="333333"/>
                <w:sz w:val="19"/>
              </w:rPr>
              <w:t>+88.9%</w:t>
            </w:r>
          </w:p>
        </w:tc>
        <w:tc>
          <w:tcPr>
            <w:tcW w:w="1438" w:type="dxa"/>
            <w:tcBorders>
              <w:top w:val="nil"/>
              <w:bottom w:val="nil"/>
            </w:tcBorders>
          </w:tcPr>
          <w:p>
            <w:pPr>
              <w:pStyle w:val="TableParagraph"/>
              <w:spacing w:before="88"/>
              <w:ind w:right="97"/>
              <w:jc w:val="right"/>
              <w:rPr>
                <w:rFonts w:ascii="Verdana"/>
                <w:i/>
                <w:sz w:val="19"/>
              </w:rPr>
            </w:pPr>
            <w:r>
              <w:rPr>
                <w:rFonts w:ascii="Verdana"/>
                <w:i/>
                <w:color w:val="333333"/>
                <w:w w:val="99"/>
                <w:sz w:val="19"/>
              </w:rPr>
              <w:t>-</w:t>
            </w:r>
          </w:p>
        </w:tc>
        <w:tc>
          <w:tcPr>
            <w:tcW w:w="1325" w:type="dxa"/>
            <w:tcBorders>
              <w:top w:val="nil"/>
              <w:bottom w:val="nil"/>
            </w:tcBorders>
          </w:tcPr>
          <w:p>
            <w:pPr>
              <w:pStyle w:val="TableParagraph"/>
              <w:spacing w:before="88"/>
              <w:ind w:right="97"/>
              <w:jc w:val="right"/>
              <w:rPr>
                <w:rFonts w:ascii="Verdana"/>
                <w:i/>
                <w:sz w:val="19"/>
              </w:rPr>
            </w:pPr>
            <w:r>
              <w:rPr>
                <w:rFonts w:ascii="Verdana"/>
                <w:i/>
                <w:color w:val="333333"/>
                <w:w w:val="99"/>
                <w:sz w:val="19"/>
              </w:rPr>
              <w:t>-</w:t>
            </w:r>
          </w:p>
        </w:tc>
      </w:tr>
      <w:tr>
        <w:tblPrEx>
          <w:tblW w:w="0" w:type="auto"/>
          <w:jc w:val="left"/>
          <w:tblInd w:w="410" w:type="dxa"/>
          <w:tblLayout w:type="fixed"/>
          <w:tblCellMar>
            <w:top w:w="0" w:type="dxa"/>
            <w:left w:w="0" w:type="dxa"/>
            <w:bottom w:w="0" w:type="dxa"/>
            <w:right w:w="0" w:type="dxa"/>
          </w:tblCellMar>
          <w:tblLook w:val="01E0"/>
        </w:tblPrEx>
        <w:trPr>
          <w:trHeight w:val="496"/>
          <w:jc w:val="left"/>
        </w:trPr>
        <w:tc>
          <w:tcPr>
            <w:tcW w:w="1889" w:type="dxa"/>
            <w:tcBorders>
              <w:top w:val="nil"/>
              <w:bottom w:val="nil"/>
            </w:tcBorders>
          </w:tcPr>
          <w:p>
            <w:pPr>
              <w:pStyle w:val="TableParagraph"/>
              <w:spacing w:before="89"/>
              <w:ind w:left="107"/>
              <w:rPr>
                <w:rFonts w:ascii="Verdana"/>
                <w:i/>
                <w:sz w:val="19"/>
              </w:rPr>
            </w:pPr>
            <w:r>
              <w:rPr>
                <w:rFonts w:ascii="Verdana"/>
                <w:i/>
                <w:sz w:val="19"/>
              </w:rPr>
              <w:t>Met Office</w:t>
            </w:r>
          </w:p>
        </w:tc>
        <w:tc>
          <w:tcPr>
            <w:tcW w:w="1385" w:type="dxa"/>
            <w:tcBorders>
              <w:top w:val="nil"/>
              <w:bottom w:val="nil"/>
            </w:tcBorders>
          </w:tcPr>
          <w:p>
            <w:pPr>
              <w:pStyle w:val="TableParagraph"/>
              <w:spacing w:before="89"/>
              <w:ind w:right="99"/>
              <w:jc w:val="right"/>
              <w:rPr>
                <w:rFonts w:ascii="Verdana" w:hAnsi="Verdana"/>
                <w:i/>
                <w:sz w:val="19"/>
              </w:rPr>
            </w:pPr>
            <w:r>
              <w:rPr>
                <w:rFonts w:ascii="Verdana" w:hAnsi="Verdana"/>
                <w:i/>
                <w:color w:val="333333"/>
                <w:w w:val="95"/>
                <w:sz w:val="19"/>
              </w:rPr>
              <w:t>£39.0m</w:t>
            </w:r>
          </w:p>
        </w:tc>
        <w:tc>
          <w:tcPr>
            <w:tcW w:w="1541" w:type="dxa"/>
            <w:tcBorders>
              <w:top w:val="nil"/>
              <w:bottom w:val="nil"/>
            </w:tcBorders>
          </w:tcPr>
          <w:p>
            <w:pPr>
              <w:pStyle w:val="TableParagraph"/>
              <w:spacing w:before="89"/>
              <w:ind w:right="99"/>
              <w:jc w:val="right"/>
              <w:rPr>
                <w:rFonts w:ascii="Verdana" w:hAnsi="Verdana"/>
                <w:i/>
                <w:sz w:val="19"/>
              </w:rPr>
            </w:pPr>
            <w:r>
              <w:rPr>
                <w:rFonts w:ascii="Verdana" w:hAnsi="Verdana"/>
                <w:i/>
                <w:color w:val="333333"/>
                <w:sz w:val="19"/>
              </w:rPr>
              <w:t>-£4.2m</w:t>
            </w:r>
          </w:p>
        </w:tc>
        <w:tc>
          <w:tcPr>
            <w:tcW w:w="1440" w:type="dxa"/>
            <w:tcBorders>
              <w:top w:val="nil"/>
              <w:bottom w:val="nil"/>
            </w:tcBorders>
          </w:tcPr>
          <w:p>
            <w:pPr>
              <w:pStyle w:val="TableParagraph"/>
              <w:spacing w:before="89"/>
              <w:ind w:right="98"/>
              <w:jc w:val="right"/>
              <w:rPr>
                <w:rFonts w:ascii="Verdana"/>
                <w:i/>
                <w:sz w:val="19"/>
              </w:rPr>
            </w:pPr>
            <w:r>
              <w:rPr>
                <w:rFonts w:ascii="Verdana"/>
                <w:i/>
                <w:color w:val="333333"/>
                <w:sz w:val="19"/>
              </w:rPr>
              <w:t>-9.8%</w:t>
            </w:r>
          </w:p>
        </w:tc>
        <w:tc>
          <w:tcPr>
            <w:tcW w:w="1438" w:type="dxa"/>
            <w:tcBorders>
              <w:top w:val="nil"/>
              <w:bottom w:val="nil"/>
            </w:tcBorders>
          </w:tcPr>
          <w:p>
            <w:pPr>
              <w:pStyle w:val="TableParagraph"/>
              <w:spacing w:before="89"/>
              <w:ind w:right="100"/>
              <w:jc w:val="right"/>
              <w:rPr>
                <w:rFonts w:ascii="Verdana" w:hAnsi="Verdana"/>
                <w:i/>
                <w:sz w:val="19"/>
              </w:rPr>
            </w:pPr>
            <w:r>
              <w:rPr>
                <w:rFonts w:ascii="Verdana" w:hAnsi="Verdana"/>
                <w:i/>
                <w:color w:val="333333"/>
                <w:sz w:val="19"/>
              </w:rPr>
              <w:t>-£3.8m</w:t>
            </w:r>
          </w:p>
        </w:tc>
        <w:tc>
          <w:tcPr>
            <w:tcW w:w="1325" w:type="dxa"/>
            <w:tcBorders>
              <w:top w:val="nil"/>
              <w:bottom w:val="nil"/>
            </w:tcBorders>
          </w:tcPr>
          <w:p>
            <w:pPr>
              <w:pStyle w:val="TableParagraph"/>
              <w:spacing w:before="89"/>
              <w:ind w:right="99"/>
              <w:jc w:val="right"/>
              <w:rPr>
                <w:rFonts w:ascii="Verdana"/>
                <w:i/>
                <w:sz w:val="19"/>
              </w:rPr>
            </w:pPr>
            <w:r>
              <w:rPr>
                <w:rFonts w:ascii="Verdana"/>
                <w:i/>
                <w:color w:val="333333"/>
                <w:sz w:val="19"/>
              </w:rPr>
              <w:t>-8.9%</w:t>
            </w:r>
          </w:p>
        </w:tc>
      </w:tr>
    </w:tbl>
    <w:p>
      <w:pPr>
        <w:spacing w:after="0"/>
        <w:jc w:val="right"/>
        <w:rPr>
          <w:rFonts w:ascii="Verdana"/>
          <w:sz w:val="19"/>
        </w:rPr>
        <w:sectPr>
          <w:pgSz w:w="11910" w:h="16840"/>
          <w:pgMar w:top="1400" w:right="280" w:bottom="280" w:left="1040" w:header="720" w:footer="720"/>
          <w:cols w:space="720"/>
        </w:sectPr>
      </w:pPr>
    </w:p>
    <w:tbl>
      <w:tblPr>
        <w:tblW w:w="0" w:type="auto"/>
        <w:jc w:val="left"/>
        <w:tblInd w:w="4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89"/>
        <w:gridCol w:w="1385"/>
        <w:gridCol w:w="1541"/>
        <w:gridCol w:w="1440"/>
        <w:gridCol w:w="1438"/>
        <w:gridCol w:w="1325"/>
      </w:tblGrid>
      <w:tr>
        <w:tblPrEx>
          <w:tblW w:w="0" w:type="auto"/>
          <w:jc w:val="left"/>
          <w:tblInd w:w="4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799"/>
          <w:jc w:val="left"/>
        </w:trPr>
        <w:tc>
          <w:tcPr>
            <w:tcW w:w="1889" w:type="dxa"/>
            <w:tcBorders>
              <w:top w:val="nil"/>
              <w:bottom w:val="nil"/>
            </w:tcBorders>
          </w:tcPr>
          <w:p>
            <w:pPr>
              <w:pStyle w:val="TableParagraph"/>
              <w:spacing w:line="259" w:lineRule="auto"/>
              <w:ind w:left="107" w:right="123"/>
              <w:rPr>
                <w:rFonts w:ascii="Verdana"/>
                <w:i/>
                <w:sz w:val="19"/>
              </w:rPr>
            </w:pPr>
            <w:r>
              <w:rPr>
                <w:rFonts w:ascii="Verdana"/>
                <w:i/>
                <w:sz w:val="19"/>
              </w:rPr>
              <w:t xml:space="preserve">UK Research and </w:t>
            </w:r>
            <w:r>
              <w:rPr>
                <w:rFonts w:ascii="Verdana"/>
                <w:i/>
                <w:sz w:val="19"/>
              </w:rPr>
              <w:t>Innovation (UKRI)</w:t>
            </w:r>
          </w:p>
        </w:tc>
        <w:tc>
          <w:tcPr>
            <w:tcW w:w="1385" w:type="dxa"/>
            <w:tcBorders>
              <w:top w:val="nil"/>
              <w:bottom w:val="nil"/>
            </w:tcBorders>
          </w:tcPr>
          <w:p>
            <w:pPr>
              <w:pStyle w:val="TableParagraph"/>
              <w:spacing w:line="229" w:lineRule="exact"/>
              <w:ind w:right="99"/>
              <w:jc w:val="right"/>
              <w:rPr>
                <w:rFonts w:ascii="Verdana" w:hAnsi="Verdana"/>
                <w:i/>
                <w:sz w:val="19"/>
              </w:rPr>
            </w:pPr>
            <w:r>
              <w:rPr>
                <w:rFonts w:ascii="Verdana" w:hAnsi="Verdana"/>
                <w:i/>
                <w:color w:val="333333"/>
                <w:w w:val="95"/>
                <w:sz w:val="19"/>
              </w:rPr>
              <w:t>£61.0m</w:t>
            </w:r>
          </w:p>
        </w:tc>
        <w:tc>
          <w:tcPr>
            <w:tcW w:w="1541" w:type="dxa"/>
            <w:tcBorders>
              <w:top w:val="nil"/>
              <w:bottom w:val="nil"/>
            </w:tcBorders>
          </w:tcPr>
          <w:p>
            <w:pPr>
              <w:pStyle w:val="TableParagraph"/>
              <w:spacing w:line="229" w:lineRule="exact"/>
              <w:ind w:right="99"/>
              <w:jc w:val="right"/>
              <w:rPr>
                <w:rFonts w:ascii="Verdana" w:hAnsi="Verdana"/>
                <w:i/>
                <w:sz w:val="19"/>
              </w:rPr>
            </w:pPr>
            <w:r>
              <w:rPr>
                <w:rFonts w:ascii="Verdana" w:hAnsi="Verdana"/>
                <w:i/>
                <w:color w:val="333333"/>
                <w:sz w:val="19"/>
              </w:rPr>
              <w:t>+£19.9m</w:t>
            </w:r>
          </w:p>
        </w:tc>
        <w:tc>
          <w:tcPr>
            <w:tcW w:w="1440" w:type="dxa"/>
            <w:tcBorders>
              <w:top w:val="nil"/>
              <w:bottom w:val="nil"/>
            </w:tcBorders>
          </w:tcPr>
          <w:p>
            <w:pPr>
              <w:pStyle w:val="TableParagraph"/>
              <w:spacing w:line="229" w:lineRule="exact"/>
              <w:ind w:right="99"/>
              <w:jc w:val="right"/>
              <w:rPr>
                <w:rFonts w:ascii="Verdana"/>
                <w:i/>
                <w:sz w:val="19"/>
              </w:rPr>
            </w:pPr>
            <w:r>
              <w:rPr>
                <w:rFonts w:ascii="Verdana"/>
                <w:i/>
                <w:color w:val="333333"/>
                <w:sz w:val="19"/>
              </w:rPr>
              <w:t>+48.5%</w:t>
            </w:r>
          </w:p>
        </w:tc>
        <w:tc>
          <w:tcPr>
            <w:tcW w:w="1438" w:type="dxa"/>
            <w:tcBorders>
              <w:top w:val="nil"/>
              <w:bottom w:val="nil"/>
            </w:tcBorders>
          </w:tcPr>
          <w:p>
            <w:pPr>
              <w:pStyle w:val="TableParagraph"/>
              <w:spacing w:line="229" w:lineRule="exact"/>
              <w:ind w:right="100"/>
              <w:jc w:val="right"/>
              <w:rPr>
                <w:rFonts w:ascii="Verdana" w:hAnsi="Verdana"/>
                <w:i/>
                <w:sz w:val="19"/>
              </w:rPr>
            </w:pPr>
            <w:r>
              <w:rPr>
                <w:rFonts w:ascii="Verdana" w:hAnsi="Verdana"/>
                <w:i/>
                <w:color w:val="333333"/>
                <w:sz w:val="19"/>
              </w:rPr>
              <w:t>+£50.2m</w:t>
            </w:r>
          </w:p>
        </w:tc>
        <w:tc>
          <w:tcPr>
            <w:tcW w:w="1325" w:type="dxa"/>
            <w:tcBorders>
              <w:top w:val="nil"/>
              <w:bottom w:val="nil"/>
            </w:tcBorders>
          </w:tcPr>
          <w:p>
            <w:pPr>
              <w:pStyle w:val="TableParagraph"/>
              <w:spacing w:line="229" w:lineRule="exact"/>
              <w:ind w:right="100"/>
              <w:jc w:val="right"/>
              <w:rPr>
                <w:rFonts w:ascii="Verdana"/>
                <w:i/>
                <w:sz w:val="19"/>
              </w:rPr>
            </w:pPr>
            <w:r>
              <w:rPr>
                <w:rFonts w:ascii="Verdana"/>
                <w:i/>
                <w:color w:val="333333"/>
                <w:sz w:val="19"/>
              </w:rPr>
              <w:t>+464.8%</w:t>
            </w:r>
          </w:p>
        </w:tc>
      </w:tr>
      <w:tr>
        <w:tblPrEx>
          <w:tblW w:w="0" w:type="auto"/>
          <w:jc w:val="left"/>
          <w:tblInd w:w="410" w:type="dxa"/>
          <w:tblLayout w:type="fixed"/>
          <w:tblCellMar>
            <w:top w:w="0" w:type="dxa"/>
            <w:left w:w="0" w:type="dxa"/>
            <w:bottom w:w="0" w:type="dxa"/>
            <w:right w:w="0" w:type="dxa"/>
          </w:tblCellMar>
          <w:tblLook w:val="01E0"/>
        </w:tblPrEx>
        <w:trPr>
          <w:trHeight w:val="617"/>
          <w:jc w:val="left"/>
        </w:trPr>
        <w:tc>
          <w:tcPr>
            <w:tcW w:w="1889" w:type="dxa"/>
            <w:tcBorders>
              <w:top w:val="nil"/>
              <w:bottom w:val="nil"/>
            </w:tcBorders>
          </w:tcPr>
          <w:p>
            <w:pPr>
              <w:pStyle w:val="TableParagraph"/>
              <w:spacing w:before="64" w:line="259" w:lineRule="auto"/>
              <w:ind w:left="107" w:right="560"/>
              <w:rPr>
                <w:rFonts w:ascii="Verdana"/>
                <w:i/>
                <w:sz w:val="19"/>
              </w:rPr>
            </w:pPr>
            <w:r>
              <w:rPr>
                <w:rFonts w:ascii="Verdana"/>
                <w:i/>
                <w:sz w:val="19"/>
              </w:rPr>
              <w:t xml:space="preserve">Launch </w:t>
            </w:r>
            <w:r>
              <w:rPr>
                <w:rFonts w:ascii="Verdana"/>
                <w:i/>
                <w:sz w:val="19"/>
              </w:rPr>
              <w:t>Investments</w:t>
            </w:r>
          </w:p>
        </w:tc>
        <w:tc>
          <w:tcPr>
            <w:tcW w:w="1385" w:type="dxa"/>
            <w:tcBorders>
              <w:top w:val="nil"/>
              <w:bottom w:val="nil"/>
            </w:tcBorders>
          </w:tcPr>
          <w:p>
            <w:pPr>
              <w:pStyle w:val="TableParagraph"/>
              <w:spacing w:before="64"/>
              <w:ind w:right="100"/>
              <w:jc w:val="right"/>
              <w:rPr>
                <w:rFonts w:ascii="Verdana" w:hAnsi="Verdana"/>
                <w:i/>
                <w:sz w:val="19"/>
              </w:rPr>
            </w:pPr>
            <w:r>
              <w:rPr>
                <w:rFonts w:ascii="Verdana" w:hAnsi="Verdana"/>
                <w:i/>
                <w:color w:val="333333"/>
                <w:w w:val="95"/>
                <w:sz w:val="19"/>
              </w:rPr>
              <w:t>-£36.0m</w:t>
            </w:r>
          </w:p>
        </w:tc>
        <w:tc>
          <w:tcPr>
            <w:tcW w:w="1541" w:type="dxa"/>
            <w:tcBorders>
              <w:top w:val="nil"/>
              <w:bottom w:val="nil"/>
            </w:tcBorders>
          </w:tcPr>
          <w:p>
            <w:pPr>
              <w:pStyle w:val="TableParagraph"/>
              <w:spacing w:before="64"/>
              <w:ind w:right="100"/>
              <w:jc w:val="right"/>
              <w:rPr>
                <w:rFonts w:ascii="Verdana" w:hAnsi="Verdana"/>
                <w:i/>
                <w:sz w:val="19"/>
              </w:rPr>
            </w:pPr>
            <w:r>
              <w:rPr>
                <w:rFonts w:ascii="Verdana" w:hAnsi="Verdana"/>
                <w:i/>
                <w:color w:val="333333"/>
                <w:sz w:val="19"/>
              </w:rPr>
              <w:t>+£291.2m</w:t>
            </w:r>
          </w:p>
        </w:tc>
        <w:tc>
          <w:tcPr>
            <w:tcW w:w="1440" w:type="dxa"/>
            <w:tcBorders>
              <w:top w:val="nil"/>
              <w:bottom w:val="nil"/>
            </w:tcBorders>
          </w:tcPr>
          <w:p>
            <w:pPr>
              <w:pStyle w:val="TableParagraph"/>
              <w:spacing w:before="64"/>
              <w:ind w:right="99"/>
              <w:jc w:val="right"/>
              <w:rPr>
                <w:rFonts w:ascii="Verdana"/>
                <w:i/>
                <w:sz w:val="19"/>
              </w:rPr>
            </w:pPr>
            <w:r>
              <w:rPr>
                <w:rFonts w:ascii="Verdana"/>
                <w:i/>
                <w:color w:val="333333"/>
                <w:sz w:val="19"/>
              </w:rPr>
              <w:t>-89.0%</w:t>
            </w:r>
          </w:p>
        </w:tc>
        <w:tc>
          <w:tcPr>
            <w:tcW w:w="1438" w:type="dxa"/>
            <w:tcBorders>
              <w:top w:val="nil"/>
              <w:bottom w:val="nil"/>
            </w:tcBorders>
          </w:tcPr>
          <w:p>
            <w:pPr>
              <w:pStyle w:val="TableParagraph"/>
              <w:spacing w:before="64"/>
              <w:ind w:right="100"/>
              <w:jc w:val="right"/>
              <w:rPr>
                <w:rFonts w:ascii="Verdana" w:hAnsi="Verdana"/>
                <w:i/>
                <w:sz w:val="19"/>
              </w:rPr>
            </w:pPr>
            <w:r>
              <w:rPr>
                <w:rFonts w:ascii="Verdana" w:hAnsi="Verdana"/>
                <w:i/>
                <w:color w:val="333333"/>
                <w:sz w:val="19"/>
              </w:rPr>
              <w:t>+£289.5m</w:t>
            </w:r>
          </w:p>
        </w:tc>
        <w:tc>
          <w:tcPr>
            <w:tcW w:w="1325" w:type="dxa"/>
            <w:tcBorders>
              <w:top w:val="nil"/>
              <w:bottom w:val="nil"/>
            </w:tcBorders>
          </w:tcPr>
          <w:p>
            <w:pPr>
              <w:pStyle w:val="TableParagraph"/>
              <w:spacing w:before="64"/>
              <w:ind w:right="100"/>
              <w:jc w:val="right"/>
              <w:rPr>
                <w:rFonts w:ascii="Verdana"/>
                <w:i/>
                <w:sz w:val="19"/>
              </w:rPr>
            </w:pPr>
            <w:r>
              <w:rPr>
                <w:rFonts w:ascii="Verdana"/>
                <w:i/>
                <w:color w:val="333333"/>
                <w:sz w:val="19"/>
              </w:rPr>
              <w:t>-88.9%</w:t>
            </w:r>
          </w:p>
        </w:tc>
      </w:tr>
      <w:tr>
        <w:tblPrEx>
          <w:tblW w:w="0" w:type="auto"/>
          <w:jc w:val="left"/>
          <w:tblInd w:w="410" w:type="dxa"/>
          <w:tblLayout w:type="fixed"/>
          <w:tblCellMar>
            <w:top w:w="0" w:type="dxa"/>
            <w:left w:w="0" w:type="dxa"/>
            <w:bottom w:w="0" w:type="dxa"/>
            <w:right w:w="0" w:type="dxa"/>
          </w:tblCellMar>
          <w:tblLook w:val="01E0"/>
        </w:tblPrEx>
        <w:trPr>
          <w:trHeight w:val="478"/>
          <w:jc w:val="left"/>
        </w:trPr>
        <w:tc>
          <w:tcPr>
            <w:tcW w:w="1889" w:type="dxa"/>
            <w:tcBorders>
              <w:top w:val="nil"/>
            </w:tcBorders>
          </w:tcPr>
          <w:p>
            <w:pPr>
              <w:pStyle w:val="TableParagraph"/>
              <w:spacing w:before="66"/>
              <w:ind w:left="107"/>
              <w:rPr>
                <w:rFonts w:ascii="Verdana"/>
                <w:i/>
                <w:sz w:val="19"/>
              </w:rPr>
            </w:pPr>
            <w:r>
              <w:rPr>
                <w:rFonts w:ascii="Verdana"/>
                <w:i/>
                <w:sz w:val="19"/>
              </w:rPr>
              <w:t>Other</w:t>
            </w:r>
          </w:p>
        </w:tc>
        <w:tc>
          <w:tcPr>
            <w:tcW w:w="1385" w:type="dxa"/>
            <w:tcBorders>
              <w:top w:val="nil"/>
            </w:tcBorders>
          </w:tcPr>
          <w:p>
            <w:pPr>
              <w:pStyle w:val="TableParagraph"/>
              <w:spacing w:before="66"/>
              <w:ind w:right="100"/>
              <w:jc w:val="right"/>
              <w:rPr>
                <w:rFonts w:ascii="Verdana" w:hAnsi="Verdana"/>
                <w:i/>
                <w:sz w:val="19"/>
              </w:rPr>
            </w:pPr>
            <w:r>
              <w:rPr>
                <w:rFonts w:ascii="Verdana" w:hAnsi="Verdana"/>
                <w:i/>
                <w:color w:val="333333"/>
                <w:w w:val="95"/>
                <w:sz w:val="19"/>
              </w:rPr>
              <w:t>£69.1m</w:t>
            </w:r>
          </w:p>
        </w:tc>
        <w:tc>
          <w:tcPr>
            <w:tcW w:w="1541" w:type="dxa"/>
            <w:tcBorders>
              <w:top w:val="nil"/>
            </w:tcBorders>
          </w:tcPr>
          <w:p>
            <w:pPr>
              <w:pStyle w:val="TableParagraph"/>
              <w:spacing w:before="66"/>
              <w:ind w:right="100"/>
              <w:jc w:val="right"/>
              <w:rPr>
                <w:rFonts w:ascii="Verdana" w:hAnsi="Verdana"/>
                <w:i/>
                <w:sz w:val="19"/>
              </w:rPr>
            </w:pPr>
            <w:r>
              <w:rPr>
                <w:rFonts w:ascii="Verdana" w:hAnsi="Verdana"/>
                <w:i/>
                <w:color w:val="333333"/>
                <w:sz w:val="19"/>
              </w:rPr>
              <w:t>+£124.3m</w:t>
            </w:r>
          </w:p>
        </w:tc>
        <w:tc>
          <w:tcPr>
            <w:tcW w:w="1440" w:type="dxa"/>
            <w:tcBorders>
              <w:top w:val="nil"/>
            </w:tcBorders>
          </w:tcPr>
          <w:p>
            <w:pPr>
              <w:pStyle w:val="TableParagraph"/>
              <w:spacing w:before="66"/>
              <w:ind w:right="99"/>
              <w:jc w:val="right"/>
              <w:rPr>
                <w:rFonts w:ascii="Verdana"/>
                <w:i/>
                <w:sz w:val="19"/>
              </w:rPr>
            </w:pPr>
            <w:r>
              <w:rPr>
                <w:rFonts w:ascii="Verdana"/>
                <w:i/>
                <w:color w:val="333333"/>
                <w:sz w:val="19"/>
              </w:rPr>
              <w:t>+225.3%</w:t>
            </w:r>
          </w:p>
        </w:tc>
        <w:tc>
          <w:tcPr>
            <w:tcW w:w="1438" w:type="dxa"/>
            <w:tcBorders>
              <w:top w:val="nil"/>
            </w:tcBorders>
          </w:tcPr>
          <w:p>
            <w:pPr>
              <w:pStyle w:val="TableParagraph"/>
              <w:spacing w:before="66"/>
              <w:ind w:right="100"/>
              <w:jc w:val="right"/>
              <w:rPr>
                <w:rFonts w:ascii="Verdana" w:hAnsi="Verdana"/>
                <w:i/>
                <w:sz w:val="19"/>
              </w:rPr>
            </w:pPr>
            <w:r>
              <w:rPr>
                <w:rFonts w:ascii="Verdana" w:hAnsi="Verdana"/>
                <w:i/>
                <w:color w:val="333333"/>
                <w:w w:val="95"/>
                <w:sz w:val="19"/>
              </w:rPr>
              <w:t>-£74.4m</w:t>
            </w:r>
          </w:p>
        </w:tc>
        <w:tc>
          <w:tcPr>
            <w:tcW w:w="1325" w:type="dxa"/>
            <w:tcBorders>
              <w:top w:val="nil"/>
            </w:tcBorders>
          </w:tcPr>
          <w:p>
            <w:pPr>
              <w:pStyle w:val="TableParagraph"/>
              <w:spacing w:before="66"/>
              <w:ind w:right="100"/>
              <w:jc w:val="right"/>
              <w:rPr>
                <w:rFonts w:ascii="Verdana"/>
                <w:i/>
                <w:sz w:val="19"/>
              </w:rPr>
            </w:pPr>
            <w:r>
              <w:rPr>
                <w:rFonts w:ascii="Verdana"/>
                <w:i/>
                <w:color w:val="333333"/>
                <w:sz w:val="19"/>
              </w:rPr>
              <w:t>-51.8%</w:t>
            </w:r>
          </w:p>
        </w:tc>
      </w:tr>
      <w:tr>
        <w:tblPrEx>
          <w:tblW w:w="0" w:type="auto"/>
          <w:jc w:val="left"/>
          <w:tblInd w:w="410" w:type="dxa"/>
          <w:tblLayout w:type="fixed"/>
          <w:tblCellMar>
            <w:top w:w="0" w:type="dxa"/>
            <w:left w:w="0" w:type="dxa"/>
            <w:bottom w:w="0" w:type="dxa"/>
            <w:right w:w="0" w:type="dxa"/>
          </w:tblCellMar>
          <w:tblLook w:val="01E0"/>
        </w:tblPrEx>
        <w:trPr>
          <w:trHeight w:val="1156"/>
          <w:jc w:val="left"/>
        </w:trPr>
        <w:tc>
          <w:tcPr>
            <w:tcW w:w="1889" w:type="dxa"/>
          </w:tcPr>
          <w:p>
            <w:pPr>
              <w:pStyle w:val="TableParagraph"/>
              <w:spacing w:line="259" w:lineRule="auto"/>
              <w:ind w:left="107" w:right="79"/>
              <w:rPr>
                <w:rFonts w:ascii="Verdana"/>
                <w:sz w:val="19"/>
              </w:rPr>
            </w:pPr>
            <w:r>
              <w:rPr>
                <w:rFonts w:ascii="Verdana"/>
                <w:color w:val="333333"/>
                <w:sz w:val="19"/>
              </w:rPr>
              <w:t>Nuclear Decommissioning</w:t>
            </w:r>
            <w:r>
              <w:rPr>
                <w:rFonts w:ascii="Verdana"/>
                <w:color w:val="333333"/>
                <w:w w:val="99"/>
                <w:sz w:val="19"/>
              </w:rPr>
              <w:t xml:space="preserve"> </w:t>
            </w:r>
            <w:r>
              <w:rPr>
                <w:rFonts w:ascii="Verdana"/>
                <w:color w:val="333333"/>
                <w:sz w:val="19"/>
              </w:rPr>
              <w:t>Authority (Resource DEL)</w:t>
            </w:r>
          </w:p>
        </w:tc>
        <w:tc>
          <w:tcPr>
            <w:tcW w:w="1385" w:type="dxa"/>
          </w:tcPr>
          <w:p>
            <w:pPr>
              <w:pStyle w:val="TableParagraph"/>
              <w:spacing w:line="228" w:lineRule="exact"/>
              <w:ind w:right="99"/>
              <w:jc w:val="right"/>
              <w:rPr>
                <w:rFonts w:ascii="Verdana" w:hAnsi="Verdana"/>
                <w:sz w:val="19"/>
              </w:rPr>
            </w:pPr>
            <w:r>
              <w:rPr>
                <w:rFonts w:ascii="Verdana" w:hAnsi="Verdana"/>
                <w:color w:val="333333"/>
                <w:sz w:val="19"/>
              </w:rPr>
              <w:t>£510.3m</w:t>
            </w:r>
          </w:p>
        </w:tc>
        <w:tc>
          <w:tcPr>
            <w:tcW w:w="1541" w:type="dxa"/>
          </w:tcPr>
          <w:p>
            <w:pPr>
              <w:pStyle w:val="TableParagraph"/>
              <w:spacing w:line="228" w:lineRule="exact"/>
              <w:ind w:right="99"/>
              <w:jc w:val="right"/>
              <w:rPr>
                <w:rFonts w:ascii="Verdana" w:hAnsi="Verdana"/>
                <w:sz w:val="19"/>
              </w:rPr>
            </w:pPr>
            <w:r>
              <w:rPr>
                <w:rFonts w:ascii="Verdana" w:hAnsi="Verdana"/>
                <w:color w:val="333333"/>
                <w:sz w:val="19"/>
              </w:rPr>
              <w:t>-£140.9m</w:t>
            </w:r>
          </w:p>
        </w:tc>
        <w:tc>
          <w:tcPr>
            <w:tcW w:w="1440" w:type="dxa"/>
          </w:tcPr>
          <w:p>
            <w:pPr>
              <w:pStyle w:val="TableParagraph"/>
              <w:spacing w:line="228" w:lineRule="exact"/>
              <w:ind w:right="99"/>
              <w:jc w:val="right"/>
              <w:rPr>
                <w:rFonts w:ascii="Verdana"/>
                <w:sz w:val="19"/>
              </w:rPr>
            </w:pPr>
            <w:r>
              <w:rPr>
                <w:rFonts w:ascii="Verdana"/>
                <w:color w:val="333333"/>
                <w:sz w:val="19"/>
              </w:rPr>
              <w:t>-21.6%</w:t>
            </w:r>
          </w:p>
        </w:tc>
        <w:tc>
          <w:tcPr>
            <w:tcW w:w="1438" w:type="dxa"/>
          </w:tcPr>
          <w:p>
            <w:pPr>
              <w:pStyle w:val="TableParagraph"/>
              <w:spacing w:line="228" w:lineRule="exact"/>
              <w:ind w:right="100"/>
              <w:jc w:val="right"/>
              <w:rPr>
                <w:rFonts w:ascii="Verdana" w:hAnsi="Verdana"/>
                <w:sz w:val="19"/>
              </w:rPr>
            </w:pPr>
            <w:r>
              <w:rPr>
                <w:rFonts w:ascii="Verdana" w:hAnsi="Verdana"/>
                <w:color w:val="333333"/>
                <w:sz w:val="19"/>
              </w:rPr>
              <w:t>-£9.7m</w:t>
            </w:r>
          </w:p>
        </w:tc>
        <w:tc>
          <w:tcPr>
            <w:tcW w:w="1325" w:type="dxa"/>
          </w:tcPr>
          <w:p>
            <w:pPr>
              <w:pStyle w:val="TableParagraph"/>
              <w:spacing w:line="228" w:lineRule="exact"/>
              <w:ind w:right="99"/>
              <w:jc w:val="right"/>
              <w:rPr>
                <w:rFonts w:ascii="Verdana"/>
                <w:sz w:val="19"/>
              </w:rPr>
            </w:pPr>
            <w:r>
              <w:rPr>
                <w:rFonts w:ascii="Verdana"/>
                <w:color w:val="333333"/>
                <w:sz w:val="19"/>
              </w:rPr>
              <w:t>-1.9%</w:t>
            </w:r>
          </w:p>
        </w:tc>
      </w:tr>
      <w:tr>
        <w:tblPrEx>
          <w:tblW w:w="0" w:type="auto"/>
          <w:jc w:val="left"/>
          <w:tblInd w:w="410" w:type="dxa"/>
          <w:tblLayout w:type="fixed"/>
          <w:tblCellMar>
            <w:top w:w="0" w:type="dxa"/>
            <w:left w:w="0" w:type="dxa"/>
            <w:bottom w:w="0" w:type="dxa"/>
            <w:right w:w="0" w:type="dxa"/>
          </w:tblCellMar>
          <w:tblLook w:val="01E0"/>
        </w:tblPrEx>
        <w:trPr>
          <w:trHeight w:val="1156"/>
          <w:jc w:val="left"/>
        </w:trPr>
        <w:tc>
          <w:tcPr>
            <w:tcW w:w="1889" w:type="dxa"/>
          </w:tcPr>
          <w:p>
            <w:pPr>
              <w:pStyle w:val="TableParagraph"/>
              <w:spacing w:line="259" w:lineRule="auto"/>
              <w:ind w:left="107" w:right="98"/>
              <w:rPr>
                <w:rFonts w:ascii="Verdana"/>
                <w:sz w:val="19"/>
              </w:rPr>
            </w:pPr>
            <w:r>
              <w:rPr>
                <w:rFonts w:ascii="Verdana"/>
                <w:color w:val="333333"/>
                <w:sz w:val="19"/>
              </w:rPr>
              <w:t>Nuclear Decommissioning</w:t>
            </w:r>
            <w:r>
              <w:rPr>
                <w:rFonts w:ascii="Verdana"/>
                <w:color w:val="333333"/>
                <w:w w:val="99"/>
                <w:sz w:val="19"/>
              </w:rPr>
              <w:t xml:space="preserve"> </w:t>
            </w:r>
            <w:r>
              <w:rPr>
                <w:rFonts w:ascii="Verdana"/>
                <w:color w:val="333333"/>
                <w:sz w:val="19"/>
              </w:rPr>
              <w:t>Authority (Capital</w:t>
            </w:r>
            <w:r>
              <w:rPr>
                <w:rFonts w:ascii="Verdana"/>
                <w:color w:val="333333"/>
                <w:spacing w:val="-1"/>
                <w:sz w:val="19"/>
              </w:rPr>
              <w:t xml:space="preserve"> </w:t>
            </w:r>
            <w:r>
              <w:rPr>
                <w:rFonts w:ascii="Verdana"/>
                <w:color w:val="333333"/>
                <w:sz w:val="19"/>
              </w:rPr>
              <w:t>DEL)</w:t>
            </w:r>
          </w:p>
        </w:tc>
        <w:tc>
          <w:tcPr>
            <w:tcW w:w="1385" w:type="dxa"/>
          </w:tcPr>
          <w:p>
            <w:pPr>
              <w:pStyle w:val="TableParagraph"/>
              <w:spacing w:line="228" w:lineRule="exact"/>
              <w:ind w:right="99"/>
              <w:jc w:val="right"/>
              <w:rPr>
                <w:rFonts w:ascii="Verdana" w:hAnsi="Verdana"/>
                <w:sz w:val="19"/>
              </w:rPr>
            </w:pPr>
            <w:r>
              <w:rPr>
                <w:rFonts w:ascii="Verdana" w:hAnsi="Verdana"/>
                <w:color w:val="333333"/>
                <w:sz w:val="19"/>
              </w:rPr>
              <w:t>£2,023.1m</w:t>
            </w:r>
          </w:p>
        </w:tc>
        <w:tc>
          <w:tcPr>
            <w:tcW w:w="1541" w:type="dxa"/>
          </w:tcPr>
          <w:p>
            <w:pPr>
              <w:pStyle w:val="TableParagraph"/>
              <w:spacing w:line="228" w:lineRule="exact"/>
              <w:ind w:right="100"/>
              <w:jc w:val="right"/>
              <w:rPr>
                <w:rFonts w:ascii="Verdana" w:hAnsi="Verdana"/>
                <w:sz w:val="19"/>
              </w:rPr>
            </w:pPr>
            <w:r>
              <w:rPr>
                <w:rFonts w:ascii="Verdana" w:hAnsi="Verdana"/>
                <w:color w:val="333333"/>
                <w:sz w:val="19"/>
              </w:rPr>
              <w:t>+£218.1m</w:t>
            </w:r>
          </w:p>
        </w:tc>
        <w:tc>
          <w:tcPr>
            <w:tcW w:w="1440" w:type="dxa"/>
          </w:tcPr>
          <w:p>
            <w:pPr>
              <w:pStyle w:val="TableParagraph"/>
              <w:spacing w:line="228" w:lineRule="exact"/>
              <w:ind w:right="99"/>
              <w:jc w:val="right"/>
              <w:rPr>
                <w:rFonts w:ascii="Verdana"/>
                <w:sz w:val="19"/>
              </w:rPr>
            </w:pPr>
            <w:r>
              <w:rPr>
                <w:rFonts w:ascii="Verdana"/>
                <w:color w:val="333333"/>
                <w:sz w:val="19"/>
              </w:rPr>
              <w:t>+12.1%</w:t>
            </w:r>
          </w:p>
        </w:tc>
        <w:tc>
          <w:tcPr>
            <w:tcW w:w="1438" w:type="dxa"/>
          </w:tcPr>
          <w:p>
            <w:pPr>
              <w:pStyle w:val="TableParagraph"/>
              <w:spacing w:line="228" w:lineRule="exact"/>
              <w:ind w:right="100"/>
              <w:jc w:val="right"/>
              <w:rPr>
                <w:rFonts w:ascii="Verdana" w:hAnsi="Verdana"/>
                <w:sz w:val="19"/>
              </w:rPr>
            </w:pPr>
            <w:r>
              <w:rPr>
                <w:rFonts w:ascii="Verdana" w:hAnsi="Verdana"/>
                <w:color w:val="333333"/>
                <w:w w:val="95"/>
                <w:sz w:val="19"/>
              </w:rPr>
              <w:t>-£62.9m</w:t>
            </w:r>
          </w:p>
        </w:tc>
        <w:tc>
          <w:tcPr>
            <w:tcW w:w="1325" w:type="dxa"/>
          </w:tcPr>
          <w:p>
            <w:pPr>
              <w:pStyle w:val="TableParagraph"/>
              <w:spacing w:line="228" w:lineRule="exact"/>
              <w:ind w:right="99"/>
              <w:jc w:val="right"/>
              <w:rPr>
                <w:rFonts w:ascii="Verdana"/>
                <w:sz w:val="19"/>
              </w:rPr>
            </w:pPr>
            <w:r>
              <w:rPr>
                <w:rFonts w:ascii="Verdana"/>
                <w:color w:val="333333"/>
                <w:sz w:val="19"/>
              </w:rPr>
              <w:t>-3.0%</w:t>
            </w:r>
          </w:p>
        </w:tc>
      </w:tr>
      <w:tr>
        <w:tblPrEx>
          <w:tblW w:w="0" w:type="auto"/>
          <w:jc w:val="left"/>
          <w:tblInd w:w="410" w:type="dxa"/>
          <w:tblLayout w:type="fixed"/>
          <w:tblCellMar>
            <w:top w:w="0" w:type="dxa"/>
            <w:left w:w="0" w:type="dxa"/>
            <w:bottom w:w="0" w:type="dxa"/>
            <w:right w:w="0" w:type="dxa"/>
          </w:tblCellMar>
          <w:tblLook w:val="01E0"/>
        </w:tblPrEx>
        <w:trPr>
          <w:trHeight w:val="657"/>
          <w:jc w:val="left"/>
        </w:trPr>
        <w:tc>
          <w:tcPr>
            <w:tcW w:w="1889" w:type="dxa"/>
          </w:tcPr>
          <w:p>
            <w:pPr>
              <w:pStyle w:val="TableParagraph"/>
              <w:spacing w:line="259" w:lineRule="auto"/>
              <w:ind w:left="107" w:right="240"/>
              <w:rPr>
                <w:rFonts w:ascii="Verdana"/>
                <w:sz w:val="19"/>
              </w:rPr>
            </w:pPr>
            <w:r>
              <w:rPr>
                <w:rFonts w:ascii="Verdana"/>
                <w:color w:val="333333"/>
                <w:sz w:val="19"/>
              </w:rPr>
              <w:t>EU Exit Funding (Resource DEL)</w:t>
            </w:r>
          </w:p>
        </w:tc>
        <w:tc>
          <w:tcPr>
            <w:tcW w:w="1385" w:type="dxa"/>
          </w:tcPr>
          <w:p>
            <w:pPr>
              <w:pStyle w:val="TableParagraph"/>
              <w:spacing w:line="228" w:lineRule="exact"/>
              <w:ind w:right="99"/>
              <w:jc w:val="right"/>
              <w:rPr>
                <w:rFonts w:ascii="Verdana" w:hAnsi="Verdana"/>
                <w:sz w:val="19"/>
              </w:rPr>
            </w:pPr>
            <w:r>
              <w:rPr>
                <w:rFonts w:ascii="Verdana" w:hAnsi="Verdana"/>
                <w:color w:val="333333"/>
                <w:w w:val="95"/>
                <w:sz w:val="19"/>
              </w:rPr>
              <w:t>£35.5m</w:t>
            </w:r>
          </w:p>
        </w:tc>
        <w:tc>
          <w:tcPr>
            <w:tcW w:w="1541" w:type="dxa"/>
          </w:tcPr>
          <w:p>
            <w:pPr>
              <w:pStyle w:val="TableParagraph"/>
              <w:spacing w:line="228" w:lineRule="exact"/>
              <w:ind w:right="100"/>
              <w:jc w:val="right"/>
              <w:rPr>
                <w:rFonts w:ascii="Verdana" w:hAnsi="Verdana"/>
                <w:sz w:val="19"/>
              </w:rPr>
            </w:pPr>
            <w:r>
              <w:rPr>
                <w:rFonts w:ascii="Verdana" w:hAnsi="Verdana"/>
                <w:color w:val="333333"/>
                <w:w w:val="95"/>
                <w:sz w:val="19"/>
              </w:rPr>
              <w:t>-£72.9m</w:t>
            </w:r>
          </w:p>
        </w:tc>
        <w:tc>
          <w:tcPr>
            <w:tcW w:w="1440" w:type="dxa"/>
          </w:tcPr>
          <w:p>
            <w:pPr>
              <w:pStyle w:val="TableParagraph"/>
              <w:spacing w:line="228" w:lineRule="exact"/>
              <w:ind w:right="99"/>
              <w:jc w:val="right"/>
              <w:rPr>
                <w:rFonts w:ascii="Verdana"/>
                <w:sz w:val="19"/>
              </w:rPr>
            </w:pPr>
            <w:r>
              <w:rPr>
                <w:rFonts w:ascii="Verdana"/>
                <w:color w:val="333333"/>
                <w:sz w:val="19"/>
              </w:rPr>
              <w:t>-67.2%</w:t>
            </w:r>
          </w:p>
        </w:tc>
        <w:tc>
          <w:tcPr>
            <w:tcW w:w="1438" w:type="dxa"/>
          </w:tcPr>
          <w:p>
            <w:pPr>
              <w:pStyle w:val="TableParagraph"/>
              <w:spacing w:line="228" w:lineRule="exact"/>
              <w:ind w:right="100"/>
              <w:jc w:val="right"/>
              <w:rPr>
                <w:rFonts w:ascii="Verdana" w:hAnsi="Verdana"/>
                <w:sz w:val="19"/>
              </w:rPr>
            </w:pPr>
            <w:r>
              <w:rPr>
                <w:rFonts w:ascii="Verdana" w:hAnsi="Verdana"/>
                <w:color w:val="333333"/>
                <w:w w:val="95"/>
                <w:sz w:val="19"/>
              </w:rPr>
              <w:t>-£81.5m</w:t>
            </w:r>
          </w:p>
        </w:tc>
        <w:tc>
          <w:tcPr>
            <w:tcW w:w="1325" w:type="dxa"/>
          </w:tcPr>
          <w:p>
            <w:pPr>
              <w:pStyle w:val="TableParagraph"/>
              <w:spacing w:line="228" w:lineRule="exact"/>
              <w:ind w:right="100"/>
              <w:jc w:val="right"/>
              <w:rPr>
                <w:rFonts w:ascii="Verdana"/>
                <w:sz w:val="19"/>
              </w:rPr>
            </w:pPr>
            <w:r>
              <w:rPr>
                <w:rFonts w:ascii="Verdana"/>
                <w:color w:val="333333"/>
                <w:sz w:val="19"/>
              </w:rPr>
              <w:t>-69.7%</w:t>
            </w:r>
          </w:p>
        </w:tc>
      </w:tr>
      <w:tr>
        <w:tblPrEx>
          <w:tblW w:w="0" w:type="auto"/>
          <w:jc w:val="left"/>
          <w:tblInd w:w="410" w:type="dxa"/>
          <w:tblLayout w:type="fixed"/>
          <w:tblCellMar>
            <w:top w:w="0" w:type="dxa"/>
            <w:left w:w="0" w:type="dxa"/>
            <w:bottom w:w="0" w:type="dxa"/>
            <w:right w:w="0" w:type="dxa"/>
          </w:tblCellMar>
          <w:tblLook w:val="01E0"/>
        </w:tblPrEx>
        <w:trPr>
          <w:trHeight w:val="659"/>
          <w:jc w:val="left"/>
        </w:trPr>
        <w:tc>
          <w:tcPr>
            <w:tcW w:w="1889" w:type="dxa"/>
          </w:tcPr>
          <w:p>
            <w:pPr>
              <w:pStyle w:val="TableParagraph"/>
              <w:spacing w:line="256" w:lineRule="auto"/>
              <w:ind w:left="107" w:right="240"/>
              <w:rPr>
                <w:rFonts w:ascii="Verdana"/>
                <w:sz w:val="19"/>
              </w:rPr>
            </w:pPr>
            <w:r>
              <w:rPr>
                <w:rFonts w:ascii="Verdana"/>
                <w:color w:val="333333"/>
                <w:sz w:val="19"/>
              </w:rPr>
              <w:t>EU Exit Funding (Capital DEL)</w:t>
            </w:r>
          </w:p>
        </w:tc>
        <w:tc>
          <w:tcPr>
            <w:tcW w:w="1385" w:type="dxa"/>
          </w:tcPr>
          <w:p>
            <w:pPr>
              <w:pStyle w:val="TableParagraph"/>
              <w:ind w:right="96"/>
              <w:jc w:val="right"/>
              <w:rPr>
                <w:rFonts w:ascii="Verdana"/>
                <w:sz w:val="19"/>
              </w:rPr>
            </w:pPr>
            <w:r>
              <w:rPr>
                <w:rFonts w:ascii="Verdana"/>
                <w:color w:val="333333"/>
                <w:w w:val="99"/>
                <w:sz w:val="19"/>
              </w:rPr>
              <w:t>-</w:t>
            </w:r>
          </w:p>
        </w:tc>
        <w:tc>
          <w:tcPr>
            <w:tcW w:w="1541" w:type="dxa"/>
          </w:tcPr>
          <w:p>
            <w:pPr>
              <w:pStyle w:val="TableParagraph"/>
              <w:ind w:right="100"/>
              <w:jc w:val="right"/>
              <w:rPr>
                <w:rFonts w:ascii="Verdana" w:hAnsi="Verdana"/>
                <w:sz w:val="19"/>
              </w:rPr>
            </w:pPr>
            <w:r>
              <w:rPr>
                <w:rFonts w:ascii="Verdana" w:hAnsi="Verdana"/>
                <w:color w:val="333333"/>
                <w:w w:val="95"/>
                <w:sz w:val="19"/>
              </w:rPr>
              <w:t>-£50.3m</w:t>
            </w:r>
          </w:p>
        </w:tc>
        <w:tc>
          <w:tcPr>
            <w:tcW w:w="1440" w:type="dxa"/>
          </w:tcPr>
          <w:p>
            <w:pPr>
              <w:pStyle w:val="TableParagraph"/>
              <w:ind w:right="99"/>
              <w:jc w:val="right"/>
              <w:rPr>
                <w:rFonts w:ascii="Verdana"/>
                <w:sz w:val="19"/>
              </w:rPr>
            </w:pPr>
            <w:r>
              <w:rPr>
                <w:rFonts w:ascii="Verdana"/>
                <w:color w:val="333333"/>
                <w:w w:val="95"/>
                <w:sz w:val="19"/>
              </w:rPr>
              <w:t>-100.0%</w:t>
            </w:r>
          </w:p>
        </w:tc>
        <w:tc>
          <w:tcPr>
            <w:tcW w:w="1438" w:type="dxa"/>
          </w:tcPr>
          <w:p>
            <w:pPr>
              <w:pStyle w:val="TableParagraph"/>
              <w:ind w:right="100"/>
              <w:jc w:val="right"/>
              <w:rPr>
                <w:rFonts w:ascii="Verdana" w:hAnsi="Verdana"/>
                <w:sz w:val="19"/>
              </w:rPr>
            </w:pPr>
            <w:r>
              <w:rPr>
                <w:rFonts w:ascii="Verdana" w:hAnsi="Verdana"/>
                <w:color w:val="333333"/>
                <w:w w:val="95"/>
                <w:sz w:val="19"/>
              </w:rPr>
              <w:t>-£74.0m</w:t>
            </w:r>
          </w:p>
        </w:tc>
        <w:tc>
          <w:tcPr>
            <w:tcW w:w="1325" w:type="dxa"/>
          </w:tcPr>
          <w:p>
            <w:pPr>
              <w:pStyle w:val="TableParagraph"/>
              <w:ind w:right="100"/>
              <w:jc w:val="right"/>
              <w:rPr>
                <w:rFonts w:ascii="Verdana"/>
                <w:sz w:val="19"/>
              </w:rPr>
            </w:pPr>
            <w:r>
              <w:rPr>
                <w:rFonts w:ascii="Verdana"/>
                <w:color w:val="333333"/>
                <w:w w:val="95"/>
                <w:sz w:val="19"/>
              </w:rPr>
              <w:t>-100.0%</w:t>
            </w:r>
          </w:p>
        </w:tc>
      </w:tr>
      <w:tr>
        <w:tblPrEx>
          <w:tblW w:w="0" w:type="auto"/>
          <w:jc w:val="left"/>
          <w:tblInd w:w="410" w:type="dxa"/>
          <w:tblLayout w:type="fixed"/>
          <w:tblCellMar>
            <w:top w:w="0" w:type="dxa"/>
            <w:left w:w="0" w:type="dxa"/>
            <w:bottom w:w="0" w:type="dxa"/>
            <w:right w:w="0" w:type="dxa"/>
          </w:tblCellMar>
          <w:tblLook w:val="01E0"/>
        </w:tblPrEx>
        <w:trPr>
          <w:trHeight w:val="657"/>
          <w:jc w:val="left"/>
        </w:trPr>
        <w:tc>
          <w:tcPr>
            <w:tcW w:w="1889" w:type="dxa"/>
          </w:tcPr>
          <w:p>
            <w:pPr>
              <w:pStyle w:val="TableParagraph"/>
              <w:spacing w:line="259" w:lineRule="auto"/>
              <w:ind w:left="107" w:right="245"/>
              <w:rPr>
                <w:rFonts w:ascii="Verdana"/>
                <w:sz w:val="19"/>
              </w:rPr>
            </w:pPr>
            <w:r>
              <w:rPr>
                <w:rFonts w:ascii="Verdana"/>
                <w:color w:val="333333"/>
                <w:sz w:val="19"/>
              </w:rPr>
              <w:t>South Tees Site Company</w:t>
            </w:r>
          </w:p>
        </w:tc>
        <w:tc>
          <w:tcPr>
            <w:tcW w:w="1385" w:type="dxa"/>
          </w:tcPr>
          <w:p>
            <w:pPr>
              <w:pStyle w:val="TableParagraph"/>
              <w:spacing w:line="228" w:lineRule="exact"/>
              <w:ind w:right="99"/>
              <w:jc w:val="right"/>
              <w:rPr>
                <w:rFonts w:ascii="Verdana" w:hAnsi="Verdana"/>
                <w:sz w:val="19"/>
              </w:rPr>
            </w:pPr>
            <w:r>
              <w:rPr>
                <w:rFonts w:ascii="Verdana" w:hAnsi="Verdana"/>
                <w:color w:val="333333"/>
                <w:w w:val="95"/>
                <w:sz w:val="19"/>
              </w:rPr>
              <w:t>£46.1m</w:t>
            </w:r>
          </w:p>
        </w:tc>
        <w:tc>
          <w:tcPr>
            <w:tcW w:w="1541" w:type="dxa"/>
          </w:tcPr>
          <w:p>
            <w:pPr>
              <w:pStyle w:val="TableParagraph"/>
              <w:spacing w:line="228" w:lineRule="exact"/>
              <w:ind w:right="99"/>
              <w:jc w:val="right"/>
              <w:rPr>
                <w:rFonts w:ascii="Verdana" w:hAnsi="Verdana"/>
                <w:sz w:val="19"/>
              </w:rPr>
            </w:pPr>
            <w:r>
              <w:rPr>
                <w:rFonts w:ascii="Verdana" w:hAnsi="Verdana"/>
                <w:color w:val="333333"/>
                <w:sz w:val="19"/>
              </w:rPr>
              <w:t>+£12.1m</w:t>
            </w:r>
          </w:p>
        </w:tc>
        <w:tc>
          <w:tcPr>
            <w:tcW w:w="1440" w:type="dxa"/>
          </w:tcPr>
          <w:p>
            <w:pPr>
              <w:pStyle w:val="TableParagraph"/>
              <w:spacing w:line="228" w:lineRule="exact"/>
              <w:ind w:right="99"/>
              <w:jc w:val="right"/>
              <w:rPr>
                <w:rFonts w:ascii="Verdana"/>
                <w:sz w:val="19"/>
              </w:rPr>
            </w:pPr>
            <w:r>
              <w:rPr>
                <w:rFonts w:ascii="Verdana"/>
                <w:color w:val="333333"/>
                <w:sz w:val="19"/>
              </w:rPr>
              <w:t>+35.6%</w:t>
            </w:r>
          </w:p>
        </w:tc>
        <w:tc>
          <w:tcPr>
            <w:tcW w:w="1438" w:type="dxa"/>
          </w:tcPr>
          <w:p>
            <w:pPr>
              <w:pStyle w:val="TableParagraph"/>
              <w:spacing w:line="228" w:lineRule="exact"/>
              <w:ind w:right="100"/>
              <w:jc w:val="right"/>
              <w:rPr>
                <w:rFonts w:ascii="Verdana" w:hAnsi="Verdana"/>
                <w:sz w:val="19"/>
              </w:rPr>
            </w:pPr>
            <w:r>
              <w:rPr>
                <w:rFonts w:ascii="Verdana" w:hAnsi="Verdana"/>
                <w:color w:val="333333"/>
                <w:sz w:val="19"/>
              </w:rPr>
              <w:t>+£3.1m</w:t>
            </w:r>
          </w:p>
        </w:tc>
        <w:tc>
          <w:tcPr>
            <w:tcW w:w="1325" w:type="dxa"/>
          </w:tcPr>
          <w:p>
            <w:pPr>
              <w:pStyle w:val="TableParagraph"/>
              <w:spacing w:line="228" w:lineRule="exact"/>
              <w:ind w:right="97"/>
              <w:jc w:val="right"/>
              <w:rPr>
                <w:rFonts w:ascii="Verdana"/>
                <w:sz w:val="19"/>
              </w:rPr>
            </w:pPr>
            <w:r>
              <w:rPr>
                <w:rFonts w:ascii="Verdana"/>
                <w:color w:val="333333"/>
                <w:sz w:val="19"/>
              </w:rPr>
              <w:t>+7.2%</w:t>
            </w:r>
          </w:p>
        </w:tc>
      </w:tr>
      <w:tr>
        <w:tblPrEx>
          <w:tblW w:w="0" w:type="auto"/>
          <w:jc w:val="left"/>
          <w:tblInd w:w="410" w:type="dxa"/>
          <w:tblLayout w:type="fixed"/>
          <w:tblCellMar>
            <w:top w:w="0" w:type="dxa"/>
            <w:left w:w="0" w:type="dxa"/>
            <w:bottom w:w="0" w:type="dxa"/>
            <w:right w:w="0" w:type="dxa"/>
          </w:tblCellMar>
          <w:tblLook w:val="01E0"/>
        </w:tblPrEx>
        <w:trPr>
          <w:trHeight w:val="909"/>
          <w:jc w:val="left"/>
        </w:trPr>
        <w:tc>
          <w:tcPr>
            <w:tcW w:w="1889" w:type="dxa"/>
          </w:tcPr>
          <w:p>
            <w:pPr>
              <w:pStyle w:val="TableParagraph"/>
              <w:spacing w:line="259" w:lineRule="auto"/>
              <w:ind w:left="107" w:right="136"/>
              <w:rPr>
                <w:rFonts w:ascii="Verdana"/>
                <w:sz w:val="19"/>
              </w:rPr>
            </w:pPr>
            <w:r>
              <w:rPr>
                <w:rFonts w:ascii="Verdana"/>
                <w:color w:val="333333"/>
                <w:sz w:val="19"/>
              </w:rPr>
              <w:t>Covid-19 business support grants</w:t>
            </w:r>
          </w:p>
        </w:tc>
        <w:tc>
          <w:tcPr>
            <w:tcW w:w="1385" w:type="dxa"/>
          </w:tcPr>
          <w:p>
            <w:pPr>
              <w:pStyle w:val="TableParagraph"/>
              <w:ind w:right="99"/>
              <w:jc w:val="right"/>
              <w:rPr>
                <w:rFonts w:ascii="Verdana" w:hAnsi="Verdana"/>
                <w:sz w:val="19"/>
              </w:rPr>
            </w:pPr>
            <w:r>
              <w:rPr>
                <w:rFonts w:ascii="Verdana" w:hAnsi="Verdana"/>
                <w:color w:val="333333"/>
                <w:sz w:val="19"/>
              </w:rPr>
              <w:t>£4,210.0m</w:t>
            </w:r>
          </w:p>
        </w:tc>
        <w:tc>
          <w:tcPr>
            <w:tcW w:w="1541" w:type="dxa"/>
          </w:tcPr>
          <w:p>
            <w:pPr>
              <w:pStyle w:val="TableParagraph"/>
              <w:ind w:right="100"/>
              <w:jc w:val="right"/>
              <w:rPr>
                <w:rFonts w:ascii="Verdana" w:hAnsi="Verdana"/>
                <w:sz w:val="19"/>
              </w:rPr>
            </w:pPr>
            <w:r>
              <w:rPr>
                <w:rFonts w:ascii="Verdana" w:hAnsi="Verdana"/>
                <w:color w:val="333333"/>
                <w:sz w:val="19"/>
              </w:rPr>
              <w:t>-£17,765.7m</w:t>
            </w:r>
          </w:p>
        </w:tc>
        <w:tc>
          <w:tcPr>
            <w:tcW w:w="1440" w:type="dxa"/>
          </w:tcPr>
          <w:p>
            <w:pPr>
              <w:pStyle w:val="TableParagraph"/>
              <w:ind w:right="99"/>
              <w:jc w:val="right"/>
              <w:rPr>
                <w:rFonts w:ascii="Verdana"/>
                <w:sz w:val="19"/>
              </w:rPr>
            </w:pPr>
            <w:r>
              <w:rPr>
                <w:rFonts w:ascii="Verdana"/>
                <w:color w:val="333333"/>
                <w:sz w:val="19"/>
              </w:rPr>
              <w:t>-80.8%</w:t>
            </w:r>
          </w:p>
        </w:tc>
        <w:tc>
          <w:tcPr>
            <w:tcW w:w="1438" w:type="dxa"/>
          </w:tcPr>
          <w:p>
            <w:pPr>
              <w:pStyle w:val="TableParagraph"/>
              <w:ind w:right="100"/>
              <w:jc w:val="right"/>
              <w:rPr>
                <w:rFonts w:ascii="Verdana" w:hAnsi="Verdana"/>
                <w:sz w:val="19"/>
              </w:rPr>
            </w:pPr>
            <w:r>
              <w:rPr>
                <w:rFonts w:ascii="Verdana" w:hAnsi="Verdana"/>
                <w:color w:val="333333"/>
                <w:sz w:val="19"/>
              </w:rPr>
              <w:t>-£8,199.0m</w:t>
            </w:r>
          </w:p>
        </w:tc>
        <w:tc>
          <w:tcPr>
            <w:tcW w:w="1325" w:type="dxa"/>
          </w:tcPr>
          <w:p>
            <w:pPr>
              <w:pStyle w:val="TableParagraph"/>
              <w:ind w:right="100"/>
              <w:jc w:val="right"/>
              <w:rPr>
                <w:rFonts w:ascii="Verdana"/>
                <w:sz w:val="19"/>
              </w:rPr>
            </w:pPr>
            <w:r>
              <w:rPr>
                <w:rFonts w:ascii="Verdana"/>
                <w:color w:val="333333"/>
                <w:sz w:val="19"/>
              </w:rPr>
              <w:t>-66.1%</w:t>
            </w:r>
          </w:p>
        </w:tc>
      </w:tr>
      <w:tr>
        <w:tblPrEx>
          <w:tblW w:w="0" w:type="auto"/>
          <w:jc w:val="left"/>
          <w:tblInd w:w="410" w:type="dxa"/>
          <w:tblLayout w:type="fixed"/>
          <w:tblCellMar>
            <w:top w:w="0" w:type="dxa"/>
            <w:left w:w="0" w:type="dxa"/>
            <w:bottom w:w="0" w:type="dxa"/>
            <w:right w:w="0" w:type="dxa"/>
          </w:tblCellMar>
          <w:tblLook w:val="01E0"/>
        </w:tblPrEx>
        <w:trPr>
          <w:trHeight w:val="657"/>
          <w:jc w:val="left"/>
        </w:trPr>
        <w:tc>
          <w:tcPr>
            <w:tcW w:w="1889" w:type="dxa"/>
          </w:tcPr>
          <w:p>
            <w:pPr>
              <w:pStyle w:val="TableParagraph"/>
              <w:spacing w:line="259" w:lineRule="auto"/>
              <w:ind w:left="107" w:right="363"/>
              <w:rPr>
                <w:rFonts w:ascii="Verdana"/>
                <w:sz w:val="19"/>
              </w:rPr>
            </w:pPr>
            <w:r>
              <w:rPr>
                <w:rFonts w:ascii="Verdana"/>
                <w:color w:val="333333"/>
                <w:sz w:val="19"/>
              </w:rPr>
              <w:t>Covid-19 business loans</w:t>
            </w:r>
          </w:p>
        </w:tc>
        <w:tc>
          <w:tcPr>
            <w:tcW w:w="1385" w:type="dxa"/>
          </w:tcPr>
          <w:p>
            <w:pPr>
              <w:pStyle w:val="TableParagraph"/>
              <w:spacing w:line="228" w:lineRule="exact"/>
              <w:ind w:right="99"/>
              <w:jc w:val="right"/>
              <w:rPr>
                <w:rFonts w:ascii="Verdana" w:hAnsi="Verdana"/>
                <w:sz w:val="19"/>
              </w:rPr>
            </w:pPr>
            <w:r>
              <w:rPr>
                <w:rFonts w:ascii="Verdana" w:hAnsi="Verdana"/>
                <w:color w:val="333333"/>
                <w:sz w:val="19"/>
              </w:rPr>
              <w:t>£1,139.0m</w:t>
            </w:r>
          </w:p>
        </w:tc>
        <w:tc>
          <w:tcPr>
            <w:tcW w:w="1541" w:type="dxa"/>
          </w:tcPr>
          <w:p>
            <w:pPr>
              <w:pStyle w:val="TableParagraph"/>
              <w:spacing w:line="228" w:lineRule="exact"/>
              <w:ind w:right="99"/>
              <w:jc w:val="right"/>
              <w:rPr>
                <w:rFonts w:ascii="Verdana" w:hAnsi="Verdana"/>
                <w:sz w:val="19"/>
              </w:rPr>
            </w:pPr>
            <w:r>
              <w:rPr>
                <w:rFonts w:ascii="Verdana" w:hAnsi="Verdana"/>
                <w:color w:val="333333"/>
                <w:sz w:val="19"/>
              </w:rPr>
              <w:t>-£499.9m</w:t>
            </w:r>
          </w:p>
        </w:tc>
        <w:tc>
          <w:tcPr>
            <w:tcW w:w="1440" w:type="dxa"/>
          </w:tcPr>
          <w:p>
            <w:pPr>
              <w:pStyle w:val="TableParagraph"/>
              <w:spacing w:line="228" w:lineRule="exact"/>
              <w:ind w:right="99"/>
              <w:jc w:val="right"/>
              <w:rPr>
                <w:rFonts w:ascii="Verdana"/>
                <w:sz w:val="19"/>
              </w:rPr>
            </w:pPr>
            <w:r>
              <w:rPr>
                <w:rFonts w:ascii="Verdana"/>
                <w:color w:val="333333"/>
                <w:sz w:val="19"/>
              </w:rPr>
              <w:t>-30.5%</w:t>
            </w:r>
          </w:p>
        </w:tc>
        <w:tc>
          <w:tcPr>
            <w:tcW w:w="1438" w:type="dxa"/>
          </w:tcPr>
          <w:p>
            <w:pPr>
              <w:pStyle w:val="TableParagraph"/>
              <w:spacing w:line="228" w:lineRule="exact"/>
              <w:ind w:right="100"/>
              <w:jc w:val="right"/>
              <w:rPr>
                <w:rFonts w:ascii="Verdana" w:hAnsi="Verdana"/>
                <w:sz w:val="19"/>
              </w:rPr>
            </w:pPr>
            <w:r>
              <w:rPr>
                <w:rFonts w:ascii="Verdana" w:hAnsi="Verdana"/>
                <w:color w:val="333333"/>
                <w:sz w:val="19"/>
              </w:rPr>
              <w:t>-£185.0m</w:t>
            </w:r>
          </w:p>
        </w:tc>
        <w:tc>
          <w:tcPr>
            <w:tcW w:w="1325" w:type="dxa"/>
          </w:tcPr>
          <w:p>
            <w:pPr>
              <w:pStyle w:val="TableParagraph"/>
              <w:spacing w:line="228" w:lineRule="exact"/>
              <w:ind w:right="100"/>
              <w:jc w:val="right"/>
              <w:rPr>
                <w:rFonts w:ascii="Verdana"/>
                <w:sz w:val="19"/>
              </w:rPr>
            </w:pPr>
            <w:r>
              <w:rPr>
                <w:rFonts w:ascii="Verdana"/>
                <w:color w:val="333333"/>
                <w:sz w:val="19"/>
              </w:rPr>
              <w:t>-14.0%</w:t>
            </w:r>
          </w:p>
        </w:tc>
      </w:tr>
      <w:tr>
        <w:tblPrEx>
          <w:tblW w:w="0" w:type="auto"/>
          <w:jc w:val="left"/>
          <w:tblInd w:w="410" w:type="dxa"/>
          <w:tblLayout w:type="fixed"/>
          <w:tblCellMar>
            <w:top w:w="0" w:type="dxa"/>
            <w:left w:w="0" w:type="dxa"/>
            <w:bottom w:w="0" w:type="dxa"/>
            <w:right w:w="0" w:type="dxa"/>
          </w:tblCellMar>
          <w:tblLook w:val="01E0"/>
        </w:tblPrEx>
        <w:trPr>
          <w:trHeight w:val="410"/>
          <w:jc w:val="left"/>
        </w:trPr>
        <w:tc>
          <w:tcPr>
            <w:tcW w:w="1889" w:type="dxa"/>
          </w:tcPr>
          <w:p>
            <w:pPr>
              <w:pStyle w:val="TableParagraph"/>
              <w:spacing w:line="228" w:lineRule="exact"/>
              <w:ind w:left="107"/>
              <w:rPr>
                <w:rFonts w:ascii="Verdana"/>
                <w:sz w:val="19"/>
              </w:rPr>
            </w:pPr>
            <w:r>
              <w:rPr>
                <w:rFonts w:ascii="Verdana"/>
                <w:color w:val="333333"/>
                <w:sz w:val="19"/>
              </w:rPr>
              <w:t>Depreciation</w:t>
            </w:r>
          </w:p>
        </w:tc>
        <w:tc>
          <w:tcPr>
            <w:tcW w:w="1385" w:type="dxa"/>
          </w:tcPr>
          <w:p>
            <w:pPr>
              <w:pStyle w:val="TableParagraph"/>
              <w:spacing w:line="228" w:lineRule="exact"/>
              <w:ind w:right="100"/>
              <w:jc w:val="right"/>
              <w:rPr>
                <w:rFonts w:ascii="Verdana" w:hAnsi="Verdana"/>
                <w:sz w:val="19"/>
              </w:rPr>
            </w:pPr>
            <w:r>
              <w:rPr>
                <w:rFonts w:ascii="Verdana" w:hAnsi="Verdana"/>
                <w:color w:val="333333"/>
                <w:sz w:val="19"/>
              </w:rPr>
              <w:t>£334.5m</w:t>
            </w:r>
          </w:p>
        </w:tc>
        <w:tc>
          <w:tcPr>
            <w:tcW w:w="1541" w:type="dxa"/>
          </w:tcPr>
          <w:p>
            <w:pPr>
              <w:pStyle w:val="TableParagraph"/>
              <w:spacing w:line="228" w:lineRule="exact"/>
              <w:ind w:right="99"/>
              <w:jc w:val="right"/>
              <w:rPr>
                <w:rFonts w:ascii="Verdana" w:hAnsi="Verdana"/>
                <w:sz w:val="19"/>
              </w:rPr>
            </w:pPr>
            <w:r>
              <w:rPr>
                <w:rFonts w:ascii="Verdana" w:hAnsi="Verdana"/>
                <w:color w:val="333333"/>
                <w:sz w:val="19"/>
              </w:rPr>
              <w:t>+£33.5m</w:t>
            </w:r>
          </w:p>
        </w:tc>
        <w:tc>
          <w:tcPr>
            <w:tcW w:w="1440" w:type="dxa"/>
          </w:tcPr>
          <w:p>
            <w:pPr>
              <w:pStyle w:val="TableParagraph"/>
              <w:spacing w:line="228" w:lineRule="exact"/>
              <w:ind w:right="99"/>
              <w:jc w:val="right"/>
              <w:rPr>
                <w:rFonts w:ascii="Verdana"/>
                <w:sz w:val="19"/>
              </w:rPr>
            </w:pPr>
            <w:r>
              <w:rPr>
                <w:rFonts w:ascii="Verdana"/>
                <w:color w:val="333333"/>
                <w:sz w:val="19"/>
              </w:rPr>
              <w:t>+11.1%</w:t>
            </w:r>
          </w:p>
        </w:tc>
        <w:tc>
          <w:tcPr>
            <w:tcW w:w="1438" w:type="dxa"/>
          </w:tcPr>
          <w:p>
            <w:pPr>
              <w:pStyle w:val="TableParagraph"/>
              <w:spacing w:line="228" w:lineRule="exact"/>
              <w:ind w:right="100"/>
              <w:jc w:val="right"/>
              <w:rPr>
                <w:rFonts w:ascii="Verdana" w:hAnsi="Verdana"/>
                <w:sz w:val="19"/>
              </w:rPr>
            </w:pPr>
            <w:r>
              <w:rPr>
                <w:rFonts w:ascii="Verdana" w:hAnsi="Verdana"/>
                <w:color w:val="333333"/>
                <w:sz w:val="19"/>
              </w:rPr>
              <w:t>-£2.2m</w:t>
            </w:r>
          </w:p>
        </w:tc>
        <w:tc>
          <w:tcPr>
            <w:tcW w:w="1325" w:type="dxa"/>
          </w:tcPr>
          <w:p>
            <w:pPr>
              <w:pStyle w:val="TableParagraph"/>
              <w:spacing w:line="228" w:lineRule="exact"/>
              <w:ind w:right="99"/>
              <w:jc w:val="right"/>
              <w:rPr>
                <w:rFonts w:ascii="Verdana"/>
                <w:sz w:val="19"/>
              </w:rPr>
            </w:pPr>
            <w:r>
              <w:rPr>
                <w:rFonts w:ascii="Verdana"/>
                <w:color w:val="333333"/>
                <w:sz w:val="19"/>
              </w:rPr>
              <w:t>-0.7%</w:t>
            </w:r>
          </w:p>
        </w:tc>
      </w:tr>
    </w:tbl>
    <w:p>
      <w:pPr>
        <w:pStyle w:val="BodyText"/>
        <w:rPr>
          <w:sz w:val="20"/>
        </w:rPr>
      </w:pPr>
    </w:p>
    <w:p>
      <w:pPr>
        <w:pStyle w:val="BodyText"/>
        <w:rPr>
          <w:sz w:val="20"/>
        </w:rPr>
      </w:pPr>
    </w:p>
    <w:p>
      <w:pPr>
        <w:pStyle w:val="BodyText"/>
        <w:rPr>
          <w:sz w:val="20"/>
        </w:rPr>
      </w:pPr>
    </w:p>
    <w:p>
      <w:pPr>
        <w:pStyle w:val="BodyText"/>
        <w:rPr>
          <w:sz w:val="20"/>
        </w:rPr>
      </w:pPr>
    </w:p>
    <w:p>
      <w:pPr>
        <w:pStyle w:val="BodyText"/>
        <w:spacing w:before="9"/>
        <w:rPr>
          <w:sz w:val="26"/>
        </w:rPr>
      </w:pPr>
    </w:p>
    <w:p>
      <w:pPr>
        <w:pStyle w:val="Heading2"/>
        <w:numPr>
          <w:ilvl w:val="1"/>
          <w:numId w:val="2"/>
        </w:numPr>
        <w:tabs>
          <w:tab w:val="left" w:pos="1120"/>
          <w:tab w:val="left" w:pos="1121"/>
        </w:tabs>
        <w:spacing w:before="45" w:after="0" w:line="240" w:lineRule="auto"/>
        <w:ind w:left="1120" w:right="0" w:hanging="721"/>
        <w:jc w:val="left"/>
        <w:rPr>
          <w:b w:val="0"/>
        </w:rPr>
      </w:pPr>
      <w:r>
        <w:rPr>
          <w:b w:val="0"/>
          <w:color w:val="2F5495"/>
        </w:rPr>
        <w:t>Changes to contingent</w:t>
      </w:r>
      <w:r>
        <w:rPr>
          <w:b w:val="0"/>
          <w:color w:val="2F5495"/>
          <w:spacing w:val="-6"/>
        </w:rPr>
        <w:t xml:space="preserve"> </w:t>
      </w:r>
      <w:r>
        <w:rPr>
          <w:b w:val="0"/>
          <w:color w:val="2F5495"/>
        </w:rPr>
        <w:t>liabilities</w:t>
      </w:r>
    </w:p>
    <w:p>
      <w:pPr>
        <w:pStyle w:val="BodyText"/>
        <w:spacing w:before="24" w:line="259" w:lineRule="auto"/>
        <w:ind w:left="400" w:right="1242"/>
      </w:pPr>
      <w:r>
        <w:t>The list of contingent liabilities shown in Part III: Note K includes details of the two contingent liabilities notified to Parliament in March 2021, for the Recovery Loan Scheme and for CGI IT UK Ltd.</w:t>
      </w:r>
    </w:p>
    <w:p>
      <w:pPr>
        <w:spacing w:after="0" w:line="259" w:lineRule="auto"/>
        <w:sectPr>
          <w:pgSz w:w="11910" w:h="16840"/>
          <w:pgMar w:top="1420" w:right="280" w:bottom="280" w:left="1040" w:header="720" w:footer="720"/>
          <w:cols w:space="720"/>
        </w:sectPr>
      </w:pPr>
    </w:p>
    <w:p>
      <w:pPr>
        <w:pStyle w:val="Heading1"/>
        <w:numPr>
          <w:ilvl w:val="0"/>
          <w:numId w:val="1"/>
        </w:numPr>
        <w:tabs>
          <w:tab w:val="left" w:pos="1121"/>
          <w:tab w:val="left" w:pos="1122"/>
        </w:tabs>
        <w:spacing w:before="21" w:after="0" w:line="240" w:lineRule="auto"/>
        <w:ind w:left="1121" w:right="0" w:hanging="722"/>
        <w:jc w:val="left"/>
        <w:rPr>
          <w:b w:val="0"/>
        </w:rPr>
      </w:pPr>
      <w:r>
        <w:rPr>
          <w:b w:val="0"/>
          <w:color w:val="2F5495"/>
        </w:rPr>
        <w:t>Priorities and</w:t>
      </w:r>
      <w:r>
        <w:rPr>
          <w:b w:val="0"/>
          <w:color w:val="2F5495"/>
          <w:spacing w:val="-5"/>
        </w:rPr>
        <w:t xml:space="preserve"> </w:t>
      </w:r>
      <w:r>
        <w:rPr>
          <w:b w:val="0"/>
          <w:color w:val="2F5495"/>
        </w:rPr>
        <w:t>performance</w:t>
      </w:r>
    </w:p>
    <w:p>
      <w:pPr>
        <w:pStyle w:val="BodyText"/>
        <w:spacing w:before="7"/>
        <w:rPr>
          <w:rFonts w:ascii="Calibri Light"/>
          <w:b w:val="0"/>
          <w:sz w:val="39"/>
        </w:rPr>
      </w:pPr>
    </w:p>
    <w:p>
      <w:pPr>
        <w:pStyle w:val="Heading2"/>
        <w:numPr>
          <w:ilvl w:val="1"/>
          <w:numId w:val="1"/>
        </w:numPr>
        <w:tabs>
          <w:tab w:val="left" w:pos="1120"/>
          <w:tab w:val="left" w:pos="1121"/>
        </w:tabs>
        <w:spacing w:before="0" w:after="0" w:line="240" w:lineRule="auto"/>
        <w:ind w:left="1120" w:right="0" w:hanging="721"/>
        <w:jc w:val="left"/>
        <w:rPr>
          <w:b w:val="0"/>
        </w:rPr>
      </w:pPr>
      <w:r>
        <w:rPr>
          <w:b w:val="0"/>
          <w:color w:val="2F5495"/>
        </w:rPr>
        <w:t>How spending relates to</w:t>
      </w:r>
      <w:r>
        <w:rPr>
          <w:b w:val="0"/>
          <w:color w:val="2F5495"/>
          <w:spacing w:val="-6"/>
        </w:rPr>
        <w:t xml:space="preserve"> </w:t>
      </w:r>
      <w:r>
        <w:rPr>
          <w:b w:val="0"/>
          <w:color w:val="2F5495"/>
        </w:rPr>
        <w:t>objectives</w:t>
      </w:r>
    </w:p>
    <w:p>
      <w:pPr>
        <w:pStyle w:val="BodyText"/>
        <w:spacing w:before="25" w:line="259" w:lineRule="auto"/>
        <w:ind w:left="400" w:right="1252"/>
      </w:pPr>
      <w:r>
        <w:t>The table below shows how expenditure against each subhead contributes to Departmental priority outcome.</w:t>
      </w:r>
    </w:p>
    <w:p>
      <w:pPr>
        <w:pStyle w:val="BodyText"/>
        <w:spacing w:before="1"/>
        <w:rPr>
          <w:sz w:val="13"/>
        </w:rPr>
      </w:pPr>
    </w:p>
    <w:tbl>
      <w:tblPr>
        <w:tblW w:w="0" w:type="auto"/>
        <w:jc w:val="left"/>
        <w:tblInd w:w="4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8"/>
        <w:gridCol w:w="1728"/>
        <w:gridCol w:w="1730"/>
        <w:gridCol w:w="1728"/>
        <w:gridCol w:w="1728"/>
      </w:tblGrid>
      <w:tr>
        <w:tblPrEx>
          <w:tblW w:w="0" w:type="auto"/>
          <w:jc w:val="left"/>
          <w:tblInd w:w="4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507"/>
          <w:jc w:val="left"/>
        </w:trPr>
        <w:tc>
          <w:tcPr>
            <w:tcW w:w="1728" w:type="dxa"/>
            <w:tcBorders>
              <w:bottom w:val="nil"/>
            </w:tcBorders>
          </w:tcPr>
          <w:p>
            <w:pPr>
              <w:pStyle w:val="TableParagraph"/>
              <w:spacing w:before="1"/>
              <w:ind w:left="107"/>
              <w:rPr>
                <w:sz w:val="19"/>
              </w:rPr>
            </w:pPr>
            <w:r>
              <w:rPr>
                <w:sz w:val="19"/>
              </w:rPr>
              <w:t>Outcome&gt;&gt;&gt;&gt;</w:t>
            </w:r>
          </w:p>
        </w:tc>
        <w:tc>
          <w:tcPr>
            <w:tcW w:w="1728" w:type="dxa"/>
            <w:tcBorders>
              <w:bottom w:val="nil"/>
            </w:tcBorders>
          </w:tcPr>
          <w:p>
            <w:pPr>
              <w:pStyle w:val="TableParagraph"/>
              <w:spacing w:line="231" w:lineRule="exact"/>
              <w:ind w:left="107"/>
              <w:rPr>
                <w:sz w:val="19"/>
              </w:rPr>
            </w:pPr>
            <w:r>
              <w:rPr>
                <w:color w:val="333333"/>
                <w:sz w:val="19"/>
              </w:rPr>
              <w:t>1: Fight Covid-19</w:t>
            </w:r>
          </w:p>
          <w:p>
            <w:pPr>
              <w:pStyle w:val="TableParagraph"/>
              <w:spacing w:before="17"/>
              <w:ind w:left="107"/>
              <w:rPr>
                <w:sz w:val="19"/>
              </w:rPr>
            </w:pPr>
            <w:r>
              <w:rPr>
                <w:color w:val="333333"/>
                <w:sz w:val="19"/>
              </w:rPr>
              <w:t>by helping</w:t>
            </w:r>
          </w:p>
        </w:tc>
        <w:tc>
          <w:tcPr>
            <w:tcW w:w="1730" w:type="dxa"/>
            <w:tcBorders>
              <w:bottom w:val="nil"/>
            </w:tcBorders>
          </w:tcPr>
          <w:p>
            <w:pPr>
              <w:pStyle w:val="TableParagraph"/>
              <w:spacing w:line="231" w:lineRule="exact"/>
              <w:ind w:left="107"/>
              <w:rPr>
                <w:sz w:val="19"/>
              </w:rPr>
            </w:pPr>
            <w:r>
              <w:rPr>
                <w:color w:val="333333"/>
                <w:sz w:val="19"/>
              </w:rPr>
              <w:t>2: Back business by</w:t>
            </w:r>
          </w:p>
          <w:p>
            <w:pPr>
              <w:pStyle w:val="TableParagraph"/>
              <w:spacing w:before="17"/>
              <w:ind w:left="107"/>
              <w:rPr>
                <w:sz w:val="19"/>
              </w:rPr>
            </w:pPr>
            <w:r>
              <w:rPr>
                <w:color w:val="333333"/>
                <w:sz w:val="19"/>
              </w:rPr>
              <w:t>making the UK the</w:t>
            </w:r>
          </w:p>
        </w:tc>
        <w:tc>
          <w:tcPr>
            <w:tcW w:w="1728" w:type="dxa"/>
            <w:tcBorders>
              <w:bottom w:val="nil"/>
            </w:tcBorders>
          </w:tcPr>
          <w:p>
            <w:pPr>
              <w:pStyle w:val="TableParagraph"/>
              <w:spacing w:line="231" w:lineRule="exact"/>
              <w:ind w:left="105"/>
              <w:rPr>
                <w:sz w:val="19"/>
              </w:rPr>
            </w:pPr>
            <w:r>
              <w:rPr>
                <w:color w:val="333333"/>
                <w:sz w:val="19"/>
              </w:rPr>
              <w:t>3: Unleash</w:t>
            </w:r>
          </w:p>
          <w:p>
            <w:pPr>
              <w:pStyle w:val="TableParagraph"/>
              <w:spacing w:before="17"/>
              <w:ind w:left="105"/>
              <w:rPr>
                <w:sz w:val="19"/>
              </w:rPr>
            </w:pPr>
            <w:r>
              <w:rPr>
                <w:color w:val="333333"/>
                <w:sz w:val="19"/>
              </w:rPr>
              <w:t>innovation and</w:t>
            </w:r>
          </w:p>
        </w:tc>
        <w:tc>
          <w:tcPr>
            <w:tcW w:w="1728" w:type="dxa"/>
            <w:tcBorders>
              <w:bottom w:val="nil"/>
            </w:tcBorders>
          </w:tcPr>
          <w:p>
            <w:pPr>
              <w:pStyle w:val="TableParagraph"/>
              <w:spacing w:line="231" w:lineRule="exact"/>
              <w:ind w:left="108"/>
              <w:rPr>
                <w:sz w:val="19"/>
              </w:rPr>
            </w:pPr>
            <w:r>
              <w:rPr>
                <w:color w:val="333333"/>
                <w:sz w:val="19"/>
              </w:rPr>
              <w:t>4</w:t>
            </w:r>
            <w:r>
              <w:rPr>
                <w:b/>
                <w:color w:val="333333"/>
                <w:sz w:val="19"/>
              </w:rPr>
              <w:t xml:space="preserve">: </w:t>
            </w:r>
            <w:r>
              <w:rPr>
                <w:color w:val="333333"/>
                <w:sz w:val="19"/>
              </w:rPr>
              <w:t>Tackle Climate</w:t>
            </w:r>
          </w:p>
          <w:p>
            <w:pPr>
              <w:pStyle w:val="TableParagraph"/>
              <w:spacing w:before="17"/>
              <w:ind w:left="108"/>
              <w:rPr>
                <w:sz w:val="19"/>
              </w:rPr>
            </w:pPr>
            <w:r>
              <w:rPr>
                <w:color w:val="333333"/>
                <w:sz w:val="19"/>
              </w:rPr>
              <w:t>Change</w:t>
            </w:r>
            <w:r>
              <w:rPr>
                <w:b/>
                <w:color w:val="333333"/>
                <w:sz w:val="19"/>
              </w:rPr>
              <w:t xml:space="preserve">: </w:t>
            </w:r>
            <w:r>
              <w:rPr>
                <w:color w:val="333333"/>
                <w:sz w:val="19"/>
              </w:rPr>
              <w:t>Reduce UK</w:t>
            </w:r>
          </w:p>
        </w:tc>
      </w:tr>
      <w:tr>
        <w:tblPrEx>
          <w:tblW w:w="0" w:type="auto"/>
          <w:jc w:val="left"/>
          <w:tblInd w:w="410" w:type="dxa"/>
          <w:tblLayout w:type="fixed"/>
          <w:tblCellMar>
            <w:top w:w="0" w:type="dxa"/>
            <w:left w:w="0" w:type="dxa"/>
            <w:bottom w:w="0" w:type="dxa"/>
            <w:right w:w="0" w:type="dxa"/>
          </w:tblCellMar>
          <w:tblLook w:val="01E0"/>
        </w:tblPrEx>
        <w:trPr>
          <w:trHeight w:val="752"/>
          <w:jc w:val="left"/>
        </w:trPr>
        <w:tc>
          <w:tcPr>
            <w:tcW w:w="1728" w:type="dxa"/>
            <w:tcBorders>
              <w:top w:val="nil"/>
              <w:bottom w:val="nil"/>
            </w:tcBorders>
          </w:tcPr>
          <w:p>
            <w:pPr>
              <w:pStyle w:val="TableParagraph"/>
              <w:rPr>
                <w:rFonts w:ascii="Times New Roman"/>
                <w:sz w:val="20"/>
              </w:rPr>
            </w:pPr>
          </w:p>
        </w:tc>
        <w:tc>
          <w:tcPr>
            <w:tcW w:w="1728" w:type="dxa"/>
            <w:tcBorders>
              <w:top w:val="nil"/>
              <w:bottom w:val="nil"/>
            </w:tcBorders>
          </w:tcPr>
          <w:p>
            <w:pPr>
              <w:pStyle w:val="TableParagraph"/>
              <w:spacing w:line="259" w:lineRule="auto"/>
              <w:ind w:left="107" w:right="196"/>
              <w:rPr>
                <w:sz w:val="19"/>
              </w:rPr>
            </w:pPr>
            <w:r>
              <w:rPr>
                <w:color w:val="333333"/>
                <w:sz w:val="19"/>
              </w:rPr>
              <w:t>businesses to bounce back from</w:t>
            </w:r>
          </w:p>
          <w:p>
            <w:pPr>
              <w:pStyle w:val="TableParagraph"/>
              <w:spacing w:line="230" w:lineRule="exact"/>
              <w:ind w:left="107"/>
              <w:rPr>
                <w:sz w:val="19"/>
              </w:rPr>
            </w:pPr>
            <w:r>
              <w:rPr>
                <w:color w:val="333333"/>
                <w:sz w:val="19"/>
              </w:rPr>
              <w:t>the impacts of</w:t>
            </w:r>
          </w:p>
        </w:tc>
        <w:tc>
          <w:tcPr>
            <w:tcW w:w="1730" w:type="dxa"/>
            <w:tcBorders>
              <w:top w:val="nil"/>
              <w:bottom w:val="nil"/>
            </w:tcBorders>
          </w:tcPr>
          <w:p>
            <w:pPr>
              <w:pStyle w:val="TableParagraph"/>
              <w:spacing w:line="259" w:lineRule="auto"/>
              <w:ind w:left="107" w:right="205"/>
              <w:rPr>
                <w:sz w:val="19"/>
              </w:rPr>
            </w:pPr>
            <w:r>
              <w:rPr>
                <w:color w:val="333333"/>
                <w:sz w:val="19"/>
              </w:rPr>
              <w:t>best place in the world to start and</w:t>
            </w:r>
          </w:p>
          <w:p>
            <w:pPr>
              <w:pStyle w:val="TableParagraph"/>
              <w:ind w:left="107"/>
              <w:rPr>
                <w:sz w:val="19"/>
              </w:rPr>
            </w:pPr>
            <w:r>
              <w:rPr>
                <w:color w:val="333333"/>
                <w:sz w:val="19"/>
              </w:rPr>
              <w:t>grow a business</w:t>
            </w:r>
          </w:p>
        </w:tc>
        <w:tc>
          <w:tcPr>
            <w:tcW w:w="1728" w:type="dxa"/>
            <w:tcBorders>
              <w:top w:val="nil"/>
              <w:bottom w:val="nil"/>
            </w:tcBorders>
          </w:tcPr>
          <w:p>
            <w:pPr>
              <w:pStyle w:val="TableParagraph"/>
              <w:spacing w:line="259" w:lineRule="auto"/>
              <w:ind w:left="105" w:right="182"/>
              <w:rPr>
                <w:sz w:val="19"/>
              </w:rPr>
            </w:pPr>
            <w:r>
              <w:rPr>
                <w:color w:val="333333"/>
                <w:sz w:val="19"/>
              </w:rPr>
              <w:t>accelerate science and</w:t>
            </w:r>
            <w:r>
              <w:rPr>
                <w:color w:val="333333"/>
                <w:spacing w:val="1"/>
                <w:sz w:val="19"/>
              </w:rPr>
              <w:t xml:space="preserve"> </w:t>
            </w:r>
            <w:r>
              <w:rPr>
                <w:color w:val="333333"/>
                <w:sz w:val="19"/>
              </w:rPr>
              <w:t>technology</w:t>
            </w:r>
          </w:p>
          <w:p>
            <w:pPr>
              <w:pStyle w:val="TableParagraph"/>
              <w:spacing w:line="230" w:lineRule="exact"/>
              <w:ind w:left="105"/>
              <w:rPr>
                <w:sz w:val="19"/>
              </w:rPr>
            </w:pPr>
            <w:r>
              <w:rPr>
                <w:color w:val="333333"/>
                <w:sz w:val="19"/>
              </w:rPr>
              <w:t>throughout</w:t>
            </w:r>
            <w:r>
              <w:rPr>
                <w:color w:val="333333"/>
                <w:spacing w:val="-2"/>
                <w:sz w:val="19"/>
              </w:rPr>
              <w:t xml:space="preserve"> </w:t>
            </w:r>
            <w:r>
              <w:rPr>
                <w:color w:val="333333"/>
                <w:sz w:val="19"/>
              </w:rPr>
              <w:t>the</w:t>
            </w:r>
          </w:p>
        </w:tc>
        <w:tc>
          <w:tcPr>
            <w:tcW w:w="1728" w:type="dxa"/>
            <w:tcBorders>
              <w:top w:val="nil"/>
              <w:bottom w:val="nil"/>
            </w:tcBorders>
          </w:tcPr>
          <w:p>
            <w:pPr>
              <w:pStyle w:val="TableParagraph"/>
              <w:spacing w:line="259" w:lineRule="auto"/>
              <w:ind w:left="108" w:right="302"/>
              <w:rPr>
                <w:sz w:val="19"/>
              </w:rPr>
            </w:pPr>
            <w:r>
              <w:rPr>
                <w:color w:val="333333"/>
                <w:sz w:val="19"/>
              </w:rPr>
              <w:t>Greenhouse gas emissions to Net</w:t>
            </w:r>
          </w:p>
          <w:p>
            <w:pPr>
              <w:pStyle w:val="TableParagraph"/>
              <w:ind w:left="108"/>
              <w:rPr>
                <w:sz w:val="19"/>
              </w:rPr>
            </w:pPr>
            <w:r>
              <w:rPr>
                <w:color w:val="333333"/>
                <w:sz w:val="19"/>
              </w:rPr>
              <w:t>Zero by 2050</w:t>
            </w:r>
          </w:p>
        </w:tc>
      </w:tr>
      <w:tr>
        <w:tblPrEx>
          <w:tblW w:w="0" w:type="auto"/>
          <w:jc w:val="left"/>
          <w:tblInd w:w="410" w:type="dxa"/>
          <w:tblLayout w:type="fixed"/>
          <w:tblCellMar>
            <w:top w:w="0" w:type="dxa"/>
            <w:left w:w="0" w:type="dxa"/>
            <w:bottom w:w="0" w:type="dxa"/>
            <w:right w:w="0" w:type="dxa"/>
          </w:tblCellMar>
          <w:tblLook w:val="01E0"/>
        </w:tblPrEx>
        <w:trPr>
          <w:trHeight w:val="1024"/>
          <w:jc w:val="left"/>
        </w:trPr>
        <w:tc>
          <w:tcPr>
            <w:tcW w:w="1728" w:type="dxa"/>
            <w:tcBorders>
              <w:top w:val="nil"/>
              <w:bottom w:val="nil"/>
            </w:tcBorders>
          </w:tcPr>
          <w:p>
            <w:pPr>
              <w:pStyle w:val="TableParagraph"/>
              <w:rPr>
                <w:sz w:val="18"/>
              </w:rPr>
            </w:pPr>
          </w:p>
          <w:p>
            <w:pPr>
              <w:pStyle w:val="TableParagraph"/>
              <w:rPr>
                <w:sz w:val="18"/>
              </w:rPr>
            </w:pPr>
          </w:p>
          <w:p>
            <w:pPr>
              <w:pStyle w:val="TableParagraph"/>
              <w:rPr>
                <w:sz w:val="18"/>
              </w:rPr>
            </w:pPr>
          </w:p>
          <w:p>
            <w:pPr>
              <w:pStyle w:val="TableParagraph"/>
              <w:spacing w:before="131" w:line="214" w:lineRule="exact"/>
              <w:ind w:left="107"/>
              <w:rPr>
                <w:sz w:val="19"/>
              </w:rPr>
            </w:pPr>
            <w:r>
              <w:rPr>
                <w:sz w:val="19"/>
              </w:rPr>
              <w:t>Estimates</w:t>
            </w:r>
          </w:p>
        </w:tc>
        <w:tc>
          <w:tcPr>
            <w:tcW w:w="1728" w:type="dxa"/>
            <w:tcBorders>
              <w:top w:val="nil"/>
              <w:bottom w:val="nil"/>
            </w:tcBorders>
          </w:tcPr>
          <w:p>
            <w:pPr>
              <w:pStyle w:val="TableParagraph"/>
              <w:spacing w:line="259" w:lineRule="auto"/>
              <w:ind w:left="107" w:right="128"/>
              <w:rPr>
                <w:sz w:val="19"/>
              </w:rPr>
            </w:pPr>
            <w:r>
              <w:rPr>
                <w:color w:val="333333"/>
                <w:sz w:val="19"/>
              </w:rPr>
              <w:t>Covid-19, supporting a safe return to work and accelerating the</w:t>
            </w:r>
          </w:p>
        </w:tc>
        <w:tc>
          <w:tcPr>
            <w:tcW w:w="1730" w:type="dxa"/>
            <w:tcBorders>
              <w:top w:val="nil"/>
              <w:bottom w:val="nil"/>
            </w:tcBorders>
          </w:tcPr>
          <w:p>
            <w:pPr>
              <w:pStyle w:val="TableParagraph"/>
              <w:rPr>
                <w:rFonts w:ascii="Times New Roman"/>
                <w:sz w:val="20"/>
              </w:rPr>
            </w:pPr>
          </w:p>
        </w:tc>
        <w:tc>
          <w:tcPr>
            <w:tcW w:w="1728" w:type="dxa"/>
            <w:tcBorders>
              <w:top w:val="nil"/>
              <w:bottom w:val="nil"/>
            </w:tcBorders>
          </w:tcPr>
          <w:p>
            <w:pPr>
              <w:pStyle w:val="TableParagraph"/>
              <w:spacing w:line="259" w:lineRule="auto"/>
              <w:ind w:left="105" w:right="118"/>
              <w:rPr>
                <w:sz w:val="19"/>
              </w:rPr>
            </w:pPr>
            <w:r>
              <w:rPr>
                <w:color w:val="333333"/>
                <w:sz w:val="19"/>
              </w:rPr>
              <w:t>country to increase productivity and UK global</w:t>
            </w:r>
            <w:r>
              <w:rPr>
                <w:color w:val="333333"/>
                <w:spacing w:val="-4"/>
                <w:sz w:val="19"/>
              </w:rPr>
              <w:t xml:space="preserve"> </w:t>
            </w:r>
            <w:r>
              <w:rPr>
                <w:color w:val="333333"/>
                <w:sz w:val="19"/>
              </w:rPr>
              <w:t>influence</w:t>
            </w:r>
          </w:p>
        </w:tc>
        <w:tc>
          <w:tcPr>
            <w:tcW w:w="1728" w:type="dxa"/>
            <w:tcBorders>
              <w:top w:val="nil"/>
              <w:bottom w:val="nil"/>
            </w:tcBorders>
          </w:tcPr>
          <w:p>
            <w:pPr>
              <w:pStyle w:val="TableParagraph"/>
              <w:rPr>
                <w:rFonts w:ascii="Times New Roman"/>
                <w:sz w:val="20"/>
              </w:rPr>
            </w:pPr>
          </w:p>
        </w:tc>
      </w:tr>
      <w:tr>
        <w:tblPrEx>
          <w:tblW w:w="0" w:type="auto"/>
          <w:jc w:val="left"/>
          <w:tblInd w:w="410" w:type="dxa"/>
          <w:tblLayout w:type="fixed"/>
          <w:tblCellMar>
            <w:top w:w="0" w:type="dxa"/>
            <w:left w:w="0" w:type="dxa"/>
            <w:bottom w:w="0" w:type="dxa"/>
            <w:right w:w="0" w:type="dxa"/>
          </w:tblCellMar>
          <w:tblLook w:val="01E0"/>
        </w:tblPrEx>
        <w:trPr>
          <w:trHeight w:val="476"/>
          <w:jc w:val="left"/>
        </w:trPr>
        <w:tc>
          <w:tcPr>
            <w:tcW w:w="1728" w:type="dxa"/>
            <w:tcBorders>
              <w:top w:val="nil"/>
              <w:bottom w:val="nil"/>
            </w:tcBorders>
          </w:tcPr>
          <w:p>
            <w:pPr>
              <w:pStyle w:val="TableParagraph"/>
              <w:spacing w:before="17"/>
              <w:ind w:left="107"/>
              <w:rPr>
                <w:sz w:val="19"/>
              </w:rPr>
            </w:pPr>
            <w:r>
              <w:rPr>
                <w:sz w:val="19"/>
              </w:rPr>
              <w:t>subheads</w:t>
            </w:r>
          </w:p>
        </w:tc>
        <w:tc>
          <w:tcPr>
            <w:tcW w:w="1728" w:type="dxa"/>
            <w:tcBorders>
              <w:top w:val="nil"/>
              <w:bottom w:val="nil"/>
            </w:tcBorders>
          </w:tcPr>
          <w:p>
            <w:pPr>
              <w:pStyle w:val="TableParagraph"/>
              <w:spacing w:line="199" w:lineRule="exact"/>
              <w:ind w:left="107"/>
              <w:rPr>
                <w:sz w:val="19"/>
              </w:rPr>
            </w:pPr>
            <w:r>
              <w:rPr>
                <w:color w:val="333333"/>
                <w:sz w:val="19"/>
              </w:rPr>
              <w:t>development</w:t>
            </w:r>
            <w:r>
              <w:rPr>
                <w:color w:val="333333"/>
                <w:spacing w:val="-4"/>
                <w:sz w:val="19"/>
              </w:rPr>
              <w:t xml:space="preserve"> </w:t>
            </w:r>
            <w:r>
              <w:rPr>
                <w:color w:val="333333"/>
                <w:sz w:val="19"/>
              </w:rPr>
              <w:t>and</w:t>
            </w:r>
          </w:p>
          <w:p>
            <w:pPr>
              <w:pStyle w:val="TableParagraph"/>
              <w:spacing w:before="17"/>
              <w:ind w:left="107"/>
              <w:rPr>
                <w:sz w:val="19"/>
              </w:rPr>
            </w:pPr>
            <w:r>
              <w:rPr>
                <w:color w:val="333333"/>
                <w:sz w:val="19"/>
              </w:rPr>
              <w:t>manufacture of</w:t>
            </w:r>
            <w:r>
              <w:rPr>
                <w:color w:val="333333"/>
                <w:spacing w:val="-2"/>
                <w:sz w:val="19"/>
              </w:rPr>
              <w:t xml:space="preserve"> </w:t>
            </w:r>
            <w:r>
              <w:rPr>
                <w:color w:val="333333"/>
                <w:sz w:val="19"/>
              </w:rPr>
              <w:t>a</w:t>
            </w:r>
          </w:p>
        </w:tc>
        <w:tc>
          <w:tcPr>
            <w:tcW w:w="1730" w:type="dxa"/>
            <w:tcBorders>
              <w:top w:val="nil"/>
              <w:bottom w:val="nil"/>
            </w:tcBorders>
          </w:tcPr>
          <w:p>
            <w:pPr>
              <w:pStyle w:val="TableParagraph"/>
              <w:rPr>
                <w:rFonts w:ascii="Times New Roman"/>
                <w:sz w:val="20"/>
              </w:rPr>
            </w:pPr>
          </w:p>
        </w:tc>
        <w:tc>
          <w:tcPr>
            <w:tcW w:w="1728" w:type="dxa"/>
            <w:tcBorders>
              <w:top w:val="nil"/>
              <w:bottom w:val="nil"/>
            </w:tcBorders>
          </w:tcPr>
          <w:p>
            <w:pPr>
              <w:pStyle w:val="TableParagraph"/>
              <w:rPr>
                <w:rFonts w:ascii="Times New Roman"/>
                <w:sz w:val="20"/>
              </w:rPr>
            </w:pPr>
          </w:p>
        </w:tc>
        <w:tc>
          <w:tcPr>
            <w:tcW w:w="1728" w:type="dxa"/>
            <w:tcBorders>
              <w:top w:val="nil"/>
              <w:bottom w:val="nil"/>
            </w:tcBorders>
          </w:tcPr>
          <w:p>
            <w:pPr>
              <w:pStyle w:val="TableParagraph"/>
              <w:rPr>
                <w:rFonts w:ascii="Times New Roman"/>
                <w:sz w:val="20"/>
              </w:rPr>
            </w:pPr>
          </w:p>
        </w:tc>
      </w:tr>
      <w:tr>
        <w:tblPrEx>
          <w:tblW w:w="0" w:type="auto"/>
          <w:jc w:val="left"/>
          <w:tblInd w:w="410" w:type="dxa"/>
          <w:tblLayout w:type="fixed"/>
          <w:tblCellMar>
            <w:top w:w="0" w:type="dxa"/>
            <w:left w:w="0" w:type="dxa"/>
            <w:bottom w:w="0" w:type="dxa"/>
            <w:right w:w="0" w:type="dxa"/>
          </w:tblCellMar>
          <w:tblLook w:val="01E0"/>
        </w:tblPrEx>
        <w:trPr>
          <w:trHeight w:val="401"/>
          <w:jc w:val="left"/>
        </w:trPr>
        <w:tc>
          <w:tcPr>
            <w:tcW w:w="1728" w:type="dxa"/>
            <w:tcBorders>
              <w:top w:val="nil"/>
            </w:tcBorders>
          </w:tcPr>
          <w:p>
            <w:pPr>
              <w:pStyle w:val="TableParagraph"/>
              <w:rPr>
                <w:rFonts w:ascii="Times New Roman"/>
                <w:sz w:val="20"/>
              </w:rPr>
            </w:pPr>
          </w:p>
        </w:tc>
        <w:tc>
          <w:tcPr>
            <w:tcW w:w="1728" w:type="dxa"/>
            <w:tcBorders>
              <w:top w:val="nil"/>
            </w:tcBorders>
          </w:tcPr>
          <w:p>
            <w:pPr>
              <w:pStyle w:val="TableParagraph"/>
              <w:spacing w:line="224" w:lineRule="exact"/>
              <w:ind w:left="107"/>
              <w:rPr>
                <w:sz w:val="19"/>
              </w:rPr>
            </w:pPr>
            <w:r>
              <w:rPr>
                <w:color w:val="333333"/>
                <w:sz w:val="19"/>
              </w:rPr>
              <w:t>vaccine</w:t>
            </w:r>
          </w:p>
        </w:tc>
        <w:tc>
          <w:tcPr>
            <w:tcW w:w="1730" w:type="dxa"/>
            <w:tcBorders>
              <w:top w:val="nil"/>
            </w:tcBorders>
          </w:tcPr>
          <w:p>
            <w:pPr>
              <w:pStyle w:val="TableParagraph"/>
              <w:rPr>
                <w:rFonts w:ascii="Times New Roman"/>
                <w:sz w:val="20"/>
              </w:rPr>
            </w:pPr>
          </w:p>
        </w:tc>
        <w:tc>
          <w:tcPr>
            <w:tcW w:w="1728" w:type="dxa"/>
            <w:tcBorders>
              <w:top w:val="nil"/>
            </w:tcBorders>
          </w:tcPr>
          <w:p>
            <w:pPr>
              <w:pStyle w:val="TableParagraph"/>
              <w:rPr>
                <w:rFonts w:ascii="Times New Roman"/>
                <w:sz w:val="20"/>
              </w:rPr>
            </w:pPr>
          </w:p>
        </w:tc>
        <w:tc>
          <w:tcPr>
            <w:tcW w:w="1728" w:type="dxa"/>
            <w:tcBorders>
              <w:top w:val="nil"/>
            </w:tcBorders>
          </w:tcPr>
          <w:p>
            <w:pPr>
              <w:pStyle w:val="TableParagraph"/>
              <w:rPr>
                <w:rFonts w:ascii="Times New Roman"/>
                <w:sz w:val="20"/>
              </w:rPr>
            </w:pPr>
          </w:p>
        </w:tc>
      </w:tr>
      <w:tr>
        <w:tblPrEx>
          <w:tblW w:w="0" w:type="auto"/>
          <w:jc w:val="left"/>
          <w:tblInd w:w="410" w:type="dxa"/>
          <w:tblLayout w:type="fixed"/>
          <w:tblCellMar>
            <w:top w:w="0" w:type="dxa"/>
            <w:left w:w="0" w:type="dxa"/>
            <w:bottom w:w="0" w:type="dxa"/>
            <w:right w:w="0" w:type="dxa"/>
          </w:tblCellMar>
          <w:tblLook w:val="01E0"/>
        </w:tblPrEx>
        <w:trPr>
          <w:trHeight w:val="410"/>
          <w:jc w:val="left"/>
        </w:trPr>
        <w:tc>
          <w:tcPr>
            <w:tcW w:w="1728" w:type="dxa"/>
          </w:tcPr>
          <w:p>
            <w:pPr>
              <w:pStyle w:val="TableParagraph"/>
              <w:spacing w:before="1"/>
              <w:ind w:left="107"/>
              <w:rPr>
                <w:sz w:val="19"/>
              </w:rPr>
            </w:pPr>
            <w:r>
              <w:rPr>
                <w:sz w:val="19"/>
              </w:rPr>
              <w:t>A, K, U, AD</w:t>
            </w:r>
          </w:p>
        </w:tc>
        <w:tc>
          <w:tcPr>
            <w:tcW w:w="1728" w:type="dxa"/>
          </w:tcPr>
          <w:p>
            <w:pPr>
              <w:pStyle w:val="TableParagraph"/>
              <w:spacing w:before="1"/>
              <w:ind w:left="108"/>
              <w:rPr>
                <w:sz w:val="19"/>
              </w:rPr>
            </w:pPr>
            <w:r>
              <w:rPr>
                <w:w w:val="99"/>
                <w:sz w:val="19"/>
              </w:rPr>
              <w:t>X</w:t>
            </w:r>
          </w:p>
        </w:tc>
        <w:tc>
          <w:tcPr>
            <w:tcW w:w="1730" w:type="dxa"/>
          </w:tcPr>
          <w:p>
            <w:pPr>
              <w:pStyle w:val="TableParagraph"/>
              <w:spacing w:before="1"/>
              <w:ind w:left="107"/>
              <w:rPr>
                <w:sz w:val="19"/>
              </w:rPr>
            </w:pPr>
            <w:r>
              <w:rPr>
                <w:w w:val="99"/>
                <w:sz w:val="19"/>
              </w:rPr>
              <w:t>X</w:t>
            </w:r>
          </w:p>
        </w:tc>
        <w:tc>
          <w:tcPr>
            <w:tcW w:w="1728" w:type="dxa"/>
          </w:tcPr>
          <w:p>
            <w:pPr>
              <w:pStyle w:val="TableParagraph"/>
              <w:spacing w:before="1"/>
              <w:ind w:left="106"/>
              <w:rPr>
                <w:sz w:val="19"/>
              </w:rPr>
            </w:pPr>
            <w:r>
              <w:rPr>
                <w:w w:val="99"/>
                <w:sz w:val="19"/>
              </w:rPr>
              <w:t>X</w:t>
            </w:r>
          </w:p>
        </w:tc>
        <w:tc>
          <w:tcPr>
            <w:tcW w:w="1728" w:type="dxa"/>
          </w:tcPr>
          <w:p>
            <w:pPr>
              <w:pStyle w:val="TableParagraph"/>
              <w:rPr>
                <w:rFonts w:ascii="Times New Roman"/>
                <w:sz w:val="20"/>
              </w:rPr>
            </w:pPr>
          </w:p>
        </w:tc>
      </w:tr>
      <w:tr>
        <w:tblPrEx>
          <w:tblW w:w="0" w:type="auto"/>
          <w:jc w:val="left"/>
          <w:tblInd w:w="410" w:type="dxa"/>
          <w:tblLayout w:type="fixed"/>
          <w:tblCellMar>
            <w:top w:w="0" w:type="dxa"/>
            <w:left w:w="0" w:type="dxa"/>
            <w:bottom w:w="0" w:type="dxa"/>
            <w:right w:w="0" w:type="dxa"/>
          </w:tblCellMar>
          <w:tblLook w:val="01E0"/>
        </w:tblPrEx>
        <w:trPr>
          <w:trHeight w:val="410"/>
          <w:jc w:val="left"/>
        </w:trPr>
        <w:tc>
          <w:tcPr>
            <w:tcW w:w="1728" w:type="dxa"/>
          </w:tcPr>
          <w:p>
            <w:pPr>
              <w:pStyle w:val="TableParagraph"/>
              <w:spacing w:before="3"/>
              <w:ind w:left="107"/>
              <w:rPr>
                <w:sz w:val="19"/>
              </w:rPr>
            </w:pPr>
            <w:r>
              <w:rPr>
                <w:w w:val="99"/>
                <w:sz w:val="19"/>
              </w:rPr>
              <w:t>B</w:t>
            </w:r>
          </w:p>
        </w:tc>
        <w:tc>
          <w:tcPr>
            <w:tcW w:w="1728" w:type="dxa"/>
          </w:tcPr>
          <w:p>
            <w:pPr>
              <w:pStyle w:val="TableParagraph"/>
              <w:rPr>
                <w:rFonts w:ascii="Times New Roman"/>
                <w:sz w:val="20"/>
              </w:rPr>
            </w:pPr>
          </w:p>
        </w:tc>
        <w:tc>
          <w:tcPr>
            <w:tcW w:w="1730" w:type="dxa"/>
          </w:tcPr>
          <w:p>
            <w:pPr>
              <w:pStyle w:val="TableParagraph"/>
              <w:rPr>
                <w:rFonts w:ascii="Times New Roman"/>
                <w:sz w:val="20"/>
              </w:rPr>
            </w:pPr>
          </w:p>
        </w:tc>
        <w:tc>
          <w:tcPr>
            <w:tcW w:w="1728" w:type="dxa"/>
          </w:tcPr>
          <w:p>
            <w:pPr>
              <w:pStyle w:val="TableParagraph"/>
              <w:rPr>
                <w:rFonts w:ascii="Times New Roman"/>
                <w:sz w:val="20"/>
              </w:rPr>
            </w:pPr>
          </w:p>
        </w:tc>
        <w:tc>
          <w:tcPr>
            <w:tcW w:w="1728" w:type="dxa"/>
          </w:tcPr>
          <w:p>
            <w:pPr>
              <w:pStyle w:val="TableParagraph"/>
              <w:spacing w:before="3"/>
              <w:ind w:left="107"/>
              <w:rPr>
                <w:sz w:val="19"/>
              </w:rPr>
            </w:pPr>
            <w:r>
              <w:rPr>
                <w:w w:val="99"/>
                <w:sz w:val="19"/>
              </w:rPr>
              <w:t>X</w:t>
            </w:r>
          </w:p>
        </w:tc>
      </w:tr>
      <w:tr>
        <w:tblPrEx>
          <w:tblW w:w="0" w:type="auto"/>
          <w:jc w:val="left"/>
          <w:tblInd w:w="410" w:type="dxa"/>
          <w:tblLayout w:type="fixed"/>
          <w:tblCellMar>
            <w:top w:w="0" w:type="dxa"/>
            <w:left w:w="0" w:type="dxa"/>
            <w:bottom w:w="0" w:type="dxa"/>
            <w:right w:w="0" w:type="dxa"/>
          </w:tblCellMar>
          <w:tblLook w:val="01E0"/>
        </w:tblPrEx>
        <w:trPr>
          <w:trHeight w:val="412"/>
          <w:jc w:val="left"/>
        </w:trPr>
        <w:tc>
          <w:tcPr>
            <w:tcW w:w="1728" w:type="dxa"/>
          </w:tcPr>
          <w:p>
            <w:pPr>
              <w:pStyle w:val="TableParagraph"/>
              <w:spacing w:before="3"/>
              <w:ind w:left="107"/>
              <w:rPr>
                <w:sz w:val="19"/>
              </w:rPr>
            </w:pPr>
            <w:r>
              <w:rPr>
                <w:sz w:val="19"/>
              </w:rPr>
              <w:t>C, L, V, AE, AM</w:t>
            </w:r>
          </w:p>
        </w:tc>
        <w:tc>
          <w:tcPr>
            <w:tcW w:w="1728" w:type="dxa"/>
          </w:tcPr>
          <w:p>
            <w:pPr>
              <w:pStyle w:val="TableParagraph"/>
              <w:rPr>
                <w:rFonts w:ascii="Times New Roman"/>
                <w:sz w:val="20"/>
              </w:rPr>
            </w:pPr>
          </w:p>
        </w:tc>
        <w:tc>
          <w:tcPr>
            <w:tcW w:w="1730" w:type="dxa"/>
          </w:tcPr>
          <w:p>
            <w:pPr>
              <w:pStyle w:val="TableParagraph"/>
              <w:spacing w:before="3"/>
              <w:ind w:left="108"/>
              <w:rPr>
                <w:sz w:val="19"/>
              </w:rPr>
            </w:pPr>
            <w:r>
              <w:rPr>
                <w:w w:val="99"/>
                <w:sz w:val="19"/>
              </w:rPr>
              <w:t>X</w:t>
            </w:r>
          </w:p>
        </w:tc>
        <w:tc>
          <w:tcPr>
            <w:tcW w:w="1728" w:type="dxa"/>
          </w:tcPr>
          <w:p>
            <w:pPr>
              <w:pStyle w:val="TableParagraph"/>
              <w:spacing w:before="3"/>
              <w:ind w:left="106"/>
              <w:rPr>
                <w:sz w:val="19"/>
              </w:rPr>
            </w:pPr>
            <w:r>
              <w:rPr>
                <w:w w:val="99"/>
                <w:sz w:val="19"/>
              </w:rPr>
              <w:t>X</w:t>
            </w:r>
          </w:p>
        </w:tc>
        <w:tc>
          <w:tcPr>
            <w:tcW w:w="1728" w:type="dxa"/>
          </w:tcPr>
          <w:p>
            <w:pPr>
              <w:pStyle w:val="TableParagraph"/>
              <w:rPr>
                <w:rFonts w:ascii="Times New Roman"/>
                <w:sz w:val="20"/>
              </w:rPr>
            </w:pPr>
          </w:p>
        </w:tc>
      </w:tr>
      <w:tr>
        <w:tblPrEx>
          <w:tblW w:w="0" w:type="auto"/>
          <w:jc w:val="left"/>
          <w:tblInd w:w="410" w:type="dxa"/>
          <w:tblLayout w:type="fixed"/>
          <w:tblCellMar>
            <w:top w:w="0" w:type="dxa"/>
            <w:left w:w="0" w:type="dxa"/>
            <w:bottom w:w="0" w:type="dxa"/>
            <w:right w:w="0" w:type="dxa"/>
          </w:tblCellMar>
          <w:tblLook w:val="01E0"/>
        </w:tblPrEx>
        <w:trPr>
          <w:trHeight w:val="410"/>
          <w:jc w:val="left"/>
        </w:trPr>
        <w:tc>
          <w:tcPr>
            <w:tcW w:w="1728" w:type="dxa"/>
          </w:tcPr>
          <w:p>
            <w:pPr>
              <w:pStyle w:val="TableParagraph"/>
              <w:spacing w:before="1"/>
              <w:ind w:left="107"/>
              <w:rPr>
                <w:sz w:val="19"/>
              </w:rPr>
            </w:pPr>
            <w:r>
              <w:rPr>
                <w:sz w:val="19"/>
              </w:rPr>
              <w:t>D, W</w:t>
            </w:r>
          </w:p>
        </w:tc>
        <w:tc>
          <w:tcPr>
            <w:tcW w:w="1728" w:type="dxa"/>
          </w:tcPr>
          <w:p>
            <w:pPr>
              <w:pStyle w:val="TableParagraph"/>
              <w:rPr>
                <w:rFonts w:ascii="Times New Roman"/>
                <w:sz w:val="20"/>
              </w:rPr>
            </w:pPr>
          </w:p>
        </w:tc>
        <w:tc>
          <w:tcPr>
            <w:tcW w:w="1730" w:type="dxa"/>
          </w:tcPr>
          <w:p>
            <w:pPr>
              <w:pStyle w:val="TableParagraph"/>
              <w:rPr>
                <w:rFonts w:ascii="Times New Roman"/>
                <w:sz w:val="20"/>
              </w:rPr>
            </w:pPr>
          </w:p>
        </w:tc>
        <w:tc>
          <w:tcPr>
            <w:tcW w:w="1728" w:type="dxa"/>
          </w:tcPr>
          <w:p>
            <w:pPr>
              <w:pStyle w:val="TableParagraph"/>
              <w:rPr>
                <w:rFonts w:ascii="Times New Roman"/>
                <w:sz w:val="20"/>
              </w:rPr>
            </w:pPr>
          </w:p>
        </w:tc>
        <w:tc>
          <w:tcPr>
            <w:tcW w:w="1728" w:type="dxa"/>
          </w:tcPr>
          <w:p>
            <w:pPr>
              <w:pStyle w:val="TableParagraph"/>
              <w:spacing w:before="1"/>
              <w:ind w:left="108"/>
              <w:rPr>
                <w:sz w:val="19"/>
              </w:rPr>
            </w:pPr>
            <w:r>
              <w:rPr>
                <w:w w:val="99"/>
                <w:sz w:val="19"/>
              </w:rPr>
              <w:t>X</w:t>
            </w:r>
          </w:p>
        </w:tc>
      </w:tr>
      <w:tr>
        <w:tblPrEx>
          <w:tblW w:w="0" w:type="auto"/>
          <w:jc w:val="left"/>
          <w:tblInd w:w="410" w:type="dxa"/>
          <w:tblLayout w:type="fixed"/>
          <w:tblCellMar>
            <w:top w:w="0" w:type="dxa"/>
            <w:left w:w="0" w:type="dxa"/>
            <w:bottom w:w="0" w:type="dxa"/>
            <w:right w:w="0" w:type="dxa"/>
          </w:tblCellMar>
          <w:tblLook w:val="01E0"/>
        </w:tblPrEx>
        <w:trPr>
          <w:trHeight w:val="410"/>
          <w:jc w:val="left"/>
        </w:trPr>
        <w:tc>
          <w:tcPr>
            <w:tcW w:w="1728" w:type="dxa"/>
          </w:tcPr>
          <w:p>
            <w:pPr>
              <w:pStyle w:val="TableParagraph"/>
              <w:spacing w:before="1"/>
              <w:ind w:left="107"/>
              <w:rPr>
                <w:sz w:val="19"/>
              </w:rPr>
            </w:pPr>
            <w:r>
              <w:rPr>
                <w:sz w:val="19"/>
              </w:rPr>
              <w:t>E, M</w:t>
            </w:r>
          </w:p>
        </w:tc>
        <w:tc>
          <w:tcPr>
            <w:tcW w:w="1728" w:type="dxa"/>
          </w:tcPr>
          <w:p>
            <w:pPr>
              <w:pStyle w:val="TableParagraph"/>
              <w:rPr>
                <w:rFonts w:ascii="Times New Roman"/>
                <w:sz w:val="20"/>
              </w:rPr>
            </w:pPr>
          </w:p>
        </w:tc>
        <w:tc>
          <w:tcPr>
            <w:tcW w:w="1730" w:type="dxa"/>
          </w:tcPr>
          <w:p>
            <w:pPr>
              <w:pStyle w:val="TableParagraph"/>
              <w:rPr>
                <w:rFonts w:ascii="Times New Roman"/>
                <w:sz w:val="20"/>
              </w:rPr>
            </w:pPr>
          </w:p>
        </w:tc>
        <w:tc>
          <w:tcPr>
            <w:tcW w:w="1728" w:type="dxa"/>
          </w:tcPr>
          <w:p>
            <w:pPr>
              <w:pStyle w:val="TableParagraph"/>
              <w:spacing w:before="1"/>
              <w:ind w:left="105"/>
              <w:rPr>
                <w:sz w:val="19"/>
              </w:rPr>
            </w:pPr>
            <w:r>
              <w:rPr>
                <w:w w:val="99"/>
                <w:sz w:val="19"/>
              </w:rPr>
              <w:t>X</w:t>
            </w:r>
          </w:p>
        </w:tc>
        <w:tc>
          <w:tcPr>
            <w:tcW w:w="1728" w:type="dxa"/>
          </w:tcPr>
          <w:p>
            <w:pPr>
              <w:pStyle w:val="TableParagraph"/>
              <w:spacing w:before="1"/>
              <w:ind w:left="108"/>
              <w:rPr>
                <w:sz w:val="19"/>
              </w:rPr>
            </w:pPr>
            <w:r>
              <w:rPr>
                <w:w w:val="99"/>
                <w:sz w:val="19"/>
              </w:rPr>
              <w:t>X</w:t>
            </w:r>
          </w:p>
        </w:tc>
      </w:tr>
      <w:tr>
        <w:tblPrEx>
          <w:tblW w:w="0" w:type="auto"/>
          <w:jc w:val="left"/>
          <w:tblInd w:w="410" w:type="dxa"/>
          <w:tblLayout w:type="fixed"/>
          <w:tblCellMar>
            <w:top w:w="0" w:type="dxa"/>
            <w:left w:w="0" w:type="dxa"/>
            <w:bottom w:w="0" w:type="dxa"/>
            <w:right w:w="0" w:type="dxa"/>
          </w:tblCellMar>
          <w:tblLook w:val="01E0"/>
        </w:tblPrEx>
        <w:trPr>
          <w:trHeight w:val="410"/>
          <w:jc w:val="left"/>
        </w:trPr>
        <w:tc>
          <w:tcPr>
            <w:tcW w:w="1728" w:type="dxa"/>
          </w:tcPr>
          <w:p>
            <w:pPr>
              <w:pStyle w:val="TableParagraph"/>
              <w:spacing w:before="1"/>
              <w:ind w:left="107"/>
              <w:rPr>
                <w:sz w:val="19"/>
              </w:rPr>
            </w:pPr>
            <w:r>
              <w:rPr>
                <w:sz w:val="19"/>
              </w:rPr>
              <w:t>F, N, X, AF</w:t>
            </w:r>
          </w:p>
        </w:tc>
        <w:tc>
          <w:tcPr>
            <w:tcW w:w="1728" w:type="dxa"/>
          </w:tcPr>
          <w:p>
            <w:pPr>
              <w:pStyle w:val="TableParagraph"/>
              <w:rPr>
                <w:rFonts w:ascii="Times New Roman"/>
                <w:sz w:val="20"/>
              </w:rPr>
            </w:pPr>
          </w:p>
        </w:tc>
        <w:tc>
          <w:tcPr>
            <w:tcW w:w="1730" w:type="dxa"/>
          </w:tcPr>
          <w:p>
            <w:pPr>
              <w:pStyle w:val="TableParagraph"/>
              <w:rPr>
                <w:rFonts w:ascii="Times New Roman"/>
                <w:sz w:val="20"/>
              </w:rPr>
            </w:pPr>
          </w:p>
        </w:tc>
        <w:tc>
          <w:tcPr>
            <w:tcW w:w="1728" w:type="dxa"/>
          </w:tcPr>
          <w:p>
            <w:pPr>
              <w:pStyle w:val="TableParagraph"/>
              <w:spacing w:before="1"/>
              <w:ind w:left="105"/>
              <w:rPr>
                <w:sz w:val="19"/>
              </w:rPr>
            </w:pPr>
            <w:r>
              <w:rPr>
                <w:w w:val="99"/>
                <w:sz w:val="19"/>
              </w:rPr>
              <w:t>X</w:t>
            </w:r>
          </w:p>
        </w:tc>
        <w:tc>
          <w:tcPr>
            <w:tcW w:w="1728" w:type="dxa"/>
          </w:tcPr>
          <w:p>
            <w:pPr>
              <w:pStyle w:val="TableParagraph"/>
              <w:spacing w:before="1"/>
              <w:ind w:left="108"/>
              <w:rPr>
                <w:sz w:val="19"/>
              </w:rPr>
            </w:pPr>
            <w:r>
              <w:rPr>
                <w:w w:val="99"/>
                <w:sz w:val="19"/>
              </w:rPr>
              <w:t>X</w:t>
            </w:r>
          </w:p>
        </w:tc>
      </w:tr>
      <w:tr>
        <w:tblPrEx>
          <w:tblW w:w="0" w:type="auto"/>
          <w:jc w:val="left"/>
          <w:tblInd w:w="410" w:type="dxa"/>
          <w:tblLayout w:type="fixed"/>
          <w:tblCellMar>
            <w:top w:w="0" w:type="dxa"/>
            <w:left w:w="0" w:type="dxa"/>
            <w:bottom w:w="0" w:type="dxa"/>
            <w:right w:w="0" w:type="dxa"/>
          </w:tblCellMar>
          <w:tblLook w:val="01E0"/>
        </w:tblPrEx>
        <w:trPr>
          <w:trHeight w:val="414"/>
          <w:jc w:val="left"/>
        </w:trPr>
        <w:tc>
          <w:tcPr>
            <w:tcW w:w="1728" w:type="dxa"/>
          </w:tcPr>
          <w:p>
            <w:pPr>
              <w:pStyle w:val="TableParagraph"/>
              <w:spacing w:before="1"/>
              <w:ind w:left="107"/>
              <w:rPr>
                <w:sz w:val="19"/>
              </w:rPr>
            </w:pPr>
            <w:r>
              <w:rPr>
                <w:sz w:val="19"/>
              </w:rPr>
              <w:t>G, O, Y, AG, AL</w:t>
            </w:r>
          </w:p>
        </w:tc>
        <w:tc>
          <w:tcPr>
            <w:tcW w:w="1728" w:type="dxa"/>
          </w:tcPr>
          <w:p>
            <w:pPr>
              <w:pStyle w:val="TableParagraph"/>
              <w:rPr>
                <w:rFonts w:ascii="Times New Roman"/>
                <w:sz w:val="20"/>
              </w:rPr>
            </w:pPr>
          </w:p>
        </w:tc>
        <w:tc>
          <w:tcPr>
            <w:tcW w:w="1730" w:type="dxa"/>
          </w:tcPr>
          <w:p>
            <w:pPr>
              <w:pStyle w:val="TableParagraph"/>
              <w:rPr>
                <w:rFonts w:ascii="Times New Roman"/>
                <w:sz w:val="20"/>
              </w:rPr>
            </w:pPr>
          </w:p>
        </w:tc>
        <w:tc>
          <w:tcPr>
            <w:tcW w:w="1728" w:type="dxa"/>
          </w:tcPr>
          <w:p>
            <w:pPr>
              <w:pStyle w:val="TableParagraph"/>
              <w:rPr>
                <w:rFonts w:ascii="Times New Roman"/>
                <w:sz w:val="20"/>
              </w:rPr>
            </w:pPr>
          </w:p>
        </w:tc>
        <w:tc>
          <w:tcPr>
            <w:tcW w:w="1728" w:type="dxa"/>
          </w:tcPr>
          <w:p>
            <w:pPr>
              <w:pStyle w:val="TableParagraph"/>
              <w:spacing w:before="1"/>
              <w:ind w:left="108"/>
              <w:rPr>
                <w:sz w:val="19"/>
              </w:rPr>
            </w:pPr>
            <w:r>
              <w:rPr>
                <w:w w:val="99"/>
                <w:sz w:val="19"/>
              </w:rPr>
              <w:t>X</w:t>
            </w:r>
          </w:p>
        </w:tc>
      </w:tr>
      <w:tr>
        <w:tblPrEx>
          <w:tblW w:w="0" w:type="auto"/>
          <w:jc w:val="left"/>
          <w:tblInd w:w="410" w:type="dxa"/>
          <w:tblLayout w:type="fixed"/>
          <w:tblCellMar>
            <w:top w:w="0" w:type="dxa"/>
            <w:left w:w="0" w:type="dxa"/>
            <w:bottom w:w="0" w:type="dxa"/>
            <w:right w:w="0" w:type="dxa"/>
          </w:tblCellMar>
          <w:tblLook w:val="01E0"/>
        </w:tblPrEx>
        <w:trPr>
          <w:trHeight w:val="410"/>
          <w:jc w:val="left"/>
        </w:trPr>
        <w:tc>
          <w:tcPr>
            <w:tcW w:w="1728" w:type="dxa"/>
          </w:tcPr>
          <w:p>
            <w:pPr>
              <w:pStyle w:val="TableParagraph"/>
              <w:spacing w:before="1"/>
              <w:ind w:left="107"/>
              <w:rPr>
                <w:sz w:val="19"/>
              </w:rPr>
            </w:pPr>
            <w:r>
              <w:rPr>
                <w:sz w:val="19"/>
              </w:rPr>
              <w:t>H, P, Z, AH</w:t>
            </w:r>
          </w:p>
        </w:tc>
        <w:tc>
          <w:tcPr>
            <w:tcW w:w="1728" w:type="dxa"/>
          </w:tcPr>
          <w:p>
            <w:pPr>
              <w:pStyle w:val="TableParagraph"/>
              <w:spacing w:before="1"/>
              <w:ind w:left="108"/>
              <w:rPr>
                <w:sz w:val="19"/>
              </w:rPr>
            </w:pPr>
            <w:r>
              <w:rPr>
                <w:w w:val="99"/>
                <w:sz w:val="19"/>
              </w:rPr>
              <w:t>X</w:t>
            </w:r>
          </w:p>
        </w:tc>
        <w:tc>
          <w:tcPr>
            <w:tcW w:w="1730" w:type="dxa"/>
          </w:tcPr>
          <w:p>
            <w:pPr>
              <w:pStyle w:val="TableParagraph"/>
              <w:spacing w:before="1"/>
              <w:ind w:left="107"/>
              <w:rPr>
                <w:sz w:val="19"/>
              </w:rPr>
            </w:pPr>
            <w:r>
              <w:rPr>
                <w:w w:val="99"/>
                <w:sz w:val="19"/>
              </w:rPr>
              <w:t>X</w:t>
            </w:r>
          </w:p>
        </w:tc>
        <w:tc>
          <w:tcPr>
            <w:tcW w:w="1728" w:type="dxa"/>
          </w:tcPr>
          <w:p>
            <w:pPr>
              <w:pStyle w:val="TableParagraph"/>
              <w:spacing w:before="1"/>
              <w:ind w:left="106"/>
              <w:rPr>
                <w:sz w:val="19"/>
              </w:rPr>
            </w:pPr>
            <w:r>
              <w:rPr>
                <w:w w:val="99"/>
                <w:sz w:val="19"/>
              </w:rPr>
              <w:t>X</w:t>
            </w:r>
          </w:p>
        </w:tc>
        <w:tc>
          <w:tcPr>
            <w:tcW w:w="1728" w:type="dxa"/>
          </w:tcPr>
          <w:p>
            <w:pPr>
              <w:pStyle w:val="TableParagraph"/>
              <w:rPr>
                <w:rFonts w:ascii="Times New Roman"/>
                <w:sz w:val="20"/>
              </w:rPr>
            </w:pPr>
          </w:p>
        </w:tc>
      </w:tr>
      <w:tr>
        <w:tblPrEx>
          <w:tblW w:w="0" w:type="auto"/>
          <w:jc w:val="left"/>
          <w:tblInd w:w="410" w:type="dxa"/>
          <w:tblLayout w:type="fixed"/>
          <w:tblCellMar>
            <w:top w:w="0" w:type="dxa"/>
            <w:left w:w="0" w:type="dxa"/>
            <w:bottom w:w="0" w:type="dxa"/>
            <w:right w:w="0" w:type="dxa"/>
          </w:tblCellMar>
          <w:tblLook w:val="01E0"/>
        </w:tblPrEx>
        <w:trPr>
          <w:trHeight w:val="410"/>
          <w:jc w:val="left"/>
        </w:trPr>
        <w:tc>
          <w:tcPr>
            <w:tcW w:w="1728" w:type="dxa"/>
          </w:tcPr>
          <w:p>
            <w:pPr>
              <w:pStyle w:val="TableParagraph"/>
              <w:spacing w:before="1"/>
              <w:ind w:left="107"/>
              <w:rPr>
                <w:sz w:val="19"/>
              </w:rPr>
            </w:pPr>
            <w:r>
              <w:rPr>
                <w:sz w:val="19"/>
              </w:rPr>
              <w:t>I, Q, AA, AI</w:t>
            </w:r>
          </w:p>
        </w:tc>
        <w:tc>
          <w:tcPr>
            <w:tcW w:w="1728" w:type="dxa"/>
          </w:tcPr>
          <w:p>
            <w:pPr>
              <w:pStyle w:val="TableParagraph"/>
              <w:spacing w:before="1"/>
              <w:ind w:left="108"/>
              <w:rPr>
                <w:sz w:val="19"/>
              </w:rPr>
            </w:pPr>
            <w:r>
              <w:rPr>
                <w:w w:val="99"/>
                <w:sz w:val="19"/>
              </w:rPr>
              <w:t>X</w:t>
            </w:r>
          </w:p>
        </w:tc>
        <w:tc>
          <w:tcPr>
            <w:tcW w:w="1730" w:type="dxa"/>
          </w:tcPr>
          <w:p>
            <w:pPr>
              <w:pStyle w:val="TableParagraph"/>
              <w:spacing w:before="1"/>
              <w:ind w:left="107"/>
              <w:rPr>
                <w:sz w:val="19"/>
              </w:rPr>
            </w:pPr>
            <w:r>
              <w:rPr>
                <w:w w:val="99"/>
                <w:sz w:val="19"/>
              </w:rPr>
              <w:t>X</w:t>
            </w:r>
          </w:p>
        </w:tc>
        <w:tc>
          <w:tcPr>
            <w:tcW w:w="1728" w:type="dxa"/>
          </w:tcPr>
          <w:p>
            <w:pPr>
              <w:pStyle w:val="TableParagraph"/>
              <w:spacing w:before="1"/>
              <w:ind w:left="106"/>
              <w:rPr>
                <w:sz w:val="19"/>
              </w:rPr>
            </w:pPr>
            <w:r>
              <w:rPr>
                <w:w w:val="99"/>
                <w:sz w:val="19"/>
              </w:rPr>
              <w:t>X</w:t>
            </w:r>
          </w:p>
        </w:tc>
        <w:tc>
          <w:tcPr>
            <w:tcW w:w="1728" w:type="dxa"/>
          </w:tcPr>
          <w:p>
            <w:pPr>
              <w:pStyle w:val="TableParagraph"/>
              <w:spacing w:before="1"/>
              <w:ind w:left="107"/>
              <w:rPr>
                <w:sz w:val="19"/>
              </w:rPr>
            </w:pPr>
            <w:r>
              <w:rPr>
                <w:w w:val="99"/>
                <w:sz w:val="19"/>
              </w:rPr>
              <w:t>X</w:t>
            </w:r>
          </w:p>
        </w:tc>
      </w:tr>
      <w:tr>
        <w:tblPrEx>
          <w:tblW w:w="0" w:type="auto"/>
          <w:jc w:val="left"/>
          <w:tblInd w:w="410" w:type="dxa"/>
          <w:tblLayout w:type="fixed"/>
          <w:tblCellMar>
            <w:top w:w="0" w:type="dxa"/>
            <w:left w:w="0" w:type="dxa"/>
            <w:bottom w:w="0" w:type="dxa"/>
            <w:right w:w="0" w:type="dxa"/>
          </w:tblCellMar>
          <w:tblLook w:val="01E0"/>
        </w:tblPrEx>
        <w:trPr>
          <w:trHeight w:val="410"/>
          <w:jc w:val="left"/>
        </w:trPr>
        <w:tc>
          <w:tcPr>
            <w:tcW w:w="1728" w:type="dxa"/>
          </w:tcPr>
          <w:p>
            <w:pPr>
              <w:pStyle w:val="TableParagraph"/>
              <w:spacing w:before="1"/>
              <w:ind w:left="107"/>
              <w:rPr>
                <w:sz w:val="19"/>
              </w:rPr>
            </w:pPr>
            <w:r>
              <w:rPr>
                <w:sz w:val="19"/>
              </w:rPr>
              <w:t>J, R, AB, AJ</w:t>
            </w:r>
          </w:p>
        </w:tc>
        <w:tc>
          <w:tcPr>
            <w:tcW w:w="1728" w:type="dxa"/>
          </w:tcPr>
          <w:p>
            <w:pPr>
              <w:pStyle w:val="TableParagraph"/>
              <w:spacing w:before="1"/>
              <w:ind w:left="107"/>
              <w:rPr>
                <w:sz w:val="19"/>
              </w:rPr>
            </w:pPr>
            <w:r>
              <w:rPr>
                <w:w w:val="99"/>
                <w:sz w:val="19"/>
              </w:rPr>
              <w:t>X</w:t>
            </w:r>
          </w:p>
        </w:tc>
        <w:tc>
          <w:tcPr>
            <w:tcW w:w="1730" w:type="dxa"/>
          </w:tcPr>
          <w:p>
            <w:pPr>
              <w:pStyle w:val="TableParagraph"/>
              <w:spacing w:before="1"/>
              <w:ind w:left="107"/>
              <w:rPr>
                <w:sz w:val="19"/>
              </w:rPr>
            </w:pPr>
            <w:r>
              <w:rPr>
                <w:w w:val="99"/>
                <w:sz w:val="19"/>
              </w:rPr>
              <w:t>X</w:t>
            </w:r>
          </w:p>
        </w:tc>
        <w:tc>
          <w:tcPr>
            <w:tcW w:w="1728" w:type="dxa"/>
          </w:tcPr>
          <w:p>
            <w:pPr>
              <w:pStyle w:val="TableParagraph"/>
              <w:spacing w:before="1"/>
              <w:ind w:left="106"/>
              <w:rPr>
                <w:sz w:val="19"/>
              </w:rPr>
            </w:pPr>
            <w:r>
              <w:rPr>
                <w:w w:val="99"/>
                <w:sz w:val="19"/>
              </w:rPr>
              <w:t>X</w:t>
            </w:r>
          </w:p>
        </w:tc>
        <w:tc>
          <w:tcPr>
            <w:tcW w:w="1728" w:type="dxa"/>
          </w:tcPr>
          <w:p>
            <w:pPr>
              <w:pStyle w:val="TableParagraph"/>
              <w:spacing w:before="1"/>
              <w:ind w:left="109"/>
              <w:rPr>
                <w:sz w:val="19"/>
              </w:rPr>
            </w:pPr>
            <w:r>
              <w:rPr>
                <w:w w:val="99"/>
                <w:sz w:val="19"/>
              </w:rPr>
              <w:t>X</w:t>
            </w:r>
          </w:p>
        </w:tc>
      </w:tr>
      <w:tr>
        <w:tblPrEx>
          <w:tblW w:w="0" w:type="auto"/>
          <w:jc w:val="left"/>
          <w:tblInd w:w="410" w:type="dxa"/>
          <w:tblLayout w:type="fixed"/>
          <w:tblCellMar>
            <w:top w:w="0" w:type="dxa"/>
            <w:left w:w="0" w:type="dxa"/>
            <w:bottom w:w="0" w:type="dxa"/>
            <w:right w:w="0" w:type="dxa"/>
          </w:tblCellMar>
          <w:tblLook w:val="01E0"/>
        </w:tblPrEx>
        <w:trPr>
          <w:trHeight w:val="410"/>
          <w:jc w:val="left"/>
        </w:trPr>
        <w:tc>
          <w:tcPr>
            <w:tcW w:w="1728" w:type="dxa"/>
          </w:tcPr>
          <w:p>
            <w:pPr>
              <w:pStyle w:val="TableParagraph"/>
              <w:spacing w:before="1"/>
              <w:ind w:left="107"/>
              <w:rPr>
                <w:sz w:val="19"/>
              </w:rPr>
            </w:pPr>
            <w:r>
              <w:rPr>
                <w:sz w:val="19"/>
              </w:rPr>
              <w:t>S, T, AK</w:t>
            </w:r>
          </w:p>
        </w:tc>
        <w:tc>
          <w:tcPr>
            <w:tcW w:w="1728" w:type="dxa"/>
          </w:tcPr>
          <w:p>
            <w:pPr>
              <w:pStyle w:val="TableParagraph"/>
              <w:rPr>
                <w:rFonts w:ascii="Times New Roman"/>
                <w:sz w:val="20"/>
              </w:rPr>
            </w:pPr>
          </w:p>
        </w:tc>
        <w:tc>
          <w:tcPr>
            <w:tcW w:w="1730" w:type="dxa"/>
          </w:tcPr>
          <w:p>
            <w:pPr>
              <w:pStyle w:val="TableParagraph"/>
              <w:rPr>
                <w:rFonts w:ascii="Times New Roman"/>
                <w:sz w:val="20"/>
              </w:rPr>
            </w:pPr>
          </w:p>
        </w:tc>
        <w:tc>
          <w:tcPr>
            <w:tcW w:w="1728" w:type="dxa"/>
          </w:tcPr>
          <w:p>
            <w:pPr>
              <w:pStyle w:val="TableParagraph"/>
              <w:rPr>
                <w:rFonts w:ascii="Times New Roman"/>
                <w:sz w:val="20"/>
              </w:rPr>
            </w:pPr>
          </w:p>
        </w:tc>
        <w:tc>
          <w:tcPr>
            <w:tcW w:w="1728" w:type="dxa"/>
          </w:tcPr>
          <w:p>
            <w:pPr>
              <w:pStyle w:val="TableParagraph"/>
              <w:spacing w:before="1"/>
              <w:ind w:left="108"/>
              <w:rPr>
                <w:sz w:val="19"/>
              </w:rPr>
            </w:pPr>
            <w:r>
              <w:rPr>
                <w:w w:val="99"/>
                <w:sz w:val="19"/>
              </w:rPr>
              <w:t>X</w:t>
            </w:r>
          </w:p>
        </w:tc>
      </w:tr>
      <w:tr>
        <w:tblPrEx>
          <w:tblW w:w="0" w:type="auto"/>
          <w:jc w:val="left"/>
          <w:tblInd w:w="410" w:type="dxa"/>
          <w:tblLayout w:type="fixed"/>
          <w:tblCellMar>
            <w:top w:w="0" w:type="dxa"/>
            <w:left w:w="0" w:type="dxa"/>
            <w:bottom w:w="0" w:type="dxa"/>
            <w:right w:w="0" w:type="dxa"/>
          </w:tblCellMar>
          <w:tblLook w:val="01E0"/>
        </w:tblPrEx>
        <w:trPr>
          <w:trHeight w:val="410"/>
          <w:jc w:val="left"/>
        </w:trPr>
        <w:tc>
          <w:tcPr>
            <w:tcW w:w="1728" w:type="dxa"/>
          </w:tcPr>
          <w:p>
            <w:pPr>
              <w:pStyle w:val="TableParagraph"/>
              <w:spacing w:before="1"/>
              <w:ind w:left="107"/>
              <w:rPr>
                <w:sz w:val="19"/>
              </w:rPr>
            </w:pPr>
            <w:r>
              <w:rPr>
                <w:sz w:val="19"/>
              </w:rPr>
              <w:t>AC</w:t>
            </w:r>
          </w:p>
        </w:tc>
        <w:tc>
          <w:tcPr>
            <w:tcW w:w="1728" w:type="dxa"/>
          </w:tcPr>
          <w:p>
            <w:pPr>
              <w:pStyle w:val="TableParagraph"/>
              <w:rPr>
                <w:rFonts w:ascii="Times New Roman"/>
                <w:sz w:val="20"/>
              </w:rPr>
            </w:pPr>
          </w:p>
        </w:tc>
        <w:tc>
          <w:tcPr>
            <w:tcW w:w="1730" w:type="dxa"/>
          </w:tcPr>
          <w:p>
            <w:pPr>
              <w:pStyle w:val="TableParagraph"/>
              <w:rPr>
                <w:rFonts w:ascii="Times New Roman"/>
                <w:sz w:val="20"/>
              </w:rPr>
            </w:pPr>
          </w:p>
        </w:tc>
        <w:tc>
          <w:tcPr>
            <w:tcW w:w="1728" w:type="dxa"/>
          </w:tcPr>
          <w:p>
            <w:pPr>
              <w:pStyle w:val="TableParagraph"/>
              <w:rPr>
                <w:rFonts w:ascii="Times New Roman"/>
                <w:sz w:val="20"/>
              </w:rPr>
            </w:pPr>
          </w:p>
        </w:tc>
        <w:tc>
          <w:tcPr>
            <w:tcW w:w="1728" w:type="dxa"/>
          </w:tcPr>
          <w:p>
            <w:pPr>
              <w:pStyle w:val="TableParagraph"/>
              <w:spacing w:before="1"/>
              <w:ind w:left="108"/>
              <w:rPr>
                <w:sz w:val="19"/>
              </w:rPr>
            </w:pPr>
            <w:r>
              <w:rPr>
                <w:w w:val="99"/>
                <w:sz w:val="19"/>
              </w:rPr>
              <w:t>X</w:t>
            </w:r>
          </w:p>
        </w:tc>
      </w:tr>
    </w:tbl>
    <w:p>
      <w:pPr>
        <w:pStyle w:val="BodyText"/>
      </w:pPr>
    </w:p>
    <w:p>
      <w:pPr>
        <w:pStyle w:val="BodyText"/>
        <w:spacing w:before="141"/>
        <w:ind w:left="400"/>
      </w:pPr>
      <w:r>
        <w:t>For 2021-22, these new priorities will be included in the Outcome Delivery Plan for the Department.</w:t>
      </w:r>
    </w:p>
    <w:p>
      <w:pPr>
        <w:pStyle w:val="BodyText"/>
      </w:pPr>
    </w:p>
    <w:p>
      <w:pPr>
        <w:pStyle w:val="BodyText"/>
        <w:spacing w:before="11"/>
        <w:rPr>
          <w:sz w:val="29"/>
        </w:rPr>
      </w:pPr>
    </w:p>
    <w:p>
      <w:pPr>
        <w:pStyle w:val="Heading2"/>
        <w:numPr>
          <w:ilvl w:val="1"/>
          <w:numId w:val="1"/>
        </w:numPr>
        <w:tabs>
          <w:tab w:val="left" w:pos="1120"/>
          <w:tab w:val="left" w:pos="1121"/>
        </w:tabs>
        <w:spacing w:before="1" w:after="0" w:line="240" w:lineRule="auto"/>
        <w:ind w:left="1120" w:right="0" w:hanging="721"/>
        <w:jc w:val="left"/>
        <w:rPr>
          <w:b w:val="0"/>
        </w:rPr>
      </w:pPr>
      <w:r>
        <w:rPr>
          <w:b w:val="0"/>
          <w:color w:val="2F5495"/>
        </w:rPr>
        <w:t>Measures of performance against each</w:t>
      </w:r>
      <w:r>
        <w:rPr>
          <w:b w:val="0"/>
          <w:color w:val="2F5495"/>
          <w:spacing w:val="-8"/>
        </w:rPr>
        <w:t xml:space="preserve"> </w:t>
      </w:r>
      <w:r>
        <w:rPr>
          <w:b w:val="0"/>
          <w:color w:val="2F5495"/>
        </w:rPr>
        <w:t>priority</w:t>
      </w:r>
    </w:p>
    <w:p>
      <w:pPr>
        <w:pStyle w:val="BodyText"/>
        <w:spacing w:before="25" w:line="259" w:lineRule="auto"/>
        <w:ind w:left="400" w:right="1895"/>
      </w:pPr>
      <w:r>
        <w:t xml:space="preserve">BEIS’s Single Departmental Plan (see </w:t>
      </w:r>
      <w:r>
        <w:rPr>
          <w:color w:val="0000FF"/>
          <w:spacing w:val="-117"/>
          <w:u w:val="single" w:color="0000FF"/>
        </w:rPr>
        <w:t>h</w:t>
      </w:r>
      <w:r>
        <w:rPr>
          <w:color w:val="0000FF"/>
          <w:spacing w:val="67"/>
        </w:rPr>
        <w:t xml:space="preserve"> </w:t>
      </w:r>
      <w:r>
        <w:rPr>
          <w:color w:val="0000FF"/>
          <w:u w:val="single" w:color="0000FF"/>
        </w:rPr>
        <w:t>ere</w:t>
      </w:r>
      <w:r>
        <w:t>) set out the high-level objectives, and measures of performance, for the department.</w:t>
      </w:r>
    </w:p>
    <w:p>
      <w:pPr>
        <w:pStyle w:val="BodyText"/>
        <w:spacing w:before="159"/>
        <w:ind w:left="400"/>
      </w:pPr>
      <w:r>
        <w:t xml:space="preserve">The latest update to these performance measures is </w:t>
      </w:r>
      <w:r>
        <w:rPr>
          <w:color w:val="0000FF"/>
          <w:spacing w:val="-117"/>
          <w:u w:val="single" w:color="0000FF"/>
        </w:rPr>
        <w:t>h</w:t>
      </w:r>
      <w:r>
        <w:rPr>
          <w:color w:val="0000FF"/>
          <w:spacing w:val="66"/>
        </w:rPr>
        <w:t xml:space="preserve"> </w:t>
      </w:r>
      <w:r>
        <w:rPr>
          <w:color w:val="0000FF"/>
          <w:u w:val="single" w:color="0000FF"/>
        </w:rPr>
        <w:t>ere</w:t>
      </w:r>
      <w:r>
        <w:t>.</w:t>
      </w:r>
    </w:p>
    <w:p>
      <w:pPr>
        <w:spacing w:after="0"/>
        <w:sectPr>
          <w:pgSz w:w="11910" w:h="16840"/>
          <w:pgMar w:top="1400" w:right="280" w:bottom="280" w:left="1040" w:header="720" w:footer="720"/>
          <w:cols w:space="720"/>
        </w:sectPr>
      </w:pPr>
    </w:p>
    <w:p>
      <w:pPr>
        <w:pStyle w:val="Heading2"/>
        <w:numPr>
          <w:ilvl w:val="1"/>
          <w:numId w:val="1"/>
        </w:numPr>
        <w:tabs>
          <w:tab w:val="left" w:pos="1120"/>
          <w:tab w:val="left" w:pos="1121"/>
        </w:tabs>
        <w:spacing w:before="23" w:after="0" w:line="240" w:lineRule="auto"/>
        <w:ind w:left="1120" w:right="0" w:hanging="721"/>
        <w:jc w:val="left"/>
        <w:rPr>
          <w:b w:val="0"/>
        </w:rPr>
      </w:pPr>
      <w:r>
        <w:rPr>
          <w:b w:val="0"/>
          <w:color w:val="2F5495"/>
        </w:rPr>
        <w:t>Major</w:t>
      </w:r>
      <w:r>
        <w:rPr>
          <w:b w:val="0"/>
          <w:color w:val="2F5495"/>
          <w:spacing w:val="-2"/>
        </w:rPr>
        <w:t xml:space="preserve"> </w:t>
      </w:r>
      <w:r>
        <w:rPr>
          <w:b w:val="0"/>
          <w:color w:val="2F5495"/>
        </w:rPr>
        <w:t>projects</w:t>
      </w:r>
    </w:p>
    <w:p>
      <w:pPr>
        <w:pStyle w:val="BodyText"/>
        <w:spacing w:before="25" w:line="259" w:lineRule="auto"/>
        <w:ind w:left="400" w:right="1693"/>
      </w:pPr>
      <w:r>
        <w:t>The Department is responsible for eight major projects, three are nuclear energy or decommissioning projects, and most of the remaining portfolio relates to energy networks and systems:</w:t>
      </w:r>
    </w:p>
    <w:p>
      <w:pPr>
        <w:pStyle w:val="ListParagraph"/>
        <w:numPr>
          <w:ilvl w:val="2"/>
          <w:numId w:val="1"/>
        </w:numPr>
        <w:tabs>
          <w:tab w:val="left" w:pos="1119"/>
          <w:tab w:val="left" w:pos="1120"/>
        </w:tabs>
        <w:spacing w:before="160" w:after="0" w:line="240" w:lineRule="auto"/>
        <w:ind w:left="1120" w:right="0" w:hanging="360"/>
        <w:jc w:val="left"/>
        <w:rPr>
          <w:sz w:val="22"/>
        </w:rPr>
      </w:pPr>
      <w:r>
        <w:rPr>
          <w:sz w:val="22"/>
        </w:rPr>
        <w:t>Geological Disposal Facility Programme</w:t>
      </w:r>
      <w:r>
        <w:rPr>
          <w:spacing w:val="-9"/>
          <w:sz w:val="22"/>
        </w:rPr>
        <w:t xml:space="preserve"> </w:t>
      </w:r>
      <w:r>
        <w:rPr>
          <w:sz w:val="22"/>
        </w:rPr>
        <w:t>(GDF)</w:t>
      </w:r>
    </w:p>
    <w:p>
      <w:pPr>
        <w:pStyle w:val="ListParagraph"/>
        <w:numPr>
          <w:ilvl w:val="2"/>
          <w:numId w:val="1"/>
        </w:numPr>
        <w:tabs>
          <w:tab w:val="left" w:pos="1119"/>
          <w:tab w:val="left" w:pos="1120"/>
        </w:tabs>
        <w:spacing w:before="20" w:after="0" w:line="240" w:lineRule="auto"/>
        <w:ind w:left="1120" w:right="0" w:hanging="360"/>
        <w:jc w:val="left"/>
        <w:rPr>
          <w:sz w:val="22"/>
        </w:rPr>
      </w:pPr>
      <w:r>
        <w:rPr>
          <w:sz w:val="22"/>
        </w:rPr>
        <w:t>Heat Networks Investment</w:t>
      </w:r>
      <w:r>
        <w:rPr>
          <w:spacing w:val="-3"/>
          <w:sz w:val="22"/>
        </w:rPr>
        <w:t xml:space="preserve"> </w:t>
      </w:r>
      <w:r>
        <w:rPr>
          <w:sz w:val="22"/>
        </w:rPr>
        <w:t>Project</w:t>
      </w:r>
    </w:p>
    <w:p>
      <w:pPr>
        <w:pStyle w:val="ListParagraph"/>
        <w:numPr>
          <w:ilvl w:val="2"/>
          <w:numId w:val="1"/>
        </w:numPr>
        <w:tabs>
          <w:tab w:val="left" w:pos="1119"/>
          <w:tab w:val="left" w:pos="1120"/>
        </w:tabs>
        <w:spacing w:before="22" w:after="0" w:line="240" w:lineRule="auto"/>
        <w:ind w:left="1120" w:right="0" w:hanging="360"/>
        <w:jc w:val="left"/>
        <w:rPr>
          <w:sz w:val="22"/>
        </w:rPr>
      </w:pPr>
      <w:r>
        <w:rPr>
          <w:sz w:val="22"/>
        </w:rPr>
        <w:t>Local Land Charges (LLC)</w:t>
      </w:r>
      <w:r>
        <w:rPr>
          <w:spacing w:val="-9"/>
          <w:sz w:val="22"/>
        </w:rPr>
        <w:t xml:space="preserve"> </w:t>
      </w:r>
      <w:r>
        <w:rPr>
          <w:sz w:val="22"/>
        </w:rPr>
        <w:t>Programme</w:t>
      </w:r>
    </w:p>
    <w:p>
      <w:pPr>
        <w:pStyle w:val="ListParagraph"/>
        <w:numPr>
          <w:ilvl w:val="2"/>
          <w:numId w:val="1"/>
        </w:numPr>
        <w:tabs>
          <w:tab w:val="left" w:pos="1119"/>
          <w:tab w:val="left" w:pos="1120"/>
        </w:tabs>
        <w:spacing w:before="22" w:after="0" w:line="240" w:lineRule="auto"/>
        <w:ind w:left="1120" w:right="0" w:hanging="360"/>
        <w:jc w:val="left"/>
        <w:rPr>
          <w:sz w:val="22"/>
        </w:rPr>
      </w:pPr>
      <w:r>
        <w:rPr>
          <w:sz w:val="22"/>
        </w:rPr>
        <w:t>Magnox &amp; RSRL PBO</w:t>
      </w:r>
      <w:r>
        <w:rPr>
          <w:spacing w:val="-9"/>
          <w:sz w:val="22"/>
        </w:rPr>
        <w:t xml:space="preserve"> </w:t>
      </w:r>
      <w:r>
        <w:rPr>
          <w:sz w:val="22"/>
        </w:rPr>
        <w:t>Competition</w:t>
      </w:r>
    </w:p>
    <w:p>
      <w:pPr>
        <w:pStyle w:val="ListParagraph"/>
        <w:numPr>
          <w:ilvl w:val="2"/>
          <w:numId w:val="1"/>
        </w:numPr>
        <w:tabs>
          <w:tab w:val="left" w:pos="1119"/>
          <w:tab w:val="left" w:pos="1120"/>
        </w:tabs>
        <w:spacing w:before="20" w:after="0" w:line="240" w:lineRule="auto"/>
        <w:ind w:left="1120" w:right="0" w:hanging="360"/>
        <w:jc w:val="left"/>
        <w:rPr>
          <w:sz w:val="22"/>
        </w:rPr>
      </w:pPr>
      <w:r>
        <w:rPr>
          <w:sz w:val="22"/>
        </w:rPr>
        <w:t>New Polar Research</w:t>
      </w:r>
      <w:r>
        <w:rPr>
          <w:spacing w:val="-4"/>
          <w:sz w:val="22"/>
        </w:rPr>
        <w:t xml:space="preserve"> </w:t>
      </w:r>
      <w:r>
        <w:rPr>
          <w:sz w:val="22"/>
        </w:rPr>
        <w:t>Vessel</w:t>
      </w:r>
    </w:p>
    <w:p>
      <w:pPr>
        <w:pStyle w:val="ListParagraph"/>
        <w:numPr>
          <w:ilvl w:val="2"/>
          <w:numId w:val="1"/>
        </w:numPr>
        <w:tabs>
          <w:tab w:val="left" w:pos="1119"/>
          <w:tab w:val="left" w:pos="1120"/>
        </w:tabs>
        <w:spacing w:before="22" w:after="0" w:line="240" w:lineRule="auto"/>
        <w:ind w:left="1120" w:right="0" w:hanging="360"/>
        <w:jc w:val="left"/>
        <w:rPr>
          <w:sz w:val="22"/>
        </w:rPr>
      </w:pPr>
      <w:r>
        <w:rPr>
          <w:sz w:val="22"/>
        </w:rPr>
        <w:t>Smart Metering Implementation</w:t>
      </w:r>
      <w:r>
        <w:rPr>
          <w:spacing w:val="-6"/>
          <w:sz w:val="22"/>
        </w:rPr>
        <w:t xml:space="preserve"> </w:t>
      </w:r>
      <w:r>
        <w:rPr>
          <w:sz w:val="22"/>
        </w:rPr>
        <w:t>Programme</w:t>
      </w:r>
    </w:p>
    <w:p>
      <w:pPr>
        <w:pStyle w:val="ListParagraph"/>
        <w:numPr>
          <w:ilvl w:val="2"/>
          <w:numId w:val="1"/>
        </w:numPr>
        <w:tabs>
          <w:tab w:val="left" w:pos="1119"/>
          <w:tab w:val="left" w:pos="1120"/>
        </w:tabs>
        <w:spacing w:before="20" w:after="0" w:line="240" w:lineRule="auto"/>
        <w:ind w:left="1120" w:right="0" w:hanging="360"/>
        <w:jc w:val="left"/>
        <w:rPr>
          <w:sz w:val="22"/>
        </w:rPr>
      </w:pPr>
      <w:r>
        <w:rPr>
          <w:sz w:val="22"/>
        </w:rPr>
        <w:t>The Next Magnox Operating</w:t>
      </w:r>
      <w:r>
        <w:rPr>
          <w:spacing w:val="-3"/>
          <w:sz w:val="22"/>
        </w:rPr>
        <w:t xml:space="preserve"> </w:t>
      </w:r>
      <w:r>
        <w:rPr>
          <w:sz w:val="22"/>
        </w:rPr>
        <w:t>Model</w:t>
      </w:r>
    </w:p>
    <w:p>
      <w:pPr>
        <w:pStyle w:val="ListParagraph"/>
        <w:numPr>
          <w:ilvl w:val="2"/>
          <w:numId w:val="1"/>
        </w:numPr>
        <w:tabs>
          <w:tab w:val="left" w:pos="1119"/>
          <w:tab w:val="left" w:pos="1120"/>
        </w:tabs>
        <w:spacing w:before="22" w:after="0" w:line="240" w:lineRule="auto"/>
        <w:ind w:left="1120" w:right="0" w:hanging="360"/>
        <w:jc w:val="left"/>
        <w:rPr>
          <w:sz w:val="22"/>
        </w:rPr>
      </w:pPr>
      <w:r>
        <w:rPr>
          <w:sz w:val="22"/>
        </w:rPr>
        <w:t>Future Shared Services Programme (closed in</w:t>
      </w:r>
      <w:r>
        <w:rPr>
          <w:spacing w:val="-3"/>
          <w:sz w:val="22"/>
        </w:rPr>
        <w:t xml:space="preserve"> </w:t>
      </w:r>
      <w:r>
        <w:rPr>
          <w:sz w:val="22"/>
        </w:rPr>
        <w:t>2020).</w:t>
      </w:r>
    </w:p>
    <w:p>
      <w:pPr>
        <w:pStyle w:val="BodyText"/>
        <w:spacing w:before="180" w:line="259" w:lineRule="auto"/>
        <w:ind w:left="400" w:right="1360"/>
      </w:pPr>
      <w:r>
        <w:t xml:space="preserve">The Infrastructure and Projects Authority </w:t>
      </w:r>
      <w:r>
        <w:rPr>
          <w:color w:val="0000FF"/>
          <w:spacing w:val="-77"/>
          <w:u w:val="single" w:color="0000FF"/>
        </w:rPr>
        <w:t>r</w:t>
      </w:r>
      <w:r>
        <w:rPr>
          <w:color w:val="0000FF"/>
          <w:spacing w:val="25"/>
          <w:u w:val="single" w:color="0000FF"/>
        </w:rPr>
        <w:t xml:space="preserve"> </w:t>
      </w:r>
      <w:r>
        <w:rPr>
          <w:color w:val="0000FF"/>
          <w:u w:val="single" w:color="0000FF"/>
        </w:rPr>
        <w:t>eports</w:t>
      </w:r>
      <w:r>
        <w:rPr>
          <w:color w:val="0000FF"/>
        </w:rPr>
        <w:t xml:space="preserve"> </w:t>
      </w:r>
      <w:r>
        <w:t xml:space="preserve">on delivery of major projects annually. Data for BEIS can be found </w:t>
      </w:r>
      <w:r>
        <w:rPr>
          <w:color w:val="0000FF"/>
          <w:spacing w:val="-117"/>
          <w:u w:val="single" w:color="0000FF"/>
        </w:rPr>
        <w:t>h</w:t>
      </w:r>
      <w:r>
        <w:rPr>
          <w:color w:val="0000FF"/>
          <w:spacing w:val="68"/>
        </w:rPr>
        <w:t xml:space="preserve"> </w:t>
      </w:r>
      <w:r>
        <w:rPr>
          <w:color w:val="0000FF"/>
          <w:u w:val="single" w:color="0000FF"/>
        </w:rPr>
        <w:t>ere</w:t>
      </w:r>
      <w:r>
        <w:t>.</w:t>
      </w:r>
    </w:p>
    <w:p>
      <w:pPr>
        <w:spacing w:after="0" w:line="259" w:lineRule="auto"/>
        <w:sectPr>
          <w:pgSz w:w="11910" w:h="16840"/>
          <w:pgMar w:top="1400" w:right="280" w:bottom="280" w:left="1040" w:header="720" w:footer="720"/>
          <w:cols w:space="720"/>
        </w:sectPr>
      </w:pPr>
    </w:p>
    <w:p>
      <w:pPr>
        <w:pStyle w:val="Heading1"/>
        <w:numPr>
          <w:ilvl w:val="0"/>
          <w:numId w:val="1"/>
        </w:numPr>
        <w:tabs>
          <w:tab w:val="left" w:pos="1121"/>
          <w:tab w:val="left" w:pos="1122"/>
        </w:tabs>
        <w:spacing w:before="21" w:after="0" w:line="240" w:lineRule="auto"/>
        <w:ind w:left="1121" w:right="0" w:hanging="722"/>
        <w:jc w:val="left"/>
        <w:rPr>
          <w:b w:val="0"/>
        </w:rPr>
      </w:pPr>
      <w:r>
        <w:rPr>
          <w:b w:val="0"/>
          <w:color w:val="2F5495"/>
        </w:rPr>
        <w:t>Other</w:t>
      </w:r>
      <w:r>
        <w:rPr>
          <w:b w:val="0"/>
          <w:color w:val="2F5495"/>
          <w:spacing w:val="-2"/>
        </w:rPr>
        <w:t xml:space="preserve"> </w:t>
      </w:r>
      <w:r>
        <w:rPr>
          <w:b w:val="0"/>
          <w:color w:val="2F5495"/>
        </w:rPr>
        <w:t>information</w:t>
      </w:r>
    </w:p>
    <w:p>
      <w:pPr>
        <w:pStyle w:val="BodyText"/>
        <w:spacing w:before="7"/>
        <w:rPr>
          <w:rFonts w:ascii="Calibri Light"/>
          <w:b w:val="0"/>
          <w:sz w:val="39"/>
        </w:rPr>
      </w:pPr>
    </w:p>
    <w:p>
      <w:pPr>
        <w:pStyle w:val="Heading2"/>
        <w:numPr>
          <w:ilvl w:val="1"/>
          <w:numId w:val="1"/>
        </w:numPr>
        <w:tabs>
          <w:tab w:val="left" w:pos="1120"/>
          <w:tab w:val="left" w:pos="1121"/>
        </w:tabs>
        <w:spacing w:before="0" w:after="0" w:line="240" w:lineRule="auto"/>
        <w:ind w:left="1120" w:right="0" w:hanging="721"/>
        <w:jc w:val="left"/>
        <w:rPr>
          <w:b w:val="0"/>
        </w:rPr>
      </w:pPr>
      <w:r>
        <w:rPr>
          <w:b w:val="0"/>
          <w:color w:val="2F5495"/>
        </w:rPr>
        <w:t>Breakdown of Administration</w:t>
      </w:r>
      <w:r>
        <w:rPr>
          <w:b w:val="0"/>
          <w:color w:val="2F5495"/>
          <w:spacing w:val="-4"/>
        </w:rPr>
        <w:t xml:space="preserve"> </w:t>
      </w:r>
      <w:r>
        <w:rPr>
          <w:b w:val="0"/>
          <w:color w:val="2F5495"/>
        </w:rPr>
        <w:t>Budget</w:t>
      </w:r>
    </w:p>
    <w:p>
      <w:pPr>
        <w:pStyle w:val="BodyText"/>
        <w:spacing w:before="10"/>
        <w:rPr>
          <w:rFonts w:ascii="Calibri Light"/>
          <w:b w:val="0"/>
          <w:sz w:val="38"/>
        </w:rPr>
      </w:pPr>
    </w:p>
    <w:p>
      <w:pPr>
        <w:pStyle w:val="BodyText"/>
        <w:spacing w:line="259" w:lineRule="auto"/>
        <w:ind w:left="400" w:right="1419"/>
      </w:pPr>
      <w:r>
        <w:t>At the time of preparing the Main Estimate detailed Budgets had not yet been set so the below budgets are largely rolled forward from 2020-21. IFRS16 changes have increased core department depreciation charges, offset by a reduction in Rentals.</w:t>
      </w:r>
    </w:p>
    <w:p>
      <w:pPr>
        <w:pStyle w:val="BodyText"/>
        <w:spacing w:before="1"/>
        <w:rPr>
          <w:sz w:val="13"/>
        </w:rPr>
      </w:pPr>
    </w:p>
    <w:tbl>
      <w:tblPr>
        <w:tblW w:w="0" w:type="auto"/>
        <w:jc w:val="left"/>
        <w:tblInd w:w="4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244"/>
        <w:gridCol w:w="1277"/>
        <w:gridCol w:w="1277"/>
        <w:gridCol w:w="850"/>
      </w:tblGrid>
      <w:tr>
        <w:tblPrEx>
          <w:tblW w:w="0" w:type="auto"/>
          <w:jc w:val="left"/>
          <w:tblInd w:w="4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1595"/>
          <w:jc w:val="left"/>
        </w:trPr>
        <w:tc>
          <w:tcPr>
            <w:tcW w:w="6521" w:type="dxa"/>
            <w:gridSpan w:val="2"/>
          </w:tcPr>
          <w:p>
            <w:pPr>
              <w:pStyle w:val="TableParagraph"/>
              <w:ind w:left="107"/>
              <w:rPr>
                <w:rFonts w:ascii="Verdana"/>
                <w:b/>
                <w:sz w:val="19"/>
              </w:rPr>
            </w:pPr>
            <w:r>
              <w:rPr>
                <w:rFonts w:ascii="Verdana"/>
                <w:b/>
                <w:color w:val="333333"/>
                <w:sz w:val="19"/>
              </w:rPr>
              <w:t>Spending total</w:t>
            </w:r>
          </w:p>
          <w:p>
            <w:pPr>
              <w:pStyle w:val="TableParagraph"/>
              <w:spacing w:before="180" w:line="424" w:lineRule="auto"/>
              <w:ind w:left="107" w:right="3636"/>
              <w:rPr>
                <w:rFonts w:ascii="Verdana"/>
                <w:b/>
                <w:sz w:val="19"/>
              </w:rPr>
            </w:pPr>
            <w:r>
              <w:rPr>
                <w:rFonts w:ascii="Verdana"/>
                <w:b/>
                <w:color w:val="333333"/>
                <w:sz w:val="19"/>
              </w:rPr>
              <w:t>Amounts sought this year (Main Estimate 2021-22)</w:t>
            </w:r>
          </w:p>
        </w:tc>
        <w:tc>
          <w:tcPr>
            <w:tcW w:w="2127" w:type="dxa"/>
            <w:gridSpan w:val="2"/>
          </w:tcPr>
          <w:p>
            <w:pPr>
              <w:pStyle w:val="TableParagraph"/>
              <w:spacing w:line="259" w:lineRule="auto"/>
              <w:ind w:left="107"/>
              <w:rPr>
                <w:rFonts w:ascii="Verdana"/>
                <w:b/>
                <w:sz w:val="19"/>
              </w:rPr>
            </w:pPr>
            <w:r>
              <w:rPr>
                <w:rFonts w:ascii="Verdana"/>
                <w:b/>
                <w:color w:val="333333"/>
                <w:sz w:val="19"/>
              </w:rPr>
              <w:t>Compared to final budget last year</w:t>
            </w:r>
          </w:p>
          <w:p>
            <w:pPr>
              <w:pStyle w:val="TableParagraph"/>
              <w:spacing w:before="162" w:line="256" w:lineRule="auto"/>
              <w:ind w:left="107" w:right="265"/>
              <w:rPr>
                <w:rFonts w:ascii="Verdana"/>
                <w:b/>
                <w:sz w:val="19"/>
              </w:rPr>
            </w:pPr>
            <w:r>
              <w:rPr>
                <w:rFonts w:ascii="Verdana"/>
                <w:b/>
                <w:color w:val="333333"/>
                <w:sz w:val="19"/>
              </w:rPr>
              <w:t>(Supplementary</w:t>
            </w:r>
            <w:r>
              <w:rPr>
                <w:rFonts w:ascii="Verdana"/>
                <w:b/>
                <w:color w:val="333333"/>
                <w:w w:val="99"/>
                <w:sz w:val="19"/>
              </w:rPr>
              <w:t xml:space="preserve"> </w:t>
            </w:r>
            <w:r>
              <w:rPr>
                <w:rFonts w:ascii="Verdana"/>
                <w:b/>
                <w:color w:val="333333"/>
                <w:sz w:val="19"/>
              </w:rPr>
              <w:t>Estimate 2020-</w:t>
            </w:r>
          </w:p>
          <w:p>
            <w:pPr>
              <w:pStyle w:val="TableParagraph"/>
              <w:spacing w:before="2"/>
              <w:ind w:left="107"/>
              <w:rPr>
                <w:rFonts w:ascii="Verdana"/>
                <w:b/>
                <w:sz w:val="19"/>
              </w:rPr>
            </w:pPr>
            <w:r>
              <w:rPr>
                <w:rFonts w:ascii="Verdana"/>
                <w:b/>
                <w:color w:val="333333"/>
                <w:sz w:val="19"/>
              </w:rPr>
              <w:t>21)</w:t>
            </w:r>
          </w:p>
        </w:tc>
      </w:tr>
      <w:tr>
        <w:tblPrEx>
          <w:tblW w:w="0" w:type="auto"/>
          <w:jc w:val="left"/>
          <w:tblInd w:w="405" w:type="dxa"/>
          <w:tblLayout w:type="fixed"/>
          <w:tblCellMar>
            <w:top w:w="0" w:type="dxa"/>
            <w:left w:w="0" w:type="dxa"/>
            <w:bottom w:w="0" w:type="dxa"/>
            <w:right w:w="0" w:type="dxa"/>
          </w:tblCellMar>
          <w:tblLook w:val="01E0"/>
        </w:tblPrEx>
        <w:trPr>
          <w:trHeight w:val="431"/>
          <w:jc w:val="left"/>
        </w:trPr>
        <w:tc>
          <w:tcPr>
            <w:tcW w:w="5244" w:type="dxa"/>
          </w:tcPr>
          <w:p>
            <w:pPr>
              <w:pStyle w:val="TableParagraph"/>
              <w:rPr>
                <w:rFonts w:ascii="Times New Roman"/>
                <w:sz w:val="22"/>
              </w:rPr>
            </w:pPr>
          </w:p>
        </w:tc>
        <w:tc>
          <w:tcPr>
            <w:tcW w:w="1277" w:type="dxa"/>
          </w:tcPr>
          <w:p>
            <w:pPr>
              <w:pStyle w:val="TableParagraph"/>
              <w:ind w:left="174"/>
              <w:rPr>
                <w:rFonts w:ascii="Verdana" w:hAnsi="Verdana"/>
                <w:b/>
                <w:sz w:val="19"/>
              </w:rPr>
            </w:pPr>
            <w:r>
              <w:rPr>
                <w:rFonts w:ascii="Verdana" w:hAnsi="Verdana"/>
                <w:b/>
                <w:color w:val="333333"/>
                <w:sz w:val="19"/>
              </w:rPr>
              <w:t>£ million</w:t>
            </w:r>
          </w:p>
        </w:tc>
        <w:tc>
          <w:tcPr>
            <w:tcW w:w="1277" w:type="dxa"/>
          </w:tcPr>
          <w:p>
            <w:pPr>
              <w:pStyle w:val="TableParagraph"/>
              <w:ind w:left="174"/>
              <w:rPr>
                <w:rFonts w:ascii="Verdana" w:hAnsi="Verdana"/>
                <w:b/>
                <w:sz w:val="19"/>
              </w:rPr>
            </w:pPr>
            <w:r>
              <w:rPr>
                <w:rFonts w:ascii="Verdana" w:hAnsi="Verdana"/>
                <w:b/>
                <w:color w:val="333333"/>
                <w:sz w:val="19"/>
              </w:rPr>
              <w:t>£ million</w:t>
            </w:r>
          </w:p>
        </w:tc>
        <w:tc>
          <w:tcPr>
            <w:tcW w:w="850" w:type="dxa"/>
          </w:tcPr>
          <w:p>
            <w:pPr>
              <w:pStyle w:val="TableParagraph"/>
              <w:ind w:left="4"/>
              <w:jc w:val="center"/>
              <w:rPr>
                <w:rFonts w:ascii="Verdana"/>
                <w:b/>
                <w:sz w:val="19"/>
              </w:rPr>
            </w:pPr>
            <w:r>
              <w:rPr>
                <w:rFonts w:ascii="Verdana"/>
                <w:b/>
                <w:color w:val="333333"/>
                <w:w w:val="99"/>
                <w:sz w:val="19"/>
              </w:rPr>
              <w:t>%</w:t>
            </w:r>
          </w:p>
        </w:tc>
      </w:tr>
      <w:tr>
        <w:tblPrEx>
          <w:tblW w:w="0" w:type="auto"/>
          <w:jc w:val="left"/>
          <w:tblInd w:w="405" w:type="dxa"/>
          <w:tblLayout w:type="fixed"/>
          <w:tblCellMar>
            <w:top w:w="0" w:type="dxa"/>
            <w:left w:w="0" w:type="dxa"/>
            <w:bottom w:w="0" w:type="dxa"/>
            <w:right w:w="0" w:type="dxa"/>
          </w:tblCellMar>
          <w:tblLook w:val="01E0"/>
        </w:tblPrEx>
        <w:trPr>
          <w:trHeight w:val="388"/>
          <w:jc w:val="left"/>
        </w:trPr>
        <w:tc>
          <w:tcPr>
            <w:tcW w:w="5244" w:type="dxa"/>
          </w:tcPr>
          <w:p>
            <w:pPr>
              <w:pStyle w:val="TableParagraph"/>
              <w:spacing w:before="1"/>
              <w:ind w:left="107"/>
              <w:rPr>
                <w:sz w:val="22"/>
              </w:rPr>
            </w:pPr>
            <w:r>
              <w:rPr>
                <w:sz w:val="22"/>
              </w:rPr>
              <w:t>Wages and salaries</w:t>
            </w:r>
          </w:p>
        </w:tc>
        <w:tc>
          <w:tcPr>
            <w:tcW w:w="1277" w:type="dxa"/>
          </w:tcPr>
          <w:p>
            <w:pPr>
              <w:pStyle w:val="TableParagraph"/>
              <w:spacing w:before="1"/>
              <w:ind w:right="94"/>
              <w:jc w:val="right"/>
              <w:rPr>
                <w:sz w:val="22"/>
              </w:rPr>
            </w:pPr>
            <w:r>
              <w:rPr>
                <w:sz w:val="22"/>
              </w:rPr>
              <w:t>306.6</w:t>
            </w:r>
          </w:p>
        </w:tc>
        <w:tc>
          <w:tcPr>
            <w:tcW w:w="1277" w:type="dxa"/>
          </w:tcPr>
          <w:p>
            <w:pPr>
              <w:pStyle w:val="TableParagraph"/>
              <w:spacing w:before="1"/>
              <w:ind w:right="94"/>
              <w:jc w:val="right"/>
              <w:rPr>
                <w:sz w:val="22"/>
              </w:rPr>
            </w:pPr>
            <w:r>
              <w:rPr>
                <w:sz w:val="22"/>
              </w:rPr>
              <w:t>-40.4</w:t>
            </w:r>
          </w:p>
        </w:tc>
        <w:tc>
          <w:tcPr>
            <w:tcW w:w="850" w:type="dxa"/>
          </w:tcPr>
          <w:p>
            <w:pPr>
              <w:pStyle w:val="TableParagraph"/>
              <w:spacing w:before="1"/>
              <w:ind w:right="95"/>
              <w:jc w:val="right"/>
              <w:rPr>
                <w:sz w:val="22"/>
              </w:rPr>
            </w:pPr>
            <w:r>
              <w:rPr>
                <w:sz w:val="22"/>
              </w:rPr>
              <w:t>-11.6</w:t>
            </w:r>
          </w:p>
        </w:tc>
      </w:tr>
      <w:tr>
        <w:tblPrEx>
          <w:tblW w:w="0" w:type="auto"/>
          <w:jc w:val="left"/>
          <w:tblInd w:w="405" w:type="dxa"/>
          <w:tblLayout w:type="fixed"/>
          <w:tblCellMar>
            <w:top w:w="0" w:type="dxa"/>
            <w:left w:w="0" w:type="dxa"/>
            <w:bottom w:w="0" w:type="dxa"/>
            <w:right w:w="0" w:type="dxa"/>
          </w:tblCellMar>
          <w:tblLook w:val="01E0"/>
        </w:tblPrEx>
        <w:trPr>
          <w:trHeight w:val="385"/>
          <w:jc w:val="left"/>
        </w:trPr>
        <w:tc>
          <w:tcPr>
            <w:tcW w:w="5244" w:type="dxa"/>
          </w:tcPr>
          <w:p>
            <w:pPr>
              <w:pStyle w:val="TableParagraph"/>
              <w:spacing w:line="268" w:lineRule="exact"/>
              <w:ind w:left="107"/>
              <w:rPr>
                <w:sz w:val="22"/>
              </w:rPr>
            </w:pPr>
            <w:r>
              <w:rPr>
                <w:sz w:val="22"/>
              </w:rPr>
              <w:t>Purchase of goods and services/other</w:t>
            </w:r>
          </w:p>
        </w:tc>
        <w:tc>
          <w:tcPr>
            <w:tcW w:w="1277" w:type="dxa"/>
          </w:tcPr>
          <w:p>
            <w:pPr>
              <w:pStyle w:val="TableParagraph"/>
              <w:spacing w:line="268" w:lineRule="exact"/>
              <w:ind w:right="95"/>
              <w:jc w:val="right"/>
              <w:rPr>
                <w:sz w:val="22"/>
              </w:rPr>
            </w:pPr>
            <w:r>
              <w:rPr>
                <w:sz w:val="22"/>
              </w:rPr>
              <w:t>186.9</w:t>
            </w:r>
          </w:p>
        </w:tc>
        <w:tc>
          <w:tcPr>
            <w:tcW w:w="1277" w:type="dxa"/>
          </w:tcPr>
          <w:p>
            <w:pPr>
              <w:pStyle w:val="TableParagraph"/>
              <w:spacing w:line="268" w:lineRule="exact"/>
              <w:ind w:right="94"/>
              <w:jc w:val="right"/>
              <w:rPr>
                <w:sz w:val="22"/>
              </w:rPr>
            </w:pPr>
            <w:r>
              <w:rPr>
                <w:sz w:val="22"/>
              </w:rPr>
              <w:t>44.2</w:t>
            </w:r>
          </w:p>
        </w:tc>
        <w:tc>
          <w:tcPr>
            <w:tcW w:w="850" w:type="dxa"/>
          </w:tcPr>
          <w:p>
            <w:pPr>
              <w:pStyle w:val="TableParagraph"/>
              <w:spacing w:line="268" w:lineRule="exact"/>
              <w:ind w:right="94"/>
              <w:jc w:val="right"/>
              <w:rPr>
                <w:sz w:val="22"/>
              </w:rPr>
            </w:pPr>
            <w:r>
              <w:rPr>
                <w:sz w:val="22"/>
              </w:rPr>
              <w:t>+31.0</w:t>
            </w:r>
          </w:p>
        </w:tc>
      </w:tr>
      <w:tr>
        <w:tblPrEx>
          <w:tblW w:w="0" w:type="auto"/>
          <w:jc w:val="left"/>
          <w:tblInd w:w="405" w:type="dxa"/>
          <w:tblLayout w:type="fixed"/>
          <w:tblCellMar>
            <w:top w:w="0" w:type="dxa"/>
            <w:left w:w="0" w:type="dxa"/>
            <w:bottom w:w="0" w:type="dxa"/>
            <w:right w:w="0" w:type="dxa"/>
          </w:tblCellMar>
          <w:tblLook w:val="01E0"/>
        </w:tblPrEx>
        <w:trPr>
          <w:trHeight w:val="388"/>
          <w:jc w:val="left"/>
        </w:trPr>
        <w:tc>
          <w:tcPr>
            <w:tcW w:w="5244" w:type="dxa"/>
          </w:tcPr>
          <w:p>
            <w:pPr>
              <w:pStyle w:val="TableParagraph"/>
              <w:spacing w:line="268" w:lineRule="exact"/>
              <w:ind w:left="107"/>
              <w:rPr>
                <w:sz w:val="22"/>
              </w:rPr>
            </w:pPr>
            <w:r>
              <w:rPr>
                <w:sz w:val="22"/>
              </w:rPr>
              <w:t>Depreciation</w:t>
            </w:r>
          </w:p>
        </w:tc>
        <w:tc>
          <w:tcPr>
            <w:tcW w:w="1277" w:type="dxa"/>
          </w:tcPr>
          <w:p>
            <w:pPr>
              <w:pStyle w:val="TableParagraph"/>
              <w:spacing w:line="268" w:lineRule="exact"/>
              <w:ind w:right="94"/>
              <w:jc w:val="right"/>
              <w:rPr>
                <w:sz w:val="22"/>
              </w:rPr>
            </w:pPr>
            <w:r>
              <w:rPr>
                <w:sz w:val="22"/>
              </w:rPr>
              <w:t>38.2</w:t>
            </w:r>
          </w:p>
        </w:tc>
        <w:tc>
          <w:tcPr>
            <w:tcW w:w="1277" w:type="dxa"/>
          </w:tcPr>
          <w:p>
            <w:pPr>
              <w:pStyle w:val="TableParagraph"/>
              <w:spacing w:line="268" w:lineRule="exact"/>
              <w:ind w:right="94"/>
              <w:jc w:val="right"/>
              <w:rPr>
                <w:sz w:val="22"/>
              </w:rPr>
            </w:pPr>
            <w:r>
              <w:rPr>
                <w:sz w:val="22"/>
              </w:rPr>
              <w:t>+26.6</w:t>
            </w:r>
          </w:p>
        </w:tc>
        <w:tc>
          <w:tcPr>
            <w:tcW w:w="850" w:type="dxa"/>
          </w:tcPr>
          <w:p>
            <w:pPr>
              <w:pStyle w:val="TableParagraph"/>
              <w:spacing w:line="268" w:lineRule="exact"/>
              <w:ind w:right="95"/>
              <w:jc w:val="right"/>
              <w:rPr>
                <w:sz w:val="22"/>
              </w:rPr>
            </w:pPr>
            <w:r>
              <w:rPr>
                <w:sz w:val="22"/>
              </w:rPr>
              <w:t>+229.4</w:t>
            </w:r>
          </w:p>
        </w:tc>
      </w:tr>
      <w:tr>
        <w:tblPrEx>
          <w:tblW w:w="0" w:type="auto"/>
          <w:jc w:val="left"/>
          <w:tblInd w:w="405" w:type="dxa"/>
          <w:tblLayout w:type="fixed"/>
          <w:tblCellMar>
            <w:top w:w="0" w:type="dxa"/>
            <w:left w:w="0" w:type="dxa"/>
            <w:bottom w:w="0" w:type="dxa"/>
            <w:right w:w="0" w:type="dxa"/>
          </w:tblCellMar>
          <w:tblLook w:val="01E0"/>
        </w:tblPrEx>
        <w:trPr>
          <w:trHeight w:val="385"/>
          <w:jc w:val="left"/>
        </w:trPr>
        <w:tc>
          <w:tcPr>
            <w:tcW w:w="5244" w:type="dxa"/>
          </w:tcPr>
          <w:p>
            <w:pPr>
              <w:pStyle w:val="TableParagraph"/>
              <w:spacing w:line="268" w:lineRule="exact"/>
              <w:ind w:left="107"/>
              <w:rPr>
                <w:sz w:val="22"/>
              </w:rPr>
            </w:pPr>
            <w:r>
              <w:rPr>
                <w:sz w:val="22"/>
              </w:rPr>
              <w:t>Sales of goods &amp; services/fees &amp; charges income</w:t>
            </w:r>
          </w:p>
        </w:tc>
        <w:tc>
          <w:tcPr>
            <w:tcW w:w="1277" w:type="dxa"/>
          </w:tcPr>
          <w:p>
            <w:pPr>
              <w:pStyle w:val="TableParagraph"/>
              <w:spacing w:line="268" w:lineRule="exact"/>
              <w:ind w:right="94"/>
              <w:jc w:val="right"/>
              <w:rPr>
                <w:sz w:val="22"/>
              </w:rPr>
            </w:pPr>
            <w:r>
              <w:rPr>
                <w:sz w:val="22"/>
              </w:rPr>
              <w:t>-7.8</w:t>
            </w:r>
          </w:p>
        </w:tc>
        <w:tc>
          <w:tcPr>
            <w:tcW w:w="1277" w:type="dxa"/>
          </w:tcPr>
          <w:p>
            <w:pPr>
              <w:pStyle w:val="TableParagraph"/>
              <w:spacing w:line="268" w:lineRule="exact"/>
              <w:ind w:right="95"/>
              <w:jc w:val="right"/>
              <w:rPr>
                <w:sz w:val="22"/>
              </w:rPr>
            </w:pPr>
            <w:r>
              <w:rPr>
                <w:sz w:val="22"/>
              </w:rPr>
              <w:t>+2.0</w:t>
            </w:r>
          </w:p>
        </w:tc>
        <w:tc>
          <w:tcPr>
            <w:tcW w:w="850" w:type="dxa"/>
          </w:tcPr>
          <w:p>
            <w:pPr>
              <w:pStyle w:val="TableParagraph"/>
              <w:spacing w:line="268" w:lineRule="exact"/>
              <w:ind w:right="95"/>
              <w:jc w:val="right"/>
              <w:rPr>
                <w:sz w:val="22"/>
              </w:rPr>
            </w:pPr>
            <w:r>
              <w:rPr>
                <w:sz w:val="22"/>
              </w:rPr>
              <w:t>-20.4</w:t>
            </w:r>
          </w:p>
        </w:tc>
      </w:tr>
      <w:tr>
        <w:tblPrEx>
          <w:tblW w:w="0" w:type="auto"/>
          <w:jc w:val="left"/>
          <w:tblInd w:w="405" w:type="dxa"/>
          <w:tblLayout w:type="fixed"/>
          <w:tblCellMar>
            <w:top w:w="0" w:type="dxa"/>
            <w:left w:w="0" w:type="dxa"/>
            <w:bottom w:w="0" w:type="dxa"/>
            <w:right w:w="0" w:type="dxa"/>
          </w:tblCellMar>
          <w:tblLook w:val="01E0"/>
        </w:tblPrEx>
        <w:trPr>
          <w:trHeight w:val="388"/>
          <w:jc w:val="left"/>
        </w:trPr>
        <w:tc>
          <w:tcPr>
            <w:tcW w:w="5244" w:type="dxa"/>
          </w:tcPr>
          <w:p>
            <w:pPr>
              <w:pStyle w:val="TableParagraph"/>
              <w:spacing w:line="268" w:lineRule="exact"/>
              <w:ind w:left="107"/>
              <w:rPr>
                <w:sz w:val="22"/>
              </w:rPr>
            </w:pPr>
            <w:r>
              <w:rPr>
                <w:sz w:val="22"/>
              </w:rPr>
              <w:t>OGD income for Committee on Climate Change</w:t>
            </w:r>
          </w:p>
        </w:tc>
        <w:tc>
          <w:tcPr>
            <w:tcW w:w="1277" w:type="dxa"/>
          </w:tcPr>
          <w:p>
            <w:pPr>
              <w:pStyle w:val="TableParagraph"/>
              <w:spacing w:line="268" w:lineRule="exact"/>
              <w:ind w:right="94"/>
              <w:jc w:val="right"/>
              <w:rPr>
                <w:sz w:val="22"/>
              </w:rPr>
            </w:pPr>
            <w:r>
              <w:rPr>
                <w:sz w:val="22"/>
              </w:rPr>
              <w:t>-1.2</w:t>
            </w:r>
          </w:p>
        </w:tc>
        <w:tc>
          <w:tcPr>
            <w:tcW w:w="1277" w:type="dxa"/>
          </w:tcPr>
          <w:p>
            <w:pPr>
              <w:pStyle w:val="TableParagraph"/>
              <w:spacing w:line="268" w:lineRule="exact"/>
              <w:ind w:right="94"/>
              <w:jc w:val="right"/>
              <w:rPr>
                <w:sz w:val="22"/>
              </w:rPr>
            </w:pPr>
            <w:r>
              <w:rPr>
                <w:sz w:val="22"/>
              </w:rPr>
              <w:t>+0.8</w:t>
            </w:r>
          </w:p>
        </w:tc>
        <w:tc>
          <w:tcPr>
            <w:tcW w:w="850" w:type="dxa"/>
          </w:tcPr>
          <w:p>
            <w:pPr>
              <w:pStyle w:val="TableParagraph"/>
              <w:spacing w:line="268" w:lineRule="exact"/>
              <w:ind w:right="94"/>
              <w:jc w:val="right"/>
              <w:rPr>
                <w:sz w:val="22"/>
              </w:rPr>
            </w:pPr>
            <w:r>
              <w:rPr>
                <w:sz w:val="22"/>
              </w:rPr>
              <w:t>-42.0%</w:t>
            </w:r>
          </w:p>
        </w:tc>
      </w:tr>
      <w:tr>
        <w:tblPrEx>
          <w:tblW w:w="0" w:type="auto"/>
          <w:jc w:val="left"/>
          <w:tblInd w:w="405" w:type="dxa"/>
          <w:tblLayout w:type="fixed"/>
          <w:tblCellMar>
            <w:top w:w="0" w:type="dxa"/>
            <w:left w:w="0" w:type="dxa"/>
            <w:bottom w:w="0" w:type="dxa"/>
            <w:right w:w="0" w:type="dxa"/>
          </w:tblCellMar>
          <w:tblLook w:val="01E0"/>
        </w:tblPrEx>
        <w:trPr>
          <w:trHeight w:val="556"/>
          <w:jc w:val="left"/>
        </w:trPr>
        <w:tc>
          <w:tcPr>
            <w:tcW w:w="5244" w:type="dxa"/>
          </w:tcPr>
          <w:p>
            <w:pPr>
              <w:pStyle w:val="TableParagraph"/>
              <w:spacing w:line="268" w:lineRule="exact"/>
              <w:ind w:left="107"/>
              <w:rPr>
                <w:b/>
                <w:sz w:val="22"/>
              </w:rPr>
            </w:pPr>
            <w:r>
              <w:rPr>
                <w:b/>
                <w:sz w:val="22"/>
              </w:rPr>
              <w:t>Total core department &amp; Agency administration</w:t>
            </w:r>
          </w:p>
        </w:tc>
        <w:tc>
          <w:tcPr>
            <w:tcW w:w="1277" w:type="dxa"/>
          </w:tcPr>
          <w:p>
            <w:pPr>
              <w:pStyle w:val="TableParagraph"/>
              <w:spacing w:line="268" w:lineRule="exact"/>
              <w:ind w:right="94"/>
              <w:jc w:val="right"/>
              <w:rPr>
                <w:b/>
                <w:sz w:val="22"/>
              </w:rPr>
            </w:pPr>
            <w:r>
              <w:rPr>
                <w:b/>
                <w:sz w:val="22"/>
              </w:rPr>
              <w:t>522.8</w:t>
            </w:r>
          </w:p>
        </w:tc>
        <w:tc>
          <w:tcPr>
            <w:tcW w:w="1277" w:type="dxa"/>
          </w:tcPr>
          <w:p>
            <w:pPr>
              <w:pStyle w:val="TableParagraph"/>
              <w:ind w:right="95"/>
              <w:jc w:val="right"/>
              <w:rPr>
                <w:rFonts w:ascii="Arial"/>
                <w:b/>
                <w:sz w:val="22"/>
              </w:rPr>
            </w:pPr>
            <w:r>
              <w:rPr>
                <w:rFonts w:ascii="Arial"/>
                <w:b/>
                <w:sz w:val="22"/>
              </w:rPr>
              <w:t>-3.2</w:t>
            </w:r>
          </w:p>
        </w:tc>
        <w:tc>
          <w:tcPr>
            <w:tcW w:w="850" w:type="dxa"/>
          </w:tcPr>
          <w:p>
            <w:pPr>
              <w:pStyle w:val="TableParagraph"/>
              <w:spacing w:line="268" w:lineRule="exact"/>
              <w:ind w:right="96"/>
              <w:jc w:val="right"/>
              <w:rPr>
                <w:b/>
                <w:sz w:val="22"/>
              </w:rPr>
            </w:pPr>
            <w:r>
              <w:rPr>
                <w:b/>
                <w:sz w:val="22"/>
              </w:rPr>
              <w:t>-0.6</w:t>
            </w:r>
          </w:p>
        </w:tc>
      </w:tr>
      <w:tr>
        <w:tblPrEx>
          <w:tblW w:w="0" w:type="auto"/>
          <w:jc w:val="left"/>
          <w:tblInd w:w="405" w:type="dxa"/>
          <w:tblLayout w:type="fixed"/>
          <w:tblCellMar>
            <w:top w:w="0" w:type="dxa"/>
            <w:left w:w="0" w:type="dxa"/>
            <w:bottom w:w="0" w:type="dxa"/>
            <w:right w:w="0" w:type="dxa"/>
          </w:tblCellMar>
          <w:tblLook w:val="01E0"/>
        </w:tblPrEx>
        <w:trPr>
          <w:trHeight w:val="385"/>
          <w:jc w:val="left"/>
        </w:trPr>
        <w:tc>
          <w:tcPr>
            <w:tcW w:w="5244" w:type="dxa"/>
          </w:tcPr>
          <w:p>
            <w:pPr>
              <w:pStyle w:val="TableParagraph"/>
              <w:spacing w:line="268" w:lineRule="exact"/>
              <w:ind w:left="107"/>
              <w:rPr>
                <w:sz w:val="22"/>
              </w:rPr>
            </w:pPr>
            <w:r>
              <w:rPr>
                <w:sz w:val="22"/>
              </w:rPr>
              <w:t>UKRI (depreciation)</w:t>
            </w:r>
          </w:p>
        </w:tc>
        <w:tc>
          <w:tcPr>
            <w:tcW w:w="1277" w:type="dxa"/>
          </w:tcPr>
          <w:p>
            <w:pPr>
              <w:pStyle w:val="TableParagraph"/>
              <w:spacing w:line="268" w:lineRule="exact"/>
              <w:ind w:right="94"/>
              <w:jc w:val="right"/>
              <w:rPr>
                <w:sz w:val="22"/>
              </w:rPr>
            </w:pPr>
            <w:r>
              <w:rPr>
                <w:sz w:val="22"/>
              </w:rPr>
              <w:t>9.2</w:t>
            </w:r>
          </w:p>
        </w:tc>
        <w:tc>
          <w:tcPr>
            <w:tcW w:w="1277" w:type="dxa"/>
          </w:tcPr>
          <w:p>
            <w:pPr>
              <w:pStyle w:val="TableParagraph"/>
              <w:spacing w:line="268" w:lineRule="exact"/>
              <w:ind w:right="95"/>
              <w:jc w:val="right"/>
              <w:rPr>
                <w:sz w:val="22"/>
              </w:rPr>
            </w:pPr>
            <w:r>
              <w:rPr>
                <w:sz w:val="22"/>
              </w:rPr>
              <w:t>-0.4</w:t>
            </w:r>
          </w:p>
        </w:tc>
        <w:tc>
          <w:tcPr>
            <w:tcW w:w="850" w:type="dxa"/>
          </w:tcPr>
          <w:p>
            <w:pPr>
              <w:pStyle w:val="TableParagraph"/>
              <w:spacing w:line="268" w:lineRule="exact"/>
              <w:ind w:right="95"/>
              <w:jc w:val="right"/>
              <w:rPr>
                <w:sz w:val="22"/>
              </w:rPr>
            </w:pPr>
            <w:r>
              <w:rPr>
                <w:sz w:val="22"/>
              </w:rPr>
              <w:t>+123.3</w:t>
            </w:r>
          </w:p>
        </w:tc>
      </w:tr>
      <w:tr>
        <w:tblPrEx>
          <w:tblW w:w="0" w:type="auto"/>
          <w:jc w:val="left"/>
          <w:tblInd w:w="405" w:type="dxa"/>
          <w:tblLayout w:type="fixed"/>
          <w:tblCellMar>
            <w:top w:w="0" w:type="dxa"/>
            <w:left w:w="0" w:type="dxa"/>
            <w:bottom w:w="0" w:type="dxa"/>
            <w:right w:w="0" w:type="dxa"/>
          </w:tblCellMar>
          <w:tblLook w:val="01E0"/>
        </w:tblPrEx>
        <w:trPr>
          <w:trHeight w:val="388"/>
          <w:jc w:val="left"/>
        </w:trPr>
        <w:tc>
          <w:tcPr>
            <w:tcW w:w="5244" w:type="dxa"/>
          </w:tcPr>
          <w:p>
            <w:pPr>
              <w:pStyle w:val="TableParagraph"/>
              <w:spacing w:line="268" w:lineRule="exact"/>
              <w:ind w:left="107"/>
              <w:rPr>
                <w:sz w:val="22"/>
              </w:rPr>
            </w:pPr>
            <w:r>
              <w:rPr>
                <w:sz w:val="22"/>
              </w:rPr>
              <w:t>UKAEA (depreciation)</w:t>
            </w:r>
          </w:p>
        </w:tc>
        <w:tc>
          <w:tcPr>
            <w:tcW w:w="1277" w:type="dxa"/>
          </w:tcPr>
          <w:p>
            <w:pPr>
              <w:pStyle w:val="TableParagraph"/>
              <w:spacing w:line="268" w:lineRule="exact"/>
              <w:ind w:right="95"/>
              <w:jc w:val="right"/>
              <w:rPr>
                <w:sz w:val="22"/>
              </w:rPr>
            </w:pPr>
            <w:r>
              <w:rPr>
                <w:sz w:val="22"/>
              </w:rPr>
              <w:t>0.6</w:t>
            </w:r>
          </w:p>
        </w:tc>
        <w:tc>
          <w:tcPr>
            <w:tcW w:w="1277" w:type="dxa"/>
          </w:tcPr>
          <w:p>
            <w:pPr>
              <w:pStyle w:val="TableParagraph"/>
              <w:spacing w:line="268" w:lineRule="exact"/>
              <w:ind w:right="94"/>
              <w:jc w:val="right"/>
              <w:rPr>
                <w:sz w:val="22"/>
              </w:rPr>
            </w:pPr>
            <w:r>
              <w:rPr>
                <w:sz w:val="22"/>
              </w:rPr>
              <w:t>+0.6</w:t>
            </w:r>
          </w:p>
        </w:tc>
        <w:tc>
          <w:tcPr>
            <w:tcW w:w="850" w:type="dxa"/>
          </w:tcPr>
          <w:p>
            <w:pPr>
              <w:pStyle w:val="TableParagraph"/>
              <w:spacing w:line="268" w:lineRule="exact"/>
              <w:ind w:right="96"/>
              <w:jc w:val="right"/>
              <w:rPr>
                <w:sz w:val="22"/>
              </w:rPr>
            </w:pPr>
            <w:r>
              <w:rPr>
                <w:w w:val="100"/>
                <w:sz w:val="22"/>
              </w:rPr>
              <w:t>-</w:t>
            </w:r>
          </w:p>
        </w:tc>
      </w:tr>
      <w:tr>
        <w:tblPrEx>
          <w:tblW w:w="0" w:type="auto"/>
          <w:jc w:val="left"/>
          <w:tblInd w:w="405" w:type="dxa"/>
          <w:tblLayout w:type="fixed"/>
          <w:tblCellMar>
            <w:top w:w="0" w:type="dxa"/>
            <w:left w:w="0" w:type="dxa"/>
            <w:bottom w:w="0" w:type="dxa"/>
            <w:right w:w="0" w:type="dxa"/>
          </w:tblCellMar>
          <w:tblLook w:val="01E0"/>
        </w:tblPrEx>
        <w:trPr>
          <w:trHeight w:val="385"/>
          <w:jc w:val="left"/>
        </w:trPr>
        <w:tc>
          <w:tcPr>
            <w:tcW w:w="5244" w:type="dxa"/>
          </w:tcPr>
          <w:p>
            <w:pPr>
              <w:pStyle w:val="TableParagraph"/>
              <w:spacing w:line="268" w:lineRule="exact"/>
              <w:ind w:left="107"/>
              <w:rPr>
                <w:sz w:val="22"/>
              </w:rPr>
            </w:pPr>
            <w:r>
              <w:rPr>
                <w:sz w:val="22"/>
              </w:rPr>
              <w:t>ACAS</w:t>
            </w:r>
          </w:p>
        </w:tc>
        <w:tc>
          <w:tcPr>
            <w:tcW w:w="1277" w:type="dxa"/>
          </w:tcPr>
          <w:p>
            <w:pPr>
              <w:pStyle w:val="TableParagraph"/>
              <w:spacing w:line="268" w:lineRule="exact"/>
              <w:ind w:right="95"/>
              <w:jc w:val="right"/>
              <w:rPr>
                <w:sz w:val="22"/>
              </w:rPr>
            </w:pPr>
            <w:r>
              <w:rPr>
                <w:sz w:val="22"/>
              </w:rPr>
              <w:t>8.0</w:t>
            </w:r>
          </w:p>
        </w:tc>
        <w:tc>
          <w:tcPr>
            <w:tcW w:w="1277" w:type="dxa"/>
          </w:tcPr>
          <w:p>
            <w:pPr>
              <w:pStyle w:val="TableParagraph"/>
              <w:spacing w:line="268" w:lineRule="exact"/>
              <w:ind w:right="94"/>
              <w:jc w:val="right"/>
              <w:rPr>
                <w:sz w:val="22"/>
              </w:rPr>
            </w:pPr>
            <w:r>
              <w:rPr>
                <w:sz w:val="22"/>
              </w:rPr>
              <w:t>+0.1</w:t>
            </w:r>
          </w:p>
        </w:tc>
        <w:tc>
          <w:tcPr>
            <w:tcW w:w="850" w:type="dxa"/>
          </w:tcPr>
          <w:p>
            <w:pPr>
              <w:pStyle w:val="TableParagraph"/>
              <w:spacing w:line="268" w:lineRule="exact"/>
              <w:ind w:right="94"/>
              <w:jc w:val="right"/>
              <w:rPr>
                <w:sz w:val="22"/>
              </w:rPr>
            </w:pPr>
            <w:r>
              <w:rPr>
                <w:sz w:val="22"/>
              </w:rPr>
              <w:t>+0.8</w:t>
            </w:r>
          </w:p>
        </w:tc>
      </w:tr>
      <w:tr>
        <w:tblPrEx>
          <w:tblW w:w="0" w:type="auto"/>
          <w:jc w:val="left"/>
          <w:tblInd w:w="405" w:type="dxa"/>
          <w:tblLayout w:type="fixed"/>
          <w:tblCellMar>
            <w:top w:w="0" w:type="dxa"/>
            <w:left w:w="0" w:type="dxa"/>
            <w:bottom w:w="0" w:type="dxa"/>
            <w:right w:w="0" w:type="dxa"/>
          </w:tblCellMar>
          <w:tblLook w:val="01E0"/>
        </w:tblPrEx>
        <w:trPr>
          <w:trHeight w:val="386"/>
          <w:jc w:val="left"/>
        </w:trPr>
        <w:tc>
          <w:tcPr>
            <w:tcW w:w="5244" w:type="dxa"/>
          </w:tcPr>
          <w:p>
            <w:pPr>
              <w:pStyle w:val="TableParagraph"/>
              <w:spacing w:line="268" w:lineRule="exact"/>
              <w:ind w:left="107"/>
              <w:rPr>
                <w:sz w:val="22"/>
              </w:rPr>
            </w:pPr>
            <w:r>
              <w:rPr>
                <w:sz w:val="22"/>
              </w:rPr>
              <w:t>Competition Service</w:t>
            </w:r>
          </w:p>
        </w:tc>
        <w:tc>
          <w:tcPr>
            <w:tcW w:w="1277" w:type="dxa"/>
          </w:tcPr>
          <w:p>
            <w:pPr>
              <w:pStyle w:val="TableParagraph"/>
              <w:spacing w:line="268" w:lineRule="exact"/>
              <w:ind w:right="95"/>
              <w:jc w:val="right"/>
              <w:rPr>
                <w:sz w:val="22"/>
              </w:rPr>
            </w:pPr>
            <w:r>
              <w:rPr>
                <w:sz w:val="22"/>
              </w:rPr>
              <w:t>1.0</w:t>
            </w:r>
          </w:p>
        </w:tc>
        <w:tc>
          <w:tcPr>
            <w:tcW w:w="1277" w:type="dxa"/>
          </w:tcPr>
          <w:p>
            <w:pPr>
              <w:pStyle w:val="TableParagraph"/>
              <w:spacing w:line="268" w:lineRule="exact"/>
              <w:ind w:right="94"/>
              <w:jc w:val="right"/>
              <w:rPr>
                <w:sz w:val="22"/>
              </w:rPr>
            </w:pPr>
            <w:r>
              <w:rPr>
                <w:sz w:val="22"/>
              </w:rPr>
              <w:t>+0.3</w:t>
            </w:r>
          </w:p>
        </w:tc>
        <w:tc>
          <w:tcPr>
            <w:tcW w:w="850" w:type="dxa"/>
          </w:tcPr>
          <w:p>
            <w:pPr>
              <w:pStyle w:val="TableParagraph"/>
              <w:spacing w:line="268" w:lineRule="exact"/>
              <w:ind w:right="94"/>
              <w:jc w:val="right"/>
              <w:rPr>
                <w:sz w:val="22"/>
              </w:rPr>
            </w:pPr>
            <w:r>
              <w:rPr>
                <w:sz w:val="22"/>
              </w:rPr>
              <w:t>+40.9</w:t>
            </w:r>
          </w:p>
        </w:tc>
      </w:tr>
      <w:tr>
        <w:tblPrEx>
          <w:tblW w:w="0" w:type="auto"/>
          <w:jc w:val="left"/>
          <w:tblInd w:w="405" w:type="dxa"/>
          <w:tblLayout w:type="fixed"/>
          <w:tblCellMar>
            <w:top w:w="0" w:type="dxa"/>
            <w:left w:w="0" w:type="dxa"/>
            <w:bottom w:w="0" w:type="dxa"/>
            <w:right w:w="0" w:type="dxa"/>
          </w:tblCellMar>
          <w:tblLook w:val="01E0"/>
        </w:tblPrEx>
        <w:trPr>
          <w:trHeight w:val="388"/>
          <w:jc w:val="left"/>
        </w:trPr>
        <w:tc>
          <w:tcPr>
            <w:tcW w:w="5244" w:type="dxa"/>
          </w:tcPr>
          <w:p>
            <w:pPr>
              <w:pStyle w:val="TableParagraph"/>
              <w:spacing w:before="1"/>
              <w:ind w:left="107"/>
              <w:rPr>
                <w:sz w:val="22"/>
              </w:rPr>
            </w:pPr>
            <w:r>
              <w:rPr>
                <w:sz w:val="22"/>
              </w:rPr>
              <w:t>Civil Nuclear Police Authority</w:t>
            </w:r>
          </w:p>
        </w:tc>
        <w:tc>
          <w:tcPr>
            <w:tcW w:w="1277" w:type="dxa"/>
          </w:tcPr>
          <w:p>
            <w:pPr>
              <w:pStyle w:val="TableParagraph"/>
              <w:spacing w:before="1"/>
              <w:ind w:right="95"/>
              <w:jc w:val="right"/>
              <w:rPr>
                <w:sz w:val="22"/>
              </w:rPr>
            </w:pPr>
            <w:r>
              <w:rPr>
                <w:sz w:val="22"/>
              </w:rPr>
              <w:t>3.1</w:t>
            </w:r>
          </w:p>
        </w:tc>
        <w:tc>
          <w:tcPr>
            <w:tcW w:w="1277" w:type="dxa"/>
          </w:tcPr>
          <w:p>
            <w:pPr>
              <w:pStyle w:val="TableParagraph"/>
              <w:spacing w:before="1"/>
              <w:ind w:right="96"/>
              <w:jc w:val="right"/>
              <w:rPr>
                <w:sz w:val="22"/>
              </w:rPr>
            </w:pPr>
            <w:r>
              <w:rPr>
                <w:w w:val="100"/>
                <w:sz w:val="22"/>
              </w:rPr>
              <w:t>-</w:t>
            </w:r>
          </w:p>
        </w:tc>
        <w:tc>
          <w:tcPr>
            <w:tcW w:w="850" w:type="dxa"/>
          </w:tcPr>
          <w:p>
            <w:pPr>
              <w:pStyle w:val="TableParagraph"/>
              <w:spacing w:before="1"/>
              <w:ind w:right="96"/>
              <w:jc w:val="right"/>
              <w:rPr>
                <w:sz w:val="22"/>
              </w:rPr>
            </w:pPr>
            <w:r>
              <w:rPr>
                <w:w w:val="100"/>
                <w:sz w:val="22"/>
              </w:rPr>
              <w:t>-</w:t>
            </w:r>
          </w:p>
        </w:tc>
      </w:tr>
      <w:tr>
        <w:tblPrEx>
          <w:tblW w:w="0" w:type="auto"/>
          <w:jc w:val="left"/>
          <w:tblInd w:w="405" w:type="dxa"/>
          <w:tblLayout w:type="fixed"/>
          <w:tblCellMar>
            <w:top w:w="0" w:type="dxa"/>
            <w:left w:w="0" w:type="dxa"/>
            <w:bottom w:w="0" w:type="dxa"/>
            <w:right w:w="0" w:type="dxa"/>
          </w:tblCellMar>
          <w:tblLook w:val="01E0"/>
        </w:tblPrEx>
        <w:trPr>
          <w:trHeight w:val="385"/>
          <w:jc w:val="left"/>
        </w:trPr>
        <w:tc>
          <w:tcPr>
            <w:tcW w:w="5244" w:type="dxa"/>
          </w:tcPr>
          <w:p>
            <w:pPr>
              <w:pStyle w:val="TableParagraph"/>
              <w:spacing w:line="268" w:lineRule="exact"/>
              <w:ind w:left="107"/>
              <w:rPr>
                <w:sz w:val="22"/>
              </w:rPr>
            </w:pPr>
            <w:r>
              <w:rPr>
                <w:sz w:val="22"/>
              </w:rPr>
              <w:t>UK Shared Business Services</w:t>
            </w:r>
          </w:p>
        </w:tc>
        <w:tc>
          <w:tcPr>
            <w:tcW w:w="1277" w:type="dxa"/>
          </w:tcPr>
          <w:p>
            <w:pPr>
              <w:pStyle w:val="TableParagraph"/>
              <w:spacing w:line="268" w:lineRule="exact"/>
              <w:ind w:right="94"/>
              <w:jc w:val="right"/>
              <w:rPr>
                <w:sz w:val="22"/>
              </w:rPr>
            </w:pPr>
            <w:r>
              <w:rPr>
                <w:sz w:val="22"/>
              </w:rPr>
              <w:t>1.6</w:t>
            </w:r>
          </w:p>
        </w:tc>
        <w:tc>
          <w:tcPr>
            <w:tcW w:w="1277" w:type="dxa"/>
          </w:tcPr>
          <w:p>
            <w:pPr>
              <w:pStyle w:val="TableParagraph"/>
              <w:spacing w:line="268" w:lineRule="exact"/>
              <w:ind w:right="96"/>
              <w:jc w:val="right"/>
              <w:rPr>
                <w:sz w:val="22"/>
              </w:rPr>
            </w:pPr>
            <w:r>
              <w:rPr>
                <w:w w:val="100"/>
                <w:sz w:val="22"/>
              </w:rPr>
              <w:t>-</w:t>
            </w:r>
          </w:p>
        </w:tc>
        <w:tc>
          <w:tcPr>
            <w:tcW w:w="850" w:type="dxa"/>
          </w:tcPr>
          <w:p>
            <w:pPr>
              <w:pStyle w:val="TableParagraph"/>
              <w:spacing w:line="268" w:lineRule="exact"/>
              <w:ind w:right="96"/>
              <w:jc w:val="right"/>
              <w:rPr>
                <w:sz w:val="22"/>
              </w:rPr>
            </w:pPr>
            <w:r>
              <w:rPr>
                <w:w w:val="100"/>
                <w:sz w:val="22"/>
              </w:rPr>
              <w:t>-</w:t>
            </w:r>
          </w:p>
        </w:tc>
      </w:tr>
      <w:tr>
        <w:tblPrEx>
          <w:tblW w:w="0" w:type="auto"/>
          <w:jc w:val="left"/>
          <w:tblInd w:w="405" w:type="dxa"/>
          <w:tblLayout w:type="fixed"/>
          <w:tblCellMar>
            <w:top w:w="0" w:type="dxa"/>
            <w:left w:w="0" w:type="dxa"/>
            <w:bottom w:w="0" w:type="dxa"/>
            <w:right w:w="0" w:type="dxa"/>
          </w:tblCellMar>
          <w:tblLook w:val="01E0"/>
        </w:tblPrEx>
        <w:trPr>
          <w:trHeight w:val="388"/>
          <w:jc w:val="left"/>
        </w:trPr>
        <w:tc>
          <w:tcPr>
            <w:tcW w:w="5244" w:type="dxa"/>
          </w:tcPr>
          <w:p>
            <w:pPr>
              <w:pStyle w:val="TableParagraph"/>
              <w:spacing w:line="268" w:lineRule="exact"/>
              <w:ind w:left="107"/>
              <w:rPr>
                <w:sz w:val="22"/>
              </w:rPr>
            </w:pPr>
            <w:r>
              <w:rPr>
                <w:sz w:val="22"/>
              </w:rPr>
              <w:t>Committee on Climate Change</w:t>
            </w:r>
          </w:p>
        </w:tc>
        <w:tc>
          <w:tcPr>
            <w:tcW w:w="1277" w:type="dxa"/>
          </w:tcPr>
          <w:p>
            <w:pPr>
              <w:pStyle w:val="TableParagraph"/>
              <w:spacing w:line="268" w:lineRule="exact"/>
              <w:ind w:right="95"/>
              <w:jc w:val="right"/>
              <w:rPr>
                <w:sz w:val="22"/>
              </w:rPr>
            </w:pPr>
            <w:r>
              <w:rPr>
                <w:sz w:val="22"/>
              </w:rPr>
              <w:t>4.8</w:t>
            </w:r>
          </w:p>
        </w:tc>
        <w:tc>
          <w:tcPr>
            <w:tcW w:w="1277" w:type="dxa"/>
          </w:tcPr>
          <w:p>
            <w:pPr>
              <w:pStyle w:val="TableParagraph"/>
              <w:spacing w:line="268" w:lineRule="exact"/>
              <w:ind w:right="95"/>
              <w:jc w:val="right"/>
              <w:rPr>
                <w:sz w:val="22"/>
              </w:rPr>
            </w:pPr>
            <w:r>
              <w:rPr>
                <w:sz w:val="22"/>
              </w:rPr>
              <w:t>-0.8</w:t>
            </w:r>
          </w:p>
        </w:tc>
        <w:tc>
          <w:tcPr>
            <w:tcW w:w="850" w:type="dxa"/>
          </w:tcPr>
          <w:p>
            <w:pPr>
              <w:pStyle w:val="TableParagraph"/>
              <w:spacing w:line="268" w:lineRule="exact"/>
              <w:ind w:right="95"/>
              <w:jc w:val="right"/>
              <w:rPr>
                <w:sz w:val="22"/>
              </w:rPr>
            </w:pPr>
            <w:r>
              <w:rPr>
                <w:sz w:val="22"/>
              </w:rPr>
              <w:t>-14.8</w:t>
            </w:r>
          </w:p>
        </w:tc>
      </w:tr>
      <w:tr>
        <w:tblPrEx>
          <w:tblW w:w="0" w:type="auto"/>
          <w:jc w:val="left"/>
          <w:tblInd w:w="405" w:type="dxa"/>
          <w:tblLayout w:type="fixed"/>
          <w:tblCellMar>
            <w:top w:w="0" w:type="dxa"/>
            <w:left w:w="0" w:type="dxa"/>
            <w:bottom w:w="0" w:type="dxa"/>
            <w:right w:w="0" w:type="dxa"/>
          </w:tblCellMar>
          <w:tblLook w:val="01E0"/>
        </w:tblPrEx>
        <w:trPr>
          <w:trHeight w:val="385"/>
          <w:jc w:val="left"/>
        </w:trPr>
        <w:tc>
          <w:tcPr>
            <w:tcW w:w="5244" w:type="dxa"/>
          </w:tcPr>
          <w:p>
            <w:pPr>
              <w:pStyle w:val="TableParagraph"/>
              <w:spacing w:line="268" w:lineRule="exact"/>
              <w:ind w:left="107"/>
              <w:rPr>
                <w:sz w:val="22"/>
              </w:rPr>
            </w:pPr>
            <w:r>
              <w:rPr>
                <w:sz w:val="22"/>
              </w:rPr>
              <w:t>Coal Authority</w:t>
            </w:r>
          </w:p>
        </w:tc>
        <w:tc>
          <w:tcPr>
            <w:tcW w:w="1277" w:type="dxa"/>
          </w:tcPr>
          <w:p>
            <w:pPr>
              <w:pStyle w:val="TableParagraph"/>
              <w:spacing w:line="268" w:lineRule="exact"/>
              <w:ind w:right="95"/>
              <w:jc w:val="right"/>
              <w:rPr>
                <w:sz w:val="22"/>
              </w:rPr>
            </w:pPr>
            <w:r>
              <w:rPr>
                <w:sz w:val="22"/>
              </w:rPr>
              <w:t>5.1</w:t>
            </w:r>
          </w:p>
        </w:tc>
        <w:tc>
          <w:tcPr>
            <w:tcW w:w="1277" w:type="dxa"/>
          </w:tcPr>
          <w:p>
            <w:pPr>
              <w:pStyle w:val="TableParagraph"/>
              <w:spacing w:line="268" w:lineRule="exact"/>
              <w:ind w:right="94"/>
              <w:jc w:val="right"/>
              <w:rPr>
                <w:sz w:val="22"/>
              </w:rPr>
            </w:pPr>
            <w:r>
              <w:rPr>
                <w:sz w:val="22"/>
              </w:rPr>
              <w:t>+0.1</w:t>
            </w:r>
          </w:p>
        </w:tc>
        <w:tc>
          <w:tcPr>
            <w:tcW w:w="850" w:type="dxa"/>
          </w:tcPr>
          <w:p>
            <w:pPr>
              <w:pStyle w:val="TableParagraph"/>
              <w:spacing w:line="268" w:lineRule="exact"/>
              <w:ind w:right="95"/>
              <w:jc w:val="right"/>
              <w:rPr>
                <w:sz w:val="22"/>
              </w:rPr>
            </w:pPr>
            <w:r>
              <w:rPr>
                <w:sz w:val="22"/>
              </w:rPr>
              <w:t>+2.8</w:t>
            </w:r>
          </w:p>
        </w:tc>
      </w:tr>
      <w:tr>
        <w:tblPrEx>
          <w:tblW w:w="0" w:type="auto"/>
          <w:jc w:val="left"/>
          <w:tblInd w:w="405" w:type="dxa"/>
          <w:tblLayout w:type="fixed"/>
          <w:tblCellMar>
            <w:top w:w="0" w:type="dxa"/>
            <w:left w:w="0" w:type="dxa"/>
            <w:bottom w:w="0" w:type="dxa"/>
            <w:right w:w="0" w:type="dxa"/>
          </w:tblCellMar>
          <w:tblLook w:val="01E0"/>
        </w:tblPrEx>
        <w:trPr>
          <w:trHeight w:val="388"/>
          <w:jc w:val="left"/>
        </w:trPr>
        <w:tc>
          <w:tcPr>
            <w:tcW w:w="5244" w:type="dxa"/>
          </w:tcPr>
          <w:p>
            <w:pPr>
              <w:pStyle w:val="TableParagraph"/>
              <w:spacing w:line="268" w:lineRule="exact"/>
              <w:ind w:left="107"/>
              <w:rPr>
                <w:sz w:val="22"/>
              </w:rPr>
            </w:pPr>
            <w:r>
              <w:rPr>
                <w:sz w:val="22"/>
              </w:rPr>
              <w:t>Oil and Gas Authority</w:t>
            </w:r>
          </w:p>
        </w:tc>
        <w:tc>
          <w:tcPr>
            <w:tcW w:w="1277" w:type="dxa"/>
          </w:tcPr>
          <w:p>
            <w:pPr>
              <w:pStyle w:val="TableParagraph"/>
              <w:spacing w:line="268" w:lineRule="exact"/>
              <w:ind w:right="95"/>
              <w:jc w:val="right"/>
              <w:rPr>
                <w:sz w:val="22"/>
              </w:rPr>
            </w:pPr>
            <w:r>
              <w:rPr>
                <w:sz w:val="22"/>
              </w:rPr>
              <w:t>0.0</w:t>
            </w:r>
          </w:p>
        </w:tc>
        <w:tc>
          <w:tcPr>
            <w:tcW w:w="1277" w:type="dxa"/>
          </w:tcPr>
          <w:p>
            <w:pPr>
              <w:pStyle w:val="TableParagraph"/>
              <w:spacing w:line="268" w:lineRule="exact"/>
              <w:ind w:right="96"/>
              <w:jc w:val="right"/>
              <w:rPr>
                <w:sz w:val="22"/>
              </w:rPr>
            </w:pPr>
            <w:r>
              <w:rPr>
                <w:w w:val="100"/>
                <w:sz w:val="22"/>
              </w:rPr>
              <w:t>-</w:t>
            </w:r>
          </w:p>
        </w:tc>
        <w:tc>
          <w:tcPr>
            <w:tcW w:w="850" w:type="dxa"/>
          </w:tcPr>
          <w:p>
            <w:pPr>
              <w:pStyle w:val="TableParagraph"/>
              <w:spacing w:line="268" w:lineRule="exact"/>
              <w:ind w:right="96"/>
              <w:jc w:val="right"/>
              <w:rPr>
                <w:sz w:val="22"/>
              </w:rPr>
            </w:pPr>
            <w:r>
              <w:rPr>
                <w:w w:val="100"/>
                <w:sz w:val="22"/>
              </w:rPr>
              <w:t>-</w:t>
            </w:r>
          </w:p>
        </w:tc>
      </w:tr>
      <w:tr>
        <w:tblPrEx>
          <w:tblW w:w="0" w:type="auto"/>
          <w:jc w:val="left"/>
          <w:tblInd w:w="405" w:type="dxa"/>
          <w:tblLayout w:type="fixed"/>
          <w:tblCellMar>
            <w:top w:w="0" w:type="dxa"/>
            <w:left w:w="0" w:type="dxa"/>
            <w:bottom w:w="0" w:type="dxa"/>
            <w:right w:w="0" w:type="dxa"/>
          </w:tblCellMar>
          <w:tblLook w:val="01E0"/>
        </w:tblPrEx>
        <w:trPr>
          <w:trHeight w:val="386"/>
          <w:jc w:val="left"/>
        </w:trPr>
        <w:tc>
          <w:tcPr>
            <w:tcW w:w="5244" w:type="dxa"/>
          </w:tcPr>
          <w:p>
            <w:pPr>
              <w:pStyle w:val="TableParagraph"/>
              <w:spacing w:line="268" w:lineRule="exact"/>
              <w:ind w:left="107"/>
              <w:rPr>
                <w:sz w:val="22"/>
              </w:rPr>
            </w:pPr>
            <w:r>
              <w:rPr>
                <w:sz w:val="22"/>
              </w:rPr>
              <w:t>Nuclear Decommissioning Authority</w:t>
            </w:r>
          </w:p>
        </w:tc>
        <w:tc>
          <w:tcPr>
            <w:tcW w:w="1277" w:type="dxa"/>
          </w:tcPr>
          <w:p>
            <w:pPr>
              <w:pStyle w:val="TableParagraph"/>
              <w:spacing w:line="268" w:lineRule="exact"/>
              <w:ind w:right="94"/>
              <w:jc w:val="right"/>
              <w:rPr>
                <w:sz w:val="22"/>
              </w:rPr>
            </w:pPr>
            <w:r>
              <w:rPr>
                <w:sz w:val="22"/>
              </w:rPr>
              <w:t>60.3</w:t>
            </w:r>
          </w:p>
        </w:tc>
        <w:tc>
          <w:tcPr>
            <w:tcW w:w="1277" w:type="dxa"/>
          </w:tcPr>
          <w:p>
            <w:pPr>
              <w:pStyle w:val="TableParagraph"/>
              <w:spacing w:line="268" w:lineRule="exact"/>
              <w:ind w:right="94"/>
              <w:jc w:val="right"/>
              <w:rPr>
                <w:sz w:val="22"/>
              </w:rPr>
            </w:pPr>
            <w:r>
              <w:rPr>
                <w:sz w:val="22"/>
              </w:rPr>
              <w:t>+5.1</w:t>
            </w:r>
          </w:p>
        </w:tc>
        <w:tc>
          <w:tcPr>
            <w:tcW w:w="850" w:type="dxa"/>
          </w:tcPr>
          <w:p>
            <w:pPr>
              <w:pStyle w:val="TableParagraph"/>
              <w:spacing w:line="268" w:lineRule="exact"/>
              <w:ind w:right="94"/>
              <w:jc w:val="right"/>
              <w:rPr>
                <w:sz w:val="22"/>
              </w:rPr>
            </w:pPr>
            <w:r>
              <w:rPr>
                <w:sz w:val="22"/>
              </w:rPr>
              <w:t>+9.2</w:t>
            </w:r>
          </w:p>
        </w:tc>
      </w:tr>
      <w:tr>
        <w:tblPrEx>
          <w:tblW w:w="0" w:type="auto"/>
          <w:jc w:val="left"/>
          <w:tblInd w:w="405" w:type="dxa"/>
          <w:tblLayout w:type="fixed"/>
          <w:tblCellMar>
            <w:top w:w="0" w:type="dxa"/>
            <w:left w:w="0" w:type="dxa"/>
            <w:bottom w:w="0" w:type="dxa"/>
            <w:right w:w="0" w:type="dxa"/>
          </w:tblCellMar>
          <w:tblLook w:val="01E0"/>
        </w:tblPrEx>
        <w:trPr>
          <w:trHeight w:val="556"/>
          <w:jc w:val="left"/>
        </w:trPr>
        <w:tc>
          <w:tcPr>
            <w:tcW w:w="5244" w:type="dxa"/>
          </w:tcPr>
          <w:p>
            <w:pPr>
              <w:pStyle w:val="TableParagraph"/>
              <w:spacing w:line="268" w:lineRule="exact"/>
              <w:ind w:left="107"/>
              <w:rPr>
                <w:b/>
                <w:sz w:val="22"/>
              </w:rPr>
            </w:pPr>
            <w:r>
              <w:rPr>
                <w:b/>
                <w:sz w:val="22"/>
              </w:rPr>
              <w:t>Total Partner Organisations administration</w:t>
            </w:r>
          </w:p>
        </w:tc>
        <w:tc>
          <w:tcPr>
            <w:tcW w:w="1277" w:type="dxa"/>
          </w:tcPr>
          <w:p>
            <w:pPr>
              <w:pStyle w:val="TableParagraph"/>
              <w:spacing w:line="268" w:lineRule="exact"/>
              <w:ind w:right="93"/>
              <w:jc w:val="right"/>
              <w:rPr>
                <w:b/>
                <w:sz w:val="22"/>
              </w:rPr>
            </w:pPr>
            <w:r>
              <w:rPr>
                <w:b/>
                <w:sz w:val="22"/>
              </w:rPr>
              <w:t>93.4</w:t>
            </w:r>
          </w:p>
        </w:tc>
        <w:tc>
          <w:tcPr>
            <w:tcW w:w="1277" w:type="dxa"/>
          </w:tcPr>
          <w:p>
            <w:pPr>
              <w:pStyle w:val="TableParagraph"/>
              <w:spacing w:line="268" w:lineRule="exact"/>
              <w:ind w:right="95"/>
              <w:jc w:val="right"/>
              <w:rPr>
                <w:b/>
                <w:sz w:val="22"/>
              </w:rPr>
            </w:pPr>
            <w:r>
              <w:rPr>
                <w:b/>
                <w:sz w:val="22"/>
              </w:rPr>
              <w:t>+4.7</w:t>
            </w:r>
          </w:p>
        </w:tc>
        <w:tc>
          <w:tcPr>
            <w:tcW w:w="850" w:type="dxa"/>
          </w:tcPr>
          <w:p>
            <w:pPr>
              <w:pStyle w:val="TableParagraph"/>
              <w:spacing w:line="268" w:lineRule="exact"/>
              <w:ind w:right="95"/>
              <w:jc w:val="right"/>
              <w:rPr>
                <w:b/>
                <w:sz w:val="22"/>
              </w:rPr>
            </w:pPr>
            <w:r>
              <w:rPr>
                <w:b/>
                <w:sz w:val="22"/>
              </w:rPr>
              <w:t>+5.3</w:t>
            </w:r>
          </w:p>
        </w:tc>
      </w:tr>
      <w:tr>
        <w:tblPrEx>
          <w:tblW w:w="0" w:type="auto"/>
          <w:jc w:val="left"/>
          <w:tblInd w:w="405" w:type="dxa"/>
          <w:tblLayout w:type="fixed"/>
          <w:tblCellMar>
            <w:top w:w="0" w:type="dxa"/>
            <w:left w:w="0" w:type="dxa"/>
            <w:bottom w:w="0" w:type="dxa"/>
            <w:right w:w="0" w:type="dxa"/>
          </w:tblCellMar>
          <w:tblLook w:val="01E0"/>
        </w:tblPrEx>
        <w:trPr>
          <w:trHeight w:val="614"/>
          <w:jc w:val="left"/>
        </w:trPr>
        <w:tc>
          <w:tcPr>
            <w:tcW w:w="5244" w:type="dxa"/>
          </w:tcPr>
          <w:p>
            <w:pPr>
              <w:pStyle w:val="TableParagraph"/>
              <w:spacing w:line="268" w:lineRule="exact"/>
              <w:ind w:left="107"/>
              <w:rPr>
                <w:b/>
                <w:sz w:val="22"/>
              </w:rPr>
            </w:pPr>
            <w:r>
              <w:rPr>
                <w:b/>
                <w:sz w:val="22"/>
              </w:rPr>
              <w:t>Total Administration Budget</w:t>
            </w:r>
          </w:p>
        </w:tc>
        <w:tc>
          <w:tcPr>
            <w:tcW w:w="1277" w:type="dxa"/>
          </w:tcPr>
          <w:p>
            <w:pPr>
              <w:pStyle w:val="TableParagraph"/>
              <w:spacing w:line="268" w:lineRule="exact"/>
              <w:ind w:right="95"/>
              <w:jc w:val="right"/>
              <w:rPr>
                <w:b/>
                <w:sz w:val="22"/>
              </w:rPr>
            </w:pPr>
            <w:r>
              <w:rPr>
                <w:b/>
                <w:sz w:val="22"/>
              </w:rPr>
              <w:t>616.3</w:t>
            </w:r>
          </w:p>
        </w:tc>
        <w:tc>
          <w:tcPr>
            <w:tcW w:w="1277" w:type="dxa"/>
          </w:tcPr>
          <w:p>
            <w:pPr>
              <w:pStyle w:val="TableParagraph"/>
              <w:spacing w:line="268" w:lineRule="exact"/>
              <w:ind w:right="95"/>
              <w:jc w:val="right"/>
              <w:rPr>
                <w:b/>
                <w:sz w:val="22"/>
              </w:rPr>
            </w:pPr>
            <w:r>
              <w:rPr>
                <w:b/>
                <w:sz w:val="22"/>
              </w:rPr>
              <w:t>+1.5</w:t>
            </w:r>
          </w:p>
        </w:tc>
        <w:tc>
          <w:tcPr>
            <w:tcW w:w="850" w:type="dxa"/>
          </w:tcPr>
          <w:p>
            <w:pPr>
              <w:pStyle w:val="TableParagraph"/>
              <w:spacing w:line="268" w:lineRule="exact"/>
              <w:ind w:right="95"/>
              <w:jc w:val="right"/>
              <w:rPr>
                <w:b/>
                <w:sz w:val="22"/>
              </w:rPr>
            </w:pPr>
            <w:r>
              <w:rPr>
                <w:b/>
                <w:sz w:val="22"/>
              </w:rPr>
              <w:t>+0.2</w:t>
            </w:r>
          </w:p>
        </w:tc>
      </w:tr>
    </w:tbl>
    <w:p>
      <w:pPr>
        <w:spacing w:after="0" w:line="268" w:lineRule="exact"/>
        <w:jc w:val="right"/>
        <w:rPr>
          <w:sz w:val="22"/>
        </w:rPr>
        <w:sectPr>
          <w:pgSz w:w="11910" w:h="16840"/>
          <w:pgMar w:top="1400" w:right="280" w:bottom="280" w:left="1040" w:header="720" w:footer="720"/>
          <w:cols w:space="720"/>
        </w:sectPr>
      </w:pPr>
    </w:p>
    <w:p>
      <w:pPr>
        <w:pStyle w:val="Heading2"/>
        <w:numPr>
          <w:ilvl w:val="1"/>
          <w:numId w:val="1"/>
        </w:numPr>
        <w:tabs>
          <w:tab w:val="left" w:pos="1120"/>
          <w:tab w:val="left" w:pos="1121"/>
        </w:tabs>
        <w:spacing w:before="23" w:after="0" w:line="240" w:lineRule="auto"/>
        <w:ind w:left="1120" w:right="0" w:hanging="721"/>
        <w:jc w:val="left"/>
        <w:rPr>
          <w:b w:val="0"/>
        </w:rPr>
      </w:pPr>
      <w:r>
        <w:rPr>
          <w:b w:val="0"/>
          <w:color w:val="2F5495"/>
        </w:rPr>
        <w:t>Additional tables for Nuclear Decommissioning</w:t>
      </w:r>
      <w:r>
        <w:rPr>
          <w:b w:val="0"/>
          <w:color w:val="2F5495"/>
          <w:spacing w:val="-11"/>
        </w:rPr>
        <w:t xml:space="preserve"> </w:t>
      </w:r>
      <w:r>
        <w:rPr>
          <w:b w:val="0"/>
          <w:color w:val="2F5495"/>
        </w:rPr>
        <w:t>Authority</w:t>
      </w:r>
    </w:p>
    <w:p>
      <w:pPr>
        <w:pStyle w:val="BodyText"/>
        <w:rPr>
          <w:rFonts w:ascii="Calibri Light"/>
          <w:b w:val="0"/>
          <w:sz w:val="20"/>
        </w:rPr>
      </w:pPr>
    </w:p>
    <w:p>
      <w:pPr>
        <w:pStyle w:val="BodyText"/>
        <w:spacing w:before="7"/>
        <w:rPr>
          <w:rFonts w:ascii="Calibri Light"/>
          <w:b w:val="0"/>
          <w:sz w:val="24"/>
        </w:rPr>
      </w:pPr>
    </w:p>
    <w:tbl>
      <w:tblPr>
        <w:tblW w:w="0" w:type="auto"/>
        <w:jc w:val="left"/>
        <w:tblInd w:w="4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682"/>
        <w:gridCol w:w="1205"/>
        <w:gridCol w:w="1205"/>
        <w:gridCol w:w="1205"/>
        <w:gridCol w:w="1205"/>
      </w:tblGrid>
      <w:tr>
        <w:tblPrEx>
          <w:tblW w:w="0" w:type="auto"/>
          <w:jc w:val="left"/>
          <w:tblInd w:w="4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410"/>
          <w:jc w:val="left"/>
        </w:trPr>
        <w:tc>
          <w:tcPr>
            <w:tcW w:w="3682" w:type="dxa"/>
            <w:vMerge w:val="restart"/>
          </w:tcPr>
          <w:p>
            <w:pPr>
              <w:pStyle w:val="TableParagraph"/>
              <w:spacing w:line="268" w:lineRule="exact"/>
              <w:ind w:left="107"/>
              <w:rPr>
                <w:sz w:val="22"/>
              </w:rPr>
            </w:pPr>
            <w:r>
              <w:rPr>
                <w:sz w:val="22"/>
              </w:rPr>
              <w:t>NDA DEL Budgets</w:t>
            </w:r>
          </w:p>
        </w:tc>
        <w:tc>
          <w:tcPr>
            <w:tcW w:w="4820" w:type="dxa"/>
            <w:gridSpan w:val="4"/>
          </w:tcPr>
          <w:p>
            <w:pPr>
              <w:pStyle w:val="TableParagraph"/>
              <w:ind w:left="1981" w:right="1971"/>
              <w:jc w:val="center"/>
              <w:rPr>
                <w:rFonts w:ascii="Verdana" w:hAnsi="Verdana"/>
                <w:sz w:val="19"/>
              </w:rPr>
            </w:pPr>
            <w:r>
              <w:rPr>
                <w:rFonts w:ascii="Verdana" w:hAnsi="Verdana"/>
                <w:color w:val="333333"/>
                <w:sz w:val="19"/>
              </w:rPr>
              <w:t>£ million</w:t>
            </w:r>
          </w:p>
        </w:tc>
      </w:tr>
      <w:tr>
        <w:tblPrEx>
          <w:tblW w:w="0" w:type="auto"/>
          <w:jc w:val="left"/>
          <w:tblInd w:w="410" w:type="dxa"/>
          <w:tblLayout w:type="fixed"/>
          <w:tblCellMar>
            <w:top w:w="0" w:type="dxa"/>
            <w:left w:w="0" w:type="dxa"/>
            <w:bottom w:w="0" w:type="dxa"/>
            <w:right w:w="0" w:type="dxa"/>
          </w:tblCellMar>
          <w:tblLook w:val="01E0"/>
        </w:tblPrEx>
        <w:trPr>
          <w:trHeight w:val="738"/>
          <w:jc w:val="left"/>
        </w:trPr>
        <w:tc>
          <w:tcPr>
            <w:tcW w:w="3682" w:type="dxa"/>
            <w:vMerge/>
            <w:tcBorders>
              <w:top w:val="nil"/>
            </w:tcBorders>
          </w:tcPr>
          <w:p>
            <w:pPr>
              <w:rPr>
                <w:sz w:val="2"/>
                <w:szCs w:val="2"/>
              </w:rPr>
            </w:pPr>
          </w:p>
        </w:tc>
        <w:tc>
          <w:tcPr>
            <w:tcW w:w="1205" w:type="dxa"/>
          </w:tcPr>
          <w:p>
            <w:pPr>
              <w:pStyle w:val="TableParagraph"/>
              <w:spacing w:line="268" w:lineRule="exact"/>
              <w:ind w:left="357"/>
              <w:rPr>
                <w:sz w:val="22"/>
              </w:rPr>
            </w:pPr>
            <w:r>
              <w:rPr>
                <w:sz w:val="22"/>
              </w:rPr>
              <w:t>2018-19</w:t>
            </w:r>
          </w:p>
          <w:p>
            <w:pPr>
              <w:pStyle w:val="TableParagraph"/>
              <w:spacing w:before="22"/>
              <w:ind w:left="409"/>
              <w:rPr>
                <w:sz w:val="22"/>
              </w:rPr>
            </w:pPr>
            <w:r>
              <w:rPr>
                <w:sz w:val="22"/>
              </w:rPr>
              <w:t>outturn</w:t>
            </w:r>
          </w:p>
        </w:tc>
        <w:tc>
          <w:tcPr>
            <w:tcW w:w="1205" w:type="dxa"/>
          </w:tcPr>
          <w:p>
            <w:pPr>
              <w:pStyle w:val="TableParagraph"/>
              <w:spacing w:line="268" w:lineRule="exact"/>
              <w:ind w:left="354"/>
              <w:rPr>
                <w:sz w:val="22"/>
              </w:rPr>
            </w:pPr>
            <w:r>
              <w:rPr>
                <w:sz w:val="22"/>
              </w:rPr>
              <w:t>2019-20</w:t>
            </w:r>
          </w:p>
          <w:p>
            <w:pPr>
              <w:pStyle w:val="TableParagraph"/>
              <w:spacing w:before="22"/>
              <w:ind w:left="407"/>
              <w:rPr>
                <w:sz w:val="22"/>
              </w:rPr>
            </w:pPr>
            <w:r>
              <w:rPr>
                <w:sz w:val="22"/>
              </w:rPr>
              <w:t>outturn</w:t>
            </w:r>
          </w:p>
        </w:tc>
        <w:tc>
          <w:tcPr>
            <w:tcW w:w="1205" w:type="dxa"/>
          </w:tcPr>
          <w:p>
            <w:pPr>
              <w:pStyle w:val="TableParagraph"/>
              <w:spacing w:line="268" w:lineRule="exact"/>
              <w:ind w:right="98"/>
              <w:jc w:val="right"/>
              <w:rPr>
                <w:sz w:val="22"/>
              </w:rPr>
            </w:pPr>
            <w:r>
              <w:rPr>
                <w:spacing w:val="-1"/>
                <w:sz w:val="22"/>
              </w:rPr>
              <w:t>2020-21</w:t>
            </w:r>
          </w:p>
          <w:p>
            <w:pPr>
              <w:pStyle w:val="TableParagraph"/>
              <w:spacing w:before="22"/>
              <w:ind w:right="97"/>
              <w:jc w:val="right"/>
              <w:rPr>
                <w:sz w:val="22"/>
              </w:rPr>
            </w:pPr>
            <w:r>
              <w:rPr>
                <w:spacing w:val="-1"/>
                <w:sz w:val="22"/>
              </w:rPr>
              <w:t>plans</w:t>
            </w:r>
          </w:p>
        </w:tc>
        <w:tc>
          <w:tcPr>
            <w:tcW w:w="1205" w:type="dxa"/>
          </w:tcPr>
          <w:p>
            <w:pPr>
              <w:pStyle w:val="TableParagraph"/>
              <w:spacing w:line="268" w:lineRule="exact"/>
              <w:ind w:right="99"/>
              <w:jc w:val="right"/>
              <w:rPr>
                <w:sz w:val="22"/>
              </w:rPr>
            </w:pPr>
            <w:r>
              <w:rPr>
                <w:spacing w:val="-1"/>
                <w:sz w:val="22"/>
              </w:rPr>
              <w:t>2021-22</w:t>
            </w:r>
          </w:p>
          <w:p>
            <w:pPr>
              <w:pStyle w:val="TableParagraph"/>
              <w:spacing w:before="22"/>
              <w:ind w:right="97"/>
              <w:jc w:val="right"/>
              <w:rPr>
                <w:sz w:val="22"/>
              </w:rPr>
            </w:pPr>
            <w:r>
              <w:rPr>
                <w:spacing w:val="-1"/>
                <w:sz w:val="22"/>
              </w:rPr>
              <w:t>plans</w:t>
            </w:r>
          </w:p>
        </w:tc>
      </w:tr>
      <w:tr>
        <w:tblPrEx>
          <w:tblW w:w="0" w:type="auto"/>
          <w:jc w:val="left"/>
          <w:tblInd w:w="410" w:type="dxa"/>
          <w:tblLayout w:type="fixed"/>
          <w:tblCellMar>
            <w:top w:w="0" w:type="dxa"/>
            <w:left w:w="0" w:type="dxa"/>
            <w:bottom w:w="0" w:type="dxa"/>
            <w:right w:w="0" w:type="dxa"/>
          </w:tblCellMar>
          <w:tblLook w:val="01E0"/>
        </w:tblPrEx>
        <w:trPr>
          <w:trHeight w:val="450"/>
          <w:jc w:val="left"/>
        </w:trPr>
        <w:tc>
          <w:tcPr>
            <w:tcW w:w="3682" w:type="dxa"/>
          </w:tcPr>
          <w:p>
            <w:pPr>
              <w:pStyle w:val="TableParagraph"/>
              <w:spacing w:line="268" w:lineRule="exact"/>
              <w:ind w:left="107"/>
              <w:rPr>
                <w:sz w:val="22"/>
              </w:rPr>
            </w:pPr>
            <w:r>
              <w:rPr>
                <w:sz w:val="22"/>
              </w:rPr>
              <w:t>Resource DEL expenditure</w:t>
            </w:r>
          </w:p>
        </w:tc>
        <w:tc>
          <w:tcPr>
            <w:tcW w:w="1205" w:type="dxa"/>
          </w:tcPr>
          <w:p>
            <w:pPr>
              <w:pStyle w:val="TableParagraph"/>
              <w:spacing w:line="268" w:lineRule="exact"/>
              <w:ind w:right="94"/>
              <w:jc w:val="right"/>
              <w:rPr>
                <w:sz w:val="22"/>
              </w:rPr>
            </w:pPr>
            <w:r>
              <w:rPr>
                <w:sz w:val="22"/>
              </w:rPr>
              <w:t>1,175.3</w:t>
            </w:r>
          </w:p>
        </w:tc>
        <w:tc>
          <w:tcPr>
            <w:tcW w:w="1205" w:type="dxa"/>
          </w:tcPr>
          <w:p>
            <w:pPr>
              <w:pStyle w:val="TableParagraph"/>
              <w:spacing w:line="268" w:lineRule="exact"/>
              <w:ind w:right="97"/>
              <w:jc w:val="right"/>
              <w:rPr>
                <w:sz w:val="22"/>
              </w:rPr>
            </w:pPr>
            <w:r>
              <w:rPr>
                <w:sz w:val="22"/>
              </w:rPr>
              <w:t>1,330.2</w:t>
            </w:r>
          </w:p>
        </w:tc>
        <w:tc>
          <w:tcPr>
            <w:tcW w:w="1205" w:type="dxa"/>
          </w:tcPr>
          <w:p>
            <w:pPr>
              <w:pStyle w:val="TableParagraph"/>
              <w:spacing w:line="268" w:lineRule="exact"/>
              <w:ind w:right="95"/>
              <w:jc w:val="right"/>
              <w:rPr>
                <w:sz w:val="22"/>
              </w:rPr>
            </w:pPr>
            <w:r>
              <w:rPr>
                <w:sz w:val="22"/>
              </w:rPr>
              <w:t>1,284.2</w:t>
            </w:r>
          </w:p>
        </w:tc>
        <w:tc>
          <w:tcPr>
            <w:tcW w:w="1205" w:type="dxa"/>
          </w:tcPr>
          <w:p>
            <w:pPr>
              <w:pStyle w:val="TableParagraph"/>
              <w:spacing w:line="268" w:lineRule="exact"/>
              <w:ind w:right="95"/>
              <w:jc w:val="right"/>
              <w:rPr>
                <w:sz w:val="22"/>
              </w:rPr>
            </w:pPr>
            <w:r>
              <w:rPr>
                <w:sz w:val="22"/>
              </w:rPr>
              <w:t>1,500.3</w:t>
            </w:r>
          </w:p>
        </w:tc>
      </w:tr>
      <w:tr>
        <w:tblPrEx>
          <w:tblW w:w="0" w:type="auto"/>
          <w:jc w:val="left"/>
          <w:tblInd w:w="410" w:type="dxa"/>
          <w:tblLayout w:type="fixed"/>
          <w:tblCellMar>
            <w:top w:w="0" w:type="dxa"/>
            <w:left w:w="0" w:type="dxa"/>
            <w:bottom w:w="0" w:type="dxa"/>
            <w:right w:w="0" w:type="dxa"/>
          </w:tblCellMar>
          <w:tblLook w:val="01E0"/>
        </w:tblPrEx>
        <w:trPr>
          <w:trHeight w:val="448"/>
          <w:jc w:val="left"/>
        </w:trPr>
        <w:tc>
          <w:tcPr>
            <w:tcW w:w="3682" w:type="dxa"/>
          </w:tcPr>
          <w:p>
            <w:pPr>
              <w:pStyle w:val="TableParagraph"/>
              <w:spacing w:line="268" w:lineRule="exact"/>
              <w:ind w:left="107"/>
              <w:rPr>
                <w:sz w:val="22"/>
              </w:rPr>
            </w:pPr>
            <w:r>
              <w:rPr>
                <w:sz w:val="22"/>
              </w:rPr>
              <w:t>Resource DEL income</w:t>
            </w:r>
          </w:p>
        </w:tc>
        <w:tc>
          <w:tcPr>
            <w:tcW w:w="1205" w:type="dxa"/>
          </w:tcPr>
          <w:p>
            <w:pPr>
              <w:pStyle w:val="TableParagraph"/>
              <w:spacing w:line="268" w:lineRule="exact"/>
              <w:ind w:right="94"/>
              <w:jc w:val="right"/>
              <w:rPr>
                <w:sz w:val="22"/>
              </w:rPr>
            </w:pPr>
            <w:r>
              <w:rPr>
                <w:sz w:val="22"/>
              </w:rPr>
              <w:t>-978.4</w:t>
            </w:r>
          </w:p>
        </w:tc>
        <w:tc>
          <w:tcPr>
            <w:tcW w:w="1205" w:type="dxa"/>
          </w:tcPr>
          <w:p>
            <w:pPr>
              <w:pStyle w:val="TableParagraph"/>
              <w:spacing w:line="268" w:lineRule="exact"/>
              <w:ind w:right="97"/>
              <w:jc w:val="right"/>
              <w:rPr>
                <w:sz w:val="22"/>
              </w:rPr>
            </w:pPr>
            <w:r>
              <w:rPr>
                <w:sz w:val="22"/>
              </w:rPr>
              <w:t>-748.1</w:t>
            </w:r>
          </w:p>
        </w:tc>
        <w:tc>
          <w:tcPr>
            <w:tcW w:w="1205" w:type="dxa"/>
          </w:tcPr>
          <w:p>
            <w:pPr>
              <w:pStyle w:val="TableParagraph"/>
              <w:spacing w:line="268" w:lineRule="exact"/>
              <w:ind w:right="95"/>
              <w:jc w:val="right"/>
              <w:rPr>
                <w:sz w:val="22"/>
              </w:rPr>
            </w:pPr>
            <w:r>
              <w:rPr>
                <w:sz w:val="22"/>
              </w:rPr>
              <w:t>-633.0</w:t>
            </w:r>
          </w:p>
        </w:tc>
        <w:tc>
          <w:tcPr>
            <w:tcW w:w="1205" w:type="dxa"/>
          </w:tcPr>
          <w:p>
            <w:pPr>
              <w:pStyle w:val="TableParagraph"/>
              <w:spacing w:line="268" w:lineRule="exact"/>
              <w:ind w:right="95"/>
              <w:jc w:val="right"/>
              <w:rPr>
                <w:sz w:val="22"/>
              </w:rPr>
            </w:pPr>
            <w:r>
              <w:rPr>
                <w:sz w:val="22"/>
              </w:rPr>
              <w:t>-990.0</w:t>
            </w:r>
          </w:p>
        </w:tc>
      </w:tr>
      <w:tr>
        <w:tblPrEx>
          <w:tblW w:w="0" w:type="auto"/>
          <w:jc w:val="left"/>
          <w:tblInd w:w="410" w:type="dxa"/>
          <w:tblLayout w:type="fixed"/>
          <w:tblCellMar>
            <w:top w:w="0" w:type="dxa"/>
            <w:left w:w="0" w:type="dxa"/>
            <w:bottom w:w="0" w:type="dxa"/>
            <w:right w:w="0" w:type="dxa"/>
          </w:tblCellMar>
          <w:tblLook w:val="01E0"/>
        </w:tblPrEx>
        <w:trPr>
          <w:trHeight w:val="450"/>
          <w:jc w:val="left"/>
        </w:trPr>
        <w:tc>
          <w:tcPr>
            <w:tcW w:w="3682" w:type="dxa"/>
          </w:tcPr>
          <w:p>
            <w:pPr>
              <w:pStyle w:val="TableParagraph"/>
              <w:spacing w:before="1"/>
              <w:ind w:left="107"/>
              <w:rPr>
                <w:b/>
                <w:sz w:val="22"/>
              </w:rPr>
            </w:pPr>
            <w:r>
              <w:rPr>
                <w:b/>
                <w:sz w:val="22"/>
              </w:rPr>
              <w:t>Net Resource DEL</w:t>
            </w:r>
          </w:p>
        </w:tc>
        <w:tc>
          <w:tcPr>
            <w:tcW w:w="1205" w:type="dxa"/>
          </w:tcPr>
          <w:p>
            <w:pPr>
              <w:pStyle w:val="TableParagraph"/>
              <w:spacing w:before="1"/>
              <w:ind w:right="95"/>
              <w:jc w:val="right"/>
              <w:rPr>
                <w:b/>
                <w:sz w:val="22"/>
              </w:rPr>
            </w:pPr>
            <w:r>
              <w:rPr>
                <w:b/>
                <w:sz w:val="22"/>
              </w:rPr>
              <w:t>197.0</w:t>
            </w:r>
          </w:p>
        </w:tc>
        <w:tc>
          <w:tcPr>
            <w:tcW w:w="1205" w:type="dxa"/>
          </w:tcPr>
          <w:p>
            <w:pPr>
              <w:pStyle w:val="TableParagraph"/>
              <w:spacing w:before="1"/>
              <w:ind w:right="98"/>
              <w:jc w:val="right"/>
              <w:rPr>
                <w:b/>
                <w:sz w:val="22"/>
              </w:rPr>
            </w:pPr>
            <w:r>
              <w:rPr>
                <w:b/>
                <w:sz w:val="22"/>
              </w:rPr>
              <w:t>582.1</w:t>
            </w:r>
          </w:p>
        </w:tc>
        <w:tc>
          <w:tcPr>
            <w:tcW w:w="1205" w:type="dxa"/>
          </w:tcPr>
          <w:p>
            <w:pPr>
              <w:pStyle w:val="TableParagraph"/>
              <w:spacing w:before="1"/>
              <w:ind w:right="96"/>
              <w:jc w:val="right"/>
              <w:rPr>
                <w:b/>
                <w:sz w:val="22"/>
              </w:rPr>
            </w:pPr>
            <w:r>
              <w:rPr>
                <w:b/>
                <w:sz w:val="22"/>
              </w:rPr>
              <w:t>651.2</w:t>
            </w:r>
          </w:p>
        </w:tc>
        <w:tc>
          <w:tcPr>
            <w:tcW w:w="1205" w:type="dxa"/>
          </w:tcPr>
          <w:p>
            <w:pPr>
              <w:pStyle w:val="TableParagraph"/>
              <w:spacing w:before="1"/>
              <w:ind w:right="96"/>
              <w:jc w:val="right"/>
              <w:rPr>
                <w:b/>
                <w:sz w:val="22"/>
              </w:rPr>
            </w:pPr>
            <w:r>
              <w:rPr>
                <w:b/>
                <w:sz w:val="22"/>
              </w:rPr>
              <w:t>510.3</w:t>
            </w:r>
          </w:p>
        </w:tc>
      </w:tr>
      <w:tr>
        <w:tblPrEx>
          <w:tblW w:w="0" w:type="auto"/>
          <w:jc w:val="left"/>
          <w:tblInd w:w="410" w:type="dxa"/>
          <w:tblLayout w:type="fixed"/>
          <w:tblCellMar>
            <w:top w:w="0" w:type="dxa"/>
            <w:left w:w="0" w:type="dxa"/>
            <w:bottom w:w="0" w:type="dxa"/>
            <w:right w:w="0" w:type="dxa"/>
          </w:tblCellMar>
          <w:tblLook w:val="01E0"/>
        </w:tblPrEx>
        <w:trPr>
          <w:trHeight w:val="450"/>
          <w:jc w:val="left"/>
        </w:trPr>
        <w:tc>
          <w:tcPr>
            <w:tcW w:w="3682" w:type="dxa"/>
          </w:tcPr>
          <w:p>
            <w:pPr>
              <w:pStyle w:val="TableParagraph"/>
              <w:spacing w:line="268" w:lineRule="exact"/>
              <w:ind w:left="107"/>
              <w:rPr>
                <w:i/>
                <w:sz w:val="22"/>
              </w:rPr>
            </w:pPr>
            <w:r>
              <w:rPr>
                <w:i/>
                <w:sz w:val="22"/>
              </w:rPr>
              <w:t>of which Admin</w:t>
            </w:r>
          </w:p>
        </w:tc>
        <w:tc>
          <w:tcPr>
            <w:tcW w:w="1205" w:type="dxa"/>
          </w:tcPr>
          <w:p>
            <w:pPr>
              <w:pStyle w:val="TableParagraph"/>
              <w:spacing w:line="268" w:lineRule="exact"/>
              <w:ind w:right="94"/>
              <w:jc w:val="right"/>
              <w:rPr>
                <w:i/>
                <w:sz w:val="22"/>
              </w:rPr>
            </w:pPr>
            <w:r>
              <w:rPr>
                <w:i/>
                <w:sz w:val="22"/>
              </w:rPr>
              <w:t>50.6</w:t>
            </w:r>
          </w:p>
        </w:tc>
        <w:tc>
          <w:tcPr>
            <w:tcW w:w="1205" w:type="dxa"/>
          </w:tcPr>
          <w:p>
            <w:pPr>
              <w:pStyle w:val="TableParagraph"/>
              <w:spacing w:line="268" w:lineRule="exact"/>
              <w:ind w:right="97"/>
              <w:jc w:val="right"/>
              <w:rPr>
                <w:i/>
                <w:sz w:val="22"/>
              </w:rPr>
            </w:pPr>
            <w:r>
              <w:rPr>
                <w:i/>
                <w:sz w:val="22"/>
              </w:rPr>
              <w:t>52.9</w:t>
            </w:r>
          </w:p>
        </w:tc>
        <w:tc>
          <w:tcPr>
            <w:tcW w:w="1205" w:type="dxa"/>
          </w:tcPr>
          <w:p>
            <w:pPr>
              <w:pStyle w:val="TableParagraph"/>
              <w:spacing w:line="268" w:lineRule="exact"/>
              <w:ind w:right="95"/>
              <w:jc w:val="right"/>
              <w:rPr>
                <w:i/>
                <w:sz w:val="22"/>
              </w:rPr>
            </w:pPr>
            <w:r>
              <w:rPr>
                <w:i/>
                <w:sz w:val="22"/>
              </w:rPr>
              <w:t>55.2</w:t>
            </w:r>
          </w:p>
        </w:tc>
        <w:tc>
          <w:tcPr>
            <w:tcW w:w="1205" w:type="dxa"/>
          </w:tcPr>
          <w:p>
            <w:pPr>
              <w:pStyle w:val="TableParagraph"/>
              <w:spacing w:line="268" w:lineRule="exact"/>
              <w:ind w:right="95"/>
              <w:jc w:val="right"/>
              <w:rPr>
                <w:i/>
                <w:sz w:val="22"/>
              </w:rPr>
            </w:pPr>
            <w:r>
              <w:rPr>
                <w:i/>
                <w:sz w:val="22"/>
              </w:rPr>
              <w:t>60.3</w:t>
            </w:r>
          </w:p>
        </w:tc>
      </w:tr>
      <w:tr>
        <w:tblPrEx>
          <w:tblW w:w="0" w:type="auto"/>
          <w:jc w:val="left"/>
          <w:tblInd w:w="410" w:type="dxa"/>
          <w:tblLayout w:type="fixed"/>
          <w:tblCellMar>
            <w:top w:w="0" w:type="dxa"/>
            <w:left w:w="0" w:type="dxa"/>
            <w:bottom w:w="0" w:type="dxa"/>
            <w:right w:w="0" w:type="dxa"/>
          </w:tblCellMar>
          <w:tblLook w:val="01E0"/>
        </w:tblPrEx>
        <w:trPr>
          <w:trHeight w:val="448"/>
          <w:jc w:val="left"/>
        </w:trPr>
        <w:tc>
          <w:tcPr>
            <w:tcW w:w="3682" w:type="dxa"/>
          </w:tcPr>
          <w:p>
            <w:pPr>
              <w:pStyle w:val="TableParagraph"/>
              <w:spacing w:line="268" w:lineRule="exact"/>
              <w:ind w:left="107"/>
              <w:rPr>
                <w:sz w:val="22"/>
              </w:rPr>
            </w:pPr>
            <w:r>
              <w:rPr>
                <w:sz w:val="22"/>
              </w:rPr>
              <w:t>Capital DEL expenditure</w:t>
            </w:r>
          </w:p>
        </w:tc>
        <w:tc>
          <w:tcPr>
            <w:tcW w:w="1205" w:type="dxa"/>
          </w:tcPr>
          <w:p>
            <w:pPr>
              <w:pStyle w:val="TableParagraph"/>
              <w:spacing w:line="268" w:lineRule="exact"/>
              <w:ind w:right="94"/>
              <w:jc w:val="right"/>
              <w:rPr>
                <w:sz w:val="22"/>
              </w:rPr>
            </w:pPr>
            <w:r>
              <w:rPr>
                <w:sz w:val="22"/>
              </w:rPr>
              <w:t>2,002.7</w:t>
            </w:r>
          </w:p>
        </w:tc>
        <w:tc>
          <w:tcPr>
            <w:tcW w:w="1205" w:type="dxa"/>
          </w:tcPr>
          <w:p>
            <w:pPr>
              <w:pStyle w:val="TableParagraph"/>
              <w:spacing w:line="268" w:lineRule="exact"/>
              <w:ind w:right="97"/>
              <w:jc w:val="right"/>
              <w:rPr>
                <w:sz w:val="22"/>
              </w:rPr>
            </w:pPr>
            <w:r>
              <w:rPr>
                <w:sz w:val="22"/>
              </w:rPr>
              <w:t>1,797.2</w:t>
            </w:r>
          </w:p>
        </w:tc>
        <w:tc>
          <w:tcPr>
            <w:tcW w:w="1205" w:type="dxa"/>
          </w:tcPr>
          <w:p>
            <w:pPr>
              <w:pStyle w:val="TableParagraph"/>
              <w:spacing w:line="268" w:lineRule="exact"/>
              <w:ind w:right="95"/>
              <w:jc w:val="right"/>
              <w:rPr>
                <w:sz w:val="22"/>
              </w:rPr>
            </w:pPr>
            <w:r>
              <w:rPr>
                <w:sz w:val="22"/>
              </w:rPr>
              <w:t>1,805.0</w:t>
            </w:r>
          </w:p>
        </w:tc>
        <w:tc>
          <w:tcPr>
            <w:tcW w:w="1205" w:type="dxa"/>
          </w:tcPr>
          <w:p>
            <w:pPr>
              <w:pStyle w:val="TableParagraph"/>
              <w:spacing w:line="268" w:lineRule="exact"/>
              <w:ind w:right="95"/>
              <w:jc w:val="right"/>
              <w:rPr>
                <w:sz w:val="22"/>
              </w:rPr>
            </w:pPr>
            <w:r>
              <w:rPr>
                <w:sz w:val="22"/>
              </w:rPr>
              <w:t>2,023.1</w:t>
            </w:r>
          </w:p>
        </w:tc>
      </w:tr>
      <w:tr>
        <w:tblPrEx>
          <w:tblW w:w="0" w:type="auto"/>
          <w:jc w:val="left"/>
          <w:tblInd w:w="410" w:type="dxa"/>
          <w:tblLayout w:type="fixed"/>
          <w:tblCellMar>
            <w:top w:w="0" w:type="dxa"/>
            <w:left w:w="0" w:type="dxa"/>
            <w:bottom w:w="0" w:type="dxa"/>
            <w:right w:w="0" w:type="dxa"/>
          </w:tblCellMar>
          <w:tblLook w:val="01E0"/>
        </w:tblPrEx>
        <w:trPr>
          <w:trHeight w:val="450"/>
          <w:jc w:val="left"/>
        </w:trPr>
        <w:tc>
          <w:tcPr>
            <w:tcW w:w="3682" w:type="dxa"/>
          </w:tcPr>
          <w:p>
            <w:pPr>
              <w:pStyle w:val="TableParagraph"/>
              <w:spacing w:line="268" w:lineRule="exact"/>
              <w:ind w:left="107"/>
              <w:rPr>
                <w:sz w:val="22"/>
              </w:rPr>
            </w:pPr>
            <w:r>
              <w:rPr>
                <w:sz w:val="22"/>
              </w:rPr>
              <w:t>Capital DEL income</w:t>
            </w:r>
          </w:p>
        </w:tc>
        <w:tc>
          <w:tcPr>
            <w:tcW w:w="1205" w:type="dxa"/>
          </w:tcPr>
          <w:p>
            <w:pPr>
              <w:pStyle w:val="TableParagraph"/>
              <w:spacing w:line="268" w:lineRule="exact"/>
              <w:ind w:right="96"/>
              <w:jc w:val="right"/>
              <w:rPr>
                <w:sz w:val="22"/>
              </w:rPr>
            </w:pPr>
            <w:r>
              <w:rPr>
                <w:w w:val="100"/>
                <w:sz w:val="22"/>
              </w:rPr>
              <w:t>-</w:t>
            </w:r>
          </w:p>
        </w:tc>
        <w:tc>
          <w:tcPr>
            <w:tcW w:w="1205" w:type="dxa"/>
          </w:tcPr>
          <w:p>
            <w:pPr>
              <w:pStyle w:val="TableParagraph"/>
              <w:spacing w:line="268" w:lineRule="exact"/>
              <w:ind w:right="100"/>
              <w:jc w:val="right"/>
              <w:rPr>
                <w:sz w:val="22"/>
              </w:rPr>
            </w:pPr>
            <w:r>
              <w:rPr>
                <w:w w:val="100"/>
                <w:sz w:val="22"/>
              </w:rPr>
              <w:t>-</w:t>
            </w:r>
          </w:p>
        </w:tc>
        <w:tc>
          <w:tcPr>
            <w:tcW w:w="1205" w:type="dxa"/>
          </w:tcPr>
          <w:p>
            <w:pPr>
              <w:pStyle w:val="TableParagraph"/>
              <w:spacing w:line="268" w:lineRule="exact"/>
              <w:ind w:right="96"/>
              <w:jc w:val="right"/>
              <w:rPr>
                <w:sz w:val="22"/>
              </w:rPr>
            </w:pPr>
            <w:r>
              <w:rPr>
                <w:w w:val="100"/>
                <w:sz w:val="22"/>
              </w:rPr>
              <w:t>-</w:t>
            </w:r>
          </w:p>
        </w:tc>
        <w:tc>
          <w:tcPr>
            <w:tcW w:w="1205" w:type="dxa"/>
          </w:tcPr>
          <w:p>
            <w:pPr>
              <w:pStyle w:val="TableParagraph"/>
              <w:spacing w:line="268" w:lineRule="exact"/>
              <w:ind w:right="98"/>
              <w:jc w:val="right"/>
              <w:rPr>
                <w:sz w:val="22"/>
              </w:rPr>
            </w:pPr>
            <w:r>
              <w:rPr>
                <w:w w:val="100"/>
                <w:sz w:val="22"/>
              </w:rPr>
              <w:t>-</w:t>
            </w:r>
          </w:p>
        </w:tc>
      </w:tr>
      <w:tr>
        <w:tblPrEx>
          <w:tblW w:w="0" w:type="auto"/>
          <w:jc w:val="left"/>
          <w:tblInd w:w="410" w:type="dxa"/>
          <w:tblLayout w:type="fixed"/>
          <w:tblCellMar>
            <w:top w:w="0" w:type="dxa"/>
            <w:left w:w="0" w:type="dxa"/>
            <w:bottom w:w="0" w:type="dxa"/>
            <w:right w:w="0" w:type="dxa"/>
          </w:tblCellMar>
          <w:tblLook w:val="01E0"/>
        </w:tblPrEx>
        <w:trPr>
          <w:trHeight w:val="448"/>
          <w:jc w:val="left"/>
        </w:trPr>
        <w:tc>
          <w:tcPr>
            <w:tcW w:w="3682" w:type="dxa"/>
          </w:tcPr>
          <w:p>
            <w:pPr>
              <w:pStyle w:val="TableParagraph"/>
              <w:spacing w:line="268" w:lineRule="exact"/>
              <w:ind w:left="107"/>
              <w:rPr>
                <w:b/>
                <w:sz w:val="22"/>
              </w:rPr>
            </w:pPr>
            <w:r>
              <w:rPr>
                <w:b/>
                <w:sz w:val="22"/>
              </w:rPr>
              <w:t>Net Capital DEL</w:t>
            </w:r>
          </w:p>
        </w:tc>
        <w:tc>
          <w:tcPr>
            <w:tcW w:w="1205" w:type="dxa"/>
          </w:tcPr>
          <w:p>
            <w:pPr>
              <w:pStyle w:val="TableParagraph"/>
              <w:spacing w:line="268" w:lineRule="exact"/>
              <w:ind w:right="94"/>
              <w:jc w:val="right"/>
              <w:rPr>
                <w:b/>
                <w:sz w:val="22"/>
              </w:rPr>
            </w:pPr>
            <w:r>
              <w:rPr>
                <w:b/>
                <w:sz w:val="22"/>
              </w:rPr>
              <w:t>2,002.7</w:t>
            </w:r>
          </w:p>
        </w:tc>
        <w:tc>
          <w:tcPr>
            <w:tcW w:w="1205" w:type="dxa"/>
          </w:tcPr>
          <w:p>
            <w:pPr>
              <w:pStyle w:val="TableParagraph"/>
              <w:spacing w:line="268" w:lineRule="exact"/>
              <w:ind w:right="97"/>
              <w:jc w:val="right"/>
              <w:rPr>
                <w:b/>
                <w:sz w:val="22"/>
              </w:rPr>
            </w:pPr>
            <w:r>
              <w:rPr>
                <w:b/>
                <w:sz w:val="22"/>
              </w:rPr>
              <w:t>1,797.2</w:t>
            </w:r>
          </w:p>
        </w:tc>
        <w:tc>
          <w:tcPr>
            <w:tcW w:w="1205" w:type="dxa"/>
          </w:tcPr>
          <w:p>
            <w:pPr>
              <w:pStyle w:val="TableParagraph"/>
              <w:spacing w:line="268" w:lineRule="exact"/>
              <w:ind w:right="95"/>
              <w:jc w:val="right"/>
              <w:rPr>
                <w:b/>
                <w:sz w:val="22"/>
              </w:rPr>
            </w:pPr>
            <w:r>
              <w:rPr>
                <w:b/>
                <w:sz w:val="22"/>
              </w:rPr>
              <w:t>1,805.0</w:t>
            </w:r>
          </w:p>
        </w:tc>
        <w:tc>
          <w:tcPr>
            <w:tcW w:w="1205" w:type="dxa"/>
          </w:tcPr>
          <w:p>
            <w:pPr>
              <w:pStyle w:val="TableParagraph"/>
              <w:spacing w:line="268" w:lineRule="exact"/>
              <w:ind w:right="95"/>
              <w:jc w:val="right"/>
              <w:rPr>
                <w:b/>
                <w:sz w:val="22"/>
              </w:rPr>
            </w:pPr>
            <w:r>
              <w:rPr>
                <w:b/>
                <w:sz w:val="22"/>
              </w:rPr>
              <w:t>2,023.1</w:t>
            </w:r>
          </w:p>
        </w:tc>
      </w:tr>
      <w:tr>
        <w:tblPrEx>
          <w:tblW w:w="0" w:type="auto"/>
          <w:jc w:val="left"/>
          <w:tblInd w:w="410" w:type="dxa"/>
          <w:tblLayout w:type="fixed"/>
          <w:tblCellMar>
            <w:top w:w="0" w:type="dxa"/>
            <w:left w:w="0" w:type="dxa"/>
            <w:bottom w:w="0" w:type="dxa"/>
            <w:right w:w="0" w:type="dxa"/>
          </w:tblCellMar>
          <w:tblLook w:val="01E0"/>
        </w:tblPrEx>
        <w:trPr>
          <w:trHeight w:val="450"/>
          <w:jc w:val="left"/>
        </w:trPr>
        <w:tc>
          <w:tcPr>
            <w:tcW w:w="3682" w:type="dxa"/>
          </w:tcPr>
          <w:p>
            <w:pPr>
              <w:pStyle w:val="TableParagraph"/>
              <w:spacing w:before="1"/>
              <w:ind w:left="107"/>
              <w:rPr>
                <w:b/>
                <w:sz w:val="22"/>
              </w:rPr>
            </w:pPr>
            <w:r>
              <w:rPr>
                <w:b/>
                <w:sz w:val="22"/>
              </w:rPr>
              <w:t>Total Net DEL</w:t>
            </w:r>
          </w:p>
        </w:tc>
        <w:tc>
          <w:tcPr>
            <w:tcW w:w="1205" w:type="dxa"/>
          </w:tcPr>
          <w:p>
            <w:pPr>
              <w:pStyle w:val="TableParagraph"/>
              <w:spacing w:before="1"/>
              <w:ind w:right="94"/>
              <w:jc w:val="right"/>
              <w:rPr>
                <w:b/>
                <w:sz w:val="22"/>
              </w:rPr>
            </w:pPr>
            <w:r>
              <w:rPr>
                <w:b/>
                <w:sz w:val="22"/>
              </w:rPr>
              <w:t>2,199.7</w:t>
            </w:r>
          </w:p>
        </w:tc>
        <w:tc>
          <w:tcPr>
            <w:tcW w:w="1205" w:type="dxa"/>
          </w:tcPr>
          <w:p>
            <w:pPr>
              <w:pStyle w:val="TableParagraph"/>
              <w:spacing w:before="1"/>
              <w:ind w:right="97"/>
              <w:jc w:val="right"/>
              <w:rPr>
                <w:b/>
                <w:sz w:val="22"/>
              </w:rPr>
            </w:pPr>
            <w:r>
              <w:rPr>
                <w:b/>
                <w:sz w:val="22"/>
              </w:rPr>
              <w:t>2,379.3</w:t>
            </w:r>
          </w:p>
        </w:tc>
        <w:tc>
          <w:tcPr>
            <w:tcW w:w="1205" w:type="dxa"/>
          </w:tcPr>
          <w:p>
            <w:pPr>
              <w:pStyle w:val="TableParagraph"/>
              <w:spacing w:before="1"/>
              <w:ind w:right="95"/>
              <w:jc w:val="right"/>
              <w:rPr>
                <w:b/>
                <w:sz w:val="22"/>
              </w:rPr>
            </w:pPr>
            <w:r>
              <w:rPr>
                <w:b/>
                <w:sz w:val="22"/>
              </w:rPr>
              <w:t>2,456.2</w:t>
            </w:r>
          </w:p>
        </w:tc>
        <w:tc>
          <w:tcPr>
            <w:tcW w:w="1205" w:type="dxa"/>
          </w:tcPr>
          <w:p>
            <w:pPr>
              <w:pStyle w:val="TableParagraph"/>
              <w:spacing w:before="1"/>
              <w:ind w:right="95"/>
              <w:jc w:val="right"/>
              <w:rPr>
                <w:b/>
                <w:sz w:val="22"/>
              </w:rPr>
            </w:pPr>
            <w:r>
              <w:rPr>
                <w:b/>
                <w:sz w:val="22"/>
              </w:rPr>
              <w:t>2,533.4</w:t>
            </w:r>
          </w:p>
        </w:tc>
      </w:tr>
    </w:tbl>
    <w:p>
      <w:pPr>
        <w:pStyle w:val="BodyText"/>
        <w:spacing w:before="9"/>
        <w:rPr>
          <w:rFonts w:ascii="Calibri Light"/>
          <w:b w:val="0"/>
          <w:sz w:val="26"/>
        </w:rPr>
      </w:pPr>
    </w:p>
    <w:tbl>
      <w:tblPr>
        <w:tblW w:w="0" w:type="auto"/>
        <w:jc w:val="left"/>
        <w:tblInd w:w="4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682"/>
        <w:gridCol w:w="1205"/>
        <w:gridCol w:w="1205"/>
        <w:gridCol w:w="1205"/>
        <w:gridCol w:w="1205"/>
      </w:tblGrid>
      <w:tr>
        <w:tblPrEx>
          <w:tblW w:w="0" w:type="auto"/>
          <w:jc w:val="left"/>
          <w:tblInd w:w="4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410"/>
          <w:jc w:val="left"/>
        </w:trPr>
        <w:tc>
          <w:tcPr>
            <w:tcW w:w="3682" w:type="dxa"/>
            <w:vMerge w:val="restart"/>
          </w:tcPr>
          <w:p>
            <w:pPr>
              <w:pStyle w:val="TableParagraph"/>
              <w:spacing w:before="1"/>
              <w:ind w:left="107"/>
              <w:rPr>
                <w:sz w:val="22"/>
              </w:rPr>
            </w:pPr>
            <w:r>
              <w:rPr>
                <w:sz w:val="22"/>
              </w:rPr>
              <w:t>NDA AME Budgets</w:t>
            </w:r>
          </w:p>
        </w:tc>
        <w:tc>
          <w:tcPr>
            <w:tcW w:w="4820" w:type="dxa"/>
            <w:gridSpan w:val="4"/>
          </w:tcPr>
          <w:p>
            <w:pPr>
              <w:pStyle w:val="TableParagraph"/>
              <w:spacing w:before="3"/>
              <w:ind w:left="1981" w:right="1971"/>
              <w:jc w:val="center"/>
              <w:rPr>
                <w:rFonts w:ascii="Verdana" w:hAnsi="Verdana"/>
                <w:sz w:val="19"/>
              </w:rPr>
            </w:pPr>
            <w:r>
              <w:rPr>
                <w:rFonts w:ascii="Verdana" w:hAnsi="Verdana"/>
                <w:color w:val="333333"/>
                <w:sz w:val="19"/>
              </w:rPr>
              <w:t>£ million</w:t>
            </w:r>
          </w:p>
        </w:tc>
      </w:tr>
      <w:tr>
        <w:tblPrEx>
          <w:tblW w:w="0" w:type="auto"/>
          <w:jc w:val="left"/>
          <w:tblInd w:w="410" w:type="dxa"/>
          <w:tblLayout w:type="fixed"/>
          <w:tblCellMar>
            <w:top w:w="0" w:type="dxa"/>
            <w:left w:w="0" w:type="dxa"/>
            <w:bottom w:w="0" w:type="dxa"/>
            <w:right w:w="0" w:type="dxa"/>
          </w:tblCellMar>
          <w:tblLook w:val="01E0"/>
        </w:tblPrEx>
        <w:trPr>
          <w:trHeight w:val="738"/>
          <w:jc w:val="left"/>
        </w:trPr>
        <w:tc>
          <w:tcPr>
            <w:tcW w:w="3682" w:type="dxa"/>
            <w:vMerge/>
            <w:tcBorders>
              <w:top w:val="nil"/>
            </w:tcBorders>
          </w:tcPr>
          <w:p>
            <w:pPr>
              <w:rPr>
                <w:sz w:val="2"/>
                <w:szCs w:val="2"/>
              </w:rPr>
            </w:pPr>
          </w:p>
        </w:tc>
        <w:tc>
          <w:tcPr>
            <w:tcW w:w="1205" w:type="dxa"/>
          </w:tcPr>
          <w:p>
            <w:pPr>
              <w:pStyle w:val="TableParagraph"/>
              <w:spacing w:line="268" w:lineRule="exact"/>
              <w:ind w:left="357"/>
              <w:rPr>
                <w:sz w:val="22"/>
              </w:rPr>
            </w:pPr>
            <w:r>
              <w:rPr>
                <w:sz w:val="22"/>
              </w:rPr>
              <w:t>2018-19</w:t>
            </w:r>
          </w:p>
          <w:p>
            <w:pPr>
              <w:pStyle w:val="TableParagraph"/>
              <w:spacing w:before="22"/>
              <w:ind w:left="409"/>
              <w:rPr>
                <w:sz w:val="22"/>
              </w:rPr>
            </w:pPr>
            <w:r>
              <w:rPr>
                <w:sz w:val="22"/>
              </w:rPr>
              <w:t>outturn</w:t>
            </w:r>
          </w:p>
        </w:tc>
        <w:tc>
          <w:tcPr>
            <w:tcW w:w="1205" w:type="dxa"/>
          </w:tcPr>
          <w:p>
            <w:pPr>
              <w:pStyle w:val="TableParagraph"/>
              <w:spacing w:line="268" w:lineRule="exact"/>
              <w:ind w:left="354"/>
              <w:rPr>
                <w:sz w:val="22"/>
              </w:rPr>
            </w:pPr>
            <w:r>
              <w:rPr>
                <w:sz w:val="22"/>
              </w:rPr>
              <w:t>2019-20</w:t>
            </w:r>
          </w:p>
          <w:p>
            <w:pPr>
              <w:pStyle w:val="TableParagraph"/>
              <w:spacing w:before="22"/>
              <w:ind w:left="407"/>
              <w:rPr>
                <w:sz w:val="22"/>
              </w:rPr>
            </w:pPr>
            <w:r>
              <w:rPr>
                <w:sz w:val="22"/>
              </w:rPr>
              <w:t>outturn</w:t>
            </w:r>
          </w:p>
        </w:tc>
        <w:tc>
          <w:tcPr>
            <w:tcW w:w="1205" w:type="dxa"/>
          </w:tcPr>
          <w:p>
            <w:pPr>
              <w:pStyle w:val="TableParagraph"/>
              <w:spacing w:line="268" w:lineRule="exact"/>
              <w:ind w:right="98"/>
              <w:jc w:val="right"/>
              <w:rPr>
                <w:sz w:val="22"/>
              </w:rPr>
            </w:pPr>
            <w:r>
              <w:rPr>
                <w:spacing w:val="-1"/>
                <w:sz w:val="22"/>
              </w:rPr>
              <w:t>2020-21</w:t>
            </w:r>
          </w:p>
          <w:p>
            <w:pPr>
              <w:pStyle w:val="TableParagraph"/>
              <w:spacing w:before="22"/>
              <w:ind w:right="97"/>
              <w:jc w:val="right"/>
              <w:rPr>
                <w:sz w:val="22"/>
              </w:rPr>
            </w:pPr>
            <w:r>
              <w:rPr>
                <w:spacing w:val="-1"/>
                <w:sz w:val="22"/>
              </w:rPr>
              <w:t>plans</w:t>
            </w:r>
          </w:p>
        </w:tc>
        <w:tc>
          <w:tcPr>
            <w:tcW w:w="1205" w:type="dxa"/>
          </w:tcPr>
          <w:p>
            <w:pPr>
              <w:pStyle w:val="TableParagraph"/>
              <w:spacing w:line="268" w:lineRule="exact"/>
              <w:ind w:right="99"/>
              <w:jc w:val="right"/>
              <w:rPr>
                <w:sz w:val="22"/>
              </w:rPr>
            </w:pPr>
            <w:r>
              <w:rPr>
                <w:spacing w:val="-1"/>
                <w:sz w:val="22"/>
              </w:rPr>
              <w:t>2021-22</w:t>
            </w:r>
          </w:p>
          <w:p>
            <w:pPr>
              <w:pStyle w:val="TableParagraph"/>
              <w:spacing w:before="22"/>
              <w:ind w:right="97"/>
              <w:jc w:val="right"/>
              <w:rPr>
                <w:sz w:val="22"/>
              </w:rPr>
            </w:pPr>
            <w:r>
              <w:rPr>
                <w:spacing w:val="-1"/>
                <w:sz w:val="22"/>
              </w:rPr>
              <w:t>plans</w:t>
            </w:r>
          </w:p>
        </w:tc>
      </w:tr>
      <w:tr>
        <w:tblPrEx>
          <w:tblW w:w="0" w:type="auto"/>
          <w:jc w:val="left"/>
          <w:tblInd w:w="410" w:type="dxa"/>
          <w:tblLayout w:type="fixed"/>
          <w:tblCellMar>
            <w:top w:w="0" w:type="dxa"/>
            <w:left w:w="0" w:type="dxa"/>
            <w:bottom w:w="0" w:type="dxa"/>
            <w:right w:w="0" w:type="dxa"/>
          </w:tblCellMar>
          <w:tblLook w:val="01E0"/>
        </w:tblPrEx>
        <w:trPr>
          <w:trHeight w:val="450"/>
          <w:jc w:val="left"/>
        </w:trPr>
        <w:tc>
          <w:tcPr>
            <w:tcW w:w="3682" w:type="dxa"/>
          </w:tcPr>
          <w:p>
            <w:pPr>
              <w:pStyle w:val="TableParagraph"/>
              <w:spacing w:before="1"/>
              <w:ind w:left="107"/>
              <w:rPr>
                <w:sz w:val="22"/>
              </w:rPr>
            </w:pPr>
            <w:r>
              <w:rPr>
                <w:sz w:val="22"/>
              </w:rPr>
              <w:t>Depreciation/Impairments</w:t>
            </w:r>
          </w:p>
        </w:tc>
        <w:tc>
          <w:tcPr>
            <w:tcW w:w="1205" w:type="dxa"/>
          </w:tcPr>
          <w:p>
            <w:pPr>
              <w:pStyle w:val="TableParagraph"/>
              <w:spacing w:before="1"/>
              <w:ind w:right="94"/>
              <w:jc w:val="right"/>
              <w:rPr>
                <w:sz w:val="22"/>
              </w:rPr>
            </w:pPr>
            <w:r>
              <w:rPr>
                <w:sz w:val="22"/>
              </w:rPr>
              <w:t>206.9</w:t>
            </w:r>
          </w:p>
        </w:tc>
        <w:tc>
          <w:tcPr>
            <w:tcW w:w="1205" w:type="dxa"/>
          </w:tcPr>
          <w:p>
            <w:pPr>
              <w:pStyle w:val="TableParagraph"/>
              <w:spacing w:before="1"/>
              <w:ind w:right="97"/>
              <w:jc w:val="right"/>
              <w:rPr>
                <w:sz w:val="22"/>
              </w:rPr>
            </w:pPr>
            <w:r>
              <w:rPr>
                <w:sz w:val="22"/>
              </w:rPr>
              <w:t>144.8</w:t>
            </w:r>
          </w:p>
        </w:tc>
        <w:tc>
          <w:tcPr>
            <w:tcW w:w="1205" w:type="dxa"/>
          </w:tcPr>
          <w:p>
            <w:pPr>
              <w:pStyle w:val="TableParagraph"/>
              <w:spacing w:before="1"/>
              <w:ind w:right="95"/>
              <w:jc w:val="right"/>
              <w:rPr>
                <w:sz w:val="22"/>
              </w:rPr>
            </w:pPr>
            <w:r>
              <w:rPr>
                <w:sz w:val="22"/>
              </w:rPr>
              <w:t>35.0</w:t>
            </w:r>
          </w:p>
        </w:tc>
        <w:tc>
          <w:tcPr>
            <w:tcW w:w="1205" w:type="dxa"/>
          </w:tcPr>
          <w:p>
            <w:pPr>
              <w:pStyle w:val="TableParagraph"/>
              <w:spacing w:before="1"/>
              <w:ind w:right="95"/>
              <w:jc w:val="right"/>
              <w:rPr>
                <w:sz w:val="22"/>
              </w:rPr>
            </w:pPr>
            <w:r>
              <w:rPr>
                <w:sz w:val="22"/>
              </w:rPr>
              <w:t>35.0</w:t>
            </w:r>
          </w:p>
        </w:tc>
      </w:tr>
      <w:tr>
        <w:tblPrEx>
          <w:tblW w:w="0" w:type="auto"/>
          <w:jc w:val="left"/>
          <w:tblInd w:w="410" w:type="dxa"/>
          <w:tblLayout w:type="fixed"/>
          <w:tblCellMar>
            <w:top w:w="0" w:type="dxa"/>
            <w:left w:w="0" w:type="dxa"/>
            <w:bottom w:w="0" w:type="dxa"/>
            <w:right w:w="0" w:type="dxa"/>
          </w:tblCellMar>
          <w:tblLook w:val="01E0"/>
        </w:tblPrEx>
        <w:trPr>
          <w:trHeight w:val="738"/>
          <w:jc w:val="left"/>
        </w:trPr>
        <w:tc>
          <w:tcPr>
            <w:tcW w:w="3682" w:type="dxa"/>
          </w:tcPr>
          <w:p>
            <w:pPr>
              <w:pStyle w:val="TableParagraph"/>
              <w:spacing w:line="259" w:lineRule="auto"/>
              <w:ind w:left="107" w:right="340"/>
              <w:rPr>
                <w:sz w:val="22"/>
              </w:rPr>
            </w:pPr>
            <w:r>
              <w:rPr>
                <w:sz w:val="22"/>
              </w:rPr>
              <w:t>Movement in Provisions/other non- cash</w:t>
            </w:r>
          </w:p>
        </w:tc>
        <w:tc>
          <w:tcPr>
            <w:tcW w:w="1205" w:type="dxa"/>
          </w:tcPr>
          <w:p>
            <w:pPr>
              <w:pStyle w:val="TableParagraph"/>
              <w:spacing w:line="268" w:lineRule="exact"/>
              <w:ind w:right="93"/>
              <w:jc w:val="right"/>
              <w:rPr>
                <w:sz w:val="22"/>
              </w:rPr>
            </w:pPr>
            <w:r>
              <w:rPr>
                <w:sz w:val="22"/>
              </w:rPr>
              <w:t>-101,998.2</w:t>
            </w:r>
          </w:p>
        </w:tc>
        <w:tc>
          <w:tcPr>
            <w:tcW w:w="1205" w:type="dxa"/>
          </w:tcPr>
          <w:p>
            <w:pPr>
              <w:pStyle w:val="TableParagraph"/>
              <w:spacing w:line="268" w:lineRule="exact"/>
              <w:ind w:right="97"/>
              <w:jc w:val="right"/>
              <w:rPr>
                <w:sz w:val="22"/>
              </w:rPr>
            </w:pPr>
            <w:r>
              <w:rPr>
                <w:sz w:val="22"/>
              </w:rPr>
              <w:t>4,226.9</w:t>
            </w:r>
          </w:p>
        </w:tc>
        <w:tc>
          <w:tcPr>
            <w:tcW w:w="1205" w:type="dxa"/>
          </w:tcPr>
          <w:p>
            <w:pPr>
              <w:pStyle w:val="TableParagraph"/>
              <w:spacing w:line="268" w:lineRule="exact"/>
              <w:ind w:right="95"/>
              <w:jc w:val="right"/>
              <w:rPr>
                <w:sz w:val="22"/>
              </w:rPr>
            </w:pPr>
            <w:r>
              <w:rPr>
                <w:sz w:val="22"/>
              </w:rPr>
              <w:t>1,905.0</w:t>
            </w:r>
          </w:p>
        </w:tc>
        <w:tc>
          <w:tcPr>
            <w:tcW w:w="1205" w:type="dxa"/>
          </w:tcPr>
          <w:p>
            <w:pPr>
              <w:pStyle w:val="TableParagraph"/>
              <w:spacing w:line="268" w:lineRule="exact"/>
              <w:ind w:right="95"/>
              <w:jc w:val="right"/>
              <w:rPr>
                <w:sz w:val="22"/>
              </w:rPr>
            </w:pPr>
            <w:r>
              <w:rPr>
                <w:sz w:val="22"/>
              </w:rPr>
              <w:t>570.0</w:t>
            </w:r>
          </w:p>
        </w:tc>
      </w:tr>
      <w:tr>
        <w:tblPrEx>
          <w:tblW w:w="0" w:type="auto"/>
          <w:jc w:val="left"/>
          <w:tblInd w:w="410" w:type="dxa"/>
          <w:tblLayout w:type="fixed"/>
          <w:tblCellMar>
            <w:top w:w="0" w:type="dxa"/>
            <w:left w:w="0" w:type="dxa"/>
            <w:bottom w:w="0" w:type="dxa"/>
            <w:right w:w="0" w:type="dxa"/>
          </w:tblCellMar>
          <w:tblLook w:val="01E0"/>
        </w:tblPrEx>
        <w:trPr>
          <w:trHeight w:val="450"/>
          <w:jc w:val="left"/>
        </w:trPr>
        <w:tc>
          <w:tcPr>
            <w:tcW w:w="3682" w:type="dxa"/>
          </w:tcPr>
          <w:p>
            <w:pPr>
              <w:pStyle w:val="TableParagraph"/>
              <w:spacing w:line="268" w:lineRule="exact"/>
              <w:ind w:left="107"/>
              <w:rPr>
                <w:b/>
                <w:sz w:val="22"/>
              </w:rPr>
            </w:pPr>
            <w:r>
              <w:rPr>
                <w:b/>
                <w:sz w:val="22"/>
              </w:rPr>
              <w:t>Total AME</w:t>
            </w:r>
          </w:p>
        </w:tc>
        <w:tc>
          <w:tcPr>
            <w:tcW w:w="1205" w:type="dxa"/>
          </w:tcPr>
          <w:p>
            <w:pPr>
              <w:pStyle w:val="TableParagraph"/>
              <w:spacing w:line="268" w:lineRule="exact"/>
              <w:ind w:right="96"/>
              <w:jc w:val="right"/>
              <w:rPr>
                <w:b/>
                <w:sz w:val="22"/>
              </w:rPr>
            </w:pPr>
            <w:r>
              <w:rPr>
                <w:b/>
                <w:sz w:val="22"/>
              </w:rPr>
              <w:t>-101,791.3</w:t>
            </w:r>
          </w:p>
        </w:tc>
        <w:tc>
          <w:tcPr>
            <w:tcW w:w="1205" w:type="dxa"/>
          </w:tcPr>
          <w:p>
            <w:pPr>
              <w:pStyle w:val="TableParagraph"/>
              <w:spacing w:line="268" w:lineRule="exact"/>
              <w:ind w:right="97"/>
              <w:jc w:val="right"/>
              <w:rPr>
                <w:b/>
                <w:sz w:val="22"/>
              </w:rPr>
            </w:pPr>
            <w:r>
              <w:rPr>
                <w:b/>
                <w:sz w:val="22"/>
              </w:rPr>
              <w:t>4,371.7</w:t>
            </w:r>
          </w:p>
        </w:tc>
        <w:tc>
          <w:tcPr>
            <w:tcW w:w="1205" w:type="dxa"/>
          </w:tcPr>
          <w:p>
            <w:pPr>
              <w:pStyle w:val="TableParagraph"/>
              <w:spacing w:line="268" w:lineRule="exact"/>
              <w:ind w:right="95"/>
              <w:jc w:val="right"/>
              <w:rPr>
                <w:b/>
                <w:sz w:val="22"/>
              </w:rPr>
            </w:pPr>
            <w:r>
              <w:rPr>
                <w:b/>
                <w:sz w:val="22"/>
              </w:rPr>
              <w:t>1,940.0</w:t>
            </w:r>
          </w:p>
        </w:tc>
        <w:tc>
          <w:tcPr>
            <w:tcW w:w="1205" w:type="dxa"/>
          </w:tcPr>
          <w:p>
            <w:pPr>
              <w:pStyle w:val="TableParagraph"/>
              <w:spacing w:line="268" w:lineRule="exact"/>
              <w:ind w:right="96"/>
              <w:jc w:val="right"/>
              <w:rPr>
                <w:b/>
                <w:sz w:val="22"/>
              </w:rPr>
            </w:pPr>
            <w:r>
              <w:rPr>
                <w:b/>
                <w:sz w:val="22"/>
              </w:rPr>
              <w:t>605.0</w:t>
            </w:r>
          </w:p>
        </w:tc>
      </w:tr>
    </w:tbl>
    <w:p>
      <w:pPr>
        <w:pStyle w:val="BodyText"/>
        <w:spacing w:before="9"/>
        <w:rPr>
          <w:rFonts w:ascii="Calibri Light"/>
          <w:b w:val="0"/>
          <w:sz w:val="26"/>
        </w:rPr>
      </w:pPr>
    </w:p>
    <w:tbl>
      <w:tblPr>
        <w:tblW w:w="0" w:type="auto"/>
        <w:jc w:val="left"/>
        <w:tblInd w:w="4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418"/>
        <w:gridCol w:w="1462"/>
        <w:gridCol w:w="1433"/>
        <w:gridCol w:w="1272"/>
      </w:tblGrid>
      <w:tr>
        <w:tblPrEx>
          <w:tblW w:w="0" w:type="auto"/>
          <w:jc w:val="left"/>
          <w:tblInd w:w="4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410"/>
          <w:jc w:val="left"/>
        </w:trPr>
        <w:tc>
          <w:tcPr>
            <w:tcW w:w="3418" w:type="dxa"/>
            <w:vMerge w:val="restart"/>
          </w:tcPr>
          <w:p>
            <w:pPr>
              <w:pStyle w:val="TableParagraph"/>
              <w:spacing w:line="268" w:lineRule="exact"/>
              <w:ind w:left="107"/>
              <w:rPr>
                <w:sz w:val="22"/>
              </w:rPr>
            </w:pPr>
            <w:r>
              <w:rPr>
                <w:sz w:val="22"/>
              </w:rPr>
              <w:t>NDA Outturn 2015-16 to 2017-18</w:t>
            </w:r>
          </w:p>
        </w:tc>
        <w:tc>
          <w:tcPr>
            <w:tcW w:w="4167" w:type="dxa"/>
            <w:gridSpan w:val="3"/>
          </w:tcPr>
          <w:p>
            <w:pPr>
              <w:pStyle w:val="TableParagraph"/>
              <w:ind w:left="1652" w:right="1647"/>
              <w:jc w:val="center"/>
              <w:rPr>
                <w:rFonts w:ascii="Verdana" w:hAnsi="Verdana"/>
                <w:sz w:val="19"/>
              </w:rPr>
            </w:pPr>
            <w:r>
              <w:rPr>
                <w:rFonts w:ascii="Verdana" w:hAnsi="Verdana"/>
                <w:color w:val="333333"/>
                <w:sz w:val="19"/>
              </w:rPr>
              <w:t>£ million</w:t>
            </w:r>
          </w:p>
        </w:tc>
      </w:tr>
      <w:tr>
        <w:tblPrEx>
          <w:tblW w:w="0" w:type="auto"/>
          <w:jc w:val="left"/>
          <w:tblInd w:w="410" w:type="dxa"/>
          <w:tblLayout w:type="fixed"/>
          <w:tblCellMar>
            <w:top w:w="0" w:type="dxa"/>
            <w:left w:w="0" w:type="dxa"/>
            <w:bottom w:w="0" w:type="dxa"/>
            <w:right w:w="0" w:type="dxa"/>
          </w:tblCellMar>
          <w:tblLook w:val="01E0"/>
        </w:tblPrEx>
        <w:trPr>
          <w:trHeight w:val="479"/>
          <w:jc w:val="left"/>
        </w:trPr>
        <w:tc>
          <w:tcPr>
            <w:tcW w:w="3418" w:type="dxa"/>
            <w:vMerge/>
            <w:tcBorders>
              <w:top w:val="nil"/>
            </w:tcBorders>
          </w:tcPr>
          <w:p>
            <w:pPr>
              <w:rPr>
                <w:sz w:val="2"/>
                <w:szCs w:val="2"/>
              </w:rPr>
            </w:pPr>
          </w:p>
        </w:tc>
        <w:tc>
          <w:tcPr>
            <w:tcW w:w="1462" w:type="dxa"/>
          </w:tcPr>
          <w:p>
            <w:pPr>
              <w:pStyle w:val="TableParagraph"/>
              <w:spacing w:line="268" w:lineRule="exact"/>
              <w:ind w:right="97"/>
              <w:jc w:val="right"/>
              <w:rPr>
                <w:sz w:val="22"/>
              </w:rPr>
            </w:pPr>
            <w:r>
              <w:rPr>
                <w:sz w:val="22"/>
              </w:rPr>
              <w:t>2015-16</w:t>
            </w:r>
          </w:p>
        </w:tc>
        <w:tc>
          <w:tcPr>
            <w:tcW w:w="1433" w:type="dxa"/>
          </w:tcPr>
          <w:p>
            <w:pPr>
              <w:pStyle w:val="TableParagraph"/>
              <w:spacing w:line="268" w:lineRule="exact"/>
              <w:ind w:right="96"/>
              <w:jc w:val="right"/>
              <w:rPr>
                <w:sz w:val="22"/>
              </w:rPr>
            </w:pPr>
            <w:r>
              <w:rPr>
                <w:sz w:val="22"/>
              </w:rPr>
              <w:t>2016-17</w:t>
            </w:r>
          </w:p>
        </w:tc>
        <w:tc>
          <w:tcPr>
            <w:tcW w:w="1272" w:type="dxa"/>
          </w:tcPr>
          <w:p>
            <w:pPr>
              <w:pStyle w:val="TableParagraph"/>
              <w:spacing w:line="268" w:lineRule="exact"/>
              <w:ind w:right="96"/>
              <w:jc w:val="right"/>
              <w:rPr>
                <w:sz w:val="22"/>
              </w:rPr>
            </w:pPr>
            <w:r>
              <w:rPr>
                <w:sz w:val="22"/>
              </w:rPr>
              <w:t>2017-18</w:t>
            </w:r>
          </w:p>
        </w:tc>
      </w:tr>
      <w:tr>
        <w:tblPrEx>
          <w:tblW w:w="0" w:type="auto"/>
          <w:jc w:val="left"/>
          <w:tblInd w:w="410" w:type="dxa"/>
          <w:tblLayout w:type="fixed"/>
          <w:tblCellMar>
            <w:top w:w="0" w:type="dxa"/>
            <w:left w:w="0" w:type="dxa"/>
            <w:bottom w:w="0" w:type="dxa"/>
            <w:right w:w="0" w:type="dxa"/>
          </w:tblCellMar>
          <w:tblLook w:val="01E0"/>
        </w:tblPrEx>
        <w:trPr>
          <w:trHeight w:val="450"/>
          <w:jc w:val="left"/>
        </w:trPr>
        <w:tc>
          <w:tcPr>
            <w:tcW w:w="3418" w:type="dxa"/>
          </w:tcPr>
          <w:p>
            <w:pPr>
              <w:pStyle w:val="TableParagraph"/>
              <w:spacing w:line="268" w:lineRule="exact"/>
              <w:ind w:left="107"/>
              <w:rPr>
                <w:sz w:val="22"/>
              </w:rPr>
            </w:pPr>
            <w:r>
              <w:rPr>
                <w:sz w:val="22"/>
              </w:rPr>
              <w:t>Resource DEL expenditure</w:t>
            </w:r>
          </w:p>
        </w:tc>
        <w:tc>
          <w:tcPr>
            <w:tcW w:w="1462" w:type="dxa"/>
          </w:tcPr>
          <w:p>
            <w:pPr>
              <w:pStyle w:val="TableParagraph"/>
              <w:spacing w:line="268" w:lineRule="exact"/>
              <w:ind w:right="97"/>
              <w:jc w:val="right"/>
              <w:rPr>
                <w:sz w:val="22"/>
              </w:rPr>
            </w:pPr>
            <w:r>
              <w:rPr>
                <w:sz w:val="22"/>
              </w:rPr>
              <w:t>1,417.7</w:t>
            </w:r>
          </w:p>
        </w:tc>
        <w:tc>
          <w:tcPr>
            <w:tcW w:w="1433" w:type="dxa"/>
          </w:tcPr>
          <w:p>
            <w:pPr>
              <w:pStyle w:val="TableParagraph"/>
              <w:spacing w:line="268" w:lineRule="exact"/>
              <w:ind w:right="95"/>
              <w:jc w:val="right"/>
              <w:rPr>
                <w:sz w:val="22"/>
              </w:rPr>
            </w:pPr>
            <w:r>
              <w:rPr>
                <w:sz w:val="22"/>
              </w:rPr>
              <w:t>1,290.3</w:t>
            </w:r>
          </w:p>
        </w:tc>
        <w:tc>
          <w:tcPr>
            <w:tcW w:w="1272" w:type="dxa"/>
          </w:tcPr>
          <w:p>
            <w:pPr>
              <w:pStyle w:val="TableParagraph"/>
              <w:spacing w:line="268" w:lineRule="exact"/>
              <w:ind w:right="95"/>
              <w:jc w:val="right"/>
              <w:rPr>
                <w:sz w:val="22"/>
              </w:rPr>
            </w:pPr>
            <w:r>
              <w:rPr>
                <w:sz w:val="22"/>
              </w:rPr>
              <w:t>1,257.6</w:t>
            </w:r>
          </w:p>
        </w:tc>
      </w:tr>
      <w:tr>
        <w:tblPrEx>
          <w:tblW w:w="0" w:type="auto"/>
          <w:jc w:val="left"/>
          <w:tblInd w:w="410" w:type="dxa"/>
          <w:tblLayout w:type="fixed"/>
          <w:tblCellMar>
            <w:top w:w="0" w:type="dxa"/>
            <w:left w:w="0" w:type="dxa"/>
            <w:bottom w:w="0" w:type="dxa"/>
            <w:right w:w="0" w:type="dxa"/>
          </w:tblCellMar>
          <w:tblLook w:val="01E0"/>
        </w:tblPrEx>
        <w:trPr>
          <w:trHeight w:val="448"/>
          <w:jc w:val="left"/>
        </w:trPr>
        <w:tc>
          <w:tcPr>
            <w:tcW w:w="3418" w:type="dxa"/>
          </w:tcPr>
          <w:p>
            <w:pPr>
              <w:pStyle w:val="TableParagraph"/>
              <w:spacing w:line="268" w:lineRule="exact"/>
              <w:ind w:left="107"/>
              <w:rPr>
                <w:sz w:val="22"/>
              </w:rPr>
            </w:pPr>
            <w:r>
              <w:rPr>
                <w:sz w:val="22"/>
              </w:rPr>
              <w:t>Resource DEL income</w:t>
            </w:r>
          </w:p>
        </w:tc>
        <w:tc>
          <w:tcPr>
            <w:tcW w:w="1462" w:type="dxa"/>
          </w:tcPr>
          <w:p>
            <w:pPr>
              <w:pStyle w:val="TableParagraph"/>
              <w:spacing w:line="268" w:lineRule="exact"/>
              <w:ind w:right="97"/>
              <w:jc w:val="right"/>
              <w:rPr>
                <w:sz w:val="22"/>
              </w:rPr>
            </w:pPr>
            <w:r>
              <w:rPr>
                <w:sz w:val="22"/>
              </w:rPr>
              <w:t>-977.8</w:t>
            </w:r>
          </w:p>
        </w:tc>
        <w:tc>
          <w:tcPr>
            <w:tcW w:w="1433" w:type="dxa"/>
          </w:tcPr>
          <w:p>
            <w:pPr>
              <w:pStyle w:val="TableParagraph"/>
              <w:spacing w:line="268" w:lineRule="exact"/>
              <w:ind w:right="95"/>
              <w:jc w:val="right"/>
              <w:rPr>
                <w:sz w:val="22"/>
              </w:rPr>
            </w:pPr>
            <w:r>
              <w:rPr>
                <w:sz w:val="22"/>
              </w:rPr>
              <w:t>-1,029.6</w:t>
            </w:r>
          </w:p>
        </w:tc>
        <w:tc>
          <w:tcPr>
            <w:tcW w:w="1272" w:type="dxa"/>
          </w:tcPr>
          <w:p>
            <w:pPr>
              <w:pStyle w:val="TableParagraph"/>
              <w:spacing w:line="268" w:lineRule="exact"/>
              <w:ind w:right="95"/>
              <w:jc w:val="right"/>
              <w:rPr>
                <w:sz w:val="22"/>
              </w:rPr>
            </w:pPr>
            <w:r>
              <w:rPr>
                <w:sz w:val="22"/>
              </w:rPr>
              <w:t>-1,179.7</w:t>
            </w:r>
          </w:p>
        </w:tc>
      </w:tr>
      <w:tr>
        <w:tblPrEx>
          <w:tblW w:w="0" w:type="auto"/>
          <w:jc w:val="left"/>
          <w:tblInd w:w="410" w:type="dxa"/>
          <w:tblLayout w:type="fixed"/>
          <w:tblCellMar>
            <w:top w:w="0" w:type="dxa"/>
            <w:left w:w="0" w:type="dxa"/>
            <w:bottom w:w="0" w:type="dxa"/>
            <w:right w:w="0" w:type="dxa"/>
          </w:tblCellMar>
          <w:tblLook w:val="01E0"/>
        </w:tblPrEx>
        <w:trPr>
          <w:trHeight w:val="450"/>
          <w:jc w:val="left"/>
        </w:trPr>
        <w:tc>
          <w:tcPr>
            <w:tcW w:w="3418" w:type="dxa"/>
          </w:tcPr>
          <w:p>
            <w:pPr>
              <w:pStyle w:val="TableParagraph"/>
              <w:spacing w:before="1"/>
              <w:ind w:left="107"/>
              <w:rPr>
                <w:b/>
                <w:sz w:val="22"/>
              </w:rPr>
            </w:pPr>
            <w:r>
              <w:rPr>
                <w:b/>
                <w:sz w:val="22"/>
              </w:rPr>
              <w:t>Net Resource DEL</w:t>
            </w:r>
          </w:p>
        </w:tc>
        <w:tc>
          <w:tcPr>
            <w:tcW w:w="1462" w:type="dxa"/>
          </w:tcPr>
          <w:p>
            <w:pPr>
              <w:pStyle w:val="TableParagraph"/>
              <w:spacing w:before="1"/>
              <w:ind w:right="98"/>
              <w:jc w:val="right"/>
              <w:rPr>
                <w:b/>
                <w:sz w:val="22"/>
              </w:rPr>
            </w:pPr>
            <w:r>
              <w:rPr>
                <w:b/>
                <w:sz w:val="22"/>
              </w:rPr>
              <w:t>440.0</w:t>
            </w:r>
          </w:p>
        </w:tc>
        <w:tc>
          <w:tcPr>
            <w:tcW w:w="1433" w:type="dxa"/>
          </w:tcPr>
          <w:p>
            <w:pPr>
              <w:pStyle w:val="TableParagraph"/>
              <w:spacing w:before="1"/>
              <w:ind w:right="96"/>
              <w:jc w:val="right"/>
              <w:rPr>
                <w:b/>
                <w:sz w:val="22"/>
              </w:rPr>
            </w:pPr>
            <w:r>
              <w:rPr>
                <w:b/>
                <w:sz w:val="22"/>
              </w:rPr>
              <w:t>260.7</w:t>
            </w:r>
          </w:p>
        </w:tc>
        <w:tc>
          <w:tcPr>
            <w:tcW w:w="1272" w:type="dxa"/>
          </w:tcPr>
          <w:p>
            <w:pPr>
              <w:pStyle w:val="TableParagraph"/>
              <w:spacing w:before="1"/>
              <w:ind w:right="94"/>
              <w:jc w:val="right"/>
              <w:rPr>
                <w:b/>
                <w:sz w:val="22"/>
              </w:rPr>
            </w:pPr>
            <w:r>
              <w:rPr>
                <w:b/>
                <w:sz w:val="22"/>
              </w:rPr>
              <w:t>78.0</w:t>
            </w:r>
          </w:p>
        </w:tc>
      </w:tr>
      <w:tr>
        <w:tblPrEx>
          <w:tblW w:w="0" w:type="auto"/>
          <w:jc w:val="left"/>
          <w:tblInd w:w="410" w:type="dxa"/>
          <w:tblLayout w:type="fixed"/>
          <w:tblCellMar>
            <w:top w:w="0" w:type="dxa"/>
            <w:left w:w="0" w:type="dxa"/>
            <w:bottom w:w="0" w:type="dxa"/>
            <w:right w:w="0" w:type="dxa"/>
          </w:tblCellMar>
          <w:tblLook w:val="01E0"/>
        </w:tblPrEx>
        <w:trPr>
          <w:trHeight w:val="450"/>
          <w:jc w:val="left"/>
        </w:trPr>
        <w:tc>
          <w:tcPr>
            <w:tcW w:w="3418" w:type="dxa"/>
          </w:tcPr>
          <w:p>
            <w:pPr>
              <w:pStyle w:val="TableParagraph"/>
              <w:spacing w:line="268" w:lineRule="exact"/>
              <w:ind w:left="107"/>
              <w:rPr>
                <w:i/>
                <w:sz w:val="22"/>
              </w:rPr>
            </w:pPr>
            <w:r>
              <w:rPr>
                <w:i/>
                <w:sz w:val="22"/>
              </w:rPr>
              <w:t>of which Admin</w:t>
            </w:r>
          </w:p>
        </w:tc>
        <w:tc>
          <w:tcPr>
            <w:tcW w:w="1462" w:type="dxa"/>
          </w:tcPr>
          <w:p>
            <w:pPr>
              <w:pStyle w:val="TableParagraph"/>
              <w:spacing w:line="268" w:lineRule="exact"/>
              <w:ind w:right="97"/>
              <w:jc w:val="right"/>
              <w:rPr>
                <w:i/>
                <w:sz w:val="22"/>
              </w:rPr>
            </w:pPr>
            <w:r>
              <w:rPr>
                <w:i/>
                <w:sz w:val="22"/>
              </w:rPr>
              <w:t>35.0</w:t>
            </w:r>
          </w:p>
        </w:tc>
        <w:tc>
          <w:tcPr>
            <w:tcW w:w="1433" w:type="dxa"/>
          </w:tcPr>
          <w:p>
            <w:pPr>
              <w:pStyle w:val="TableParagraph"/>
              <w:spacing w:line="268" w:lineRule="exact"/>
              <w:ind w:right="95"/>
              <w:jc w:val="right"/>
              <w:rPr>
                <w:i/>
                <w:sz w:val="22"/>
              </w:rPr>
            </w:pPr>
            <w:r>
              <w:rPr>
                <w:i/>
                <w:sz w:val="22"/>
              </w:rPr>
              <w:t>38.2</w:t>
            </w:r>
          </w:p>
        </w:tc>
        <w:tc>
          <w:tcPr>
            <w:tcW w:w="1272" w:type="dxa"/>
          </w:tcPr>
          <w:p>
            <w:pPr>
              <w:pStyle w:val="TableParagraph"/>
              <w:spacing w:line="268" w:lineRule="exact"/>
              <w:ind w:right="95"/>
              <w:jc w:val="right"/>
              <w:rPr>
                <w:i/>
                <w:sz w:val="22"/>
              </w:rPr>
            </w:pPr>
            <w:r>
              <w:rPr>
                <w:i/>
                <w:sz w:val="22"/>
              </w:rPr>
              <w:t>42.1</w:t>
            </w:r>
          </w:p>
        </w:tc>
      </w:tr>
      <w:tr>
        <w:tblPrEx>
          <w:tblW w:w="0" w:type="auto"/>
          <w:jc w:val="left"/>
          <w:tblInd w:w="410" w:type="dxa"/>
          <w:tblLayout w:type="fixed"/>
          <w:tblCellMar>
            <w:top w:w="0" w:type="dxa"/>
            <w:left w:w="0" w:type="dxa"/>
            <w:bottom w:w="0" w:type="dxa"/>
            <w:right w:w="0" w:type="dxa"/>
          </w:tblCellMar>
          <w:tblLook w:val="01E0"/>
        </w:tblPrEx>
        <w:trPr>
          <w:trHeight w:val="448"/>
          <w:jc w:val="left"/>
        </w:trPr>
        <w:tc>
          <w:tcPr>
            <w:tcW w:w="3418" w:type="dxa"/>
          </w:tcPr>
          <w:p>
            <w:pPr>
              <w:pStyle w:val="TableParagraph"/>
              <w:spacing w:line="268" w:lineRule="exact"/>
              <w:ind w:left="107"/>
              <w:rPr>
                <w:sz w:val="22"/>
              </w:rPr>
            </w:pPr>
            <w:r>
              <w:rPr>
                <w:sz w:val="22"/>
              </w:rPr>
              <w:t>Capital DEL expenditure</w:t>
            </w:r>
          </w:p>
        </w:tc>
        <w:tc>
          <w:tcPr>
            <w:tcW w:w="1462" w:type="dxa"/>
          </w:tcPr>
          <w:p>
            <w:pPr>
              <w:pStyle w:val="TableParagraph"/>
              <w:spacing w:line="268" w:lineRule="exact"/>
              <w:ind w:right="97"/>
              <w:jc w:val="right"/>
              <w:rPr>
                <w:sz w:val="22"/>
              </w:rPr>
            </w:pPr>
            <w:r>
              <w:rPr>
                <w:sz w:val="22"/>
              </w:rPr>
              <w:t>1,827.7</w:t>
            </w:r>
          </w:p>
        </w:tc>
        <w:tc>
          <w:tcPr>
            <w:tcW w:w="1433" w:type="dxa"/>
          </w:tcPr>
          <w:p>
            <w:pPr>
              <w:pStyle w:val="TableParagraph"/>
              <w:spacing w:line="268" w:lineRule="exact"/>
              <w:ind w:right="95"/>
              <w:jc w:val="right"/>
              <w:rPr>
                <w:sz w:val="22"/>
              </w:rPr>
            </w:pPr>
            <w:r>
              <w:rPr>
                <w:sz w:val="22"/>
              </w:rPr>
              <w:t>1,970.7</w:t>
            </w:r>
          </w:p>
        </w:tc>
        <w:tc>
          <w:tcPr>
            <w:tcW w:w="1272" w:type="dxa"/>
          </w:tcPr>
          <w:p>
            <w:pPr>
              <w:pStyle w:val="TableParagraph"/>
              <w:spacing w:line="268" w:lineRule="exact"/>
              <w:ind w:right="95"/>
              <w:jc w:val="right"/>
              <w:rPr>
                <w:sz w:val="22"/>
              </w:rPr>
            </w:pPr>
            <w:r>
              <w:rPr>
                <w:sz w:val="22"/>
              </w:rPr>
              <w:t>2,051.0</w:t>
            </w:r>
          </w:p>
        </w:tc>
      </w:tr>
      <w:tr>
        <w:tblPrEx>
          <w:tblW w:w="0" w:type="auto"/>
          <w:jc w:val="left"/>
          <w:tblInd w:w="410" w:type="dxa"/>
          <w:tblLayout w:type="fixed"/>
          <w:tblCellMar>
            <w:top w:w="0" w:type="dxa"/>
            <w:left w:w="0" w:type="dxa"/>
            <w:bottom w:w="0" w:type="dxa"/>
            <w:right w:w="0" w:type="dxa"/>
          </w:tblCellMar>
          <w:tblLook w:val="01E0"/>
        </w:tblPrEx>
        <w:trPr>
          <w:trHeight w:val="450"/>
          <w:jc w:val="left"/>
        </w:trPr>
        <w:tc>
          <w:tcPr>
            <w:tcW w:w="3418" w:type="dxa"/>
          </w:tcPr>
          <w:p>
            <w:pPr>
              <w:pStyle w:val="TableParagraph"/>
              <w:spacing w:line="268" w:lineRule="exact"/>
              <w:ind w:left="107"/>
              <w:rPr>
                <w:sz w:val="22"/>
              </w:rPr>
            </w:pPr>
            <w:r>
              <w:rPr>
                <w:sz w:val="22"/>
              </w:rPr>
              <w:t>Capital DEL income</w:t>
            </w:r>
          </w:p>
        </w:tc>
        <w:tc>
          <w:tcPr>
            <w:tcW w:w="1462" w:type="dxa"/>
          </w:tcPr>
          <w:p>
            <w:pPr>
              <w:pStyle w:val="TableParagraph"/>
              <w:spacing w:line="268" w:lineRule="exact"/>
              <w:ind w:right="97"/>
              <w:jc w:val="right"/>
              <w:rPr>
                <w:sz w:val="22"/>
              </w:rPr>
            </w:pPr>
            <w:r>
              <w:rPr>
                <w:sz w:val="22"/>
              </w:rPr>
              <w:t>-51.6</w:t>
            </w:r>
          </w:p>
        </w:tc>
        <w:tc>
          <w:tcPr>
            <w:tcW w:w="1433" w:type="dxa"/>
          </w:tcPr>
          <w:p>
            <w:pPr>
              <w:pStyle w:val="TableParagraph"/>
              <w:spacing w:line="268" w:lineRule="exact"/>
              <w:ind w:right="96"/>
              <w:jc w:val="right"/>
              <w:rPr>
                <w:sz w:val="22"/>
              </w:rPr>
            </w:pPr>
            <w:r>
              <w:rPr>
                <w:w w:val="100"/>
                <w:sz w:val="22"/>
              </w:rPr>
              <w:t>-</w:t>
            </w:r>
          </w:p>
        </w:tc>
        <w:tc>
          <w:tcPr>
            <w:tcW w:w="1272" w:type="dxa"/>
          </w:tcPr>
          <w:p>
            <w:pPr>
              <w:pStyle w:val="TableParagraph"/>
              <w:spacing w:line="268" w:lineRule="exact"/>
              <w:ind w:right="96"/>
              <w:jc w:val="right"/>
              <w:rPr>
                <w:sz w:val="22"/>
              </w:rPr>
            </w:pPr>
            <w:r>
              <w:rPr>
                <w:w w:val="100"/>
                <w:sz w:val="22"/>
              </w:rPr>
              <w:t>-</w:t>
            </w:r>
          </w:p>
        </w:tc>
      </w:tr>
      <w:tr>
        <w:tblPrEx>
          <w:tblW w:w="0" w:type="auto"/>
          <w:jc w:val="left"/>
          <w:tblInd w:w="410" w:type="dxa"/>
          <w:tblLayout w:type="fixed"/>
          <w:tblCellMar>
            <w:top w:w="0" w:type="dxa"/>
            <w:left w:w="0" w:type="dxa"/>
            <w:bottom w:w="0" w:type="dxa"/>
            <w:right w:w="0" w:type="dxa"/>
          </w:tblCellMar>
          <w:tblLook w:val="01E0"/>
        </w:tblPrEx>
        <w:trPr>
          <w:trHeight w:val="448"/>
          <w:jc w:val="left"/>
        </w:trPr>
        <w:tc>
          <w:tcPr>
            <w:tcW w:w="3418" w:type="dxa"/>
          </w:tcPr>
          <w:p>
            <w:pPr>
              <w:pStyle w:val="TableParagraph"/>
              <w:spacing w:line="268" w:lineRule="exact"/>
              <w:ind w:left="107"/>
              <w:rPr>
                <w:b/>
                <w:sz w:val="22"/>
              </w:rPr>
            </w:pPr>
            <w:r>
              <w:rPr>
                <w:b/>
                <w:sz w:val="22"/>
              </w:rPr>
              <w:t>Net Capital DEL</w:t>
            </w:r>
          </w:p>
        </w:tc>
        <w:tc>
          <w:tcPr>
            <w:tcW w:w="1462" w:type="dxa"/>
          </w:tcPr>
          <w:p>
            <w:pPr>
              <w:pStyle w:val="TableParagraph"/>
              <w:spacing w:line="268" w:lineRule="exact"/>
              <w:ind w:right="97"/>
              <w:jc w:val="right"/>
              <w:rPr>
                <w:b/>
                <w:sz w:val="22"/>
              </w:rPr>
            </w:pPr>
            <w:r>
              <w:rPr>
                <w:b/>
                <w:sz w:val="22"/>
              </w:rPr>
              <w:t>1,776.1</w:t>
            </w:r>
          </w:p>
        </w:tc>
        <w:tc>
          <w:tcPr>
            <w:tcW w:w="1433" w:type="dxa"/>
          </w:tcPr>
          <w:p>
            <w:pPr>
              <w:pStyle w:val="TableParagraph"/>
              <w:spacing w:line="268" w:lineRule="exact"/>
              <w:ind w:right="95"/>
              <w:jc w:val="right"/>
              <w:rPr>
                <w:b/>
                <w:sz w:val="22"/>
              </w:rPr>
            </w:pPr>
            <w:r>
              <w:rPr>
                <w:b/>
                <w:sz w:val="22"/>
              </w:rPr>
              <w:t>1,970.7</w:t>
            </w:r>
          </w:p>
        </w:tc>
        <w:tc>
          <w:tcPr>
            <w:tcW w:w="1272" w:type="dxa"/>
          </w:tcPr>
          <w:p>
            <w:pPr>
              <w:pStyle w:val="TableParagraph"/>
              <w:spacing w:line="268" w:lineRule="exact"/>
              <w:ind w:right="95"/>
              <w:jc w:val="right"/>
              <w:rPr>
                <w:b/>
                <w:sz w:val="22"/>
              </w:rPr>
            </w:pPr>
            <w:r>
              <w:rPr>
                <w:b/>
                <w:sz w:val="22"/>
              </w:rPr>
              <w:t>2,051.0</w:t>
            </w:r>
          </w:p>
        </w:tc>
      </w:tr>
      <w:tr>
        <w:tblPrEx>
          <w:tblW w:w="0" w:type="auto"/>
          <w:jc w:val="left"/>
          <w:tblInd w:w="410" w:type="dxa"/>
          <w:tblLayout w:type="fixed"/>
          <w:tblCellMar>
            <w:top w:w="0" w:type="dxa"/>
            <w:left w:w="0" w:type="dxa"/>
            <w:bottom w:w="0" w:type="dxa"/>
            <w:right w:w="0" w:type="dxa"/>
          </w:tblCellMar>
          <w:tblLook w:val="01E0"/>
        </w:tblPrEx>
        <w:trPr>
          <w:trHeight w:val="450"/>
          <w:jc w:val="left"/>
        </w:trPr>
        <w:tc>
          <w:tcPr>
            <w:tcW w:w="3418" w:type="dxa"/>
          </w:tcPr>
          <w:p>
            <w:pPr>
              <w:pStyle w:val="TableParagraph"/>
              <w:spacing w:line="268" w:lineRule="exact"/>
              <w:ind w:left="107"/>
              <w:rPr>
                <w:b/>
                <w:sz w:val="22"/>
              </w:rPr>
            </w:pPr>
            <w:r>
              <w:rPr>
                <w:b/>
                <w:sz w:val="22"/>
              </w:rPr>
              <w:t>Total Net DEL</w:t>
            </w:r>
          </w:p>
        </w:tc>
        <w:tc>
          <w:tcPr>
            <w:tcW w:w="1462" w:type="dxa"/>
          </w:tcPr>
          <w:p>
            <w:pPr>
              <w:pStyle w:val="TableParagraph"/>
              <w:spacing w:line="268" w:lineRule="exact"/>
              <w:ind w:right="97"/>
              <w:jc w:val="right"/>
              <w:rPr>
                <w:b/>
                <w:sz w:val="22"/>
              </w:rPr>
            </w:pPr>
            <w:r>
              <w:rPr>
                <w:b/>
                <w:sz w:val="22"/>
              </w:rPr>
              <w:t>2,216.0</w:t>
            </w:r>
          </w:p>
        </w:tc>
        <w:tc>
          <w:tcPr>
            <w:tcW w:w="1433" w:type="dxa"/>
          </w:tcPr>
          <w:p>
            <w:pPr>
              <w:pStyle w:val="TableParagraph"/>
              <w:spacing w:line="268" w:lineRule="exact"/>
              <w:ind w:right="95"/>
              <w:jc w:val="right"/>
              <w:rPr>
                <w:b/>
                <w:sz w:val="22"/>
              </w:rPr>
            </w:pPr>
            <w:r>
              <w:rPr>
                <w:b/>
                <w:sz w:val="22"/>
              </w:rPr>
              <w:t>2,231.4</w:t>
            </w:r>
          </w:p>
        </w:tc>
        <w:tc>
          <w:tcPr>
            <w:tcW w:w="1272" w:type="dxa"/>
          </w:tcPr>
          <w:p>
            <w:pPr>
              <w:pStyle w:val="TableParagraph"/>
              <w:spacing w:line="268" w:lineRule="exact"/>
              <w:ind w:right="95"/>
              <w:jc w:val="right"/>
              <w:rPr>
                <w:b/>
                <w:sz w:val="22"/>
              </w:rPr>
            </w:pPr>
            <w:r>
              <w:rPr>
                <w:b/>
                <w:sz w:val="22"/>
              </w:rPr>
              <w:t>2,129.0</w:t>
            </w:r>
          </w:p>
        </w:tc>
      </w:tr>
    </w:tbl>
    <w:p>
      <w:pPr>
        <w:spacing w:after="0" w:line="268" w:lineRule="exact"/>
        <w:jc w:val="right"/>
        <w:rPr>
          <w:sz w:val="22"/>
        </w:rPr>
        <w:sectPr>
          <w:pgSz w:w="11910" w:h="16840"/>
          <w:pgMar w:top="1400" w:right="280" w:bottom="280" w:left="1040" w:header="720" w:footer="720"/>
          <w:cols w:space="720"/>
        </w:sectPr>
      </w:pPr>
    </w:p>
    <w:tbl>
      <w:tblPr>
        <w:tblW w:w="0" w:type="auto"/>
        <w:jc w:val="left"/>
        <w:tblInd w:w="4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418"/>
        <w:gridCol w:w="1462"/>
        <w:gridCol w:w="1433"/>
        <w:gridCol w:w="1272"/>
      </w:tblGrid>
      <w:tr>
        <w:tblPrEx>
          <w:tblW w:w="0" w:type="auto"/>
          <w:jc w:val="left"/>
          <w:tblInd w:w="4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450"/>
          <w:jc w:val="left"/>
        </w:trPr>
        <w:tc>
          <w:tcPr>
            <w:tcW w:w="3418" w:type="dxa"/>
          </w:tcPr>
          <w:p>
            <w:pPr>
              <w:pStyle w:val="TableParagraph"/>
              <w:spacing w:line="268" w:lineRule="exact"/>
              <w:ind w:left="107"/>
              <w:rPr>
                <w:sz w:val="22"/>
              </w:rPr>
            </w:pPr>
            <w:r>
              <w:rPr>
                <w:sz w:val="22"/>
              </w:rPr>
              <w:t>AME Depreciation/Impairments</w:t>
            </w:r>
          </w:p>
        </w:tc>
        <w:tc>
          <w:tcPr>
            <w:tcW w:w="1462" w:type="dxa"/>
          </w:tcPr>
          <w:p>
            <w:pPr>
              <w:pStyle w:val="TableParagraph"/>
              <w:spacing w:line="268" w:lineRule="exact"/>
              <w:ind w:right="97"/>
              <w:jc w:val="right"/>
              <w:rPr>
                <w:sz w:val="22"/>
              </w:rPr>
            </w:pPr>
            <w:r>
              <w:rPr>
                <w:sz w:val="22"/>
              </w:rPr>
              <w:t>54.4</w:t>
            </w:r>
          </w:p>
        </w:tc>
        <w:tc>
          <w:tcPr>
            <w:tcW w:w="1433" w:type="dxa"/>
          </w:tcPr>
          <w:p>
            <w:pPr>
              <w:pStyle w:val="TableParagraph"/>
              <w:spacing w:line="268" w:lineRule="exact"/>
              <w:ind w:right="95"/>
              <w:jc w:val="right"/>
              <w:rPr>
                <w:sz w:val="22"/>
              </w:rPr>
            </w:pPr>
            <w:r>
              <w:rPr>
                <w:sz w:val="22"/>
              </w:rPr>
              <w:t>29.0</w:t>
            </w:r>
          </w:p>
        </w:tc>
        <w:tc>
          <w:tcPr>
            <w:tcW w:w="1272" w:type="dxa"/>
          </w:tcPr>
          <w:p>
            <w:pPr>
              <w:pStyle w:val="TableParagraph"/>
              <w:spacing w:line="268" w:lineRule="exact"/>
              <w:ind w:right="95"/>
              <w:jc w:val="right"/>
              <w:rPr>
                <w:sz w:val="22"/>
              </w:rPr>
            </w:pPr>
            <w:r>
              <w:rPr>
                <w:sz w:val="22"/>
              </w:rPr>
              <w:t>305.8</w:t>
            </w:r>
          </w:p>
        </w:tc>
      </w:tr>
      <w:tr>
        <w:tblPrEx>
          <w:tblW w:w="0" w:type="auto"/>
          <w:jc w:val="left"/>
          <w:tblInd w:w="410" w:type="dxa"/>
          <w:tblLayout w:type="fixed"/>
          <w:tblCellMar>
            <w:top w:w="0" w:type="dxa"/>
            <w:left w:w="0" w:type="dxa"/>
            <w:bottom w:w="0" w:type="dxa"/>
            <w:right w:w="0" w:type="dxa"/>
          </w:tblCellMar>
          <w:tblLook w:val="01E0"/>
        </w:tblPrEx>
        <w:trPr>
          <w:trHeight w:val="738"/>
          <w:jc w:val="left"/>
        </w:trPr>
        <w:tc>
          <w:tcPr>
            <w:tcW w:w="3418" w:type="dxa"/>
          </w:tcPr>
          <w:p>
            <w:pPr>
              <w:pStyle w:val="TableParagraph"/>
              <w:spacing w:line="259" w:lineRule="auto"/>
              <w:ind w:left="107" w:right="929"/>
              <w:rPr>
                <w:sz w:val="22"/>
              </w:rPr>
            </w:pPr>
            <w:r>
              <w:rPr>
                <w:sz w:val="22"/>
              </w:rPr>
              <w:t>AME Movement in Provisions/other non-cash</w:t>
            </w:r>
          </w:p>
        </w:tc>
        <w:tc>
          <w:tcPr>
            <w:tcW w:w="1462" w:type="dxa"/>
          </w:tcPr>
          <w:p>
            <w:pPr>
              <w:pStyle w:val="TableParagraph"/>
              <w:spacing w:line="268" w:lineRule="exact"/>
              <w:ind w:right="96"/>
              <w:jc w:val="right"/>
              <w:rPr>
                <w:sz w:val="22"/>
              </w:rPr>
            </w:pPr>
            <w:r>
              <w:rPr>
                <w:sz w:val="22"/>
              </w:rPr>
              <w:t>89,743.6</w:t>
            </w:r>
          </w:p>
        </w:tc>
        <w:tc>
          <w:tcPr>
            <w:tcW w:w="1433" w:type="dxa"/>
          </w:tcPr>
          <w:p>
            <w:pPr>
              <w:pStyle w:val="TableParagraph"/>
              <w:spacing w:line="268" w:lineRule="exact"/>
              <w:ind w:right="95"/>
              <w:jc w:val="right"/>
              <w:rPr>
                <w:sz w:val="22"/>
              </w:rPr>
            </w:pPr>
            <w:r>
              <w:rPr>
                <w:sz w:val="22"/>
              </w:rPr>
              <w:t>2,821.5</w:t>
            </w:r>
          </w:p>
        </w:tc>
        <w:tc>
          <w:tcPr>
            <w:tcW w:w="1272" w:type="dxa"/>
          </w:tcPr>
          <w:p>
            <w:pPr>
              <w:pStyle w:val="TableParagraph"/>
              <w:spacing w:line="268" w:lineRule="exact"/>
              <w:ind w:right="94"/>
              <w:jc w:val="right"/>
              <w:rPr>
                <w:sz w:val="22"/>
              </w:rPr>
            </w:pPr>
            <w:r>
              <w:rPr>
                <w:sz w:val="22"/>
              </w:rPr>
              <w:t>69,606.0</w:t>
            </w:r>
          </w:p>
        </w:tc>
      </w:tr>
      <w:tr>
        <w:tblPrEx>
          <w:tblW w:w="0" w:type="auto"/>
          <w:jc w:val="left"/>
          <w:tblInd w:w="410" w:type="dxa"/>
          <w:tblLayout w:type="fixed"/>
          <w:tblCellMar>
            <w:top w:w="0" w:type="dxa"/>
            <w:left w:w="0" w:type="dxa"/>
            <w:bottom w:w="0" w:type="dxa"/>
            <w:right w:w="0" w:type="dxa"/>
          </w:tblCellMar>
          <w:tblLook w:val="01E0"/>
        </w:tblPrEx>
        <w:trPr>
          <w:trHeight w:val="450"/>
          <w:jc w:val="left"/>
        </w:trPr>
        <w:tc>
          <w:tcPr>
            <w:tcW w:w="3418" w:type="dxa"/>
          </w:tcPr>
          <w:p>
            <w:pPr>
              <w:pStyle w:val="TableParagraph"/>
              <w:spacing w:line="268" w:lineRule="exact"/>
              <w:ind w:left="107"/>
              <w:rPr>
                <w:b/>
                <w:sz w:val="22"/>
              </w:rPr>
            </w:pPr>
            <w:r>
              <w:rPr>
                <w:b/>
                <w:sz w:val="22"/>
              </w:rPr>
              <w:t>Total AME</w:t>
            </w:r>
          </w:p>
        </w:tc>
        <w:tc>
          <w:tcPr>
            <w:tcW w:w="1462" w:type="dxa"/>
          </w:tcPr>
          <w:p>
            <w:pPr>
              <w:pStyle w:val="TableParagraph"/>
              <w:spacing w:line="268" w:lineRule="exact"/>
              <w:ind w:right="96"/>
              <w:jc w:val="right"/>
              <w:rPr>
                <w:b/>
                <w:sz w:val="22"/>
              </w:rPr>
            </w:pPr>
            <w:r>
              <w:rPr>
                <w:b/>
                <w:sz w:val="22"/>
              </w:rPr>
              <w:t>89,797.9</w:t>
            </w:r>
          </w:p>
        </w:tc>
        <w:tc>
          <w:tcPr>
            <w:tcW w:w="1433" w:type="dxa"/>
          </w:tcPr>
          <w:p>
            <w:pPr>
              <w:pStyle w:val="TableParagraph"/>
              <w:spacing w:line="268" w:lineRule="exact"/>
              <w:ind w:right="95"/>
              <w:jc w:val="right"/>
              <w:rPr>
                <w:b/>
                <w:sz w:val="22"/>
              </w:rPr>
            </w:pPr>
            <w:r>
              <w:rPr>
                <w:b/>
                <w:sz w:val="22"/>
              </w:rPr>
              <w:t>2,850.5</w:t>
            </w:r>
          </w:p>
        </w:tc>
        <w:tc>
          <w:tcPr>
            <w:tcW w:w="1272" w:type="dxa"/>
          </w:tcPr>
          <w:p>
            <w:pPr>
              <w:pStyle w:val="TableParagraph"/>
              <w:spacing w:line="268" w:lineRule="exact"/>
              <w:ind w:right="94"/>
              <w:jc w:val="right"/>
              <w:rPr>
                <w:b/>
                <w:sz w:val="22"/>
              </w:rPr>
            </w:pPr>
            <w:r>
              <w:rPr>
                <w:b/>
                <w:sz w:val="22"/>
              </w:rPr>
              <w:t>69,911.9</w:t>
            </w:r>
          </w:p>
        </w:tc>
      </w:tr>
    </w:tbl>
    <w:p>
      <w:pPr>
        <w:pStyle w:val="BodyText"/>
        <w:rPr>
          <w:rFonts w:ascii="Calibri Light"/>
          <w:b w:val="0"/>
          <w:sz w:val="20"/>
        </w:rPr>
      </w:pPr>
    </w:p>
    <w:p>
      <w:pPr>
        <w:pStyle w:val="BodyText"/>
        <w:rPr>
          <w:rFonts w:ascii="Calibri Light"/>
          <w:b w:val="0"/>
          <w:sz w:val="20"/>
        </w:rPr>
      </w:pPr>
    </w:p>
    <w:p>
      <w:pPr>
        <w:pStyle w:val="BodyText"/>
        <w:rPr>
          <w:rFonts w:ascii="Calibri Light"/>
          <w:b w:val="0"/>
          <w:sz w:val="20"/>
        </w:rPr>
      </w:pPr>
    </w:p>
    <w:p>
      <w:pPr>
        <w:pStyle w:val="BodyText"/>
        <w:rPr>
          <w:rFonts w:ascii="Calibri Light"/>
          <w:b w:val="0"/>
          <w:sz w:val="20"/>
        </w:rPr>
      </w:pPr>
    </w:p>
    <w:p>
      <w:pPr>
        <w:pStyle w:val="BodyText"/>
        <w:rPr>
          <w:rFonts w:ascii="Calibri Light"/>
          <w:b w:val="0"/>
          <w:sz w:val="20"/>
        </w:rPr>
      </w:pPr>
    </w:p>
    <w:p>
      <w:pPr>
        <w:pStyle w:val="BodyText"/>
        <w:rPr>
          <w:rFonts w:ascii="Calibri Light"/>
          <w:b w:val="0"/>
          <w:sz w:val="20"/>
        </w:rPr>
      </w:pPr>
    </w:p>
    <w:p>
      <w:pPr>
        <w:pStyle w:val="BodyText"/>
        <w:rPr>
          <w:rFonts w:ascii="Calibri Light"/>
          <w:b w:val="0"/>
          <w:sz w:val="20"/>
        </w:rPr>
      </w:pPr>
    </w:p>
    <w:p>
      <w:pPr>
        <w:pStyle w:val="BodyText"/>
        <w:rPr>
          <w:rFonts w:ascii="Calibri Light"/>
          <w:b w:val="0"/>
          <w:sz w:val="20"/>
        </w:rPr>
      </w:pPr>
    </w:p>
    <w:p>
      <w:pPr>
        <w:pStyle w:val="BodyText"/>
        <w:spacing w:before="5"/>
        <w:rPr>
          <w:rFonts w:ascii="Calibri Light"/>
          <w:b w:val="0"/>
          <w:sz w:val="19"/>
        </w:rPr>
      </w:pPr>
    </w:p>
    <w:p>
      <w:pPr>
        <w:pStyle w:val="ListParagraph"/>
        <w:numPr>
          <w:ilvl w:val="0"/>
          <w:numId w:val="1"/>
        </w:numPr>
        <w:tabs>
          <w:tab w:val="left" w:pos="1120"/>
          <w:tab w:val="left" w:pos="1121"/>
        </w:tabs>
        <w:spacing w:before="35" w:after="0" w:line="240" w:lineRule="auto"/>
        <w:ind w:left="1120" w:right="0" w:hanging="721"/>
        <w:jc w:val="left"/>
        <w:rPr>
          <w:rFonts w:ascii="Calibri Light"/>
          <w:b w:val="0"/>
          <w:sz w:val="32"/>
        </w:rPr>
      </w:pPr>
      <w:r>
        <w:rPr>
          <w:rFonts w:ascii="Calibri Light"/>
          <w:b w:val="0"/>
          <w:color w:val="2F5495"/>
          <w:sz w:val="32"/>
        </w:rPr>
        <w:t>Accounting Officer</w:t>
      </w:r>
      <w:r>
        <w:rPr>
          <w:rFonts w:ascii="Calibri Light"/>
          <w:b w:val="0"/>
          <w:color w:val="2F5495"/>
          <w:spacing w:val="-3"/>
          <w:sz w:val="32"/>
        </w:rPr>
        <w:t xml:space="preserve"> </w:t>
      </w:r>
      <w:r>
        <w:rPr>
          <w:rFonts w:ascii="Calibri Light"/>
          <w:b w:val="0"/>
          <w:color w:val="2F5495"/>
          <w:sz w:val="32"/>
        </w:rPr>
        <w:t>Approval</w:t>
      </w:r>
    </w:p>
    <w:p>
      <w:pPr>
        <w:pStyle w:val="BodyText"/>
        <w:spacing w:before="3"/>
        <w:rPr>
          <w:rFonts w:ascii="Calibri Light"/>
          <w:b w:val="0"/>
          <w:sz w:val="39"/>
        </w:rPr>
      </w:pPr>
    </w:p>
    <w:p>
      <w:pPr>
        <w:pStyle w:val="BodyText"/>
        <w:spacing w:line="256" w:lineRule="auto"/>
        <w:ind w:left="400" w:right="1445"/>
      </w:pPr>
      <w:r>
        <w:t>This memorandum has been prepared according to the requirements and guidance set out by the House of Commons Scrutiny Unit, available on the Scrutiny Unit website.</w:t>
      </w:r>
    </w:p>
    <w:p>
      <w:pPr>
        <w:pStyle w:val="BodyText"/>
      </w:pPr>
    </w:p>
    <w:p>
      <w:pPr>
        <w:pStyle w:val="BodyText"/>
        <w:spacing w:before="3"/>
        <w:rPr>
          <w:sz w:val="28"/>
        </w:rPr>
      </w:pPr>
    </w:p>
    <w:p>
      <w:pPr>
        <w:pStyle w:val="BodyText"/>
        <w:spacing w:line="259" w:lineRule="auto"/>
        <w:ind w:left="400" w:right="1418"/>
      </w:pPr>
      <w:r>
        <w:t>The information in this Estimates Memorandum has been approved by Kim Humberstone as co- Director of Finance, on behalf of Sarah Munby, Head of Department and Accounting Officer of the Department for Business, Energy and Industrial Strategy, who is responsible for this Estimate.</w:t>
      </w:r>
    </w:p>
    <w:p>
      <w:pPr>
        <w:pStyle w:val="BodyText"/>
      </w:pPr>
    </w:p>
    <w:p>
      <w:pPr>
        <w:pStyle w:val="BodyText"/>
      </w:pPr>
    </w:p>
    <w:p>
      <w:pPr>
        <w:pStyle w:val="BodyText"/>
      </w:pPr>
    </w:p>
    <w:p>
      <w:pPr>
        <w:pStyle w:val="BodyText"/>
      </w:pPr>
    </w:p>
    <w:p>
      <w:pPr>
        <w:pStyle w:val="BodyText"/>
      </w:pPr>
    </w:p>
    <w:p>
      <w:pPr>
        <w:pStyle w:val="BodyText"/>
        <w:spacing w:before="166"/>
        <w:ind w:left="400"/>
      </w:pPr>
      <w:r>
        <w:t>Kim Humberstone</w:t>
      </w:r>
    </w:p>
    <w:p>
      <w:pPr>
        <w:pStyle w:val="BodyText"/>
        <w:spacing w:before="182"/>
        <w:ind w:left="400"/>
      </w:pPr>
      <w:r>
        <w:t>Co-Director of Finance</w:t>
      </w:r>
    </w:p>
    <w:p>
      <w:pPr>
        <w:pStyle w:val="BodyText"/>
        <w:spacing w:before="181" w:line="403" w:lineRule="auto"/>
        <w:ind w:left="400" w:right="5160"/>
      </w:pPr>
      <w:r>
        <w:t>Department for Business, Energy and Industrial Strategy 13 May 2021</w:t>
      </w:r>
    </w:p>
    <w:sectPr>
      <w:pgSz w:w="11910" w:h="16840"/>
      <w:pgMar w:top="1420" w:right="280" w:bottom="280" w:left="1040" w:header="720" w:footer="720"/>
      <w:cols w:space="7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font>
  <w:font w:name="Calibri">
    <w:altName w:val="Calibri"/>
    <w:charset w:val="00"/>
    <w:family w:val="swiss"/>
    <w:pitch w:val="variable"/>
  </w:font>
  <w:font w:name="Calibri Light">
    <w:altName w:val="Calibri Light"/>
    <w:charset w:val="00"/>
    <w:family w:val="swiss"/>
    <w:pitch w:val="variable"/>
  </w:font>
  <w:font w:name="Arial">
    <w:altName w:val="Arial"/>
    <w:charset w:val="00"/>
    <w:family w:val="swiss"/>
    <w:pitch w:val="variable"/>
  </w:font>
  <w:font w:name="Verdana">
    <w:altName w:val="Verdana"/>
    <w:charset w:val="00"/>
    <w:family w:val="swiss"/>
    <w:pitch w:val="variable"/>
  </w:font>
  <w:font w:name="Courier New">
    <w:altName w:val="Courier New"/>
    <w:charset w:val="00"/>
    <w:family w:val="modern"/>
    <w:pitch w:val="fixed"/>
  </w:font>
  <w:font w:name="Symbol">
    <w:altName w:val="Symbol"/>
    <w:charset w:val="02"/>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0"/>
    <w:multiLevelType w:val="hybridMultilevel"/>
    <w:tmpl w:val="00000000"/>
    <w:lvl w:ilvl="0">
      <w:start w:val="1"/>
      <w:numFmt w:val="decimal"/>
      <w:lvlText w:val="%1"/>
      <w:lvlJc w:val="left"/>
      <w:pPr>
        <w:ind w:left="1120" w:hanging="721"/>
        <w:jc w:val="left"/>
      </w:pPr>
      <w:rPr>
        <w:rFonts w:ascii="Calibri Light" w:eastAsia="Calibri Light" w:hAnsi="Calibri Light" w:cs="Calibri Light" w:hint="default"/>
        <w:color w:val="2E5395"/>
        <w:w w:val="99"/>
        <w:sz w:val="32"/>
        <w:szCs w:val="32"/>
      </w:rPr>
    </w:lvl>
    <w:lvl w:ilvl="1">
      <w:start w:val="1"/>
      <w:numFmt w:val="decimal"/>
      <w:lvlText w:val="%1.%2"/>
      <w:lvlJc w:val="left"/>
      <w:pPr>
        <w:ind w:left="1120" w:hanging="721"/>
        <w:jc w:val="left"/>
      </w:pPr>
      <w:rPr>
        <w:rFonts w:hint="default"/>
        <w:spacing w:val="-2"/>
        <w:w w:val="100"/>
      </w:rPr>
    </w:lvl>
    <w:lvl w:ilvl="2">
      <w:start w:val="1"/>
      <w:numFmt w:val="decimal"/>
      <w:lvlText w:val="%3."/>
      <w:lvlJc w:val="left"/>
      <w:pPr>
        <w:ind w:left="1120" w:hanging="360"/>
        <w:jc w:val="left"/>
      </w:pPr>
      <w:rPr>
        <w:rFonts w:ascii="Calibri" w:eastAsia="Calibri" w:hAnsi="Calibri" w:cs="Calibri" w:hint="default"/>
        <w:w w:val="100"/>
        <w:sz w:val="22"/>
        <w:szCs w:val="22"/>
      </w:rPr>
    </w:lvl>
    <w:lvl w:ilvl="3">
      <w:start w:val="0"/>
      <w:numFmt w:val="bullet"/>
      <w:lvlText w:val="•"/>
      <w:lvlJc w:val="left"/>
      <w:pPr>
        <w:ind w:left="3959" w:hanging="360"/>
      </w:pPr>
      <w:rPr>
        <w:rFonts w:hint="default"/>
      </w:rPr>
    </w:lvl>
    <w:lvl w:ilvl="4">
      <w:start w:val="0"/>
      <w:numFmt w:val="bullet"/>
      <w:lvlText w:val="•"/>
      <w:lvlJc w:val="left"/>
      <w:pPr>
        <w:ind w:left="4906" w:hanging="360"/>
      </w:pPr>
      <w:rPr>
        <w:rFonts w:hint="default"/>
      </w:rPr>
    </w:lvl>
    <w:lvl w:ilvl="5">
      <w:start w:val="0"/>
      <w:numFmt w:val="bullet"/>
      <w:lvlText w:val="•"/>
      <w:lvlJc w:val="left"/>
      <w:pPr>
        <w:ind w:left="5853" w:hanging="360"/>
      </w:pPr>
      <w:rPr>
        <w:rFonts w:hint="default"/>
      </w:rPr>
    </w:lvl>
    <w:lvl w:ilvl="6">
      <w:start w:val="0"/>
      <w:numFmt w:val="bullet"/>
      <w:lvlText w:val="•"/>
      <w:lvlJc w:val="left"/>
      <w:pPr>
        <w:ind w:left="6799" w:hanging="360"/>
      </w:pPr>
      <w:rPr>
        <w:rFonts w:hint="default"/>
      </w:rPr>
    </w:lvl>
    <w:lvl w:ilvl="7">
      <w:start w:val="0"/>
      <w:numFmt w:val="bullet"/>
      <w:lvlText w:val="•"/>
      <w:lvlJc w:val="left"/>
      <w:pPr>
        <w:ind w:left="7746" w:hanging="360"/>
      </w:pPr>
      <w:rPr>
        <w:rFonts w:hint="default"/>
      </w:rPr>
    </w:lvl>
    <w:lvl w:ilvl="8">
      <w:start w:val="0"/>
      <w:numFmt w:val="bullet"/>
      <w:lvlText w:val="•"/>
      <w:lvlJc w:val="left"/>
      <w:pPr>
        <w:ind w:left="8693" w:hanging="360"/>
      </w:pPr>
      <w:rPr>
        <w:rFonts w:hint="default"/>
      </w:rPr>
    </w:lvl>
  </w:abstractNum>
  <w:abstractNum w:abstractNumId="1">
    <w:nsid w:val="00000001"/>
    <w:multiLevelType w:val="hybridMultilevel"/>
    <w:tmpl w:val="00000000"/>
    <w:lvl w:ilvl="0">
      <w:start w:val="0"/>
      <w:numFmt w:val="bullet"/>
      <w:lvlText w:val=""/>
      <w:lvlJc w:val="left"/>
      <w:pPr>
        <w:ind w:left="1120" w:hanging="360"/>
      </w:pPr>
      <w:rPr>
        <w:rFonts w:ascii="Symbol" w:eastAsia="Symbol" w:hAnsi="Symbol" w:cs="Symbol" w:hint="default"/>
        <w:w w:val="100"/>
        <w:sz w:val="22"/>
        <w:szCs w:val="22"/>
      </w:rPr>
    </w:lvl>
    <w:lvl w:ilvl="1">
      <w:start w:val="0"/>
      <w:numFmt w:val="bullet"/>
      <w:lvlText w:val="•"/>
      <w:lvlJc w:val="left"/>
      <w:pPr>
        <w:ind w:left="2066" w:hanging="360"/>
      </w:pPr>
      <w:rPr>
        <w:rFonts w:hint="default"/>
      </w:rPr>
    </w:lvl>
    <w:lvl w:ilvl="2">
      <w:start w:val="0"/>
      <w:numFmt w:val="bullet"/>
      <w:lvlText w:val="•"/>
      <w:lvlJc w:val="left"/>
      <w:pPr>
        <w:ind w:left="3013" w:hanging="360"/>
      </w:pPr>
      <w:rPr>
        <w:rFonts w:hint="default"/>
      </w:rPr>
    </w:lvl>
    <w:lvl w:ilvl="3">
      <w:start w:val="0"/>
      <w:numFmt w:val="bullet"/>
      <w:lvlText w:val="•"/>
      <w:lvlJc w:val="left"/>
      <w:pPr>
        <w:ind w:left="3959" w:hanging="360"/>
      </w:pPr>
      <w:rPr>
        <w:rFonts w:hint="default"/>
      </w:rPr>
    </w:lvl>
    <w:lvl w:ilvl="4">
      <w:start w:val="0"/>
      <w:numFmt w:val="bullet"/>
      <w:lvlText w:val="•"/>
      <w:lvlJc w:val="left"/>
      <w:pPr>
        <w:ind w:left="4906" w:hanging="360"/>
      </w:pPr>
      <w:rPr>
        <w:rFonts w:hint="default"/>
      </w:rPr>
    </w:lvl>
    <w:lvl w:ilvl="5">
      <w:start w:val="0"/>
      <w:numFmt w:val="bullet"/>
      <w:lvlText w:val="•"/>
      <w:lvlJc w:val="left"/>
      <w:pPr>
        <w:ind w:left="5853" w:hanging="360"/>
      </w:pPr>
      <w:rPr>
        <w:rFonts w:hint="default"/>
      </w:rPr>
    </w:lvl>
    <w:lvl w:ilvl="6">
      <w:start w:val="0"/>
      <w:numFmt w:val="bullet"/>
      <w:lvlText w:val="•"/>
      <w:lvlJc w:val="left"/>
      <w:pPr>
        <w:ind w:left="6799" w:hanging="360"/>
      </w:pPr>
      <w:rPr>
        <w:rFonts w:hint="default"/>
      </w:rPr>
    </w:lvl>
    <w:lvl w:ilvl="7">
      <w:start w:val="0"/>
      <w:numFmt w:val="bullet"/>
      <w:lvlText w:val="•"/>
      <w:lvlJc w:val="left"/>
      <w:pPr>
        <w:ind w:left="7746" w:hanging="360"/>
      </w:pPr>
      <w:rPr>
        <w:rFonts w:hint="default"/>
      </w:rPr>
    </w:lvl>
    <w:lvl w:ilvl="8">
      <w:start w:val="0"/>
      <w:numFmt w:val="bullet"/>
      <w:lvlText w:val="•"/>
      <w:lvlJc w:val="left"/>
      <w:pPr>
        <w:ind w:left="8693" w:hanging="360"/>
      </w:pPr>
      <w:rPr>
        <w:rFonts w:hint="default"/>
      </w:rPr>
    </w:lvl>
  </w:abstractNum>
  <w:abstractNum w:abstractNumId="2">
    <w:nsid w:val="00000002"/>
    <w:multiLevelType w:val="hybridMultilevel"/>
    <w:tmpl w:val="00000000"/>
    <w:lvl w:ilvl="0">
      <w:start w:val="0"/>
      <w:numFmt w:val="bullet"/>
      <w:lvlText w:val=""/>
      <w:lvlJc w:val="left"/>
      <w:pPr>
        <w:ind w:left="1120" w:hanging="360"/>
      </w:pPr>
      <w:rPr>
        <w:rFonts w:ascii="Symbol" w:eastAsia="Symbol" w:hAnsi="Symbol" w:cs="Symbol" w:hint="default"/>
        <w:w w:val="100"/>
        <w:sz w:val="22"/>
        <w:szCs w:val="22"/>
      </w:rPr>
    </w:lvl>
    <w:lvl w:ilvl="1">
      <w:start w:val="0"/>
      <w:numFmt w:val="bullet"/>
      <w:lvlText w:val="o"/>
      <w:lvlJc w:val="left"/>
      <w:pPr>
        <w:ind w:left="1840" w:hanging="360"/>
      </w:pPr>
      <w:rPr>
        <w:rFonts w:ascii="Courier New" w:eastAsia="Courier New" w:hAnsi="Courier New" w:cs="Courier New" w:hint="default"/>
        <w:w w:val="100"/>
        <w:sz w:val="22"/>
        <w:szCs w:val="22"/>
      </w:rPr>
    </w:lvl>
    <w:lvl w:ilvl="2">
      <w:start w:val="0"/>
      <w:numFmt w:val="bullet"/>
      <w:lvlText w:val="•"/>
      <w:lvlJc w:val="left"/>
      <w:pPr>
        <w:ind w:left="2811" w:hanging="360"/>
      </w:pPr>
      <w:rPr>
        <w:rFonts w:hint="default"/>
      </w:rPr>
    </w:lvl>
    <w:lvl w:ilvl="3">
      <w:start w:val="0"/>
      <w:numFmt w:val="bullet"/>
      <w:lvlText w:val="•"/>
      <w:lvlJc w:val="left"/>
      <w:pPr>
        <w:ind w:left="3783" w:hanging="360"/>
      </w:pPr>
      <w:rPr>
        <w:rFonts w:hint="default"/>
      </w:rPr>
    </w:lvl>
    <w:lvl w:ilvl="4">
      <w:start w:val="0"/>
      <w:numFmt w:val="bullet"/>
      <w:lvlText w:val="•"/>
      <w:lvlJc w:val="left"/>
      <w:pPr>
        <w:ind w:left="4755" w:hanging="360"/>
      </w:pPr>
      <w:rPr>
        <w:rFonts w:hint="default"/>
      </w:rPr>
    </w:lvl>
    <w:lvl w:ilvl="5">
      <w:start w:val="0"/>
      <w:numFmt w:val="bullet"/>
      <w:lvlText w:val="•"/>
      <w:lvlJc w:val="left"/>
      <w:pPr>
        <w:ind w:left="5727" w:hanging="360"/>
      </w:pPr>
      <w:rPr>
        <w:rFonts w:hint="default"/>
      </w:rPr>
    </w:lvl>
    <w:lvl w:ilvl="6">
      <w:start w:val="0"/>
      <w:numFmt w:val="bullet"/>
      <w:lvlText w:val="•"/>
      <w:lvlJc w:val="left"/>
      <w:pPr>
        <w:ind w:left="6699" w:hanging="360"/>
      </w:pPr>
      <w:rPr>
        <w:rFonts w:hint="default"/>
      </w:rPr>
    </w:lvl>
    <w:lvl w:ilvl="7">
      <w:start w:val="0"/>
      <w:numFmt w:val="bullet"/>
      <w:lvlText w:val="•"/>
      <w:lvlJc w:val="left"/>
      <w:pPr>
        <w:ind w:left="7670" w:hanging="360"/>
      </w:pPr>
      <w:rPr>
        <w:rFonts w:hint="default"/>
      </w:rPr>
    </w:lvl>
    <w:lvl w:ilvl="8">
      <w:start w:val="0"/>
      <w:numFmt w:val="bullet"/>
      <w:lvlText w:val="•"/>
      <w:lvlJc w:val="left"/>
      <w:pPr>
        <w:ind w:left="8642" w:hanging="360"/>
      </w:pPr>
      <w:rPr>
        <w:rFonts w:hint="default"/>
      </w:rPr>
    </w:lvl>
  </w:abstractNum>
  <w:abstractNum w:abstractNumId="3">
    <w:nsid w:val="00000003"/>
    <w:multiLevelType w:val="hybridMultilevel"/>
    <w:tmpl w:val="00000000"/>
    <w:lvl w:ilvl="0">
      <w:start w:val="0"/>
      <w:numFmt w:val="bullet"/>
      <w:lvlText w:val="-"/>
      <w:lvlJc w:val="left"/>
      <w:pPr>
        <w:ind w:left="1120" w:hanging="360"/>
      </w:pPr>
      <w:rPr>
        <w:rFonts w:ascii="Calibri" w:eastAsia="Calibri" w:hAnsi="Calibri" w:cs="Calibri" w:hint="default"/>
        <w:w w:val="100"/>
        <w:sz w:val="22"/>
        <w:szCs w:val="22"/>
      </w:rPr>
    </w:lvl>
    <w:lvl w:ilvl="1">
      <w:start w:val="0"/>
      <w:numFmt w:val="bullet"/>
      <w:lvlText w:val="o"/>
      <w:lvlJc w:val="left"/>
      <w:pPr>
        <w:ind w:left="1840" w:hanging="360"/>
      </w:pPr>
      <w:rPr>
        <w:rFonts w:ascii="Courier New" w:eastAsia="Courier New" w:hAnsi="Courier New" w:cs="Courier New" w:hint="default"/>
        <w:w w:val="100"/>
        <w:sz w:val="22"/>
        <w:szCs w:val="22"/>
      </w:rPr>
    </w:lvl>
    <w:lvl w:ilvl="2">
      <w:start w:val="0"/>
      <w:numFmt w:val="bullet"/>
      <w:lvlText w:val="•"/>
      <w:lvlJc w:val="left"/>
      <w:pPr>
        <w:ind w:left="2811" w:hanging="360"/>
      </w:pPr>
      <w:rPr>
        <w:rFonts w:hint="default"/>
      </w:rPr>
    </w:lvl>
    <w:lvl w:ilvl="3">
      <w:start w:val="0"/>
      <w:numFmt w:val="bullet"/>
      <w:lvlText w:val="•"/>
      <w:lvlJc w:val="left"/>
      <w:pPr>
        <w:ind w:left="3783" w:hanging="360"/>
      </w:pPr>
      <w:rPr>
        <w:rFonts w:hint="default"/>
      </w:rPr>
    </w:lvl>
    <w:lvl w:ilvl="4">
      <w:start w:val="0"/>
      <w:numFmt w:val="bullet"/>
      <w:lvlText w:val="•"/>
      <w:lvlJc w:val="left"/>
      <w:pPr>
        <w:ind w:left="4755" w:hanging="360"/>
      </w:pPr>
      <w:rPr>
        <w:rFonts w:hint="default"/>
      </w:rPr>
    </w:lvl>
    <w:lvl w:ilvl="5">
      <w:start w:val="0"/>
      <w:numFmt w:val="bullet"/>
      <w:lvlText w:val="•"/>
      <w:lvlJc w:val="left"/>
      <w:pPr>
        <w:ind w:left="5727" w:hanging="360"/>
      </w:pPr>
      <w:rPr>
        <w:rFonts w:hint="default"/>
      </w:rPr>
    </w:lvl>
    <w:lvl w:ilvl="6">
      <w:start w:val="0"/>
      <w:numFmt w:val="bullet"/>
      <w:lvlText w:val="•"/>
      <w:lvlJc w:val="left"/>
      <w:pPr>
        <w:ind w:left="6699" w:hanging="360"/>
      </w:pPr>
      <w:rPr>
        <w:rFonts w:hint="default"/>
      </w:rPr>
    </w:lvl>
    <w:lvl w:ilvl="7">
      <w:start w:val="0"/>
      <w:numFmt w:val="bullet"/>
      <w:lvlText w:val="•"/>
      <w:lvlJc w:val="left"/>
      <w:pPr>
        <w:ind w:left="7670" w:hanging="360"/>
      </w:pPr>
      <w:rPr>
        <w:rFonts w:hint="default"/>
      </w:rPr>
    </w:lvl>
    <w:lvl w:ilvl="8">
      <w:start w:val="0"/>
      <w:numFmt w:val="bullet"/>
      <w:lvlText w:val="•"/>
      <w:lvlJc w:val="left"/>
      <w:pPr>
        <w:ind w:left="8642" w:hanging="360"/>
      </w:pPr>
      <w:rPr>
        <w:rFonts w:hint="default"/>
      </w:rPr>
    </w:lvl>
  </w:abstractNum>
  <w:abstractNum w:abstractNumId="4">
    <w:nsid w:val="00000004"/>
    <w:multiLevelType w:val="hybridMultilevel"/>
    <w:tmpl w:val="00000000"/>
    <w:lvl w:ilvl="0">
      <w:start w:val="0"/>
      <w:numFmt w:val="bullet"/>
      <w:lvlText w:val=""/>
      <w:lvlJc w:val="left"/>
      <w:pPr>
        <w:ind w:left="1120" w:hanging="360"/>
      </w:pPr>
      <w:rPr>
        <w:rFonts w:ascii="Symbol" w:eastAsia="Symbol" w:hAnsi="Symbol" w:cs="Symbol" w:hint="default"/>
        <w:w w:val="100"/>
        <w:sz w:val="22"/>
        <w:szCs w:val="22"/>
      </w:rPr>
    </w:lvl>
    <w:lvl w:ilvl="1">
      <w:start w:val="0"/>
      <w:numFmt w:val="bullet"/>
      <w:lvlText w:val="•"/>
      <w:lvlJc w:val="left"/>
      <w:pPr>
        <w:ind w:left="2066" w:hanging="360"/>
      </w:pPr>
      <w:rPr>
        <w:rFonts w:hint="default"/>
      </w:rPr>
    </w:lvl>
    <w:lvl w:ilvl="2">
      <w:start w:val="0"/>
      <w:numFmt w:val="bullet"/>
      <w:lvlText w:val="•"/>
      <w:lvlJc w:val="left"/>
      <w:pPr>
        <w:ind w:left="3013" w:hanging="360"/>
      </w:pPr>
      <w:rPr>
        <w:rFonts w:hint="default"/>
      </w:rPr>
    </w:lvl>
    <w:lvl w:ilvl="3">
      <w:start w:val="0"/>
      <w:numFmt w:val="bullet"/>
      <w:lvlText w:val="•"/>
      <w:lvlJc w:val="left"/>
      <w:pPr>
        <w:ind w:left="3959" w:hanging="360"/>
      </w:pPr>
      <w:rPr>
        <w:rFonts w:hint="default"/>
      </w:rPr>
    </w:lvl>
    <w:lvl w:ilvl="4">
      <w:start w:val="0"/>
      <w:numFmt w:val="bullet"/>
      <w:lvlText w:val="•"/>
      <w:lvlJc w:val="left"/>
      <w:pPr>
        <w:ind w:left="4906" w:hanging="360"/>
      </w:pPr>
      <w:rPr>
        <w:rFonts w:hint="default"/>
      </w:rPr>
    </w:lvl>
    <w:lvl w:ilvl="5">
      <w:start w:val="0"/>
      <w:numFmt w:val="bullet"/>
      <w:lvlText w:val="•"/>
      <w:lvlJc w:val="left"/>
      <w:pPr>
        <w:ind w:left="5853" w:hanging="360"/>
      </w:pPr>
      <w:rPr>
        <w:rFonts w:hint="default"/>
      </w:rPr>
    </w:lvl>
    <w:lvl w:ilvl="6">
      <w:start w:val="0"/>
      <w:numFmt w:val="bullet"/>
      <w:lvlText w:val="•"/>
      <w:lvlJc w:val="left"/>
      <w:pPr>
        <w:ind w:left="6799" w:hanging="360"/>
      </w:pPr>
      <w:rPr>
        <w:rFonts w:hint="default"/>
      </w:rPr>
    </w:lvl>
    <w:lvl w:ilvl="7">
      <w:start w:val="0"/>
      <w:numFmt w:val="bullet"/>
      <w:lvlText w:val="•"/>
      <w:lvlJc w:val="left"/>
      <w:pPr>
        <w:ind w:left="7746" w:hanging="360"/>
      </w:pPr>
      <w:rPr>
        <w:rFonts w:hint="default"/>
      </w:rPr>
    </w:lvl>
    <w:lvl w:ilvl="8">
      <w:start w:val="0"/>
      <w:numFmt w:val="bullet"/>
      <w:lvlText w:val="•"/>
      <w:lvlJc w:val="left"/>
      <w:pPr>
        <w:ind w:left="8693" w:hanging="360"/>
      </w:pPr>
      <w:rPr>
        <w:rFonts w:hint="default"/>
      </w:rPr>
    </w:lvl>
  </w:abstractNum>
  <w:abstractNum w:abstractNumId="5">
    <w:nsid w:val="00000005"/>
    <w:multiLevelType w:val="hybridMultilevel"/>
    <w:tmpl w:val="00000000"/>
    <w:lvl w:ilvl="0">
      <w:start w:val="0"/>
      <w:numFmt w:val="bullet"/>
      <w:lvlText w:val=""/>
      <w:lvlJc w:val="left"/>
      <w:pPr>
        <w:ind w:left="1120" w:hanging="360"/>
      </w:pPr>
      <w:rPr>
        <w:rFonts w:ascii="Symbol" w:eastAsia="Symbol" w:hAnsi="Symbol" w:cs="Symbol" w:hint="default"/>
        <w:w w:val="100"/>
        <w:sz w:val="22"/>
        <w:szCs w:val="22"/>
      </w:rPr>
    </w:lvl>
    <w:lvl w:ilvl="1">
      <w:start w:val="0"/>
      <w:numFmt w:val="bullet"/>
      <w:lvlText w:val="•"/>
      <w:lvlJc w:val="left"/>
      <w:pPr>
        <w:ind w:left="2066" w:hanging="360"/>
      </w:pPr>
      <w:rPr>
        <w:rFonts w:hint="default"/>
      </w:rPr>
    </w:lvl>
    <w:lvl w:ilvl="2">
      <w:start w:val="0"/>
      <w:numFmt w:val="bullet"/>
      <w:lvlText w:val="•"/>
      <w:lvlJc w:val="left"/>
      <w:pPr>
        <w:ind w:left="3013" w:hanging="360"/>
      </w:pPr>
      <w:rPr>
        <w:rFonts w:hint="default"/>
      </w:rPr>
    </w:lvl>
    <w:lvl w:ilvl="3">
      <w:start w:val="0"/>
      <w:numFmt w:val="bullet"/>
      <w:lvlText w:val="•"/>
      <w:lvlJc w:val="left"/>
      <w:pPr>
        <w:ind w:left="3959" w:hanging="360"/>
      </w:pPr>
      <w:rPr>
        <w:rFonts w:hint="default"/>
      </w:rPr>
    </w:lvl>
    <w:lvl w:ilvl="4">
      <w:start w:val="0"/>
      <w:numFmt w:val="bullet"/>
      <w:lvlText w:val="•"/>
      <w:lvlJc w:val="left"/>
      <w:pPr>
        <w:ind w:left="4906" w:hanging="360"/>
      </w:pPr>
      <w:rPr>
        <w:rFonts w:hint="default"/>
      </w:rPr>
    </w:lvl>
    <w:lvl w:ilvl="5">
      <w:start w:val="0"/>
      <w:numFmt w:val="bullet"/>
      <w:lvlText w:val="•"/>
      <w:lvlJc w:val="left"/>
      <w:pPr>
        <w:ind w:left="5853" w:hanging="360"/>
      </w:pPr>
      <w:rPr>
        <w:rFonts w:hint="default"/>
      </w:rPr>
    </w:lvl>
    <w:lvl w:ilvl="6">
      <w:start w:val="0"/>
      <w:numFmt w:val="bullet"/>
      <w:lvlText w:val="•"/>
      <w:lvlJc w:val="left"/>
      <w:pPr>
        <w:ind w:left="6799" w:hanging="360"/>
      </w:pPr>
      <w:rPr>
        <w:rFonts w:hint="default"/>
      </w:rPr>
    </w:lvl>
    <w:lvl w:ilvl="7">
      <w:start w:val="0"/>
      <w:numFmt w:val="bullet"/>
      <w:lvlText w:val="•"/>
      <w:lvlJc w:val="left"/>
      <w:pPr>
        <w:ind w:left="7746" w:hanging="360"/>
      </w:pPr>
      <w:rPr>
        <w:rFonts w:hint="default"/>
      </w:rPr>
    </w:lvl>
    <w:lvl w:ilvl="8">
      <w:start w:val="0"/>
      <w:numFmt w:val="bullet"/>
      <w:lvlText w:val="•"/>
      <w:lvlJc w:val="left"/>
      <w:pPr>
        <w:ind w:left="8693" w:hanging="360"/>
      </w:pPr>
      <w:rPr>
        <w:rFonts w:hint="default"/>
      </w:rPr>
    </w:lvl>
  </w:abstractNum>
  <w:abstractNum w:abstractNumId="6">
    <w:nsid w:val="00000006"/>
    <w:multiLevelType w:val="hybridMultilevel"/>
    <w:tmpl w:val="00000000"/>
    <w:lvl w:ilvl="0">
      <w:start w:val="0"/>
      <w:numFmt w:val="bullet"/>
      <w:lvlText w:val=""/>
      <w:lvlJc w:val="left"/>
      <w:pPr>
        <w:ind w:left="1120" w:hanging="360"/>
      </w:pPr>
      <w:rPr>
        <w:rFonts w:ascii="Symbol" w:eastAsia="Symbol" w:hAnsi="Symbol" w:cs="Symbol" w:hint="default"/>
        <w:w w:val="100"/>
        <w:sz w:val="22"/>
        <w:szCs w:val="22"/>
      </w:rPr>
    </w:lvl>
    <w:lvl w:ilvl="1">
      <w:start w:val="0"/>
      <w:numFmt w:val="bullet"/>
      <w:lvlText w:val="•"/>
      <w:lvlJc w:val="left"/>
      <w:pPr>
        <w:ind w:left="2066" w:hanging="360"/>
      </w:pPr>
      <w:rPr>
        <w:rFonts w:hint="default"/>
      </w:rPr>
    </w:lvl>
    <w:lvl w:ilvl="2">
      <w:start w:val="0"/>
      <w:numFmt w:val="bullet"/>
      <w:lvlText w:val="•"/>
      <w:lvlJc w:val="left"/>
      <w:pPr>
        <w:ind w:left="3013" w:hanging="360"/>
      </w:pPr>
      <w:rPr>
        <w:rFonts w:hint="default"/>
      </w:rPr>
    </w:lvl>
    <w:lvl w:ilvl="3">
      <w:start w:val="0"/>
      <w:numFmt w:val="bullet"/>
      <w:lvlText w:val="•"/>
      <w:lvlJc w:val="left"/>
      <w:pPr>
        <w:ind w:left="3959" w:hanging="360"/>
      </w:pPr>
      <w:rPr>
        <w:rFonts w:hint="default"/>
      </w:rPr>
    </w:lvl>
    <w:lvl w:ilvl="4">
      <w:start w:val="0"/>
      <w:numFmt w:val="bullet"/>
      <w:lvlText w:val="•"/>
      <w:lvlJc w:val="left"/>
      <w:pPr>
        <w:ind w:left="4906" w:hanging="360"/>
      </w:pPr>
      <w:rPr>
        <w:rFonts w:hint="default"/>
      </w:rPr>
    </w:lvl>
    <w:lvl w:ilvl="5">
      <w:start w:val="0"/>
      <w:numFmt w:val="bullet"/>
      <w:lvlText w:val="•"/>
      <w:lvlJc w:val="left"/>
      <w:pPr>
        <w:ind w:left="5853" w:hanging="360"/>
      </w:pPr>
      <w:rPr>
        <w:rFonts w:hint="default"/>
      </w:rPr>
    </w:lvl>
    <w:lvl w:ilvl="6">
      <w:start w:val="0"/>
      <w:numFmt w:val="bullet"/>
      <w:lvlText w:val="•"/>
      <w:lvlJc w:val="left"/>
      <w:pPr>
        <w:ind w:left="6799" w:hanging="360"/>
      </w:pPr>
      <w:rPr>
        <w:rFonts w:hint="default"/>
      </w:rPr>
    </w:lvl>
    <w:lvl w:ilvl="7">
      <w:start w:val="0"/>
      <w:numFmt w:val="bullet"/>
      <w:lvlText w:val="•"/>
      <w:lvlJc w:val="left"/>
      <w:pPr>
        <w:ind w:left="7746" w:hanging="360"/>
      </w:pPr>
      <w:rPr>
        <w:rFonts w:hint="default"/>
      </w:rPr>
    </w:lvl>
    <w:lvl w:ilvl="8">
      <w:start w:val="0"/>
      <w:numFmt w:val="bullet"/>
      <w:lvlText w:val="•"/>
      <w:lvlJc w:val="left"/>
      <w:pPr>
        <w:ind w:left="8693" w:hanging="360"/>
      </w:pPr>
      <w:rPr>
        <w:rFonts w:hint="default"/>
      </w:rPr>
    </w:lvl>
  </w:abstractNum>
  <w:abstractNum w:abstractNumId="7">
    <w:nsid w:val="00000007"/>
    <w:multiLevelType w:val="hybridMultilevel"/>
    <w:tmpl w:val="00000000"/>
    <w:lvl w:ilvl="0">
      <w:start w:val="0"/>
      <w:numFmt w:val="bullet"/>
      <w:lvlText w:val=""/>
      <w:lvlJc w:val="left"/>
      <w:pPr>
        <w:ind w:left="1120" w:hanging="360"/>
      </w:pPr>
      <w:rPr>
        <w:rFonts w:ascii="Symbol" w:eastAsia="Symbol" w:hAnsi="Symbol" w:cs="Symbol" w:hint="default"/>
        <w:w w:val="100"/>
        <w:sz w:val="22"/>
        <w:szCs w:val="22"/>
      </w:rPr>
    </w:lvl>
    <w:lvl w:ilvl="1">
      <w:start w:val="0"/>
      <w:numFmt w:val="bullet"/>
      <w:lvlText w:val="•"/>
      <w:lvlJc w:val="left"/>
      <w:pPr>
        <w:ind w:left="2066" w:hanging="360"/>
      </w:pPr>
      <w:rPr>
        <w:rFonts w:hint="default"/>
      </w:rPr>
    </w:lvl>
    <w:lvl w:ilvl="2">
      <w:start w:val="0"/>
      <w:numFmt w:val="bullet"/>
      <w:lvlText w:val="•"/>
      <w:lvlJc w:val="left"/>
      <w:pPr>
        <w:ind w:left="3013" w:hanging="360"/>
      </w:pPr>
      <w:rPr>
        <w:rFonts w:hint="default"/>
      </w:rPr>
    </w:lvl>
    <w:lvl w:ilvl="3">
      <w:start w:val="0"/>
      <w:numFmt w:val="bullet"/>
      <w:lvlText w:val="•"/>
      <w:lvlJc w:val="left"/>
      <w:pPr>
        <w:ind w:left="3959" w:hanging="360"/>
      </w:pPr>
      <w:rPr>
        <w:rFonts w:hint="default"/>
      </w:rPr>
    </w:lvl>
    <w:lvl w:ilvl="4">
      <w:start w:val="0"/>
      <w:numFmt w:val="bullet"/>
      <w:lvlText w:val="•"/>
      <w:lvlJc w:val="left"/>
      <w:pPr>
        <w:ind w:left="4906" w:hanging="360"/>
      </w:pPr>
      <w:rPr>
        <w:rFonts w:hint="default"/>
      </w:rPr>
    </w:lvl>
    <w:lvl w:ilvl="5">
      <w:start w:val="0"/>
      <w:numFmt w:val="bullet"/>
      <w:lvlText w:val="•"/>
      <w:lvlJc w:val="left"/>
      <w:pPr>
        <w:ind w:left="5853" w:hanging="360"/>
      </w:pPr>
      <w:rPr>
        <w:rFonts w:hint="default"/>
      </w:rPr>
    </w:lvl>
    <w:lvl w:ilvl="6">
      <w:start w:val="0"/>
      <w:numFmt w:val="bullet"/>
      <w:lvlText w:val="•"/>
      <w:lvlJc w:val="left"/>
      <w:pPr>
        <w:ind w:left="6799" w:hanging="360"/>
      </w:pPr>
      <w:rPr>
        <w:rFonts w:hint="default"/>
      </w:rPr>
    </w:lvl>
    <w:lvl w:ilvl="7">
      <w:start w:val="0"/>
      <w:numFmt w:val="bullet"/>
      <w:lvlText w:val="•"/>
      <w:lvlJc w:val="left"/>
      <w:pPr>
        <w:ind w:left="7746" w:hanging="360"/>
      </w:pPr>
      <w:rPr>
        <w:rFonts w:hint="default"/>
      </w:rPr>
    </w:lvl>
    <w:lvl w:ilvl="8">
      <w:start w:val="0"/>
      <w:numFmt w:val="bullet"/>
      <w:lvlText w:val="•"/>
      <w:lvlJc w:val="left"/>
      <w:pPr>
        <w:ind w:left="8693" w:hanging="360"/>
      </w:pPr>
      <w:rPr>
        <w:rFonts w:hint="default"/>
      </w:rPr>
    </w:lvl>
  </w:abstractNum>
  <w:abstractNum w:abstractNumId="8">
    <w:nsid w:val="00000008"/>
    <w:multiLevelType w:val="hybridMultilevel"/>
    <w:tmpl w:val="00000000"/>
    <w:lvl w:ilvl="0">
      <w:start w:val="2"/>
      <w:numFmt w:val="decimal"/>
      <w:lvlText w:val="%1."/>
      <w:lvlJc w:val="left"/>
      <w:pPr>
        <w:ind w:left="1120" w:hanging="721"/>
        <w:jc w:val="left"/>
      </w:pPr>
      <w:rPr>
        <w:rFonts w:ascii="Calibri Light" w:eastAsia="Calibri Light" w:hAnsi="Calibri Light" w:cs="Calibri Light" w:hint="default"/>
        <w:color w:val="2F5495"/>
        <w:spacing w:val="-3"/>
        <w:w w:val="99"/>
        <w:sz w:val="32"/>
        <w:szCs w:val="32"/>
      </w:rPr>
    </w:lvl>
    <w:lvl w:ilvl="1">
      <w:start w:val="1"/>
      <w:numFmt w:val="decimal"/>
      <w:lvlText w:val="%1.%2"/>
      <w:lvlJc w:val="left"/>
      <w:pPr>
        <w:ind w:left="1120" w:hanging="721"/>
        <w:jc w:val="left"/>
      </w:pPr>
      <w:rPr>
        <w:rFonts w:ascii="Calibri Light" w:eastAsia="Calibri Light" w:hAnsi="Calibri Light" w:cs="Calibri Light" w:hint="default"/>
        <w:color w:val="2F5495"/>
        <w:spacing w:val="-2"/>
        <w:w w:val="100"/>
        <w:sz w:val="28"/>
        <w:szCs w:val="28"/>
      </w:rPr>
    </w:lvl>
    <w:lvl w:ilvl="2">
      <w:start w:val="0"/>
      <w:numFmt w:val="bullet"/>
      <w:lvlText w:val="•"/>
      <w:lvlJc w:val="left"/>
      <w:pPr>
        <w:ind w:left="3013" w:hanging="721"/>
      </w:pPr>
      <w:rPr>
        <w:rFonts w:hint="default"/>
      </w:rPr>
    </w:lvl>
    <w:lvl w:ilvl="3">
      <w:start w:val="0"/>
      <w:numFmt w:val="bullet"/>
      <w:lvlText w:val="•"/>
      <w:lvlJc w:val="left"/>
      <w:pPr>
        <w:ind w:left="3959" w:hanging="721"/>
      </w:pPr>
      <w:rPr>
        <w:rFonts w:hint="default"/>
      </w:rPr>
    </w:lvl>
    <w:lvl w:ilvl="4">
      <w:start w:val="0"/>
      <w:numFmt w:val="bullet"/>
      <w:lvlText w:val="•"/>
      <w:lvlJc w:val="left"/>
      <w:pPr>
        <w:ind w:left="4906" w:hanging="721"/>
      </w:pPr>
      <w:rPr>
        <w:rFonts w:hint="default"/>
      </w:rPr>
    </w:lvl>
    <w:lvl w:ilvl="5">
      <w:start w:val="0"/>
      <w:numFmt w:val="bullet"/>
      <w:lvlText w:val="•"/>
      <w:lvlJc w:val="left"/>
      <w:pPr>
        <w:ind w:left="5853" w:hanging="721"/>
      </w:pPr>
      <w:rPr>
        <w:rFonts w:hint="default"/>
      </w:rPr>
    </w:lvl>
    <w:lvl w:ilvl="6">
      <w:start w:val="0"/>
      <w:numFmt w:val="bullet"/>
      <w:lvlText w:val="•"/>
      <w:lvlJc w:val="left"/>
      <w:pPr>
        <w:ind w:left="6799" w:hanging="721"/>
      </w:pPr>
      <w:rPr>
        <w:rFonts w:hint="default"/>
      </w:rPr>
    </w:lvl>
    <w:lvl w:ilvl="7">
      <w:start w:val="0"/>
      <w:numFmt w:val="bullet"/>
      <w:lvlText w:val="•"/>
      <w:lvlJc w:val="left"/>
      <w:pPr>
        <w:ind w:left="7746" w:hanging="721"/>
      </w:pPr>
      <w:rPr>
        <w:rFonts w:hint="default"/>
      </w:rPr>
    </w:lvl>
    <w:lvl w:ilvl="8">
      <w:start w:val="0"/>
      <w:numFmt w:val="bullet"/>
      <w:lvlText w:val="•"/>
      <w:lvlJc w:val="left"/>
      <w:pPr>
        <w:ind w:left="8693" w:hanging="721"/>
      </w:pPr>
      <w:rPr>
        <w:rFonts w:hint="default"/>
      </w:rPr>
    </w:lvl>
  </w:abstractNum>
  <w:abstractNum w:abstractNumId="9">
    <w:nsid w:val="00000009"/>
    <w:multiLevelType w:val="hybridMultilevel"/>
    <w:tmpl w:val="00000000"/>
    <w:lvl w:ilvl="0">
      <w:start w:val="1"/>
      <w:numFmt w:val="decimal"/>
      <w:lvlText w:val="%1."/>
      <w:lvlJc w:val="left"/>
      <w:pPr>
        <w:ind w:left="615" w:hanging="216"/>
        <w:jc w:val="left"/>
      </w:pPr>
      <w:rPr>
        <w:rFonts w:ascii="Calibri Light" w:eastAsia="Calibri Light" w:hAnsi="Calibri Light" w:cs="Calibri Light" w:hint="default"/>
        <w:color w:val="2F5495"/>
        <w:w w:val="100"/>
        <w:sz w:val="22"/>
        <w:szCs w:val="22"/>
      </w:rPr>
    </w:lvl>
    <w:lvl w:ilvl="1">
      <w:start w:val="0"/>
      <w:numFmt w:val="bullet"/>
      <w:lvlText w:val=""/>
      <w:lvlJc w:val="left"/>
      <w:pPr>
        <w:ind w:left="1840" w:hanging="360"/>
      </w:pPr>
      <w:rPr>
        <w:rFonts w:ascii="Symbol" w:eastAsia="Symbol" w:hAnsi="Symbol" w:cs="Symbol" w:hint="default"/>
        <w:w w:val="100"/>
        <w:sz w:val="22"/>
        <w:szCs w:val="22"/>
      </w:rPr>
    </w:lvl>
    <w:lvl w:ilvl="2">
      <w:start w:val="0"/>
      <w:numFmt w:val="bullet"/>
      <w:lvlText w:val="•"/>
      <w:lvlJc w:val="left"/>
      <w:pPr>
        <w:ind w:left="1840" w:hanging="360"/>
      </w:pPr>
      <w:rPr>
        <w:rFonts w:hint="default"/>
      </w:rPr>
    </w:lvl>
    <w:lvl w:ilvl="3">
      <w:start w:val="0"/>
      <w:numFmt w:val="bullet"/>
      <w:lvlText w:val="•"/>
      <w:lvlJc w:val="left"/>
      <w:pPr>
        <w:ind w:left="2933" w:hanging="360"/>
      </w:pPr>
      <w:rPr>
        <w:rFonts w:hint="default"/>
      </w:rPr>
    </w:lvl>
    <w:lvl w:ilvl="4">
      <w:start w:val="0"/>
      <w:numFmt w:val="bullet"/>
      <w:lvlText w:val="•"/>
      <w:lvlJc w:val="left"/>
      <w:pPr>
        <w:ind w:left="4026" w:hanging="360"/>
      </w:pPr>
      <w:rPr>
        <w:rFonts w:hint="default"/>
      </w:rPr>
    </w:lvl>
    <w:lvl w:ilvl="5">
      <w:start w:val="0"/>
      <w:numFmt w:val="bullet"/>
      <w:lvlText w:val="•"/>
      <w:lvlJc w:val="left"/>
      <w:pPr>
        <w:ind w:left="5119" w:hanging="360"/>
      </w:pPr>
      <w:rPr>
        <w:rFonts w:hint="default"/>
      </w:rPr>
    </w:lvl>
    <w:lvl w:ilvl="6">
      <w:start w:val="0"/>
      <w:numFmt w:val="bullet"/>
      <w:lvlText w:val="•"/>
      <w:lvlJc w:val="left"/>
      <w:pPr>
        <w:ind w:left="6213" w:hanging="360"/>
      </w:pPr>
      <w:rPr>
        <w:rFonts w:hint="default"/>
      </w:rPr>
    </w:lvl>
    <w:lvl w:ilvl="7">
      <w:start w:val="0"/>
      <w:numFmt w:val="bullet"/>
      <w:lvlText w:val="•"/>
      <w:lvlJc w:val="left"/>
      <w:pPr>
        <w:ind w:left="7306" w:hanging="360"/>
      </w:pPr>
      <w:rPr>
        <w:rFonts w:hint="default"/>
      </w:rPr>
    </w:lvl>
    <w:lvl w:ilvl="8">
      <w:start w:val="0"/>
      <w:numFmt w:val="bullet"/>
      <w:lvlText w:val="•"/>
      <w:lvlJc w:val="left"/>
      <w:pPr>
        <w:ind w:left="8399" w:hanging="360"/>
      </w:pPr>
      <w:rPr>
        <w:rFonts w:hint="default"/>
      </w:rPr>
    </w:lvl>
  </w:abstractNum>
  <w:abstractNum w:abstractNumId="10">
    <w:nsid w:val="0000000A"/>
    <w:multiLevelType w:val="hybridMultilevel"/>
    <w:tmpl w:val="00000000"/>
    <w:lvl w:ilvl="0">
      <w:start w:val="25"/>
      <w:numFmt w:val="decimal"/>
      <w:lvlText w:val="%1."/>
      <w:lvlJc w:val="left"/>
      <w:pPr>
        <w:ind w:left="776" w:hanging="377"/>
        <w:jc w:val="left"/>
      </w:pPr>
      <w:rPr>
        <w:rFonts w:ascii="Calibri Light" w:eastAsia="Calibri Light" w:hAnsi="Calibri Light" w:cs="Calibri Light" w:hint="default"/>
        <w:color w:val="2F5495"/>
        <w:spacing w:val="-2"/>
        <w:w w:val="100"/>
        <w:sz w:val="22"/>
        <w:szCs w:val="22"/>
      </w:rPr>
    </w:lvl>
    <w:lvl w:ilvl="1">
      <w:start w:val="0"/>
      <w:numFmt w:val="bullet"/>
      <w:lvlText w:val="•"/>
      <w:lvlJc w:val="left"/>
      <w:pPr>
        <w:ind w:left="1120" w:hanging="377"/>
      </w:pPr>
      <w:rPr>
        <w:rFonts w:hint="default"/>
      </w:rPr>
    </w:lvl>
    <w:lvl w:ilvl="2">
      <w:start w:val="0"/>
      <w:numFmt w:val="bullet"/>
      <w:lvlText w:val="•"/>
      <w:lvlJc w:val="left"/>
      <w:pPr>
        <w:ind w:left="2171" w:hanging="377"/>
      </w:pPr>
      <w:rPr>
        <w:rFonts w:hint="default"/>
      </w:rPr>
    </w:lvl>
    <w:lvl w:ilvl="3">
      <w:start w:val="0"/>
      <w:numFmt w:val="bullet"/>
      <w:lvlText w:val="•"/>
      <w:lvlJc w:val="left"/>
      <w:pPr>
        <w:ind w:left="3223" w:hanging="377"/>
      </w:pPr>
      <w:rPr>
        <w:rFonts w:hint="default"/>
      </w:rPr>
    </w:lvl>
    <w:lvl w:ilvl="4">
      <w:start w:val="0"/>
      <w:numFmt w:val="bullet"/>
      <w:lvlText w:val="•"/>
      <w:lvlJc w:val="left"/>
      <w:pPr>
        <w:ind w:left="4275" w:hanging="377"/>
      </w:pPr>
      <w:rPr>
        <w:rFonts w:hint="default"/>
      </w:rPr>
    </w:lvl>
    <w:lvl w:ilvl="5">
      <w:start w:val="0"/>
      <w:numFmt w:val="bullet"/>
      <w:lvlText w:val="•"/>
      <w:lvlJc w:val="left"/>
      <w:pPr>
        <w:ind w:left="5327" w:hanging="377"/>
      </w:pPr>
      <w:rPr>
        <w:rFonts w:hint="default"/>
      </w:rPr>
    </w:lvl>
    <w:lvl w:ilvl="6">
      <w:start w:val="0"/>
      <w:numFmt w:val="bullet"/>
      <w:lvlText w:val="•"/>
      <w:lvlJc w:val="left"/>
      <w:pPr>
        <w:ind w:left="6379" w:hanging="377"/>
      </w:pPr>
      <w:rPr>
        <w:rFonts w:hint="default"/>
      </w:rPr>
    </w:lvl>
    <w:lvl w:ilvl="7">
      <w:start w:val="0"/>
      <w:numFmt w:val="bullet"/>
      <w:lvlText w:val="•"/>
      <w:lvlJc w:val="left"/>
      <w:pPr>
        <w:ind w:left="7430" w:hanging="377"/>
      </w:pPr>
      <w:rPr>
        <w:rFonts w:hint="default"/>
      </w:rPr>
    </w:lvl>
    <w:lvl w:ilvl="8">
      <w:start w:val="0"/>
      <w:numFmt w:val="bullet"/>
      <w:lvlText w:val="•"/>
      <w:lvlJc w:val="left"/>
      <w:pPr>
        <w:ind w:left="8482" w:hanging="377"/>
      </w:pPr>
      <w:rPr>
        <w:rFonts w:hint="default"/>
      </w:rPr>
    </w:lvl>
  </w:abstractNum>
  <w:abstractNum w:abstractNumId="11">
    <w:nsid w:val="0000000B"/>
    <w:multiLevelType w:val="hybridMultilevel"/>
    <w:tmpl w:val="00000000"/>
    <w:lvl w:ilvl="0">
      <w:start w:val="2"/>
      <w:numFmt w:val="decimal"/>
      <w:lvlText w:val="%1"/>
      <w:lvlJc w:val="left"/>
      <w:pPr>
        <w:ind w:left="1120" w:hanging="721"/>
        <w:jc w:val="left"/>
      </w:pPr>
      <w:rPr>
        <w:rFonts w:hint="default"/>
      </w:rPr>
    </w:lvl>
    <w:lvl w:ilvl="1">
      <w:start w:val="3"/>
      <w:numFmt w:val="decimal"/>
      <w:lvlText w:val="%1.%2"/>
      <w:lvlJc w:val="left"/>
      <w:pPr>
        <w:ind w:left="1120" w:hanging="721"/>
        <w:jc w:val="left"/>
      </w:pPr>
      <w:rPr>
        <w:rFonts w:ascii="Calibri Light" w:eastAsia="Calibri Light" w:hAnsi="Calibri Light" w:cs="Calibri Light" w:hint="default"/>
        <w:color w:val="2F5495"/>
        <w:spacing w:val="-2"/>
        <w:w w:val="100"/>
        <w:sz w:val="28"/>
        <w:szCs w:val="28"/>
      </w:rPr>
    </w:lvl>
    <w:lvl w:ilvl="2">
      <w:start w:val="0"/>
      <w:numFmt w:val="bullet"/>
      <w:lvlText w:val="•"/>
      <w:lvlJc w:val="left"/>
      <w:pPr>
        <w:ind w:left="3013" w:hanging="721"/>
      </w:pPr>
      <w:rPr>
        <w:rFonts w:hint="default"/>
      </w:rPr>
    </w:lvl>
    <w:lvl w:ilvl="3">
      <w:start w:val="0"/>
      <w:numFmt w:val="bullet"/>
      <w:lvlText w:val="•"/>
      <w:lvlJc w:val="left"/>
      <w:pPr>
        <w:ind w:left="3959" w:hanging="721"/>
      </w:pPr>
      <w:rPr>
        <w:rFonts w:hint="default"/>
      </w:rPr>
    </w:lvl>
    <w:lvl w:ilvl="4">
      <w:start w:val="0"/>
      <w:numFmt w:val="bullet"/>
      <w:lvlText w:val="•"/>
      <w:lvlJc w:val="left"/>
      <w:pPr>
        <w:ind w:left="4906" w:hanging="721"/>
      </w:pPr>
      <w:rPr>
        <w:rFonts w:hint="default"/>
      </w:rPr>
    </w:lvl>
    <w:lvl w:ilvl="5">
      <w:start w:val="0"/>
      <w:numFmt w:val="bullet"/>
      <w:lvlText w:val="•"/>
      <w:lvlJc w:val="left"/>
      <w:pPr>
        <w:ind w:left="5853" w:hanging="721"/>
      </w:pPr>
      <w:rPr>
        <w:rFonts w:hint="default"/>
      </w:rPr>
    </w:lvl>
    <w:lvl w:ilvl="6">
      <w:start w:val="0"/>
      <w:numFmt w:val="bullet"/>
      <w:lvlText w:val="•"/>
      <w:lvlJc w:val="left"/>
      <w:pPr>
        <w:ind w:left="6799" w:hanging="721"/>
      </w:pPr>
      <w:rPr>
        <w:rFonts w:hint="default"/>
      </w:rPr>
    </w:lvl>
    <w:lvl w:ilvl="7">
      <w:start w:val="0"/>
      <w:numFmt w:val="bullet"/>
      <w:lvlText w:val="•"/>
      <w:lvlJc w:val="left"/>
      <w:pPr>
        <w:ind w:left="7746" w:hanging="721"/>
      </w:pPr>
      <w:rPr>
        <w:rFonts w:hint="default"/>
      </w:rPr>
    </w:lvl>
    <w:lvl w:ilvl="8">
      <w:start w:val="0"/>
      <w:numFmt w:val="bullet"/>
      <w:lvlText w:val="•"/>
      <w:lvlJc w:val="left"/>
      <w:pPr>
        <w:ind w:left="8693" w:hanging="721"/>
      </w:pPr>
      <w:rPr>
        <w:rFonts w:hint="default"/>
      </w:rPr>
    </w:lvl>
  </w:abstractNum>
  <w:abstractNum w:abstractNumId="12">
    <w:nsid w:val="0000000C"/>
    <w:multiLevelType w:val="hybridMultilevel"/>
    <w:tmpl w:val="00000000"/>
    <w:lvl w:ilvl="0">
      <w:start w:val="3"/>
      <w:numFmt w:val="decimal"/>
      <w:lvlText w:val="%1."/>
      <w:lvlJc w:val="left"/>
      <w:pPr>
        <w:ind w:left="1121" w:hanging="722"/>
        <w:jc w:val="left"/>
      </w:pPr>
      <w:rPr>
        <w:rFonts w:ascii="Calibri Light" w:eastAsia="Calibri Light" w:hAnsi="Calibri Light" w:cs="Calibri Light" w:hint="default"/>
        <w:color w:val="2F5495"/>
        <w:spacing w:val="-3"/>
        <w:w w:val="99"/>
        <w:sz w:val="32"/>
        <w:szCs w:val="32"/>
      </w:rPr>
    </w:lvl>
    <w:lvl w:ilvl="1">
      <w:start w:val="1"/>
      <w:numFmt w:val="decimal"/>
      <w:lvlText w:val="%1.%2"/>
      <w:lvlJc w:val="left"/>
      <w:pPr>
        <w:ind w:left="1120" w:hanging="721"/>
        <w:jc w:val="left"/>
      </w:pPr>
      <w:rPr>
        <w:rFonts w:ascii="Calibri Light" w:eastAsia="Calibri Light" w:hAnsi="Calibri Light" w:cs="Calibri Light" w:hint="default"/>
        <w:color w:val="2F5495"/>
        <w:spacing w:val="-2"/>
        <w:w w:val="100"/>
        <w:sz w:val="28"/>
        <w:szCs w:val="28"/>
      </w:rPr>
    </w:lvl>
    <w:lvl w:ilvl="2">
      <w:start w:val="0"/>
      <w:numFmt w:val="bullet"/>
      <w:lvlText w:val=""/>
      <w:lvlJc w:val="left"/>
      <w:pPr>
        <w:ind w:left="1120" w:hanging="360"/>
      </w:pPr>
      <w:rPr>
        <w:rFonts w:ascii="Symbol" w:eastAsia="Symbol" w:hAnsi="Symbol" w:cs="Symbol" w:hint="default"/>
        <w:w w:val="100"/>
        <w:sz w:val="22"/>
        <w:szCs w:val="22"/>
      </w:rPr>
    </w:lvl>
    <w:lvl w:ilvl="3">
      <w:start w:val="0"/>
      <w:numFmt w:val="bullet"/>
      <w:lvlText w:val="•"/>
      <w:lvlJc w:val="left"/>
      <w:pPr>
        <w:ind w:left="3959" w:hanging="360"/>
      </w:pPr>
      <w:rPr>
        <w:rFonts w:hint="default"/>
      </w:rPr>
    </w:lvl>
    <w:lvl w:ilvl="4">
      <w:start w:val="0"/>
      <w:numFmt w:val="bullet"/>
      <w:lvlText w:val="•"/>
      <w:lvlJc w:val="left"/>
      <w:pPr>
        <w:ind w:left="4906" w:hanging="360"/>
      </w:pPr>
      <w:rPr>
        <w:rFonts w:hint="default"/>
      </w:rPr>
    </w:lvl>
    <w:lvl w:ilvl="5">
      <w:start w:val="0"/>
      <w:numFmt w:val="bullet"/>
      <w:lvlText w:val="•"/>
      <w:lvlJc w:val="left"/>
      <w:pPr>
        <w:ind w:left="5853" w:hanging="360"/>
      </w:pPr>
      <w:rPr>
        <w:rFonts w:hint="default"/>
      </w:rPr>
    </w:lvl>
    <w:lvl w:ilvl="6">
      <w:start w:val="0"/>
      <w:numFmt w:val="bullet"/>
      <w:lvlText w:val="•"/>
      <w:lvlJc w:val="left"/>
      <w:pPr>
        <w:ind w:left="6799" w:hanging="360"/>
      </w:pPr>
      <w:rPr>
        <w:rFonts w:hint="default"/>
      </w:rPr>
    </w:lvl>
    <w:lvl w:ilvl="7">
      <w:start w:val="0"/>
      <w:numFmt w:val="bullet"/>
      <w:lvlText w:val="•"/>
      <w:lvlJc w:val="left"/>
      <w:pPr>
        <w:ind w:left="7746" w:hanging="360"/>
      </w:pPr>
      <w:rPr>
        <w:rFonts w:hint="default"/>
      </w:rPr>
    </w:lvl>
    <w:lvl w:ilvl="8">
      <w:start w:val="0"/>
      <w:numFmt w:val="bullet"/>
      <w:lvlText w:val="•"/>
      <w:lvlJc w:val="left"/>
      <w:pPr>
        <w:ind w:left="8693" w:hanging="360"/>
      </w:pPr>
      <w:rPr>
        <w:rFonts w:hint="default"/>
      </w:rPr>
    </w:lvl>
  </w:abstractNum>
  <w:num w:numId="1">
    <w:abstractNumId w:val="12"/>
  </w:num>
  <w:num w:numId="2">
    <w:abstractNumId w:val="11"/>
  </w:num>
  <w:num w:numId="3">
    <w:abstractNumId w:val="10"/>
  </w:num>
  <w:num w:numId="4">
    <w:abstractNumId w:val="9"/>
  </w:num>
  <w:num w:numId="5">
    <w:abstractNumId w:val="8"/>
  </w:num>
  <w:num w:numId="6">
    <w:abstractNumId w:val="7"/>
  </w:num>
  <w:num w:numId="7">
    <w:abstractNumId w:val="6"/>
  </w:num>
  <w:num w:numId="8">
    <w:abstractNumId w:val="5"/>
  </w:num>
  <w:num w:numId="9">
    <w:abstractNumId w:val="4"/>
  </w:num>
  <w:num w:numId="10">
    <w:abstractNumId w:val="3"/>
  </w:num>
  <w:num w:numId="11">
    <w:abstractNumId w:val="2"/>
  </w:num>
  <w:num w:numId="12">
    <w:abstractNumId w:val="1"/>
  </w:num>
  <w:num w:numId="1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oNotTrackMoves/>
  <w:defaultTabStop w:val="720"/>
  <w:drawingGridHorizontalSpacing w:val="110"/>
  <w:displayHorizontalDrawingGridEvery w:val="2"/>
  <w:characterSpacingControl w:val="doNotCompress"/>
  <w:compat>
    <w:ulTrailSpace/>
    <w:shapeLayoutLikeWW8/>
    <w:useFELayout/>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Calibri" w:eastAsia="Calibri" w:hAnsi="Calibri" w:cs="Calibri"/>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Calibri" w:eastAsia="Calibri" w:hAnsi="Calibri" w:cs="Calibri"/>
      <w:sz w:val="22"/>
      <w:szCs w:val="22"/>
    </w:rPr>
  </w:style>
  <w:style w:type="paragraph" w:customStyle="1" w:styleId="Heading1">
    <w:name w:val="Heading 1"/>
    <w:basedOn w:val="Normal"/>
    <w:uiPriority w:val="1"/>
    <w:qFormat/>
    <w:pPr>
      <w:spacing w:before="21"/>
      <w:ind w:left="1120" w:hanging="721"/>
      <w:outlineLvl w:val="1"/>
    </w:pPr>
    <w:rPr>
      <w:rFonts w:ascii="Calibri Light" w:eastAsia="Calibri Light" w:hAnsi="Calibri Light" w:cs="Calibri Light"/>
      <w:sz w:val="32"/>
      <w:szCs w:val="32"/>
    </w:rPr>
  </w:style>
  <w:style w:type="paragraph" w:customStyle="1" w:styleId="Heading2">
    <w:name w:val="Heading 2"/>
    <w:basedOn w:val="Normal"/>
    <w:uiPriority w:val="1"/>
    <w:qFormat/>
    <w:pPr>
      <w:ind w:left="1120" w:hanging="721"/>
      <w:outlineLvl w:val="2"/>
    </w:pPr>
    <w:rPr>
      <w:rFonts w:ascii="Calibri Light" w:eastAsia="Calibri Light" w:hAnsi="Calibri Light" w:cs="Calibri Light"/>
      <w:sz w:val="28"/>
      <w:szCs w:val="28"/>
    </w:rPr>
  </w:style>
  <w:style w:type="paragraph" w:customStyle="1" w:styleId="Heading3">
    <w:name w:val="Heading 3"/>
    <w:basedOn w:val="Normal"/>
    <w:uiPriority w:val="1"/>
    <w:qFormat/>
    <w:pPr>
      <w:spacing w:before="41"/>
      <w:ind w:left="400"/>
      <w:outlineLvl w:val="3"/>
    </w:pPr>
    <w:rPr>
      <w:rFonts w:ascii="Calibri Light" w:eastAsia="Calibri Light" w:hAnsi="Calibri Light" w:cs="Calibri Light"/>
      <w:sz w:val="24"/>
      <w:szCs w:val="24"/>
    </w:rPr>
  </w:style>
  <w:style w:type="paragraph" w:customStyle="1" w:styleId="Heading4">
    <w:name w:val="Heading 4"/>
    <w:basedOn w:val="Normal"/>
    <w:uiPriority w:val="1"/>
    <w:qFormat/>
    <w:pPr>
      <w:spacing w:before="158"/>
      <w:ind w:left="400"/>
      <w:outlineLvl w:val="4"/>
    </w:pPr>
    <w:rPr>
      <w:rFonts w:ascii="Calibri" w:eastAsia="Calibri" w:hAnsi="Calibri" w:cs="Calibri"/>
      <w:b/>
      <w:bCs/>
      <w:sz w:val="22"/>
      <w:szCs w:val="22"/>
    </w:rPr>
  </w:style>
  <w:style w:type="paragraph" w:styleId="ListParagraph">
    <w:name w:val="List Paragraph"/>
    <w:basedOn w:val="Normal"/>
    <w:uiPriority w:val="1"/>
    <w:qFormat/>
    <w:pPr>
      <w:ind w:left="1120" w:hanging="360"/>
    </w:pPr>
    <w:rPr>
      <w:rFonts w:ascii="Calibri" w:eastAsia="Calibri" w:hAnsi="Calibri" w:cs="Calibri"/>
    </w:rPr>
  </w:style>
  <w:style w:type="paragraph" w:customStyle="1" w:styleId="TableParagraph">
    <w:name w:val="Table Paragraph"/>
    <w:basedOn w:val="Normal"/>
    <w:uiPriority w:val="1"/>
    <w:qFormat/>
    <w:rPr>
      <w:rFonts w:ascii="Calibri" w:eastAsia="Calibri" w:hAnsi="Calibri" w:cs="Calibri"/>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