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B165E" w:rsidP="00E55AC6">
      <w:pPr>
        <w:rPr>
          <w:rFonts w:asciiTheme="minorHAnsi" w:hAnsiTheme="minorHAnsi" w:cstheme="minorHAnsi"/>
          <w:b/>
        </w:rPr>
      </w:pPr>
    </w:p>
    <w:p w:rsidR="00D849C0" w:rsidP="00D849C0">
      <w:pPr>
        <w:jc w:val="center"/>
        <w:rPr>
          <w:rFonts w:asciiTheme="minorHAnsi" w:hAnsiTheme="minorHAnsi" w:cstheme="minorHAnsi"/>
          <w:b/>
        </w:rPr>
      </w:pPr>
      <w:r>
        <w:rPr>
          <w:rFonts w:asciiTheme="minorHAnsi" w:hAnsiTheme="minorHAnsi" w:cstheme="minorHAnsi"/>
          <w:b/>
        </w:rPr>
        <w:t>Written evidence submitted by</w:t>
      </w:r>
      <w:r w:rsidRPr="00D849C0">
        <w:rPr>
          <w:rFonts w:asciiTheme="minorHAnsi" w:hAnsiTheme="minorHAnsi" w:cstheme="minorHAnsi"/>
          <w:b/>
        </w:rPr>
        <w:t xml:space="preserve"> the Chartered Institute of Taxation</w:t>
      </w:r>
    </w:p>
    <w:p w:rsidR="00783266" w:rsidRPr="00D849C0" w:rsidP="00D849C0">
      <w:pPr>
        <w:jc w:val="center"/>
        <w:rPr>
          <w:rFonts w:asciiTheme="minorHAnsi" w:hAnsiTheme="minorHAnsi" w:cstheme="minorHAnsi"/>
          <w:b/>
        </w:rPr>
      </w:pPr>
    </w:p>
    <w:tbl>
      <w:tblPr>
        <w:tblW w:w="0" w:type="auto"/>
        <w:tblLook w:val="0000"/>
      </w:tblPr>
      <w:tblGrid>
        <w:gridCol w:w="559"/>
        <w:gridCol w:w="9907"/>
      </w:tblGrid>
      <w:tr w:rsidTr="009F0DE5">
        <w:tblPrEx>
          <w:tblW w:w="0" w:type="auto"/>
          <w:tblLook w:val="0000"/>
        </w:tblPrEx>
        <w:tc>
          <w:tcPr>
            <w:tcW w:w="559" w:type="dxa"/>
          </w:tcPr>
          <w:p w:rsidR="00D849C0" w:rsidRPr="00D849C0" w:rsidP="00D849C0">
            <w:pPr>
              <w:numPr>
                <w:ilvl w:val="0"/>
                <w:numId w:val="1"/>
              </w:numPr>
              <w:jc w:val="both"/>
              <w:rPr>
                <w:rFonts w:asciiTheme="minorHAnsi" w:hAnsiTheme="minorHAnsi" w:cstheme="minorHAnsi"/>
              </w:rPr>
            </w:pPr>
          </w:p>
        </w:tc>
        <w:tc>
          <w:tcPr>
            <w:tcW w:w="9907" w:type="dxa"/>
          </w:tcPr>
          <w:p w:rsidR="00D849C0" w:rsidRPr="00D849C0" w:rsidP="00D849C0">
            <w:pPr>
              <w:jc w:val="both"/>
              <w:rPr>
                <w:rFonts w:asciiTheme="minorHAnsi" w:hAnsiTheme="minorHAnsi" w:cstheme="minorHAnsi"/>
                <w:b/>
              </w:rPr>
            </w:pPr>
            <w:r>
              <w:rPr>
                <w:rFonts w:asciiTheme="minorHAnsi" w:hAnsiTheme="minorHAnsi" w:cstheme="minorHAnsi"/>
                <w:b/>
              </w:rPr>
              <w:t>Executive Summary</w:t>
            </w:r>
          </w:p>
        </w:tc>
      </w:tr>
      <w:tr w:rsidTr="009F0DE5">
        <w:tblPrEx>
          <w:tblW w:w="0" w:type="auto"/>
          <w:tblLook w:val="0000"/>
        </w:tblPrEx>
        <w:tc>
          <w:tcPr>
            <w:tcW w:w="559" w:type="dxa"/>
          </w:tcPr>
          <w:p w:rsidR="00D84297" w:rsidRPr="00D849C0" w:rsidP="00D849C0">
            <w:pPr>
              <w:numPr>
                <w:ilvl w:val="1"/>
                <w:numId w:val="1"/>
              </w:numPr>
              <w:jc w:val="both"/>
              <w:rPr>
                <w:rFonts w:asciiTheme="minorHAnsi" w:hAnsiTheme="minorHAnsi" w:cstheme="minorHAnsi"/>
              </w:rPr>
            </w:pPr>
          </w:p>
        </w:tc>
        <w:tc>
          <w:tcPr>
            <w:tcW w:w="9907" w:type="dxa"/>
          </w:tcPr>
          <w:p w:rsidR="00D84297" w:rsidRPr="00D849C0" w:rsidP="00830875">
            <w:pPr>
              <w:jc w:val="both"/>
              <w:rPr>
                <w:rFonts w:asciiTheme="minorHAnsi" w:hAnsiTheme="minorHAnsi" w:cstheme="minorHAnsi"/>
              </w:rPr>
            </w:pPr>
            <w:r w:rsidRPr="00D84297">
              <w:rPr>
                <w:rFonts w:asciiTheme="minorHAnsi" w:hAnsiTheme="minorHAnsi" w:cstheme="minorHAnsi"/>
              </w:rPr>
              <w:t xml:space="preserve">The </w:t>
            </w:r>
            <w:r>
              <w:rPr>
                <w:rFonts w:asciiTheme="minorHAnsi" w:hAnsiTheme="minorHAnsi" w:cstheme="minorHAnsi"/>
              </w:rPr>
              <w:t>Chartered Institute of Taxation (</w:t>
            </w:r>
            <w:r w:rsidRPr="00D84297">
              <w:rPr>
                <w:rFonts w:asciiTheme="minorHAnsi" w:hAnsiTheme="minorHAnsi" w:cstheme="minorHAnsi"/>
              </w:rPr>
              <w:t>CIOT</w:t>
            </w:r>
            <w:r>
              <w:rPr>
                <w:rFonts w:asciiTheme="minorHAnsi" w:hAnsiTheme="minorHAnsi" w:cstheme="minorHAnsi"/>
              </w:rPr>
              <w:t>)</w:t>
            </w:r>
            <w:r w:rsidRPr="00D84297">
              <w:rPr>
                <w:rFonts w:asciiTheme="minorHAnsi" w:hAnsiTheme="minorHAnsi" w:cstheme="minorHAnsi"/>
              </w:rPr>
              <w:t xml:space="preserve"> is the leading professional body in the UK for advisers dealing with all aspects of taxation. </w:t>
            </w:r>
            <w:r>
              <w:rPr>
                <w:rFonts w:asciiTheme="minorHAnsi" w:hAnsiTheme="minorHAnsi" w:cstheme="minorHAnsi"/>
              </w:rPr>
              <w:t xml:space="preserve">We are a charity and </w:t>
            </w:r>
            <w:r w:rsidRPr="00D84297">
              <w:rPr>
                <w:rFonts w:asciiTheme="minorHAnsi" w:hAnsiTheme="minorHAnsi" w:cstheme="minorHAnsi"/>
              </w:rPr>
              <w:t xml:space="preserve">our primary purpose is to promote education in taxation with a key aim of achieving a more efficient and less complex tax system for all. </w:t>
            </w:r>
            <w:r>
              <w:rPr>
                <w:rFonts w:asciiTheme="minorHAnsi" w:hAnsiTheme="minorHAnsi" w:cstheme="minorHAnsi"/>
              </w:rPr>
              <w:t>We</w:t>
            </w:r>
            <w:r>
              <w:rPr>
                <w:rFonts w:asciiTheme="minorHAnsi" w:hAnsiTheme="minorHAnsi" w:cstheme="minorHAnsi"/>
              </w:rPr>
              <w:t xml:space="preserve"> </w:t>
            </w:r>
            <w:r w:rsidRPr="00830875">
              <w:rPr>
                <w:rFonts w:asciiTheme="minorHAnsi" w:hAnsiTheme="minorHAnsi" w:cstheme="minorHAnsi"/>
              </w:rPr>
              <w:t xml:space="preserve">draw on </w:t>
            </w:r>
            <w:r>
              <w:rPr>
                <w:rFonts w:asciiTheme="minorHAnsi" w:hAnsiTheme="minorHAnsi" w:cstheme="minorHAnsi"/>
              </w:rPr>
              <w:t>the</w:t>
            </w:r>
            <w:r w:rsidRPr="00830875">
              <w:rPr>
                <w:rFonts w:asciiTheme="minorHAnsi" w:hAnsiTheme="minorHAnsi" w:cstheme="minorHAnsi"/>
              </w:rPr>
              <w:t xml:space="preserve"> experience </w:t>
            </w:r>
            <w:r>
              <w:rPr>
                <w:rFonts w:asciiTheme="minorHAnsi" w:hAnsiTheme="minorHAnsi" w:cstheme="minorHAnsi"/>
              </w:rPr>
              <w:t>of our 19,000 members, and extensive volunteer network, in providing our response</w:t>
            </w:r>
            <w:r w:rsidRPr="00830875">
              <w:rPr>
                <w:rFonts w:asciiTheme="minorHAnsi" w:hAnsiTheme="minorHAnsi" w:cstheme="minorHAnsi"/>
              </w:rPr>
              <w:t xml:space="preserve">. </w:t>
            </w:r>
          </w:p>
        </w:tc>
      </w:tr>
      <w:tr w:rsidTr="009F0DE5">
        <w:tblPrEx>
          <w:tblW w:w="0" w:type="auto"/>
          <w:tblLook w:val="0000"/>
        </w:tblPrEx>
        <w:tc>
          <w:tcPr>
            <w:tcW w:w="559" w:type="dxa"/>
          </w:tcPr>
          <w:p w:rsidR="00D84297" w:rsidRPr="00D849C0" w:rsidP="00D849C0">
            <w:pPr>
              <w:numPr>
                <w:ilvl w:val="1"/>
                <w:numId w:val="1"/>
              </w:numPr>
              <w:jc w:val="both"/>
              <w:rPr>
                <w:rFonts w:asciiTheme="minorHAnsi" w:hAnsiTheme="minorHAnsi" w:cstheme="minorHAnsi"/>
              </w:rPr>
            </w:pPr>
          </w:p>
        </w:tc>
        <w:tc>
          <w:tcPr>
            <w:tcW w:w="9907" w:type="dxa"/>
          </w:tcPr>
          <w:p w:rsidR="004C3841" w:rsidRPr="00D849C0" w:rsidP="00FD6685">
            <w:pPr>
              <w:jc w:val="both"/>
              <w:rPr>
                <w:rFonts w:asciiTheme="minorHAnsi" w:hAnsiTheme="minorHAnsi" w:cstheme="minorHAnsi"/>
              </w:rPr>
            </w:pPr>
            <w:r>
              <w:rPr>
                <w:rFonts w:asciiTheme="minorHAnsi" w:hAnsiTheme="minorHAnsi" w:cstheme="minorHAnsi"/>
              </w:rPr>
              <w:t xml:space="preserve">Budget 2021 </w:t>
            </w:r>
            <w:r>
              <w:rPr>
                <w:rFonts w:asciiTheme="minorHAnsi" w:hAnsiTheme="minorHAnsi" w:cstheme="minorHAnsi"/>
              </w:rPr>
              <w:t>was largely a Budget of two halves. In the short term the priority is to support individuals and the economy and</w:t>
            </w:r>
            <w:r>
              <w:rPr>
                <w:rFonts w:asciiTheme="minorHAnsi" w:hAnsiTheme="minorHAnsi" w:cstheme="minorHAnsi"/>
              </w:rPr>
              <w:t>, like last year’s Bud</w:t>
            </w:r>
            <w:r>
              <w:rPr>
                <w:rFonts w:asciiTheme="minorHAnsi" w:hAnsiTheme="minorHAnsi" w:cstheme="minorHAnsi"/>
              </w:rPr>
              <w:t xml:space="preserve">get, </w:t>
            </w:r>
            <w:r>
              <w:rPr>
                <w:rFonts w:asciiTheme="minorHAnsi" w:hAnsiTheme="minorHAnsi" w:cstheme="minorHAnsi"/>
              </w:rPr>
              <w:t>significant support for businesses and employees</w:t>
            </w:r>
            <w:r>
              <w:rPr>
                <w:rFonts w:asciiTheme="minorHAnsi" w:hAnsiTheme="minorHAnsi" w:cstheme="minorHAnsi"/>
              </w:rPr>
              <w:t xml:space="preserve"> was announced</w:t>
            </w:r>
            <w:r>
              <w:rPr>
                <w:rFonts w:asciiTheme="minorHAnsi" w:hAnsiTheme="minorHAnsi" w:cstheme="minorHAnsi"/>
              </w:rPr>
              <w:t xml:space="preserve">. </w:t>
            </w:r>
            <w:r w:rsidRPr="00D16469">
              <w:rPr>
                <w:rFonts w:asciiTheme="minorHAnsi" w:hAnsiTheme="minorHAnsi" w:cstheme="minorHAnsi"/>
              </w:rPr>
              <w:t>However, unlike last year, Budget 2021</w:t>
            </w:r>
            <w:r>
              <w:rPr>
                <w:rFonts w:asciiTheme="minorHAnsi" w:hAnsiTheme="minorHAnsi" w:cstheme="minorHAnsi"/>
              </w:rPr>
              <w:t xml:space="preserve"> also announced a number of</w:t>
            </w:r>
            <w:r>
              <w:rPr>
                <w:rFonts w:asciiTheme="minorHAnsi" w:hAnsiTheme="minorHAnsi" w:cstheme="minorHAnsi"/>
              </w:rPr>
              <w:t xml:space="preserve"> measures to increase taxes and plot a course towards recovery.</w:t>
            </w:r>
          </w:p>
        </w:tc>
      </w:tr>
      <w:tr w:rsidTr="009F0DE5">
        <w:tblPrEx>
          <w:tblW w:w="0" w:type="auto"/>
          <w:tblLook w:val="0000"/>
        </w:tblPrEx>
        <w:tc>
          <w:tcPr>
            <w:tcW w:w="559" w:type="dxa"/>
          </w:tcPr>
          <w:p w:rsidR="00D16469" w:rsidRPr="00D849C0" w:rsidP="00D849C0">
            <w:pPr>
              <w:numPr>
                <w:ilvl w:val="1"/>
                <w:numId w:val="1"/>
              </w:numPr>
              <w:jc w:val="both"/>
              <w:rPr>
                <w:rFonts w:asciiTheme="minorHAnsi" w:hAnsiTheme="minorHAnsi" w:cstheme="minorHAnsi"/>
              </w:rPr>
            </w:pPr>
          </w:p>
        </w:tc>
        <w:tc>
          <w:tcPr>
            <w:tcW w:w="9907" w:type="dxa"/>
          </w:tcPr>
          <w:p w:rsidR="00D16469" w:rsidP="00FD6685">
            <w:pPr>
              <w:jc w:val="both"/>
              <w:rPr>
                <w:rFonts w:asciiTheme="minorHAnsi" w:hAnsiTheme="minorHAnsi" w:cstheme="minorHAnsi"/>
              </w:rPr>
            </w:pPr>
            <w:r>
              <w:rPr>
                <w:rFonts w:asciiTheme="minorHAnsi" w:hAnsiTheme="minorHAnsi" w:cstheme="minorHAnsi"/>
              </w:rPr>
              <w:t xml:space="preserve">In the light of these exceptional circumstances, </w:t>
            </w:r>
            <w:r w:rsidRPr="00D16469">
              <w:rPr>
                <w:rFonts w:asciiTheme="minorHAnsi" w:hAnsiTheme="minorHAnsi" w:cstheme="minorHAnsi"/>
              </w:rPr>
              <w:t xml:space="preserve">we recognise </w:t>
            </w:r>
            <w:r>
              <w:rPr>
                <w:rFonts w:asciiTheme="minorHAnsi" w:hAnsiTheme="minorHAnsi" w:cstheme="minorHAnsi"/>
              </w:rPr>
              <w:t xml:space="preserve">that </w:t>
            </w:r>
            <w:r>
              <w:rPr>
                <w:rFonts w:asciiTheme="minorHAnsi" w:hAnsiTheme="minorHAnsi" w:cstheme="minorHAnsi"/>
              </w:rPr>
              <w:t xml:space="preserve">for many of these measures </w:t>
            </w:r>
            <w:r w:rsidRPr="00D16469">
              <w:rPr>
                <w:rFonts w:asciiTheme="minorHAnsi" w:hAnsiTheme="minorHAnsi" w:cstheme="minorHAnsi"/>
              </w:rPr>
              <w:t xml:space="preserve">the normal policy-making process had to be </w:t>
            </w:r>
            <w:r>
              <w:rPr>
                <w:rFonts w:asciiTheme="minorHAnsi" w:hAnsiTheme="minorHAnsi" w:cstheme="minorHAnsi"/>
              </w:rPr>
              <w:t>set aside</w:t>
            </w:r>
            <w:r w:rsidRPr="00D16469">
              <w:rPr>
                <w:rFonts w:asciiTheme="minorHAnsi" w:hAnsiTheme="minorHAnsi" w:cstheme="minorHAnsi"/>
              </w:rPr>
              <w:t>, and decisions made</w:t>
            </w:r>
            <w:r w:rsidRPr="00D16469">
              <w:rPr>
                <w:rFonts w:asciiTheme="minorHAnsi" w:hAnsiTheme="minorHAnsi" w:cstheme="minorHAnsi"/>
              </w:rPr>
              <w:t xml:space="preserve"> and policies implemented at pace.</w:t>
            </w:r>
          </w:p>
        </w:tc>
      </w:tr>
      <w:tr w:rsidTr="009F0DE5">
        <w:tblPrEx>
          <w:tblW w:w="0" w:type="auto"/>
          <w:tblLook w:val="0000"/>
        </w:tblPrEx>
        <w:tc>
          <w:tcPr>
            <w:tcW w:w="559" w:type="dxa"/>
          </w:tcPr>
          <w:p w:rsidR="004C3841" w:rsidRPr="00D849C0" w:rsidP="00D849C0">
            <w:pPr>
              <w:numPr>
                <w:ilvl w:val="1"/>
                <w:numId w:val="1"/>
              </w:numPr>
              <w:jc w:val="both"/>
              <w:rPr>
                <w:rFonts w:asciiTheme="minorHAnsi" w:hAnsiTheme="minorHAnsi" w:cstheme="minorHAnsi"/>
              </w:rPr>
            </w:pPr>
          </w:p>
        </w:tc>
        <w:tc>
          <w:tcPr>
            <w:tcW w:w="9907" w:type="dxa"/>
          </w:tcPr>
          <w:p w:rsidR="004C3841" w:rsidP="00D849C0">
            <w:pPr>
              <w:jc w:val="both"/>
              <w:rPr>
                <w:rFonts w:asciiTheme="minorHAnsi" w:hAnsiTheme="minorHAnsi" w:cstheme="minorHAnsi"/>
              </w:rPr>
            </w:pPr>
            <w:r>
              <w:rPr>
                <w:rFonts w:asciiTheme="minorHAnsi" w:hAnsiTheme="minorHAnsi" w:cstheme="minorHAnsi"/>
              </w:rPr>
              <w:t xml:space="preserve">Notwithstanding this, we consider that the Budget was consistent with many of the Committee’s principles of tax policy, even when viewed through the lens of the Committee’s Tax after Coronavirus report. </w:t>
            </w:r>
          </w:p>
        </w:tc>
      </w:tr>
      <w:tr w:rsidTr="009F0DE5">
        <w:tblPrEx>
          <w:tblW w:w="0" w:type="auto"/>
          <w:tblLook w:val="0000"/>
        </w:tblPrEx>
        <w:tc>
          <w:tcPr>
            <w:tcW w:w="559" w:type="dxa"/>
          </w:tcPr>
          <w:p w:rsidR="006E5EEF" w:rsidRPr="00D849C0" w:rsidP="00D849C0">
            <w:pPr>
              <w:numPr>
                <w:ilvl w:val="1"/>
                <w:numId w:val="1"/>
              </w:numPr>
              <w:jc w:val="both"/>
              <w:rPr>
                <w:rFonts w:asciiTheme="minorHAnsi" w:hAnsiTheme="minorHAnsi" w:cstheme="minorHAnsi"/>
              </w:rPr>
            </w:pPr>
          </w:p>
        </w:tc>
        <w:tc>
          <w:tcPr>
            <w:tcW w:w="9907" w:type="dxa"/>
          </w:tcPr>
          <w:p w:rsidR="006E5EEF" w:rsidP="006E5EEF">
            <w:pPr>
              <w:jc w:val="both"/>
              <w:rPr>
                <w:rFonts w:asciiTheme="minorHAnsi" w:hAnsiTheme="minorHAnsi" w:cstheme="minorHAnsi"/>
              </w:rPr>
            </w:pPr>
            <w:r>
              <w:rPr>
                <w:rFonts w:asciiTheme="minorHAnsi" w:hAnsiTheme="minorHAnsi" w:cstheme="minorHAnsi"/>
              </w:rPr>
              <w:t>The announcem</w:t>
            </w:r>
            <w:r>
              <w:rPr>
                <w:rFonts w:asciiTheme="minorHAnsi" w:hAnsiTheme="minorHAnsi" w:cstheme="minorHAnsi"/>
              </w:rPr>
              <w:t>ent of further support via the Job Retention Scheme and the Self-Employment Income Support Scheme through to September 2021 is welcome, and provides clarity and certainty</w:t>
            </w:r>
            <w:r>
              <w:rPr>
                <w:rFonts w:asciiTheme="minorHAnsi" w:hAnsiTheme="minorHAnsi" w:cstheme="minorHAnsi"/>
              </w:rPr>
              <w:t xml:space="preserve"> for millions of individuals and businesses. However, we remain disappointed that the </w:t>
            </w:r>
            <w:r>
              <w:rPr>
                <w:rFonts w:asciiTheme="minorHAnsi" w:hAnsiTheme="minorHAnsi" w:cstheme="minorHAnsi"/>
              </w:rPr>
              <w:t>government has not gone further to fill some of the gaps in these schemes, which will leave some without support for nearly eighteen months.</w:t>
            </w:r>
          </w:p>
        </w:tc>
      </w:tr>
      <w:tr w:rsidTr="009F0DE5">
        <w:tblPrEx>
          <w:tblW w:w="0" w:type="auto"/>
          <w:tblLook w:val="0000"/>
        </w:tblPrEx>
        <w:tc>
          <w:tcPr>
            <w:tcW w:w="559" w:type="dxa"/>
          </w:tcPr>
          <w:p w:rsidR="002D79C9" w:rsidRPr="00D849C0" w:rsidP="00D849C0">
            <w:pPr>
              <w:numPr>
                <w:ilvl w:val="1"/>
                <w:numId w:val="1"/>
              </w:numPr>
              <w:jc w:val="both"/>
              <w:rPr>
                <w:rFonts w:asciiTheme="minorHAnsi" w:hAnsiTheme="minorHAnsi" w:cstheme="minorHAnsi"/>
              </w:rPr>
            </w:pPr>
          </w:p>
        </w:tc>
        <w:tc>
          <w:tcPr>
            <w:tcW w:w="9907" w:type="dxa"/>
          </w:tcPr>
          <w:p w:rsidR="002D79C9" w:rsidP="00766C5C">
            <w:pPr>
              <w:jc w:val="both"/>
              <w:rPr>
                <w:rFonts w:asciiTheme="minorHAnsi" w:hAnsiTheme="minorHAnsi" w:cstheme="minorHAnsi"/>
              </w:rPr>
            </w:pPr>
            <w:r>
              <w:rPr>
                <w:rFonts w:asciiTheme="minorHAnsi" w:hAnsiTheme="minorHAnsi" w:cstheme="minorHAnsi"/>
              </w:rPr>
              <w:t xml:space="preserve">The announcement that a number of allowances and thresholds </w:t>
            </w:r>
            <w:r>
              <w:rPr>
                <w:rFonts w:asciiTheme="minorHAnsi" w:hAnsiTheme="minorHAnsi" w:cstheme="minorHAnsi"/>
              </w:rPr>
              <w:t>will</w:t>
            </w:r>
            <w:r>
              <w:rPr>
                <w:rFonts w:asciiTheme="minorHAnsi" w:hAnsiTheme="minorHAnsi" w:cstheme="minorHAnsi"/>
              </w:rPr>
              <w:t xml:space="preserve"> be frozen for </w:t>
            </w:r>
            <w:r>
              <w:rPr>
                <w:rFonts w:asciiTheme="minorHAnsi" w:hAnsiTheme="minorHAnsi" w:cstheme="minorHAnsi"/>
              </w:rPr>
              <w:t xml:space="preserve">a </w:t>
            </w:r>
            <w:r w:rsidRPr="00817004">
              <w:rPr>
                <w:rFonts w:asciiTheme="minorHAnsi" w:hAnsiTheme="minorHAnsi" w:cstheme="minorHAnsi"/>
              </w:rPr>
              <w:t>considerable peri</w:t>
            </w:r>
            <w:r>
              <w:rPr>
                <w:rFonts w:asciiTheme="minorHAnsi" w:hAnsiTheme="minorHAnsi" w:cstheme="minorHAnsi"/>
              </w:rPr>
              <w:t>od of time ahea</w:t>
            </w:r>
            <w:r>
              <w:rPr>
                <w:rFonts w:asciiTheme="minorHAnsi" w:hAnsiTheme="minorHAnsi" w:cstheme="minorHAnsi"/>
              </w:rPr>
              <w:t xml:space="preserve">d provides certainty and stability, whilst generating increasing levels of revenue. However, </w:t>
            </w:r>
            <w:r>
              <w:rPr>
                <w:rFonts w:asciiTheme="minorHAnsi" w:hAnsiTheme="minorHAnsi" w:cstheme="minorHAnsi"/>
              </w:rPr>
              <w:t>a</w:t>
            </w:r>
            <w:r>
              <w:rPr>
                <w:rFonts w:asciiTheme="minorHAnsi" w:hAnsiTheme="minorHAnsi" w:cstheme="minorHAnsi"/>
              </w:rPr>
              <w:t xml:space="preserve"> drawback of such an approach is that more people face the costs </w:t>
            </w:r>
            <w:r>
              <w:rPr>
                <w:rFonts w:asciiTheme="minorHAnsi" w:hAnsiTheme="minorHAnsi" w:cstheme="minorHAnsi"/>
              </w:rPr>
              <w:t xml:space="preserve">and </w:t>
            </w:r>
            <w:r>
              <w:rPr>
                <w:rFonts w:asciiTheme="minorHAnsi" w:hAnsiTheme="minorHAnsi" w:cstheme="minorHAnsi"/>
              </w:rPr>
              <w:t>complexity that crossing thresholds can bring (such as the VAT threshold)</w:t>
            </w:r>
            <w:r>
              <w:rPr>
                <w:rFonts w:asciiTheme="minorHAnsi" w:hAnsiTheme="minorHAnsi" w:cstheme="minorHAnsi"/>
              </w:rPr>
              <w:t xml:space="preserve">. In the case of the </w:t>
            </w:r>
            <w:r>
              <w:rPr>
                <w:rFonts w:asciiTheme="minorHAnsi" w:hAnsiTheme="minorHAnsi" w:cstheme="minorHAnsi"/>
              </w:rPr>
              <w:t>H</w:t>
            </w:r>
            <w:r>
              <w:rPr>
                <w:rFonts w:asciiTheme="minorHAnsi" w:hAnsiTheme="minorHAnsi" w:cstheme="minorHAnsi"/>
              </w:rPr>
              <w:t>igh Income Child Benefit Charge, which has always affected some households with modest income, these anomalies become more significant as the level at which the charge ‘bites’ has remained frozen</w:t>
            </w:r>
            <w:r>
              <w:rPr>
                <w:rFonts w:asciiTheme="minorHAnsi" w:hAnsiTheme="minorHAnsi" w:cstheme="minorHAnsi"/>
              </w:rPr>
              <w:t xml:space="preserve">. </w:t>
            </w:r>
          </w:p>
        </w:tc>
      </w:tr>
      <w:tr w:rsidTr="009F0DE5">
        <w:tblPrEx>
          <w:tblW w:w="0" w:type="auto"/>
          <w:tblLook w:val="0000"/>
        </w:tblPrEx>
        <w:tc>
          <w:tcPr>
            <w:tcW w:w="559" w:type="dxa"/>
          </w:tcPr>
          <w:p w:rsidR="00C210CA" w:rsidRPr="00D849C0" w:rsidP="00D849C0">
            <w:pPr>
              <w:numPr>
                <w:ilvl w:val="1"/>
                <w:numId w:val="1"/>
              </w:numPr>
              <w:jc w:val="both"/>
              <w:rPr>
                <w:rFonts w:asciiTheme="minorHAnsi" w:hAnsiTheme="minorHAnsi" w:cstheme="minorHAnsi"/>
              </w:rPr>
            </w:pPr>
          </w:p>
        </w:tc>
        <w:tc>
          <w:tcPr>
            <w:tcW w:w="9907" w:type="dxa"/>
          </w:tcPr>
          <w:p w:rsidR="00C210CA" w:rsidP="00FD6685">
            <w:pPr>
              <w:jc w:val="both"/>
              <w:rPr>
                <w:rFonts w:asciiTheme="minorHAnsi" w:hAnsiTheme="minorHAnsi" w:cstheme="minorHAnsi"/>
              </w:rPr>
            </w:pPr>
            <w:r>
              <w:rPr>
                <w:rFonts w:asciiTheme="minorHAnsi" w:hAnsiTheme="minorHAnsi" w:cstheme="minorHAnsi"/>
              </w:rPr>
              <w:t xml:space="preserve">We </w:t>
            </w:r>
            <w:r>
              <w:rPr>
                <w:rFonts w:asciiTheme="minorHAnsi" w:hAnsiTheme="minorHAnsi" w:cstheme="minorHAnsi"/>
              </w:rPr>
              <w:t>a</w:t>
            </w:r>
            <w:r>
              <w:rPr>
                <w:rFonts w:asciiTheme="minorHAnsi" w:hAnsiTheme="minorHAnsi" w:cstheme="minorHAnsi"/>
              </w:rPr>
              <w:t xml:space="preserve">re pleased </w:t>
            </w:r>
            <w:r w:rsidRPr="00C210CA">
              <w:rPr>
                <w:rFonts w:asciiTheme="minorHAnsi" w:hAnsiTheme="minorHAnsi" w:cstheme="minorHAnsi"/>
              </w:rPr>
              <w:t>that the trading lo</w:t>
            </w:r>
            <w:r w:rsidRPr="00C210CA">
              <w:rPr>
                <w:rFonts w:asciiTheme="minorHAnsi" w:hAnsiTheme="minorHAnsi" w:cstheme="minorHAnsi"/>
              </w:rPr>
              <w:t xml:space="preserve">ss carry-back rule will be temporarily extended. This </w:t>
            </w:r>
            <w:r>
              <w:rPr>
                <w:rFonts w:asciiTheme="minorHAnsi" w:hAnsiTheme="minorHAnsi" w:cstheme="minorHAnsi"/>
              </w:rPr>
              <w:t>i</w:t>
            </w:r>
            <w:r w:rsidRPr="00C210CA">
              <w:rPr>
                <w:rFonts w:asciiTheme="minorHAnsi" w:hAnsiTheme="minorHAnsi" w:cstheme="minorHAnsi"/>
              </w:rPr>
              <w:t xml:space="preserve">s something the CIOT has been suggesting over the past year, </w:t>
            </w:r>
            <w:r>
              <w:rPr>
                <w:rFonts w:asciiTheme="minorHAnsi" w:hAnsiTheme="minorHAnsi" w:cstheme="minorHAnsi"/>
              </w:rPr>
              <w:t xml:space="preserve">and </w:t>
            </w:r>
            <w:r>
              <w:rPr>
                <w:rFonts w:asciiTheme="minorHAnsi" w:hAnsiTheme="minorHAnsi" w:cstheme="minorHAnsi"/>
              </w:rPr>
              <w:t xml:space="preserve">was </w:t>
            </w:r>
            <w:r>
              <w:rPr>
                <w:rFonts w:asciiTheme="minorHAnsi" w:hAnsiTheme="minorHAnsi" w:cstheme="minorHAnsi"/>
              </w:rPr>
              <w:t xml:space="preserve">a specific recommendation in the Committee’s </w:t>
            </w:r>
            <w:r w:rsidRPr="00C210CA">
              <w:rPr>
                <w:rFonts w:asciiTheme="minorHAnsi" w:hAnsiTheme="minorHAnsi" w:cstheme="minorHAnsi"/>
              </w:rPr>
              <w:t>Tax after Coronavirus report</w:t>
            </w:r>
            <w:r>
              <w:rPr>
                <w:rFonts w:asciiTheme="minorHAnsi" w:hAnsiTheme="minorHAnsi" w:cstheme="minorHAnsi"/>
              </w:rPr>
              <w:t>.</w:t>
            </w:r>
          </w:p>
        </w:tc>
      </w:tr>
      <w:tr w:rsidTr="009F0DE5">
        <w:tblPrEx>
          <w:tblW w:w="0" w:type="auto"/>
          <w:tblLook w:val="0000"/>
        </w:tblPrEx>
        <w:tc>
          <w:tcPr>
            <w:tcW w:w="559" w:type="dxa"/>
          </w:tcPr>
          <w:p w:rsidR="00C210CA" w:rsidRPr="00D849C0" w:rsidP="00D849C0">
            <w:pPr>
              <w:numPr>
                <w:ilvl w:val="1"/>
                <w:numId w:val="1"/>
              </w:numPr>
              <w:jc w:val="both"/>
              <w:rPr>
                <w:rFonts w:asciiTheme="minorHAnsi" w:hAnsiTheme="minorHAnsi" w:cstheme="minorHAnsi"/>
              </w:rPr>
            </w:pPr>
          </w:p>
        </w:tc>
        <w:tc>
          <w:tcPr>
            <w:tcW w:w="9907" w:type="dxa"/>
          </w:tcPr>
          <w:p w:rsidR="00C210CA" w:rsidP="00A96EFD">
            <w:pPr>
              <w:jc w:val="both"/>
              <w:rPr>
                <w:rFonts w:asciiTheme="minorHAnsi" w:hAnsiTheme="minorHAnsi" w:cstheme="minorHAnsi"/>
              </w:rPr>
            </w:pPr>
            <w:r>
              <w:rPr>
                <w:rFonts w:asciiTheme="minorHAnsi" w:hAnsiTheme="minorHAnsi" w:cstheme="minorHAnsi"/>
              </w:rPr>
              <w:t xml:space="preserve">We welcome that the proposed increase to the rate of </w:t>
            </w:r>
            <w:r>
              <w:rPr>
                <w:rFonts w:asciiTheme="minorHAnsi" w:hAnsiTheme="minorHAnsi" w:cstheme="minorHAnsi"/>
              </w:rPr>
              <w:t>corporation tax has been announced well ahead of its implementation.</w:t>
            </w:r>
            <w:r>
              <w:rPr>
                <w:rFonts w:asciiTheme="minorHAnsi" w:hAnsiTheme="minorHAnsi" w:cstheme="minorHAnsi"/>
              </w:rPr>
              <w:t xml:space="preserve"> We think that giving notice of this is consistent with one of the themes of the Committee’s Tax after Coronavirus report.</w:t>
            </w:r>
            <w:r>
              <w:rPr>
                <w:rFonts w:asciiTheme="minorHAnsi" w:hAnsiTheme="minorHAnsi" w:cstheme="minorHAnsi"/>
              </w:rPr>
              <w:t xml:space="preserve"> Smaller companies will benefit from the small profits rate, but t</w:t>
            </w:r>
            <w:r>
              <w:rPr>
                <w:rFonts w:asciiTheme="minorHAnsi" w:hAnsiTheme="minorHAnsi" w:cstheme="minorHAnsi"/>
              </w:rPr>
              <w:t xml:space="preserve">his reintroduces some complexity into the system, whilst also missing an opportunity to address the </w:t>
            </w:r>
            <w:r w:rsidRPr="00C210CA">
              <w:rPr>
                <w:rFonts w:asciiTheme="minorHAnsi" w:hAnsiTheme="minorHAnsi" w:cstheme="minorHAnsi"/>
              </w:rPr>
              <w:t xml:space="preserve">imbalance between the </w:t>
            </w:r>
            <w:r>
              <w:rPr>
                <w:rFonts w:asciiTheme="minorHAnsi" w:hAnsiTheme="minorHAnsi" w:cstheme="minorHAnsi"/>
              </w:rPr>
              <w:t>taxation of</w:t>
            </w:r>
            <w:r w:rsidRPr="00C210CA">
              <w:rPr>
                <w:rFonts w:asciiTheme="minorHAnsi" w:hAnsiTheme="minorHAnsi" w:cstheme="minorHAnsi"/>
              </w:rPr>
              <w:t xml:space="preserve"> employment, self-employment and those operating through a company</w:t>
            </w:r>
            <w:r>
              <w:rPr>
                <w:rFonts w:asciiTheme="minorHAnsi" w:hAnsiTheme="minorHAnsi" w:cstheme="minorHAnsi"/>
              </w:rPr>
              <w:t>.</w:t>
            </w:r>
          </w:p>
        </w:tc>
      </w:tr>
      <w:tr w:rsidTr="009F0DE5">
        <w:tblPrEx>
          <w:tblW w:w="0" w:type="auto"/>
          <w:tblLook w:val="0000"/>
        </w:tblPrEx>
        <w:tc>
          <w:tcPr>
            <w:tcW w:w="559" w:type="dxa"/>
          </w:tcPr>
          <w:p w:rsidR="002D79C9" w:rsidRPr="00D849C0" w:rsidP="00D849C0">
            <w:pPr>
              <w:numPr>
                <w:ilvl w:val="1"/>
                <w:numId w:val="1"/>
              </w:numPr>
              <w:jc w:val="both"/>
              <w:rPr>
                <w:rFonts w:asciiTheme="minorHAnsi" w:hAnsiTheme="minorHAnsi" w:cstheme="minorHAnsi"/>
              </w:rPr>
            </w:pPr>
          </w:p>
        </w:tc>
        <w:tc>
          <w:tcPr>
            <w:tcW w:w="9907" w:type="dxa"/>
          </w:tcPr>
          <w:p w:rsidR="002D79C9" w:rsidP="00817D13">
            <w:pPr>
              <w:jc w:val="both"/>
              <w:rPr>
                <w:rFonts w:asciiTheme="minorHAnsi" w:hAnsiTheme="minorHAnsi" w:cstheme="minorHAnsi"/>
              </w:rPr>
            </w:pPr>
            <w:r>
              <w:rPr>
                <w:rFonts w:asciiTheme="minorHAnsi" w:hAnsiTheme="minorHAnsi" w:cstheme="minorHAnsi"/>
              </w:rPr>
              <w:t>We are pleased that ‘tax consultation day’ lived up t</w:t>
            </w:r>
            <w:r>
              <w:rPr>
                <w:rFonts w:asciiTheme="minorHAnsi" w:hAnsiTheme="minorHAnsi" w:cstheme="minorHAnsi"/>
              </w:rPr>
              <w:t xml:space="preserve">o its name by launching a number of early stage consultations, which will help ensure any changes adhere to the committee’s principles. However, these were largely in relation to administrative matters, and missed the opportunity to consult on some of the </w:t>
            </w:r>
            <w:r>
              <w:rPr>
                <w:rFonts w:asciiTheme="minorHAnsi" w:hAnsiTheme="minorHAnsi" w:cstheme="minorHAnsi"/>
              </w:rPr>
              <w:t xml:space="preserve">structural problems within the tax system, such as the ‘three person problem’, the future of particular taxes such as </w:t>
            </w:r>
            <w:r>
              <w:rPr>
                <w:rFonts w:asciiTheme="minorHAnsi" w:hAnsiTheme="minorHAnsi" w:cstheme="minorHAnsi"/>
              </w:rPr>
              <w:t>VAT</w:t>
            </w:r>
            <w:r>
              <w:rPr>
                <w:rFonts w:asciiTheme="minorHAnsi" w:hAnsiTheme="minorHAnsi" w:cstheme="minorHAnsi"/>
              </w:rPr>
              <w:t xml:space="preserve">, or </w:t>
            </w:r>
            <w:r>
              <w:rPr>
                <w:rFonts w:asciiTheme="minorHAnsi" w:hAnsiTheme="minorHAnsi" w:cstheme="minorHAnsi"/>
              </w:rPr>
              <w:t>wider matters like the taxation of</w:t>
            </w:r>
            <w:r>
              <w:rPr>
                <w:rFonts w:asciiTheme="minorHAnsi" w:hAnsiTheme="minorHAnsi" w:cstheme="minorHAnsi"/>
              </w:rPr>
              <w:t xml:space="preserve"> property</w:t>
            </w:r>
            <w:r>
              <w:rPr>
                <w:rFonts w:asciiTheme="minorHAnsi" w:hAnsiTheme="minorHAnsi" w:cstheme="minorHAnsi"/>
              </w:rPr>
              <w:t xml:space="preserve">. We remain concerned that </w:t>
            </w:r>
            <w:r>
              <w:rPr>
                <w:rFonts w:asciiTheme="minorHAnsi" w:hAnsiTheme="minorHAnsi" w:cstheme="minorHAnsi"/>
              </w:rPr>
              <w:t xml:space="preserve">substantial and detailed </w:t>
            </w:r>
            <w:r>
              <w:rPr>
                <w:rFonts w:asciiTheme="minorHAnsi" w:hAnsiTheme="minorHAnsi" w:cstheme="minorHAnsi"/>
              </w:rPr>
              <w:t>tax changes will continue to be ann</w:t>
            </w:r>
            <w:r>
              <w:rPr>
                <w:rFonts w:asciiTheme="minorHAnsi" w:hAnsiTheme="minorHAnsi" w:cstheme="minorHAnsi"/>
              </w:rPr>
              <w:t xml:space="preserve">ounced for the first time at fiscal events, without adequate prior consultation. </w:t>
            </w:r>
          </w:p>
        </w:tc>
      </w:tr>
    </w:tbl>
    <w:p w:rsidR="00D849C0" w:rsidP="00D849C0">
      <w:pPr>
        <w:jc w:val="both"/>
        <w:rPr>
          <w:rFonts w:asciiTheme="minorHAnsi" w:hAnsiTheme="minorHAnsi" w:cstheme="minorHAnsi"/>
        </w:rPr>
      </w:pPr>
    </w:p>
    <w:tbl>
      <w:tblPr>
        <w:tblW w:w="0" w:type="auto"/>
        <w:tblLook w:val="0000"/>
      </w:tblPr>
      <w:tblGrid>
        <w:gridCol w:w="559"/>
        <w:gridCol w:w="9907"/>
      </w:tblGrid>
      <w:tr w:rsidTr="00080B96">
        <w:tblPrEx>
          <w:tblW w:w="0" w:type="auto"/>
          <w:tblLook w:val="0000"/>
        </w:tblPrEx>
        <w:tc>
          <w:tcPr>
            <w:tcW w:w="559" w:type="dxa"/>
          </w:tcPr>
          <w:p w:rsidR="00B34E19" w:rsidRPr="00D849C0" w:rsidP="00080B96">
            <w:pPr>
              <w:numPr>
                <w:ilvl w:val="0"/>
                <w:numId w:val="1"/>
              </w:numPr>
              <w:jc w:val="both"/>
              <w:rPr>
                <w:rFonts w:asciiTheme="minorHAnsi" w:hAnsiTheme="minorHAnsi" w:cstheme="minorHAnsi"/>
              </w:rPr>
            </w:pPr>
          </w:p>
        </w:tc>
        <w:tc>
          <w:tcPr>
            <w:tcW w:w="9907" w:type="dxa"/>
          </w:tcPr>
          <w:p w:rsidR="00B34E19" w:rsidRPr="0014519D" w:rsidP="00080B96">
            <w:pPr>
              <w:jc w:val="both"/>
              <w:rPr>
                <w:rFonts w:asciiTheme="minorHAnsi" w:hAnsiTheme="minorHAnsi" w:cstheme="minorHAnsi"/>
                <w:b/>
              </w:rPr>
            </w:pPr>
            <w:r>
              <w:rPr>
                <w:rFonts w:asciiTheme="minorHAnsi" w:hAnsiTheme="minorHAnsi" w:cstheme="minorHAnsi"/>
                <w:b/>
              </w:rPr>
              <w:t>About us</w:t>
            </w:r>
          </w:p>
        </w:tc>
      </w:tr>
      <w:tr w:rsidTr="00080B96">
        <w:tblPrEx>
          <w:tblW w:w="0" w:type="auto"/>
          <w:tblLook w:val="0000"/>
        </w:tblPrEx>
        <w:tc>
          <w:tcPr>
            <w:tcW w:w="559" w:type="dxa"/>
          </w:tcPr>
          <w:p w:rsidR="00B34E19" w:rsidRPr="00D849C0" w:rsidP="00080B96">
            <w:pPr>
              <w:numPr>
                <w:ilvl w:val="1"/>
                <w:numId w:val="1"/>
              </w:numPr>
              <w:jc w:val="both"/>
              <w:rPr>
                <w:rFonts w:asciiTheme="minorHAnsi" w:hAnsiTheme="minorHAnsi" w:cstheme="minorHAnsi"/>
              </w:rPr>
            </w:pPr>
          </w:p>
        </w:tc>
        <w:tc>
          <w:tcPr>
            <w:tcW w:w="9907" w:type="dxa"/>
          </w:tcPr>
          <w:p w:rsidR="00B34E19" w:rsidRPr="00D849C0" w:rsidP="00080B96">
            <w:pPr>
              <w:jc w:val="both"/>
              <w:rPr>
                <w:rFonts w:asciiTheme="minorHAnsi" w:hAnsiTheme="minorHAnsi" w:cstheme="minorHAnsi"/>
              </w:rPr>
            </w:pPr>
            <w:r w:rsidRPr="003710BA">
              <w:rPr>
                <w:rFonts w:asciiTheme="minorHAnsi" w:hAnsiTheme="minorHAnsi" w:cstheme="minorHAnsi"/>
              </w:rPr>
              <w:t>The CIOT is an educational charity, promoting education and study of the administration and practice of taxation. One of our key aims is to work for a better, more efficient, tax system for all affected by it – taxpayers, their advisers and the authorities</w:t>
            </w:r>
            <w:r w:rsidRPr="003710BA">
              <w:rPr>
                <w:rFonts w:asciiTheme="minorHAnsi" w:hAnsiTheme="minorHAnsi" w:cstheme="minorHAnsi"/>
              </w:rPr>
              <w:t>. Our comments and recommendations on tax issues are made solely in order to achieve this aim; we are a non-party-political organisation.</w:t>
            </w:r>
          </w:p>
        </w:tc>
      </w:tr>
      <w:tr w:rsidTr="00080B96">
        <w:tblPrEx>
          <w:tblW w:w="0" w:type="auto"/>
          <w:tblLook w:val="0000"/>
        </w:tblPrEx>
        <w:tc>
          <w:tcPr>
            <w:tcW w:w="559" w:type="dxa"/>
          </w:tcPr>
          <w:p w:rsidR="00B34E19" w:rsidRPr="003710BA" w:rsidP="00080B96">
            <w:pPr>
              <w:numPr>
                <w:ilvl w:val="1"/>
                <w:numId w:val="1"/>
              </w:numPr>
              <w:jc w:val="both"/>
              <w:rPr>
                <w:rFonts w:asciiTheme="minorHAnsi" w:hAnsiTheme="minorHAnsi" w:cstheme="minorHAnsi"/>
              </w:rPr>
            </w:pPr>
          </w:p>
        </w:tc>
        <w:tc>
          <w:tcPr>
            <w:tcW w:w="9907" w:type="dxa"/>
          </w:tcPr>
          <w:p w:rsidR="00B34E19" w:rsidRPr="003710BA" w:rsidP="00080B96">
            <w:pPr>
              <w:jc w:val="both"/>
              <w:rPr>
                <w:rFonts w:asciiTheme="minorHAnsi" w:hAnsiTheme="minorHAnsi" w:cstheme="minorHAnsi"/>
                <w:iCs/>
              </w:rPr>
            </w:pPr>
            <w:r w:rsidRPr="003710BA">
              <w:rPr>
                <w:rFonts w:asciiTheme="minorHAnsi" w:hAnsiTheme="minorHAnsi" w:cstheme="minorHAnsi"/>
                <w:iCs/>
              </w:rPr>
              <w:t>The CIOT’s work covers all aspects of taxation, including direct and indirect taxes and duties. Through our Low Inco</w:t>
            </w:r>
            <w:r w:rsidRPr="003710BA">
              <w:rPr>
                <w:rFonts w:asciiTheme="minorHAnsi" w:hAnsiTheme="minorHAnsi" w:cstheme="minorHAnsi"/>
                <w:iCs/>
              </w:rPr>
              <w:t>mes Tax Reform Group (LITRG), the CIOT has a particular focus on improving the tax system, including tax credits and benefits, for the unrepresented taxpayer.</w:t>
            </w:r>
          </w:p>
        </w:tc>
      </w:tr>
      <w:tr w:rsidTr="00080B96">
        <w:tblPrEx>
          <w:tblW w:w="0" w:type="auto"/>
          <w:tblLook w:val="0000"/>
        </w:tblPrEx>
        <w:tc>
          <w:tcPr>
            <w:tcW w:w="559" w:type="dxa"/>
          </w:tcPr>
          <w:p w:rsidR="00B34E19" w:rsidRPr="003710BA" w:rsidP="00080B96">
            <w:pPr>
              <w:numPr>
                <w:ilvl w:val="1"/>
                <w:numId w:val="1"/>
              </w:numPr>
              <w:jc w:val="both"/>
              <w:rPr>
                <w:rFonts w:asciiTheme="minorHAnsi" w:hAnsiTheme="minorHAnsi" w:cstheme="minorHAnsi"/>
              </w:rPr>
            </w:pPr>
          </w:p>
        </w:tc>
        <w:tc>
          <w:tcPr>
            <w:tcW w:w="9907" w:type="dxa"/>
          </w:tcPr>
          <w:p w:rsidR="00B34E19" w:rsidRPr="003710BA" w:rsidP="00080B96">
            <w:pPr>
              <w:jc w:val="both"/>
              <w:rPr>
                <w:rFonts w:asciiTheme="minorHAnsi" w:hAnsiTheme="minorHAnsi" w:cstheme="minorHAnsi"/>
              </w:rPr>
            </w:pPr>
            <w:r w:rsidRPr="003710BA">
              <w:rPr>
                <w:rFonts w:asciiTheme="minorHAnsi" w:hAnsiTheme="minorHAnsi" w:cstheme="minorHAnsi"/>
              </w:rPr>
              <w:t>The CIOT draws on our members’ experience in private practice, commerce and industry, governmen</w:t>
            </w:r>
            <w:r w:rsidRPr="003710BA">
              <w:rPr>
                <w:rFonts w:asciiTheme="minorHAnsi" w:hAnsiTheme="minorHAnsi" w:cstheme="minorHAnsi"/>
              </w:rPr>
              <w:t>t and academia to improve tax administration and propose and explain how tax policy objectives can most effectively be achieved. We also link to, and draw on, similar leading professional tax bodies in other countries</w:t>
            </w:r>
            <w:r>
              <w:rPr>
                <w:rFonts w:asciiTheme="minorHAnsi" w:hAnsiTheme="minorHAnsi" w:cstheme="minorHAnsi"/>
              </w:rPr>
              <w:t xml:space="preserve">. </w:t>
            </w:r>
          </w:p>
        </w:tc>
      </w:tr>
      <w:tr w:rsidTr="00080B96">
        <w:tblPrEx>
          <w:tblW w:w="0" w:type="auto"/>
          <w:tblLook w:val="0000"/>
        </w:tblPrEx>
        <w:tc>
          <w:tcPr>
            <w:tcW w:w="559" w:type="dxa"/>
          </w:tcPr>
          <w:p w:rsidR="00B34E19" w:rsidRPr="003710BA" w:rsidP="00080B96">
            <w:pPr>
              <w:numPr>
                <w:ilvl w:val="1"/>
                <w:numId w:val="1"/>
              </w:numPr>
              <w:jc w:val="both"/>
              <w:rPr>
                <w:rFonts w:asciiTheme="minorHAnsi" w:hAnsiTheme="minorHAnsi" w:cstheme="minorHAnsi"/>
              </w:rPr>
            </w:pPr>
          </w:p>
        </w:tc>
        <w:tc>
          <w:tcPr>
            <w:tcW w:w="9907" w:type="dxa"/>
          </w:tcPr>
          <w:p w:rsidR="00B34E19" w:rsidRPr="003710BA" w:rsidP="00080B96">
            <w:pPr>
              <w:jc w:val="both"/>
              <w:rPr>
                <w:rFonts w:asciiTheme="minorHAnsi" w:hAnsiTheme="minorHAnsi" w:cstheme="minorHAnsi"/>
              </w:rPr>
            </w:pPr>
            <w:r w:rsidRPr="003710BA">
              <w:rPr>
                <w:rFonts w:asciiTheme="minorHAnsi" w:hAnsiTheme="minorHAnsi" w:cstheme="minorHAnsi"/>
              </w:rPr>
              <w:t>Our members have the practising ti</w:t>
            </w:r>
            <w:r w:rsidRPr="003710BA">
              <w:rPr>
                <w:rFonts w:asciiTheme="minorHAnsi" w:hAnsiTheme="minorHAnsi" w:cstheme="minorHAnsi"/>
              </w:rPr>
              <w:t>tle of ‘Chartered Tax Adviser’ and the designatory letters ‘CTA’, to represent the leading tax qualification</w:t>
            </w:r>
            <w:r>
              <w:rPr>
                <w:rFonts w:asciiTheme="minorHAnsi" w:hAnsiTheme="minorHAnsi" w:cstheme="minorHAnsi"/>
              </w:rPr>
              <w:t xml:space="preserve">. </w:t>
            </w:r>
          </w:p>
        </w:tc>
      </w:tr>
    </w:tbl>
    <w:p w:rsidR="00B34E19" w:rsidRPr="00D849C0" w:rsidP="00D849C0">
      <w:pPr>
        <w:jc w:val="both"/>
        <w:rPr>
          <w:rFonts w:asciiTheme="minorHAnsi" w:hAnsiTheme="minorHAnsi" w:cstheme="minorHAnsi"/>
        </w:rPr>
      </w:pPr>
    </w:p>
    <w:tbl>
      <w:tblPr>
        <w:tblW w:w="0" w:type="auto"/>
        <w:tblLook w:val="0000"/>
      </w:tblPr>
      <w:tblGrid>
        <w:gridCol w:w="564"/>
        <w:gridCol w:w="9902"/>
      </w:tblGrid>
      <w:tr w:rsidTr="00D94FB7">
        <w:tblPrEx>
          <w:tblW w:w="0" w:type="auto"/>
          <w:tblLook w:val="0000"/>
        </w:tblPrEx>
        <w:tc>
          <w:tcPr>
            <w:tcW w:w="564" w:type="dxa"/>
          </w:tcPr>
          <w:p w:rsidR="00D849C0" w:rsidRPr="00D849C0" w:rsidP="00D849C0">
            <w:pPr>
              <w:numPr>
                <w:ilvl w:val="0"/>
                <w:numId w:val="1"/>
              </w:numPr>
              <w:jc w:val="both"/>
              <w:rPr>
                <w:rFonts w:asciiTheme="minorHAnsi" w:hAnsiTheme="minorHAnsi" w:cstheme="minorHAnsi"/>
              </w:rPr>
            </w:pPr>
          </w:p>
        </w:tc>
        <w:tc>
          <w:tcPr>
            <w:tcW w:w="9902" w:type="dxa"/>
          </w:tcPr>
          <w:p w:rsidR="00D849C0" w:rsidRPr="003710BA" w:rsidP="00D849C0">
            <w:pPr>
              <w:jc w:val="both"/>
              <w:rPr>
                <w:rFonts w:asciiTheme="minorHAnsi" w:hAnsiTheme="minorHAnsi" w:cstheme="minorHAnsi"/>
                <w:b/>
              </w:rPr>
            </w:pPr>
            <w:r w:rsidRPr="003710BA">
              <w:rPr>
                <w:rFonts w:asciiTheme="minorHAnsi" w:hAnsiTheme="minorHAnsi" w:cstheme="minorHAnsi"/>
                <w:b/>
              </w:rPr>
              <w:t>Introduction</w:t>
            </w:r>
          </w:p>
        </w:tc>
      </w:tr>
      <w:tr w:rsidTr="00D94FB7">
        <w:tblPrEx>
          <w:tblW w:w="0" w:type="auto"/>
          <w:tblLook w:val="0000"/>
        </w:tblPrEx>
        <w:tc>
          <w:tcPr>
            <w:tcW w:w="564" w:type="dxa"/>
          </w:tcPr>
          <w:p w:rsidR="00D849C0" w:rsidRPr="00D849C0" w:rsidP="00D849C0">
            <w:pPr>
              <w:numPr>
                <w:ilvl w:val="1"/>
                <w:numId w:val="1"/>
              </w:numPr>
              <w:jc w:val="both"/>
              <w:rPr>
                <w:rFonts w:asciiTheme="minorHAnsi" w:hAnsiTheme="minorHAnsi" w:cstheme="minorHAnsi"/>
              </w:rPr>
            </w:pPr>
          </w:p>
        </w:tc>
        <w:tc>
          <w:tcPr>
            <w:tcW w:w="9902" w:type="dxa"/>
          </w:tcPr>
          <w:p w:rsidR="00D849C0" w:rsidRPr="0083449B" w:rsidP="00E55AC6">
            <w:pPr>
              <w:jc w:val="both"/>
              <w:rPr>
                <w:rFonts w:asciiTheme="minorHAnsi" w:hAnsiTheme="minorHAnsi" w:cstheme="minorHAnsi"/>
              </w:rPr>
            </w:pPr>
            <w:r w:rsidRPr="00080B96">
              <w:rPr>
                <w:rFonts w:asciiTheme="minorHAnsi" w:hAnsiTheme="minorHAnsi" w:cstheme="minorHAnsi"/>
              </w:rPr>
              <w:t xml:space="preserve">The Treasury Committee has invited comments </w:t>
            </w:r>
            <w:r>
              <w:rPr>
                <w:rFonts w:asciiTheme="minorHAnsi" w:hAnsiTheme="minorHAnsi" w:cstheme="minorHAnsi"/>
              </w:rPr>
              <w:t>on</w:t>
            </w:r>
            <w:r>
              <w:rPr>
                <w:rFonts w:asciiTheme="minorHAnsi" w:hAnsiTheme="minorHAnsi" w:cstheme="minorHAnsi"/>
              </w:rPr>
              <w:t xml:space="preserve"> the 2021 Spring Budget and ‘tax consultation day’, </w:t>
            </w:r>
            <w:r w:rsidRPr="00080B96">
              <w:rPr>
                <w:rFonts w:asciiTheme="minorHAnsi" w:hAnsiTheme="minorHAnsi" w:cstheme="minorHAnsi"/>
              </w:rPr>
              <w:t xml:space="preserve">both in relation to how </w:t>
            </w:r>
            <w:r>
              <w:rPr>
                <w:rFonts w:asciiTheme="minorHAnsi" w:hAnsiTheme="minorHAnsi" w:cstheme="minorHAnsi"/>
              </w:rPr>
              <w:t>they meet</w:t>
            </w:r>
            <w:r w:rsidRPr="00080B96">
              <w:rPr>
                <w:rFonts w:asciiTheme="minorHAnsi" w:hAnsiTheme="minorHAnsi" w:cstheme="minorHAnsi"/>
              </w:rPr>
              <w:t xml:space="preserve"> the Committee’s tax policy principles, as expressed in its 2011 report Principles of Tax Policy, and in the light of the findings and recommendations of its Inquiry ‘Tax after Coronavirus’.</w:t>
            </w:r>
          </w:p>
        </w:tc>
      </w:tr>
      <w:tr w:rsidTr="00D94FB7">
        <w:tblPrEx>
          <w:tblW w:w="0" w:type="auto"/>
          <w:tblLook w:val="0000"/>
        </w:tblPrEx>
        <w:tc>
          <w:tcPr>
            <w:tcW w:w="564" w:type="dxa"/>
          </w:tcPr>
          <w:p w:rsidR="00080B96" w:rsidRPr="00D849C0" w:rsidP="00D849C0">
            <w:pPr>
              <w:numPr>
                <w:ilvl w:val="1"/>
                <w:numId w:val="1"/>
              </w:numPr>
              <w:jc w:val="both"/>
              <w:rPr>
                <w:rFonts w:asciiTheme="minorHAnsi" w:hAnsiTheme="minorHAnsi" w:cstheme="minorHAnsi"/>
              </w:rPr>
            </w:pPr>
          </w:p>
        </w:tc>
        <w:tc>
          <w:tcPr>
            <w:tcW w:w="9902" w:type="dxa"/>
          </w:tcPr>
          <w:p w:rsidR="00080B96" w:rsidRPr="00080B96" w:rsidP="00080B96">
            <w:pPr>
              <w:jc w:val="both"/>
              <w:rPr>
                <w:rFonts w:asciiTheme="minorHAnsi" w:hAnsiTheme="minorHAnsi" w:cstheme="minorHAnsi"/>
              </w:rPr>
            </w:pPr>
            <w:r w:rsidRPr="00080B96">
              <w:rPr>
                <w:rFonts w:asciiTheme="minorHAnsi" w:hAnsiTheme="minorHAnsi" w:cstheme="minorHAnsi"/>
              </w:rPr>
              <w:t>The Chartered Institute of Taxation (CIOT) is pleased to submit</w:t>
            </w:r>
            <w:r w:rsidRPr="00080B96">
              <w:rPr>
                <w:rFonts w:asciiTheme="minorHAnsi" w:hAnsiTheme="minorHAnsi" w:cstheme="minorHAnsi"/>
              </w:rPr>
              <w:t xml:space="preserve"> some comments, which includes observations from our Low Incomes Tax Reform Group (LITRG).</w:t>
            </w:r>
          </w:p>
        </w:tc>
      </w:tr>
      <w:tr w:rsidTr="00D94FB7">
        <w:tblPrEx>
          <w:tblW w:w="0" w:type="auto"/>
          <w:tblLook w:val="0000"/>
        </w:tblPrEx>
        <w:tc>
          <w:tcPr>
            <w:tcW w:w="564" w:type="dxa"/>
          </w:tcPr>
          <w:p w:rsidR="00D849C0" w:rsidRPr="00D849C0" w:rsidP="00D849C0">
            <w:pPr>
              <w:numPr>
                <w:ilvl w:val="1"/>
                <w:numId w:val="1"/>
              </w:numPr>
              <w:jc w:val="both"/>
              <w:rPr>
                <w:rFonts w:asciiTheme="minorHAnsi" w:hAnsiTheme="minorHAnsi" w:cstheme="minorHAnsi"/>
              </w:rPr>
            </w:pPr>
          </w:p>
        </w:tc>
        <w:tc>
          <w:tcPr>
            <w:tcW w:w="9902" w:type="dxa"/>
          </w:tcPr>
          <w:p w:rsidR="00D849C0" w:rsidRPr="00080B96" w:rsidP="00BB7EE5">
            <w:pPr>
              <w:jc w:val="both"/>
              <w:rPr>
                <w:rFonts w:asciiTheme="minorHAnsi" w:hAnsiTheme="minorHAnsi" w:cstheme="minorHAnsi"/>
              </w:rPr>
            </w:pPr>
            <w:r w:rsidRPr="00BB7EE5">
              <w:rPr>
                <w:rFonts w:asciiTheme="minorHAnsi" w:hAnsiTheme="minorHAnsi" w:cstheme="minorHAnsi"/>
              </w:rPr>
              <w:t xml:space="preserve">We have limited ourselves to those areas within the scope of our expertise which we consider to be the most important announcements; both in terms of their fiscal </w:t>
            </w:r>
            <w:r w:rsidRPr="00BB7EE5">
              <w:rPr>
                <w:rFonts w:asciiTheme="minorHAnsi" w:hAnsiTheme="minorHAnsi" w:cstheme="minorHAnsi"/>
              </w:rPr>
              <w:t xml:space="preserve">impact, and measures which particularly meet or contravene the Committee’s tax policy making principles </w:t>
            </w:r>
            <w:r>
              <w:rPr>
                <w:rFonts w:asciiTheme="minorHAnsi" w:hAnsiTheme="minorHAnsi" w:cstheme="minorHAnsi"/>
              </w:rPr>
              <w:t xml:space="preserve">and / </w:t>
            </w:r>
            <w:r w:rsidRPr="00BB7EE5">
              <w:rPr>
                <w:rFonts w:asciiTheme="minorHAnsi" w:hAnsiTheme="minorHAnsi" w:cstheme="minorHAnsi"/>
              </w:rPr>
              <w:t xml:space="preserve">or the Tax after Coronavirus recommendations. </w:t>
            </w:r>
          </w:p>
        </w:tc>
      </w:tr>
      <w:tr w:rsidTr="00D94FB7">
        <w:tblPrEx>
          <w:tblW w:w="0" w:type="auto"/>
          <w:tblLook w:val="0000"/>
        </w:tblPrEx>
        <w:tc>
          <w:tcPr>
            <w:tcW w:w="564" w:type="dxa"/>
          </w:tcPr>
          <w:p w:rsidR="00D849C0" w:rsidRPr="00D849C0" w:rsidP="00D849C0">
            <w:pPr>
              <w:numPr>
                <w:ilvl w:val="1"/>
                <w:numId w:val="1"/>
              </w:numPr>
              <w:jc w:val="both"/>
              <w:rPr>
                <w:rFonts w:asciiTheme="minorHAnsi" w:hAnsiTheme="minorHAnsi" w:cstheme="minorHAnsi"/>
              </w:rPr>
            </w:pPr>
          </w:p>
        </w:tc>
        <w:tc>
          <w:tcPr>
            <w:tcW w:w="9902" w:type="dxa"/>
          </w:tcPr>
          <w:p w:rsidR="00D849C0" w:rsidRPr="00D849C0" w:rsidP="00907F96">
            <w:pPr>
              <w:jc w:val="both"/>
              <w:rPr>
                <w:rFonts w:asciiTheme="minorHAnsi" w:hAnsiTheme="minorHAnsi" w:cstheme="minorHAnsi"/>
              </w:rPr>
            </w:pPr>
            <w:r w:rsidRPr="00080B96">
              <w:rPr>
                <w:rFonts w:asciiTheme="minorHAnsi" w:hAnsiTheme="minorHAnsi" w:cstheme="minorHAnsi"/>
              </w:rPr>
              <w:t xml:space="preserve">We do not normally comment upon </w:t>
            </w:r>
            <w:r>
              <w:rPr>
                <w:rFonts w:asciiTheme="minorHAnsi" w:hAnsiTheme="minorHAnsi" w:cstheme="minorHAnsi"/>
              </w:rPr>
              <w:t>what</w:t>
            </w:r>
            <w:r w:rsidRPr="00080B96">
              <w:rPr>
                <w:rFonts w:asciiTheme="minorHAnsi" w:hAnsiTheme="minorHAnsi" w:cstheme="minorHAnsi"/>
              </w:rPr>
              <w:t xml:space="preserve"> tax rates and allowances</w:t>
            </w:r>
            <w:r>
              <w:rPr>
                <w:rFonts w:asciiTheme="minorHAnsi" w:hAnsiTheme="minorHAnsi" w:cstheme="minorHAnsi"/>
              </w:rPr>
              <w:t xml:space="preserve"> should be</w:t>
            </w:r>
            <w:r>
              <w:rPr>
                <w:rFonts w:asciiTheme="minorHAnsi" w:hAnsiTheme="minorHAnsi" w:cstheme="minorHAnsi"/>
              </w:rPr>
              <w:t xml:space="preserve">, but </w:t>
            </w:r>
            <w:r>
              <w:rPr>
                <w:rFonts w:asciiTheme="minorHAnsi" w:hAnsiTheme="minorHAnsi" w:cstheme="minorHAnsi"/>
              </w:rPr>
              <w:t xml:space="preserve">we do comment on their impacts and whether the policies underpinning the thresholds are meeting their objectives. This is particularly pertinent </w:t>
            </w:r>
            <w:r>
              <w:rPr>
                <w:rFonts w:asciiTheme="minorHAnsi" w:hAnsiTheme="minorHAnsi" w:cstheme="minorHAnsi"/>
              </w:rPr>
              <w:t>on this occasion in the light of the short</w:t>
            </w:r>
            <w:r>
              <w:rPr>
                <w:rFonts w:asciiTheme="minorHAnsi" w:hAnsiTheme="minorHAnsi" w:cstheme="minorHAnsi"/>
              </w:rPr>
              <w:t>-to</w:t>
            </w:r>
            <w:r>
              <w:rPr>
                <w:rFonts w:asciiTheme="minorHAnsi" w:hAnsiTheme="minorHAnsi" w:cstheme="minorHAnsi"/>
              </w:rPr>
              <w:t>-medium term freezing of a number of thresholds</w:t>
            </w:r>
            <w:r w:rsidRPr="00080B96">
              <w:rPr>
                <w:rFonts w:asciiTheme="minorHAnsi" w:hAnsiTheme="minorHAnsi" w:cstheme="minorHAnsi"/>
              </w:rPr>
              <w:t>.</w:t>
            </w:r>
          </w:p>
        </w:tc>
      </w:tr>
      <w:tr w:rsidTr="00D94FB7">
        <w:tblPrEx>
          <w:tblW w:w="0" w:type="auto"/>
          <w:tblLook w:val="0000"/>
        </w:tblPrEx>
        <w:tc>
          <w:tcPr>
            <w:tcW w:w="564" w:type="dxa"/>
          </w:tcPr>
          <w:p w:rsidR="00D849C0" w:rsidRPr="00D849C0" w:rsidP="00D849C0">
            <w:pPr>
              <w:numPr>
                <w:ilvl w:val="1"/>
                <w:numId w:val="1"/>
              </w:numPr>
              <w:jc w:val="both"/>
              <w:rPr>
                <w:rFonts w:asciiTheme="minorHAnsi" w:hAnsiTheme="minorHAnsi" w:cstheme="minorHAnsi"/>
              </w:rPr>
            </w:pPr>
          </w:p>
        </w:tc>
        <w:tc>
          <w:tcPr>
            <w:tcW w:w="9902" w:type="dxa"/>
          </w:tcPr>
          <w:p w:rsidR="00D849C0" w:rsidRPr="00D849C0" w:rsidP="00D849C0">
            <w:pPr>
              <w:jc w:val="both"/>
              <w:rPr>
                <w:rFonts w:asciiTheme="minorHAnsi" w:hAnsiTheme="minorHAnsi" w:cstheme="minorHAnsi"/>
              </w:rPr>
            </w:pPr>
            <w:r>
              <w:rPr>
                <w:rFonts w:asciiTheme="minorHAnsi" w:hAnsiTheme="minorHAnsi" w:cstheme="minorHAnsi"/>
              </w:rPr>
              <w:t>References in s</w:t>
            </w:r>
            <w:r>
              <w:rPr>
                <w:rFonts w:asciiTheme="minorHAnsi" w:hAnsiTheme="minorHAnsi" w:cstheme="minorHAnsi"/>
              </w:rPr>
              <w:t>quare brackets are to the parag</w:t>
            </w:r>
            <w:r>
              <w:rPr>
                <w:rFonts w:asciiTheme="minorHAnsi" w:hAnsiTheme="minorHAnsi" w:cstheme="minorHAnsi"/>
              </w:rPr>
              <w:t>raphs in the ‘Red B</w:t>
            </w:r>
            <w:r>
              <w:rPr>
                <w:rFonts w:asciiTheme="minorHAnsi" w:hAnsiTheme="minorHAnsi" w:cstheme="minorHAnsi"/>
              </w:rPr>
              <w:t>ook’. Otherwise we have sought to make clear the source of the announcement.</w:t>
            </w:r>
          </w:p>
        </w:tc>
      </w:tr>
    </w:tbl>
    <w:p w:rsidR="00D849C0" w:rsidRPr="00D849C0" w:rsidP="00D849C0">
      <w:pPr>
        <w:jc w:val="both"/>
        <w:rPr>
          <w:rFonts w:asciiTheme="minorHAnsi" w:hAnsiTheme="minorHAnsi" w:cstheme="minorHAnsi"/>
        </w:rPr>
      </w:pPr>
    </w:p>
    <w:tbl>
      <w:tblPr>
        <w:tblW w:w="0" w:type="auto"/>
        <w:jc w:val="center"/>
        <w:tblLook w:val="0000"/>
      </w:tblPr>
      <w:tblGrid>
        <w:gridCol w:w="564"/>
        <w:gridCol w:w="9902"/>
      </w:tblGrid>
      <w:tr w:rsidTr="007B5737">
        <w:tblPrEx>
          <w:tblW w:w="0" w:type="auto"/>
          <w:jc w:val="center"/>
          <w:tblLook w:val="0000"/>
        </w:tblPrEx>
        <w:trPr>
          <w:jc w:val="center"/>
        </w:trPr>
        <w:tc>
          <w:tcPr>
            <w:tcW w:w="564" w:type="dxa"/>
          </w:tcPr>
          <w:p w:rsidR="00D849C0" w:rsidRPr="00D849C0" w:rsidP="00D849C0">
            <w:pPr>
              <w:numPr>
                <w:ilvl w:val="0"/>
                <w:numId w:val="1"/>
              </w:numPr>
              <w:jc w:val="both"/>
              <w:rPr>
                <w:rFonts w:asciiTheme="minorHAnsi" w:hAnsiTheme="minorHAnsi" w:cstheme="minorHAnsi"/>
              </w:rPr>
            </w:pPr>
          </w:p>
        </w:tc>
        <w:tc>
          <w:tcPr>
            <w:tcW w:w="9902" w:type="dxa"/>
          </w:tcPr>
          <w:p w:rsidR="00D849C0" w:rsidRPr="00080B96" w:rsidP="00D849C0">
            <w:pPr>
              <w:jc w:val="both"/>
              <w:rPr>
                <w:rFonts w:asciiTheme="minorHAnsi" w:hAnsiTheme="minorHAnsi" w:cstheme="minorHAnsi"/>
                <w:b/>
              </w:rPr>
            </w:pPr>
            <w:r w:rsidRPr="00080B96">
              <w:rPr>
                <w:rFonts w:asciiTheme="minorHAnsi" w:hAnsiTheme="minorHAnsi" w:cstheme="minorHAnsi"/>
                <w:b/>
              </w:rPr>
              <w:t>COVID measures</w:t>
            </w:r>
          </w:p>
        </w:tc>
      </w:tr>
      <w:tr w:rsidTr="007B5737">
        <w:tblPrEx>
          <w:tblW w:w="0" w:type="auto"/>
          <w:jc w:val="center"/>
          <w:tblLook w:val="0000"/>
        </w:tblPrEx>
        <w:trPr>
          <w:jc w:val="center"/>
        </w:trPr>
        <w:tc>
          <w:tcPr>
            <w:tcW w:w="564" w:type="dxa"/>
          </w:tcPr>
          <w:p w:rsidR="00D849C0" w:rsidRPr="00D849C0" w:rsidP="00D849C0">
            <w:pPr>
              <w:numPr>
                <w:ilvl w:val="1"/>
                <w:numId w:val="1"/>
              </w:numPr>
              <w:jc w:val="both"/>
              <w:rPr>
                <w:rFonts w:asciiTheme="minorHAnsi" w:hAnsiTheme="minorHAnsi" w:cstheme="minorHAnsi"/>
              </w:rPr>
            </w:pPr>
          </w:p>
        </w:tc>
        <w:tc>
          <w:tcPr>
            <w:tcW w:w="9902" w:type="dxa"/>
          </w:tcPr>
          <w:p w:rsidR="00D849C0" w:rsidRPr="00D849C0" w:rsidP="00D849C0">
            <w:pPr>
              <w:jc w:val="both"/>
              <w:rPr>
                <w:rFonts w:asciiTheme="minorHAnsi" w:hAnsiTheme="minorHAnsi" w:cstheme="minorHAnsi"/>
              </w:rPr>
            </w:pPr>
            <w:r>
              <w:rPr>
                <w:rFonts w:asciiTheme="minorHAnsi" w:hAnsiTheme="minorHAnsi" w:cstheme="minorHAnsi"/>
              </w:rPr>
              <w:t>Before address</w:t>
            </w:r>
            <w:r>
              <w:rPr>
                <w:rFonts w:asciiTheme="minorHAnsi" w:hAnsiTheme="minorHAnsi" w:cstheme="minorHAnsi"/>
              </w:rPr>
              <w:t>ing</w:t>
            </w:r>
            <w:r>
              <w:rPr>
                <w:rFonts w:asciiTheme="minorHAnsi" w:hAnsiTheme="minorHAnsi" w:cstheme="minorHAnsi"/>
              </w:rPr>
              <w:t xml:space="preserve"> the specific Budget measures</w:t>
            </w:r>
            <w:r>
              <w:rPr>
                <w:rFonts w:asciiTheme="minorHAnsi" w:hAnsiTheme="minorHAnsi" w:cstheme="minorHAnsi"/>
              </w:rPr>
              <w:t xml:space="preserve"> we would like to make two initial comments.</w:t>
            </w:r>
          </w:p>
        </w:tc>
      </w:tr>
      <w:tr w:rsidTr="007B5737">
        <w:tblPrEx>
          <w:tblW w:w="0" w:type="auto"/>
          <w:jc w:val="center"/>
          <w:tblLook w:val="0000"/>
        </w:tblPrEx>
        <w:trPr>
          <w:jc w:val="center"/>
        </w:trPr>
        <w:tc>
          <w:tcPr>
            <w:tcW w:w="564" w:type="dxa"/>
          </w:tcPr>
          <w:p w:rsidR="00EA269A" w:rsidRPr="00D849C0" w:rsidP="00D849C0">
            <w:pPr>
              <w:numPr>
                <w:ilvl w:val="1"/>
                <w:numId w:val="1"/>
              </w:numPr>
              <w:jc w:val="both"/>
              <w:rPr>
                <w:rFonts w:asciiTheme="minorHAnsi" w:hAnsiTheme="minorHAnsi" w:cstheme="minorHAnsi"/>
              </w:rPr>
            </w:pPr>
          </w:p>
        </w:tc>
        <w:tc>
          <w:tcPr>
            <w:tcW w:w="9902" w:type="dxa"/>
          </w:tcPr>
          <w:p w:rsidR="00EA269A" w:rsidP="00D019E8">
            <w:pPr>
              <w:jc w:val="both"/>
              <w:rPr>
                <w:rFonts w:asciiTheme="minorHAnsi" w:hAnsiTheme="minorHAnsi" w:cstheme="minorHAnsi"/>
              </w:rPr>
            </w:pPr>
            <w:r>
              <w:rPr>
                <w:rFonts w:asciiTheme="minorHAnsi" w:hAnsiTheme="minorHAnsi" w:cstheme="minorHAnsi"/>
              </w:rPr>
              <w:t xml:space="preserve">First, HMT and HMRC should be commended for the speed </w:t>
            </w:r>
            <w:r>
              <w:rPr>
                <w:rFonts w:asciiTheme="minorHAnsi" w:hAnsiTheme="minorHAnsi" w:cstheme="minorHAnsi"/>
              </w:rPr>
              <w:t>with</w:t>
            </w:r>
            <w:r>
              <w:rPr>
                <w:rFonts w:asciiTheme="minorHAnsi" w:hAnsiTheme="minorHAnsi" w:cstheme="minorHAnsi"/>
              </w:rPr>
              <w:t xml:space="preserve"> which they rolled out the key COVID support schemes, and have continued to prioritise their delivery. </w:t>
            </w:r>
          </w:p>
        </w:tc>
      </w:tr>
      <w:tr w:rsidTr="007B5737">
        <w:tblPrEx>
          <w:tblW w:w="0" w:type="auto"/>
          <w:jc w:val="center"/>
          <w:tblLook w:val="0000"/>
        </w:tblPrEx>
        <w:trPr>
          <w:jc w:val="center"/>
        </w:trPr>
        <w:tc>
          <w:tcPr>
            <w:tcW w:w="564" w:type="dxa"/>
          </w:tcPr>
          <w:p w:rsidR="00EA269A" w:rsidRPr="00D849C0" w:rsidP="00D849C0">
            <w:pPr>
              <w:numPr>
                <w:ilvl w:val="1"/>
                <w:numId w:val="1"/>
              </w:numPr>
              <w:jc w:val="both"/>
              <w:rPr>
                <w:rFonts w:asciiTheme="minorHAnsi" w:hAnsiTheme="minorHAnsi" w:cstheme="minorHAnsi"/>
              </w:rPr>
            </w:pPr>
          </w:p>
        </w:tc>
        <w:tc>
          <w:tcPr>
            <w:tcW w:w="9902" w:type="dxa"/>
          </w:tcPr>
          <w:p w:rsidR="00EA269A" w:rsidP="00D019E8">
            <w:pPr>
              <w:jc w:val="both"/>
              <w:rPr>
                <w:rFonts w:asciiTheme="minorHAnsi" w:hAnsiTheme="minorHAnsi" w:cstheme="minorHAnsi"/>
              </w:rPr>
            </w:pPr>
            <w:r>
              <w:rPr>
                <w:rFonts w:asciiTheme="minorHAnsi" w:hAnsiTheme="minorHAnsi" w:cstheme="minorHAnsi"/>
              </w:rPr>
              <w:t xml:space="preserve">Secondly, </w:t>
            </w:r>
            <w:r>
              <w:rPr>
                <w:rFonts w:asciiTheme="minorHAnsi" w:hAnsiTheme="minorHAnsi" w:cstheme="minorHAnsi"/>
              </w:rPr>
              <w:t xml:space="preserve">while welcoming the </w:t>
            </w:r>
            <w:r>
              <w:rPr>
                <w:rFonts w:asciiTheme="minorHAnsi" w:hAnsiTheme="minorHAnsi" w:cstheme="minorHAnsi"/>
              </w:rPr>
              <w:t>exten</w:t>
            </w:r>
            <w:r>
              <w:rPr>
                <w:rFonts w:asciiTheme="minorHAnsi" w:hAnsiTheme="minorHAnsi" w:cstheme="minorHAnsi"/>
              </w:rPr>
              <w:t xml:space="preserve">sion of </w:t>
            </w:r>
            <w:r>
              <w:rPr>
                <w:rFonts w:asciiTheme="minorHAnsi" w:hAnsiTheme="minorHAnsi" w:cstheme="minorHAnsi"/>
              </w:rPr>
              <w:t>the SEISS grant to include 2019-20 tax return information, we remain disappointed that the government has</w:t>
            </w:r>
            <w:r>
              <w:rPr>
                <w:rFonts w:asciiTheme="minorHAnsi" w:hAnsiTheme="minorHAnsi" w:cstheme="minorHAnsi"/>
              </w:rPr>
              <w:t xml:space="preserve"> not</w:t>
            </w:r>
            <w:r>
              <w:rPr>
                <w:rFonts w:asciiTheme="minorHAnsi" w:hAnsiTheme="minorHAnsi" w:cstheme="minorHAnsi"/>
              </w:rPr>
              <w:t xml:space="preserve"> done more to fill the gaps in support. </w:t>
            </w:r>
            <w:r>
              <w:rPr>
                <w:rFonts w:asciiTheme="minorHAnsi" w:hAnsiTheme="minorHAnsi" w:cstheme="minorHAnsi"/>
              </w:rPr>
              <w:t>Inevitably these scheme</w:t>
            </w:r>
            <w:r>
              <w:rPr>
                <w:rFonts w:asciiTheme="minorHAnsi" w:hAnsiTheme="minorHAnsi" w:cstheme="minorHAnsi"/>
              </w:rPr>
              <w:t>s</w:t>
            </w:r>
            <w:r>
              <w:rPr>
                <w:rFonts w:asciiTheme="minorHAnsi" w:hAnsiTheme="minorHAnsi" w:cstheme="minorHAnsi"/>
              </w:rPr>
              <w:t xml:space="preserve"> have some hard edges and design flaws, but </w:t>
            </w:r>
            <w:r>
              <w:rPr>
                <w:rFonts w:asciiTheme="minorHAnsi" w:hAnsiTheme="minorHAnsi" w:cstheme="minorHAnsi"/>
              </w:rPr>
              <w:t>it app</w:t>
            </w:r>
            <w:r>
              <w:rPr>
                <w:rFonts w:asciiTheme="minorHAnsi" w:hAnsiTheme="minorHAnsi" w:cstheme="minorHAnsi"/>
              </w:rPr>
              <w:t>ears that the government has chosen not to commit the necessary resources</w:t>
            </w:r>
            <w:r>
              <w:rPr>
                <w:rFonts w:asciiTheme="minorHAnsi" w:hAnsiTheme="minorHAnsi" w:cstheme="minorHAnsi"/>
              </w:rPr>
              <w:t xml:space="preserve"> either to fill significant gaps or</w:t>
            </w:r>
            <w:r>
              <w:rPr>
                <w:rFonts w:asciiTheme="minorHAnsi" w:hAnsiTheme="minorHAnsi" w:cstheme="minorHAnsi"/>
              </w:rPr>
              <w:t xml:space="preserve"> to introduce more targeted support schemes which are safe</w:t>
            </w:r>
            <w:r>
              <w:rPr>
                <w:rFonts w:asciiTheme="minorHAnsi" w:hAnsiTheme="minorHAnsi" w:cstheme="minorHAnsi"/>
              </w:rPr>
              <w:t>r</w:t>
            </w:r>
            <w:r>
              <w:rPr>
                <w:rFonts w:asciiTheme="minorHAnsi" w:hAnsiTheme="minorHAnsi" w:cstheme="minorHAnsi"/>
              </w:rPr>
              <w:t xml:space="preserve"> from abuse. </w:t>
            </w:r>
            <w:r>
              <w:rPr>
                <w:rFonts w:asciiTheme="minorHAnsi" w:hAnsiTheme="minorHAnsi" w:cstheme="minorHAnsi"/>
              </w:rPr>
              <w:t xml:space="preserve">This has deepened inevitable </w:t>
            </w:r>
            <w:r>
              <w:rPr>
                <w:rFonts w:asciiTheme="minorHAnsi" w:hAnsiTheme="minorHAnsi" w:cstheme="minorHAnsi"/>
              </w:rPr>
              <w:t>tensions between fairness and practica</w:t>
            </w:r>
            <w:r>
              <w:rPr>
                <w:rFonts w:asciiTheme="minorHAnsi" w:hAnsiTheme="minorHAnsi" w:cstheme="minorHAnsi"/>
              </w:rPr>
              <w:t>lity</w:t>
            </w:r>
            <w:r>
              <w:rPr>
                <w:rFonts w:asciiTheme="minorHAnsi" w:hAnsiTheme="minorHAnsi" w:cstheme="minorHAnsi"/>
              </w:rPr>
              <w:t>, res</w:t>
            </w:r>
            <w:r>
              <w:rPr>
                <w:rFonts w:asciiTheme="minorHAnsi" w:hAnsiTheme="minorHAnsi" w:cstheme="minorHAnsi"/>
              </w:rPr>
              <w:t xml:space="preserve">ulting in </w:t>
            </w:r>
            <w:r>
              <w:rPr>
                <w:rFonts w:asciiTheme="minorHAnsi" w:hAnsiTheme="minorHAnsi" w:cstheme="minorHAnsi"/>
              </w:rPr>
              <w:t xml:space="preserve">some </w:t>
            </w:r>
            <w:r>
              <w:rPr>
                <w:rFonts w:asciiTheme="minorHAnsi" w:hAnsiTheme="minorHAnsi" w:cstheme="minorHAnsi"/>
              </w:rPr>
              <w:t>individuals receiving little or no support for up to eighteen months</w:t>
            </w:r>
            <w:r>
              <w:rPr>
                <w:rFonts w:asciiTheme="minorHAnsi" w:hAnsiTheme="minorHAnsi" w:cstheme="minorHAnsi"/>
              </w:rPr>
              <w:t>.</w:t>
            </w:r>
          </w:p>
        </w:tc>
      </w:tr>
      <w:tr w:rsidTr="007B5737">
        <w:tblPrEx>
          <w:tblW w:w="0" w:type="auto"/>
          <w:jc w:val="center"/>
          <w:tblLook w:val="0000"/>
        </w:tblPrEx>
        <w:trPr>
          <w:jc w:val="center"/>
        </w:trPr>
        <w:tc>
          <w:tcPr>
            <w:tcW w:w="564" w:type="dxa"/>
          </w:tcPr>
          <w:p w:rsidR="00D849C0" w:rsidRPr="00476C67" w:rsidP="00D849C0">
            <w:pPr>
              <w:numPr>
                <w:ilvl w:val="1"/>
                <w:numId w:val="1"/>
              </w:numPr>
              <w:jc w:val="both"/>
              <w:rPr>
                <w:rFonts w:asciiTheme="minorHAnsi" w:hAnsiTheme="minorHAnsi" w:cstheme="minorHAnsi"/>
                <w:u w:val="single"/>
              </w:rPr>
            </w:pPr>
          </w:p>
        </w:tc>
        <w:tc>
          <w:tcPr>
            <w:tcW w:w="9902" w:type="dxa"/>
          </w:tcPr>
          <w:p w:rsidR="00D849C0" w:rsidRPr="00476C67" w:rsidP="00D849C0">
            <w:pPr>
              <w:jc w:val="both"/>
              <w:rPr>
                <w:rFonts w:asciiTheme="minorHAnsi" w:hAnsiTheme="minorHAnsi" w:cstheme="minorHAnsi"/>
                <w:u w:val="single"/>
              </w:rPr>
            </w:pPr>
            <w:r w:rsidRPr="00476C67">
              <w:rPr>
                <w:rFonts w:asciiTheme="minorHAnsi" w:hAnsiTheme="minorHAnsi" w:cstheme="minorHAnsi"/>
                <w:u w:val="single"/>
              </w:rPr>
              <w:t xml:space="preserve">Coronavirus Job Retention Scheme (CJRS) [2.14] </w:t>
            </w:r>
          </w:p>
        </w:tc>
      </w:tr>
      <w:tr w:rsidTr="007B5737">
        <w:tblPrEx>
          <w:tblW w:w="0" w:type="auto"/>
          <w:jc w:val="center"/>
          <w:tblLook w:val="0000"/>
        </w:tblPrEx>
        <w:trPr>
          <w:jc w:val="center"/>
        </w:trPr>
        <w:tc>
          <w:tcPr>
            <w:tcW w:w="564" w:type="dxa"/>
          </w:tcPr>
          <w:p w:rsidR="00D849C0" w:rsidRPr="00D849C0" w:rsidP="00D849C0">
            <w:pPr>
              <w:numPr>
                <w:ilvl w:val="1"/>
                <w:numId w:val="1"/>
              </w:numPr>
              <w:jc w:val="both"/>
              <w:rPr>
                <w:rFonts w:asciiTheme="minorHAnsi" w:hAnsiTheme="minorHAnsi" w:cstheme="minorHAnsi"/>
              </w:rPr>
            </w:pPr>
          </w:p>
        </w:tc>
        <w:tc>
          <w:tcPr>
            <w:tcW w:w="9902" w:type="dxa"/>
          </w:tcPr>
          <w:p w:rsidR="00D849C0" w:rsidRPr="00D849C0" w:rsidP="00D019E8">
            <w:pPr>
              <w:jc w:val="both"/>
              <w:rPr>
                <w:rFonts w:asciiTheme="minorHAnsi" w:hAnsiTheme="minorHAnsi" w:cstheme="minorHAnsi"/>
              </w:rPr>
            </w:pPr>
            <w:r>
              <w:rPr>
                <w:rFonts w:asciiTheme="minorHAnsi" w:hAnsiTheme="minorHAnsi" w:cstheme="minorHAnsi"/>
              </w:rPr>
              <w:t>We welcome that the government has announced the extension of the scheme until September. We also welcome that the leve</w:t>
            </w:r>
            <w:r>
              <w:rPr>
                <w:rFonts w:asciiTheme="minorHAnsi" w:hAnsiTheme="minorHAnsi" w:cstheme="minorHAnsi"/>
              </w:rPr>
              <w:t>l of government support has also been confirmed for the remainder of the scheme, which provides certainty to employers, helping them plan ahead and with some level of confidence.</w:t>
            </w:r>
          </w:p>
        </w:tc>
      </w:tr>
      <w:tr w:rsidTr="007B5737">
        <w:tblPrEx>
          <w:tblW w:w="0" w:type="auto"/>
          <w:jc w:val="center"/>
          <w:tblLook w:val="0000"/>
        </w:tblPrEx>
        <w:trPr>
          <w:jc w:val="center"/>
        </w:trPr>
        <w:tc>
          <w:tcPr>
            <w:tcW w:w="564" w:type="dxa"/>
          </w:tcPr>
          <w:p w:rsidR="00476C67" w:rsidRPr="00D849C0" w:rsidP="00D849C0">
            <w:pPr>
              <w:numPr>
                <w:ilvl w:val="1"/>
                <w:numId w:val="1"/>
              </w:numPr>
              <w:jc w:val="both"/>
              <w:rPr>
                <w:rFonts w:asciiTheme="minorHAnsi" w:hAnsiTheme="minorHAnsi" w:cstheme="minorHAnsi"/>
              </w:rPr>
            </w:pPr>
          </w:p>
        </w:tc>
        <w:tc>
          <w:tcPr>
            <w:tcW w:w="9902" w:type="dxa"/>
          </w:tcPr>
          <w:p w:rsidR="00476C67" w:rsidRPr="00D849C0" w:rsidP="00907F96">
            <w:pPr>
              <w:jc w:val="both"/>
              <w:rPr>
                <w:rFonts w:asciiTheme="minorHAnsi" w:hAnsiTheme="minorHAnsi" w:cstheme="minorHAnsi"/>
              </w:rPr>
            </w:pPr>
            <w:r w:rsidRPr="00CB0313">
              <w:rPr>
                <w:rFonts w:asciiTheme="minorHAnsi" w:hAnsiTheme="minorHAnsi" w:cstheme="minorHAnsi"/>
              </w:rPr>
              <w:t xml:space="preserve">While we are mindful of the significant cost of the scheme, and the </w:t>
            </w:r>
            <w:r w:rsidRPr="00CB0313">
              <w:rPr>
                <w:rFonts w:asciiTheme="minorHAnsi" w:hAnsiTheme="minorHAnsi" w:cstheme="minorHAnsi"/>
              </w:rPr>
              <w:t>risk of fraud,</w:t>
            </w:r>
            <w:r>
              <w:rPr>
                <w:rFonts w:asciiTheme="minorHAnsi" w:hAnsiTheme="minorHAnsi" w:cstheme="minorHAnsi"/>
              </w:rPr>
              <w:t xml:space="preserve"> w</w:t>
            </w:r>
            <w:r>
              <w:rPr>
                <w:rFonts w:asciiTheme="minorHAnsi" w:hAnsiTheme="minorHAnsi" w:cstheme="minorHAnsi"/>
              </w:rPr>
              <w:t xml:space="preserve">e remain concerned </w:t>
            </w:r>
            <w:r>
              <w:rPr>
                <w:rFonts w:asciiTheme="minorHAnsi" w:hAnsiTheme="minorHAnsi" w:cstheme="minorHAnsi"/>
              </w:rPr>
              <w:t xml:space="preserve">about the </w:t>
            </w:r>
            <w:r>
              <w:rPr>
                <w:rFonts w:asciiTheme="minorHAnsi" w:hAnsiTheme="minorHAnsi" w:cstheme="minorHAnsi"/>
              </w:rPr>
              <w:t>publi</w:t>
            </w:r>
            <w:r>
              <w:rPr>
                <w:rFonts w:asciiTheme="minorHAnsi" w:hAnsiTheme="minorHAnsi" w:cstheme="minorHAnsi"/>
              </w:rPr>
              <w:t>cation of employer information regarding claims.</w:t>
            </w:r>
            <w:r>
              <w:rPr>
                <w:rFonts w:asciiTheme="minorHAnsi" w:hAnsiTheme="minorHAnsi" w:cstheme="minorHAnsi"/>
              </w:rPr>
              <w:t xml:space="preserve"> </w:t>
            </w:r>
            <w:r>
              <w:rPr>
                <w:rFonts w:asciiTheme="minorHAnsi" w:hAnsiTheme="minorHAnsi" w:cstheme="minorHAnsi"/>
              </w:rPr>
              <w:t xml:space="preserve">In addition to the scheme’s eligibility criteria, </w:t>
            </w:r>
            <w:r w:rsidRPr="00CB0313">
              <w:rPr>
                <w:rFonts w:asciiTheme="minorHAnsi" w:hAnsiTheme="minorHAnsi" w:cstheme="minorHAnsi"/>
              </w:rPr>
              <w:t xml:space="preserve">employers must </w:t>
            </w:r>
            <w:r>
              <w:rPr>
                <w:rFonts w:asciiTheme="minorHAnsi" w:hAnsiTheme="minorHAnsi" w:cstheme="minorHAnsi"/>
              </w:rPr>
              <w:t xml:space="preserve">also ensure </w:t>
            </w:r>
            <w:r w:rsidRPr="00CB0313">
              <w:rPr>
                <w:rFonts w:asciiTheme="minorHAnsi" w:hAnsiTheme="minorHAnsi" w:cstheme="minorHAnsi"/>
              </w:rPr>
              <w:t xml:space="preserve">that they can withstand the public criticism that might subsequently arise. </w:t>
            </w:r>
            <w:r>
              <w:rPr>
                <w:rFonts w:asciiTheme="minorHAnsi" w:hAnsiTheme="minorHAnsi" w:cstheme="minorHAnsi"/>
              </w:rPr>
              <w:t>Dete</w:t>
            </w:r>
            <w:r>
              <w:rPr>
                <w:rFonts w:asciiTheme="minorHAnsi" w:hAnsiTheme="minorHAnsi" w:cstheme="minorHAnsi"/>
              </w:rPr>
              <w:t>rring businesses from claiming CJRS could actually increase the risk of them making people redundant instead</w:t>
            </w:r>
            <w:r w:rsidRPr="00CB0313">
              <w:rPr>
                <w:rFonts w:asciiTheme="minorHAnsi" w:hAnsiTheme="minorHAnsi" w:cstheme="minorHAnsi"/>
              </w:rPr>
              <w:t>. We do not think that public opinion and fear of adverse publicity should be determining factors in whether a business should claim its legal entit</w:t>
            </w:r>
            <w:r w:rsidRPr="00CB0313">
              <w:rPr>
                <w:rFonts w:asciiTheme="minorHAnsi" w:hAnsiTheme="minorHAnsi" w:cstheme="minorHAnsi"/>
              </w:rPr>
              <w:t>lements.</w:t>
            </w:r>
            <w:r>
              <w:t xml:space="preserve"> </w:t>
            </w:r>
            <w:r w:rsidRPr="00CB0313">
              <w:rPr>
                <w:rFonts w:asciiTheme="minorHAnsi" w:hAnsiTheme="minorHAnsi" w:cstheme="minorHAnsi"/>
              </w:rPr>
              <w:t xml:space="preserve">Publication of taxpayer data by HMRC is exceptional (and previously restricted to those taxpayers who have behaved improperly) and we think </w:t>
            </w:r>
            <w:r>
              <w:rPr>
                <w:rFonts w:asciiTheme="minorHAnsi" w:hAnsiTheme="minorHAnsi" w:cstheme="minorHAnsi"/>
              </w:rPr>
              <w:t xml:space="preserve">should only be undertaken following </w:t>
            </w:r>
            <w:r w:rsidRPr="00CB0313">
              <w:rPr>
                <w:rFonts w:asciiTheme="minorHAnsi" w:hAnsiTheme="minorHAnsi" w:cstheme="minorHAnsi"/>
              </w:rPr>
              <w:t xml:space="preserve">consultation </w:t>
            </w:r>
            <w:r>
              <w:rPr>
                <w:rFonts w:asciiTheme="minorHAnsi" w:hAnsiTheme="minorHAnsi" w:cstheme="minorHAnsi"/>
              </w:rPr>
              <w:t>and proper debate</w:t>
            </w:r>
            <w:r w:rsidRPr="00CB0313">
              <w:rPr>
                <w:rFonts w:asciiTheme="minorHAnsi" w:hAnsiTheme="minorHAnsi" w:cstheme="minorHAnsi"/>
              </w:rPr>
              <w:t>.</w:t>
            </w:r>
          </w:p>
        </w:tc>
      </w:tr>
      <w:tr w:rsidTr="007B5737">
        <w:tblPrEx>
          <w:tblW w:w="0" w:type="auto"/>
          <w:jc w:val="center"/>
          <w:tblLook w:val="0000"/>
        </w:tblPrEx>
        <w:trPr>
          <w:jc w:val="center"/>
        </w:trPr>
        <w:tc>
          <w:tcPr>
            <w:tcW w:w="564" w:type="dxa"/>
          </w:tcPr>
          <w:p w:rsidR="00476C67" w:rsidRPr="00476C67" w:rsidP="00D849C0">
            <w:pPr>
              <w:numPr>
                <w:ilvl w:val="1"/>
                <w:numId w:val="1"/>
              </w:numPr>
              <w:jc w:val="both"/>
              <w:rPr>
                <w:rFonts w:asciiTheme="minorHAnsi" w:hAnsiTheme="minorHAnsi" w:cstheme="minorHAnsi"/>
                <w:u w:val="single"/>
              </w:rPr>
            </w:pPr>
          </w:p>
        </w:tc>
        <w:tc>
          <w:tcPr>
            <w:tcW w:w="9902" w:type="dxa"/>
          </w:tcPr>
          <w:p w:rsidR="00476C67" w:rsidRPr="00476C67" w:rsidP="00D849C0">
            <w:pPr>
              <w:jc w:val="both"/>
              <w:rPr>
                <w:rFonts w:asciiTheme="minorHAnsi" w:hAnsiTheme="minorHAnsi" w:cstheme="minorHAnsi"/>
                <w:u w:val="single"/>
              </w:rPr>
            </w:pPr>
            <w:r w:rsidRPr="00476C67">
              <w:rPr>
                <w:rFonts w:asciiTheme="minorHAnsi" w:hAnsiTheme="minorHAnsi" w:cstheme="minorHAnsi"/>
                <w:u w:val="single"/>
              </w:rPr>
              <w:t xml:space="preserve">Self-Employment Income Support </w:t>
            </w:r>
            <w:r w:rsidRPr="00476C67">
              <w:rPr>
                <w:rFonts w:asciiTheme="minorHAnsi" w:hAnsiTheme="minorHAnsi" w:cstheme="minorHAnsi"/>
                <w:u w:val="single"/>
              </w:rPr>
              <w:t>Scheme (SEISS) fourth grant [2.15] and SEISS fifth grant [2.16]</w:t>
            </w:r>
          </w:p>
        </w:tc>
      </w:tr>
      <w:tr w:rsidTr="007B5737">
        <w:tblPrEx>
          <w:tblW w:w="0" w:type="auto"/>
          <w:jc w:val="center"/>
          <w:tblLook w:val="0000"/>
        </w:tblPrEx>
        <w:trPr>
          <w:jc w:val="center"/>
        </w:trPr>
        <w:tc>
          <w:tcPr>
            <w:tcW w:w="564" w:type="dxa"/>
          </w:tcPr>
          <w:p w:rsidR="00476C67" w:rsidRPr="00D849C0" w:rsidP="00D849C0">
            <w:pPr>
              <w:numPr>
                <w:ilvl w:val="1"/>
                <w:numId w:val="1"/>
              </w:numPr>
              <w:jc w:val="both"/>
              <w:rPr>
                <w:rFonts w:asciiTheme="minorHAnsi" w:hAnsiTheme="minorHAnsi" w:cstheme="minorHAnsi"/>
              </w:rPr>
            </w:pPr>
          </w:p>
        </w:tc>
        <w:tc>
          <w:tcPr>
            <w:tcW w:w="9902" w:type="dxa"/>
          </w:tcPr>
          <w:p w:rsidR="00476C67" w:rsidRPr="00D849C0" w:rsidP="00D019E8">
            <w:pPr>
              <w:jc w:val="both"/>
              <w:rPr>
                <w:rFonts w:asciiTheme="minorHAnsi" w:hAnsiTheme="minorHAnsi" w:cstheme="minorHAnsi"/>
              </w:rPr>
            </w:pPr>
            <w:r>
              <w:rPr>
                <w:rFonts w:asciiTheme="minorHAnsi" w:hAnsiTheme="minorHAnsi" w:cstheme="minorHAnsi"/>
              </w:rPr>
              <w:t>We welcome that the government announced an extension to the SEISS scheme, both to confirm the level of the fourth grant, and the existence and level of the fifth grant. We also welcome that</w:t>
            </w:r>
            <w:r>
              <w:rPr>
                <w:rFonts w:asciiTheme="minorHAnsi" w:hAnsiTheme="minorHAnsi" w:cstheme="minorHAnsi"/>
              </w:rPr>
              <w:t xml:space="preserve"> these two grants will take into consideration 2019-20 tax return information when determining eligibility and the amount of grant payable.</w:t>
            </w:r>
            <w:r>
              <w:rPr>
                <w:rFonts w:asciiTheme="minorHAnsi" w:hAnsiTheme="minorHAnsi" w:cstheme="minorHAnsi"/>
              </w:rPr>
              <w:t xml:space="preserve"> However, it will also mean that some individuals who were eligible for, and claimed, the earlier grants will now be </w:t>
            </w:r>
            <w:r>
              <w:rPr>
                <w:rFonts w:asciiTheme="minorHAnsi" w:hAnsiTheme="minorHAnsi" w:cstheme="minorHAnsi"/>
              </w:rPr>
              <w:t xml:space="preserve">ineligible. </w:t>
            </w:r>
            <w:r>
              <w:rPr>
                <w:rFonts w:asciiTheme="minorHAnsi" w:hAnsiTheme="minorHAnsi" w:cstheme="minorHAnsi"/>
              </w:rPr>
              <w:t xml:space="preserve">This was not widely publicised on Budget day and it </w:t>
            </w:r>
            <w:r>
              <w:rPr>
                <w:rFonts w:asciiTheme="minorHAnsi" w:hAnsiTheme="minorHAnsi" w:cstheme="minorHAnsi"/>
              </w:rPr>
              <w:t xml:space="preserve">may </w:t>
            </w:r>
            <w:r>
              <w:rPr>
                <w:rFonts w:asciiTheme="minorHAnsi" w:hAnsiTheme="minorHAnsi" w:cstheme="minorHAnsi"/>
              </w:rPr>
              <w:t>come as a shock to those affected.</w:t>
            </w:r>
          </w:p>
        </w:tc>
      </w:tr>
      <w:tr w:rsidTr="007B5737">
        <w:tblPrEx>
          <w:tblW w:w="0" w:type="auto"/>
          <w:jc w:val="center"/>
          <w:tblLook w:val="0000"/>
        </w:tblPrEx>
        <w:trPr>
          <w:jc w:val="center"/>
        </w:trPr>
        <w:tc>
          <w:tcPr>
            <w:tcW w:w="564" w:type="dxa"/>
          </w:tcPr>
          <w:p w:rsidR="00F03FB4" w:rsidRPr="00D849C0" w:rsidP="00D849C0">
            <w:pPr>
              <w:numPr>
                <w:ilvl w:val="1"/>
                <w:numId w:val="1"/>
              </w:numPr>
              <w:jc w:val="both"/>
              <w:rPr>
                <w:rFonts w:asciiTheme="minorHAnsi" w:hAnsiTheme="minorHAnsi" w:cstheme="minorHAnsi"/>
              </w:rPr>
            </w:pPr>
          </w:p>
        </w:tc>
        <w:tc>
          <w:tcPr>
            <w:tcW w:w="9902" w:type="dxa"/>
          </w:tcPr>
          <w:p w:rsidR="00F03FB4" w:rsidP="00907F96">
            <w:pPr>
              <w:jc w:val="both"/>
              <w:rPr>
                <w:rFonts w:asciiTheme="minorHAnsi" w:hAnsiTheme="minorHAnsi" w:cstheme="minorHAnsi"/>
              </w:rPr>
            </w:pPr>
            <w:r w:rsidRPr="00311920">
              <w:rPr>
                <w:rFonts w:asciiTheme="minorHAnsi" w:hAnsiTheme="minorHAnsi" w:cstheme="minorHAnsi"/>
              </w:rPr>
              <w:t xml:space="preserve">While we understand that the grant is not intended to replace specific months’ profits, the messaging around this is confusing. </w:t>
            </w:r>
            <w:r>
              <w:rPr>
                <w:rFonts w:asciiTheme="minorHAnsi" w:hAnsiTheme="minorHAnsi" w:cstheme="minorHAnsi"/>
              </w:rPr>
              <w:t>For example, t</w:t>
            </w:r>
            <w:r>
              <w:rPr>
                <w:rFonts w:asciiTheme="minorHAnsi" w:hAnsiTheme="minorHAnsi" w:cstheme="minorHAnsi"/>
              </w:rPr>
              <w:t>he fourth</w:t>
            </w:r>
            <w:r>
              <w:rPr>
                <w:rFonts w:asciiTheme="minorHAnsi" w:hAnsiTheme="minorHAnsi" w:cstheme="minorHAnsi"/>
              </w:rPr>
              <w:t xml:space="preserve"> grant </w:t>
            </w:r>
            <w:r>
              <w:rPr>
                <w:rFonts w:asciiTheme="minorHAnsi" w:hAnsiTheme="minorHAnsi" w:cstheme="minorHAnsi"/>
              </w:rPr>
              <w:t>‘…</w:t>
            </w:r>
            <w:r w:rsidRPr="00D004B1">
              <w:rPr>
                <w:rFonts w:asciiTheme="minorHAnsi" w:hAnsiTheme="minorHAnsi" w:cstheme="minorHAnsi"/>
                <w:i/>
              </w:rPr>
              <w:t>will be worth 80% of three months’ average trading profits…. The grant will cover the period February to April</w:t>
            </w:r>
            <w:r>
              <w:rPr>
                <w:rFonts w:asciiTheme="minorHAnsi" w:hAnsiTheme="minorHAnsi" w:cstheme="minorHAnsi"/>
              </w:rPr>
              <w:t xml:space="preserve">…’ [paragraph 2.15]. So, a three month grant covers a three month period. However, </w:t>
            </w:r>
            <w:r>
              <w:rPr>
                <w:rFonts w:asciiTheme="minorHAnsi" w:hAnsiTheme="minorHAnsi" w:cstheme="minorHAnsi"/>
              </w:rPr>
              <w:t xml:space="preserve">the fifth grant </w:t>
            </w:r>
            <w:r>
              <w:rPr>
                <w:rFonts w:asciiTheme="minorHAnsi" w:hAnsiTheme="minorHAnsi" w:cstheme="minorHAnsi"/>
              </w:rPr>
              <w:t>is ‘…</w:t>
            </w:r>
            <w:r w:rsidRPr="00D004B1">
              <w:rPr>
                <w:rFonts w:asciiTheme="minorHAnsi" w:hAnsiTheme="minorHAnsi" w:cstheme="minorHAnsi"/>
                <w:i/>
              </w:rPr>
              <w:t>cover</w:t>
            </w:r>
            <w:r w:rsidRPr="00D004B1">
              <w:rPr>
                <w:rFonts w:asciiTheme="minorHAnsi" w:hAnsiTheme="minorHAnsi" w:cstheme="minorHAnsi"/>
                <w:i/>
              </w:rPr>
              <w:t xml:space="preserve">ing </w:t>
            </w:r>
            <w:r w:rsidRPr="00D004B1">
              <w:rPr>
                <w:rFonts w:asciiTheme="minorHAnsi" w:hAnsiTheme="minorHAnsi" w:cstheme="minorHAnsi"/>
                <w:i/>
              </w:rPr>
              <w:t xml:space="preserve">May to </w:t>
            </w:r>
            <w:r w:rsidRPr="00D004B1">
              <w:rPr>
                <w:rFonts w:asciiTheme="minorHAnsi" w:hAnsiTheme="minorHAnsi" w:cstheme="minorHAnsi"/>
                <w:i/>
              </w:rPr>
              <w:t>September</w:t>
            </w:r>
            <w:r w:rsidRPr="00D004B1">
              <w:rPr>
                <w:rFonts w:asciiTheme="minorHAnsi" w:hAnsiTheme="minorHAnsi" w:cstheme="minorHAnsi"/>
                <w:i/>
              </w:rPr>
              <w:t>…worth 80% of three months’ average trading profits</w:t>
            </w:r>
            <w:r>
              <w:rPr>
                <w:rFonts w:asciiTheme="minorHAnsi" w:hAnsiTheme="minorHAnsi" w:cstheme="minorHAnsi"/>
              </w:rPr>
              <w:t>…’ [paragraph 2.16]</w:t>
            </w:r>
            <w:r>
              <w:rPr>
                <w:rFonts w:asciiTheme="minorHAnsi" w:hAnsiTheme="minorHAnsi" w:cstheme="minorHAnsi"/>
              </w:rPr>
              <w:t xml:space="preserve">. </w:t>
            </w:r>
            <w:r>
              <w:rPr>
                <w:rFonts w:asciiTheme="minorHAnsi" w:hAnsiTheme="minorHAnsi" w:cstheme="minorHAnsi"/>
              </w:rPr>
              <w:t>So a three month grant covers a five month period.</w:t>
            </w:r>
          </w:p>
        </w:tc>
      </w:tr>
      <w:tr w:rsidTr="007B5737">
        <w:tblPrEx>
          <w:tblW w:w="0" w:type="auto"/>
          <w:jc w:val="center"/>
          <w:tblLook w:val="0000"/>
        </w:tblPrEx>
        <w:trPr>
          <w:jc w:val="center"/>
        </w:trPr>
        <w:tc>
          <w:tcPr>
            <w:tcW w:w="564" w:type="dxa"/>
          </w:tcPr>
          <w:p w:rsidR="00D004B1" w:rsidRPr="00D849C0" w:rsidP="00D849C0">
            <w:pPr>
              <w:numPr>
                <w:ilvl w:val="1"/>
                <w:numId w:val="1"/>
              </w:numPr>
              <w:jc w:val="both"/>
              <w:rPr>
                <w:rFonts w:asciiTheme="minorHAnsi" w:hAnsiTheme="minorHAnsi" w:cstheme="minorHAnsi"/>
              </w:rPr>
            </w:pPr>
          </w:p>
        </w:tc>
        <w:tc>
          <w:tcPr>
            <w:tcW w:w="9902" w:type="dxa"/>
          </w:tcPr>
          <w:p w:rsidR="00D004B1" w:rsidRPr="00311920" w:rsidP="00907F96">
            <w:pPr>
              <w:jc w:val="both"/>
              <w:rPr>
                <w:rFonts w:asciiTheme="minorHAnsi" w:hAnsiTheme="minorHAnsi" w:cstheme="minorHAnsi"/>
              </w:rPr>
            </w:pPr>
            <w:r>
              <w:rPr>
                <w:rFonts w:asciiTheme="minorHAnsi" w:hAnsiTheme="minorHAnsi" w:cstheme="minorHAnsi"/>
              </w:rPr>
              <w:t xml:space="preserve">Similar confusion arose last year </w:t>
            </w:r>
            <w:r w:rsidRPr="00D004B1">
              <w:rPr>
                <w:rFonts w:asciiTheme="minorHAnsi" w:hAnsiTheme="minorHAnsi" w:cstheme="minorHAnsi"/>
              </w:rPr>
              <w:t xml:space="preserve">when the second grant </w:t>
            </w:r>
            <w:r>
              <w:rPr>
                <w:rFonts w:asciiTheme="minorHAnsi" w:hAnsiTheme="minorHAnsi" w:cstheme="minorHAnsi"/>
              </w:rPr>
              <w:t>‘</w:t>
            </w:r>
            <w:r w:rsidRPr="00D004B1">
              <w:rPr>
                <w:rFonts w:asciiTheme="minorHAnsi" w:hAnsiTheme="minorHAnsi" w:cstheme="minorHAnsi"/>
              </w:rPr>
              <w:t>covered</w:t>
            </w:r>
            <w:r>
              <w:rPr>
                <w:rFonts w:asciiTheme="minorHAnsi" w:hAnsiTheme="minorHAnsi" w:cstheme="minorHAnsi"/>
              </w:rPr>
              <w:t>’</w:t>
            </w:r>
            <w:r w:rsidRPr="00D004B1">
              <w:rPr>
                <w:rFonts w:asciiTheme="minorHAnsi" w:hAnsiTheme="minorHAnsi" w:cstheme="minorHAnsi"/>
              </w:rPr>
              <w:t xml:space="preserve"> the five month period June to October 2020. </w:t>
            </w:r>
            <w:r>
              <w:rPr>
                <w:rFonts w:asciiTheme="minorHAnsi" w:hAnsiTheme="minorHAnsi" w:cstheme="minorHAnsi"/>
              </w:rPr>
              <w:t>Therefore, t</w:t>
            </w:r>
            <w:r w:rsidRPr="00D004B1">
              <w:rPr>
                <w:rFonts w:asciiTheme="minorHAnsi" w:hAnsiTheme="minorHAnsi" w:cstheme="minorHAnsi"/>
              </w:rPr>
              <w:t xml:space="preserve">he first, third and fourth grants </w:t>
            </w:r>
            <w:r>
              <w:rPr>
                <w:rFonts w:asciiTheme="minorHAnsi" w:hAnsiTheme="minorHAnsi" w:cstheme="minorHAnsi"/>
              </w:rPr>
              <w:t>subsidise a loss of profits for</w:t>
            </w:r>
            <w:r w:rsidRPr="00D004B1">
              <w:rPr>
                <w:rFonts w:asciiTheme="minorHAnsi" w:hAnsiTheme="minorHAnsi" w:cstheme="minorHAnsi"/>
              </w:rPr>
              <w:t xml:space="preserve"> a three month period</w:t>
            </w:r>
            <w:r>
              <w:rPr>
                <w:rFonts w:asciiTheme="minorHAnsi" w:hAnsiTheme="minorHAnsi" w:cstheme="minorHAnsi"/>
              </w:rPr>
              <w:t>, but the second and fifth grants subsidise the loss of profits for a five month period</w:t>
            </w:r>
            <w:r w:rsidRPr="00D004B1">
              <w:rPr>
                <w:rFonts w:asciiTheme="minorHAnsi" w:hAnsiTheme="minorHAnsi" w:cstheme="minorHAnsi"/>
              </w:rPr>
              <w:t xml:space="preserve">. We recognise that the level of support for the self-employed need not match that </w:t>
            </w:r>
            <w:r w:rsidRPr="00D004B1">
              <w:rPr>
                <w:rFonts w:asciiTheme="minorHAnsi" w:hAnsiTheme="minorHAnsi" w:cstheme="minorHAnsi"/>
              </w:rPr>
              <w:t xml:space="preserve">for employees (in particular, because the self-employed can continue to work whilst also claiming SEISS), but we think that the scheme </w:t>
            </w:r>
            <w:r>
              <w:rPr>
                <w:rFonts w:asciiTheme="minorHAnsi" w:hAnsiTheme="minorHAnsi" w:cstheme="minorHAnsi"/>
              </w:rPr>
              <w:t>might</w:t>
            </w:r>
            <w:r w:rsidRPr="00D004B1">
              <w:rPr>
                <w:rFonts w:asciiTheme="minorHAnsi" w:hAnsiTheme="minorHAnsi" w:cstheme="minorHAnsi"/>
              </w:rPr>
              <w:t xml:space="preserve"> </w:t>
            </w:r>
            <w:r w:rsidRPr="00D004B1">
              <w:rPr>
                <w:rFonts w:asciiTheme="minorHAnsi" w:hAnsiTheme="minorHAnsi" w:cstheme="minorHAnsi"/>
              </w:rPr>
              <w:t xml:space="preserve">be better understood if the </w:t>
            </w:r>
            <w:r>
              <w:rPr>
                <w:rFonts w:asciiTheme="minorHAnsi" w:hAnsiTheme="minorHAnsi" w:cstheme="minorHAnsi"/>
              </w:rPr>
              <w:t>rate</w:t>
            </w:r>
            <w:r w:rsidRPr="00D004B1">
              <w:rPr>
                <w:rFonts w:asciiTheme="minorHAnsi" w:hAnsiTheme="minorHAnsi" w:cstheme="minorHAnsi"/>
              </w:rPr>
              <w:t xml:space="preserve"> </w:t>
            </w:r>
            <w:r w:rsidRPr="00D004B1">
              <w:rPr>
                <w:rFonts w:asciiTheme="minorHAnsi" w:hAnsiTheme="minorHAnsi" w:cstheme="minorHAnsi"/>
              </w:rPr>
              <w:t xml:space="preserve">of support had been </w:t>
            </w:r>
            <w:r>
              <w:rPr>
                <w:rFonts w:asciiTheme="minorHAnsi" w:hAnsiTheme="minorHAnsi" w:cstheme="minorHAnsi"/>
              </w:rPr>
              <w:t>adjusted</w:t>
            </w:r>
            <w:r w:rsidRPr="00D004B1">
              <w:rPr>
                <w:rFonts w:asciiTheme="minorHAnsi" w:hAnsiTheme="minorHAnsi" w:cstheme="minorHAnsi"/>
              </w:rPr>
              <w:t xml:space="preserve"> to match the extended period that the grant would cov</w:t>
            </w:r>
            <w:r w:rsidRPr="00D004B1">
              <w:rPr>
                <w:rFonts w:asciiTheme="minorHAnsi" w:hAnsiTheme="minorHAnsi" w:cstheme="minorHAnsi"/>
              </w:rPr>
              <w:t>er (eg 3/5 x 80% = 48%).</w:t>
            </w:r>
          </w:p>
        </w:tc>
      </w:tr>
      <w:tr w:rsidTr="007B5737">
        <w:tblPrEx>
          <w:tblW w:w="0" w:type="auto"/>
          <w:jc w:val="center"/>
          <w:tblLook w:val="0000"/>
        </w:tblPrEx>
        <w:trPr>
          <w:jc w:val="center"/>
        </w:trPr>
        <w:tc>
          <w:tcPr>
            <w:tcW w:w="564" w:type="dxa"/>
          </w:tcPr>
          <w:p w:rsidR="00F03FB4" w:rsidRPr="00D849C0" w:rsidP="00D849C0">
            <w:pPr>
              <w:numPr>
                <w:ilvl w:val="1"/>
                <w:numId w:val="1"/>
              </w:numPr>
              <w:jc w:val="both"/>
              <w:rPr>
                <w:rFonts w:asciiTheme="minorHAnsi" w:hAnsiTheme="minorHAnsi" w:cstheme="minorHAnsi"/>
              </w:rPr>
            </w:pPr>
          </w:p>
        </w:tc>
        <w:tc>
          <w:tcPr>
            <w:tcW w:w="9902" w:type="dxa"/>
          </w:tcPr>
          <w:p w:rsidR="00F03FB4" w:rsidP="00D019E8">
            <w:pPr>
              <w:jc w:val="both"/>
              <w:rPr>
                <w:rFonts w:asciiTheme="minorHAnsi" w:hAnsiTheme="minorHAnsi" w:cstheme="minorHAnsi"/>
              </w:rPr>
            </w:pPr>
            <w:r>
              <w:rPr>
                <w:rFonts w:asciiTheme="minorHAnsi" w:hAnsiTheme="minorHAnsi" w:cstheme="minorHAnsi"/>
              </w:rPr>
              <w:t>The scheme has also been modified a number of</w:t>
            </w:r>
            <w:r>
              <w:rPr>
                <w:rFonts w:asciiTheme="minorHAnsi" w:hAnsiTheme="minorHAnsi" w:cstheme="minorHAnsi"/>
              </w:rPr>
              <w:t xml:space="preserve"> times since its introduction. The third grant introduced a requirement for a significant reduction in trading profits, and this requirement has been carried over into the </w:t>
            </w:r>
            <w:r>
              <w:rPr>
                <w:rFonts w:asciiTheme="minorHAnsi" w:hAnsiTheme="minorHAnsi" w:cstheme="minorHAnsi"/>
              </w:rPr>
              <w:t>fourth grant.</w:t>
            </w:r>
            <w:r>
              <w:rPr>
                <w:rFonts w:asciiTheme="minorHAnsi" w:hAnsiTheme="minorHAnsi" w:cstheme="minorHAnsi"/>
              </w:rPr>
              <w:t xml:space="preserve"> HMRC will not advise what </w:t>
            </w:r>
            <w:r>
              <w:rPr>
                <w:rFonts w:asciiTheme="minorHAnsi" w:hAnsiTheme="minorHAnsi" w:cstheme="minorHAnsi"/>
              </w:rPr>
              <w:t xml:space="preserve">constitutes </w:t>
            </w:r>
            <w:r>
              <w:rPr>
                <w:rFonts w:asciiTheme="minorHAnsi" w:hAnsiTheme="minorHAnsi" w:cstheme="minorHAnsi"/>
              </w:rPr>
              <w:t>a ‘significant reduction’.</w:t>
            </w:r>
            <w:r>
              <w:rPr>
                <w:rFonts w:asciiTheme="minorHAnsi" w:hAnsiTheme="minorHAnsi" w:cstheme="minorHAnsi"/>
              </w:rPr>
              <w:t xml:space="preserve"> In an</w:t>
            </w:r>
            <w:r>
              <w:rPr>
                <w:rFonts w:asciiTheme="minorHAnsi" w:hAnsiTheme="minorHAnsi" w:cstheme="minorHAnsi"/>
              </w:rPr>
              <w:t xml:space="preserve"> attempt to better target support, the fifth grant takes this further, by introducing a turnover test which will dictate the amount of grant receivable. However, the turnover test will not apply to the period May to September 2021, but to an earlier period</w:t>
            </w:r>
            <w:r>
              <w:rPr>
                <w:rFonts w:asciiTheme="minorHAnsi" w:hAnsiTheme="minorHAnsi" w:cstheme="minorHAnsi"/>
              </w:rPr>
              <w:t xml:space="preserve"> (to be determined, but probably prior to April 2021). This means that the level of grant </w:t>
            </w:r>
            <w:r>
              <w:rPr>
                <w:rFonts w:asciiTheme="minorHAnsi" w:hAnsiTheme="minorHAnsi" w:cstheme="minorHAnsi"/>
              </w:rPr>
              <w:t>will not</w:t>
            </w:r>
            <w:r>
              <w:rPr>
                <w:rFonts w:asciiTheme="minorHAnsi" w:hAnsiTheme="minorHAnsi" w:cstheme="minorHAnsi"/>
              </w:rPr>
              <w:t xml:space="preserve"> reflect the individual’s trading position over the period it is intended to cover</w:t>
            </w:r>
            <w:r>
              <w:rPr>
                <w:rFonts w:asciiTheme="minorHAnsi" w:hAnsiTheme="minorHAnsi" w:cstheme="minorHAnsi"/>
              </w:rPr>
              <w:t>, and the additional complexity may still not deliver the policy of supporti</w:t>
            </w:r>
            <w:r>
              <w:rPr>
                <w:rFonts w:asciiTheme="minorHAnsi" w:hAnsiTheme="minorHAnsi" w:cstheme="minorHAnsi"/>
              </w:rPr>
              <w:t>ng those who need the most support</w:t>
            </w:r>
            <w:r>
              <w:rPr>
                <w:rFonts w:asciiTheme="minorHAnsi" w:hAnsiTheme="minorHAnsi" w:cstheme="minorHAnsi"/>
              </w:rPr>
              <w:t xml:space="preserve">. </w:t>
            </w:r>
          </w:p>
        </w:tc>
      </w:tr>
      <w:tr w:rsidTr="007B5737">
        <w:tblPrEx>
          <w:tblW w:w="0" w:type="auto"/>
          <w:jc w:val="center"/>
          <w:tblLook w:val="0000"/>
        </w:tblPrEx>
        <w:trPr>
          <w:jc w:val="center"/>
        </w:trPr>
        <w:tc>
          <w:tcPr>
            <w:tcW w:w="564" w:type="dxa"/>
          </w:tcPr>
          <w:p w:rsidR="00476C67" w:rsidRPr="00476C67" w:rsidP="00D849C0">
            <w:pPr>
              <w:numPr>
                <w:ilvl w:val="1"/>
                <w:numId w:val="1"/>
              </w:numPr>
              <w:jc w:val="both"/>
              <w:rPr>
                <w:rFonts w:asciiTheme="minorHAnsi" w:hAnsiTheme="minorHAnsi" w:cstheme="minorHAnsi"/>
                <w:u w:val="single"/>
              </w:rPr>
            </w:pPr>
          </w:p>
        </w:tc>
        <w:tc>
          <w:tcPr>
            <w:tcW w:w="9902" w:type="dxa"/>
          </w:tcPr>
          <w:p w:rsidR="00476C67" w:rsidRPr="00476C67" w:rsidP="00D849C0">
            <w:pPr>
              <w:jc w:val="both"/>
              <w:rPr>
                <w:rFonts w:asciiTheme="minorHAnsi" w:hAnsiTheme="minorHAnsi" w:cstheme="minorHAnsi"/>
                <w:u w:val="single"/>
              </w:rPr>
            </w:pPr>
            <w:r w:rsidRPr="00476C67">
              <w:rPr>
                <w:rFonts w:asciiTheme="minorHAnsi" w:hAnsiTheme="minorHAnsi" w:cstheme="minorHAnsi"/>
                <w:u w:val="single"/>
              </w:rPr>
              <w:t>Income tax exemptions for COVID-19 tests and home office expenses [2.17]</w:t>
            </w:r>
          </w:p>
        </w:tc>
      </w:tr>
      <w:tr w:rsidTr="007B5737">
        <w:tblPrEx>
          <w:tblW w:w="0" w:type="auto"/>
          <w:jc w:val="center"/>
          <w:tblLook w:val="0000"/>
        </w:tblPrEx>
        <w:trPr>
          <w:jc w:val="center"/>
        </w:trPr>
        <w:tc>
          <w:tcPr>
            <w:tcW w:w="564" w:type="dxa"/>
          </w:tcPr>
          <w:p w:rsidR="00C27AD5" w:rsidRPr="00D849C0" w:rsidP="00C27AD5">
            <w:pPr>
              <w:numPr>
                <w:ilvl w:val="1"/>
                <w:numId w:val="1"/>
              </w:numPr>
              <w:jc w:val="both"/>
              <w:rPr>
                <w:rFonts w:asciiTheme="minorHAnsi" w:hAnsiTheme="minorHAnsi" w:cstheme="minorHAnsi"/>
              </w:rPr>
            </w:pPr>
          </w:p>
        </w:tc>
        <w:tc>
          <w:tcPr>
            <w:tcW w:w="9902" w:type="dxa"/>
          </w:tcPr>
          <w:p w:rsidR="00C27AD5" w:rsidRPr="00D849C0" w:rsidP="00020088">
            <w:pPr>
              <w:jc w:val="both"/>
              <w:rPr>
                <w:rFonts w:asciiTheme="minorHAnsi" w:hAnsiTheme="minorHAnsi" w:cstheme="minorHAnsi"/>
              </w:rPr>
            </w:pPr>
            <w:r w:rsidRPr="00121ADF">
              <w:t xml:space="preserve">Last year, the government </w:t>
            </w:r>
            <w:r>
              <w:t>announced a</w:t>
            </w:r>
            <w:r w:rsidRPr="00121ADF">
              <w:t xml:space="preserve"> </w:t>
            </w:r>
            <w:r w:rsidRPr="00121ADF">
              <w:t xml:space="preserve">temporary income tax exemption and NIC disregard in respect of the benefits-in-kind that would </w:t>
            </w:r>
            <w:r w:rsidRPr="00121ADF">
              <w:t>otherwise arise where an employer provides, or reimburses the cost of, a coronavirus antigen test</w:t>
            </w:r>
            <w:r>
              <w:t>,</w:t>
            </w:r>
            <w:r w:rsidRPr="00121ADF">
              <w:t xml:space="preserve"> and </w:t>
            </w:r>
            <w:r>
              <w:t xml:space="preserve">introduced temporary exemptions in respect of (i) </w:t>
            </w:r>
            <w:r>
              <w:t>employer</w:t>
            </w:r>
            <w:r>
              <w:t xml:space="preserve">-provided coronavirus antigen tests and </w:t>
            </w:r>
            <w:r w:rsidRPr="00121ADF">
              <w:t>(i</w:t>
            </w:r>
            <w:r>
              <w:t>i</w:t>
            </w:r>
            <w:r w:rsidRPr="00121ADF">
              <w:t>) employer reimburse</w:t>
            </w:r>
            <w:r>
              <w:t>ment</w:t>
            </w:r>
            <w:r w:rsidRPr="00121ADF">
              <w:t xml:space="preserve"> </w:t>
            </w:r>
            <w:r>
              <w:t>of</w:t>
            </w:r>
            <w:r w:rsidRPr="00121ADF">
              <w:t xml:space="preserve"> employee’s expenditure o</w:t>
            </w:r>
            <w:r w:rsidRPr="00121ADF">
              <w:t>n home office equipment.</w:t>
            </w:r>
          </w:p>
        </w:tc>
      </w:tr>
      <w:tr w:rsidTr="007B5737">
        <w:tblPrEx>
          <w:tblW w:w="0" w:type="auto"/>
          <w:jc w:val="center"/>
          <w:tblLook w:val="0000"/>
        </w:tblPrEx>
        <w:trPr>
          <w:jc w:val="center"/>
        </w:trPr>
        <w:tc>
          <w:tcPr>
            <w:tcW w:w="564" w:type="dxa"/>
          </w:tcPr>
          <w:p w:rsidR="00C27AD5" w:rsidRPr="00D849C0" w:rsidP="00C27AD5">
            <w:pPr>
              <w:numPr>
                <w:ilvl w:val="1"/>
                <w:numId w:val="1"/>
              </w:numPr>
              <w:jc w:val="both"/>
              <w:rPr>
                <w:rFonts w:asciiTheme="minorHAnsi" w:hAnsiTheme="minorHAnsi" w:cstheme="minorHAnsi"/>
              </w:rPr>
            </w:pPr>
          </w:p>
        </w:tc>
        <w:tc>
          <w:tcPr>
            <w:tcW w:w="9902" w:type="dxa"/>
          </w:tcPr>
          <w:p w:rsidR="00C27AD5" w:rsidRPr="00D849C0" w:rsidP="00020088">
            <w:pPr>
              <w:jc w:val="both"/>
              <w:rPr>
                <w:rFonts w:asciiTheme="minorHAnsi" w:hAnsiTheme="minorHAnsi" w:cstheme="minorHAnsi"/>
              </w:rPr>
            </w:pPr>
            <w:r w:rsidRPr="00121ADF">
              <w:t>Given the ongoing situation as regards the pandemic, the extension of these temporary exemptions (and the easement for employer provided cycles under the cycle to work scheme</w:t>
            </w:r>
            <w:r w:rsidRPr="00121ADF">
              <w:t>)</w:t>
            </w:r>
            <w:r>
              <w:t xml:space="preserve"> until 5 April 2022 </w:t>
            </w:r>
            <w:r w:rsidRPr="00121ADF">
              <w:t>are welcome. The measures are targ</w:t>
            </w:r>
            <w:r w:rsidRPr="00121ADF">
              <w:t xml:space="preserve">eted, simple, clear and provide certainty and stability. </w:t>
            </w:r>
          </w:p>
        </w:tc>
      </w:tr>
      <w:tr w:rsidTr="007B5737">
        <w:tblPrEx>
          <w:tblW w:w="0" w:type="auto"/>
          <w:jc w:val="center"/>
          <w:tblLook w:val="0000"/>
        </w:tblPrEx>
        <w:trPr>
          <w:jc w:val="center"/>
        </w:trPr>
        <w:tc>
          <w:tcPr>
            <w:tcW w:w="564" w:type="dxa"/>
          </w:tcPr>
          <w:p w:rsidR="00C27AD5" w:rsidRPr="00D849C0" w:rsidP="00C27AD5">
            <w:pPr>
              <w:numPr>
                <w:ilvl w:val="1"/>
                <w:numId w:val="1"/>
              </w:numPr>
              <w:jc w:val="both"/>
              <w:rPr>
                <w:rFonts w:asciiTheme="minorHAnsi" w:hAnsiTheme="minorHAnsi" w:cstheme="minorHAnsi"/>
              </w:rPr>
            </w:pPr>
          </w:p>
        </w:tc>
        <w:tc>
          <w:tcPr>
            <w:tcW w:w="9902" w:type="dxa"/>
          </w:tcPr>
          <w:p w:rsidR="00C27AD5" w:rsidP="00C27AD5">
            <w:pPr>
              <w:jc w:val="both"/>
            </w:pPr>
            <w:r w:rsidRPr="00121ADF">
              <w:t>This said, we think that the government could go further.</w:t>
            </w:r>
          </w:p>
          <w:p w:rsidR="004543F6" w:rsidRPr="004543F6" w:rsidP="004543F6">
            <w:pPr>
              <w:numPr>
                <w:ilvl w:val="0"/>
                <w:numId w:val="6"/>
              </w:numPr>
              <w:jc w:val="both"/>
              <w:rPr>
                <w:rFonts w:asciiTheme="minorHAnsi" w:hAnsiTheme="minorHAnsi" w:cstheme="minorHAnsi"/>
              </w:rPr>
            </w:pPr>
            <w:r w:rsidRPr="004543F6">
              <w:rPr>
                <w:rFonts w:asciiTheme="minorHAnsi" w:hAnsiTheme="minorHAnsi" w:cstheme="minorHAnsi"/>
              </w:rPr>
              <w:t>The exemption for coronavirus antigen tests does not extend to antibody tests</w:t>
            </w:r>
            <w:r w:rsidRPr="004543F6">
              <w:rPr>
                <w:rFonts w:asciiTheme="minorHAnsi" w:hAnsiTheme="minorHAnsi" w:cstheme="minorHAnsi"/>
              </w:rPr>
              <w:t>, and we consider that any COVID test should be tax exempt, irrespective of whether an antigen or antibody test.</w:t>
            </w:r>
          </w:p>
          <w:p w:rsidR="004543F6" w:rsidRPr="004543F6" w:rsidP="00020088">
            <w:pPr>
              <w:pStyle w:val="ListParagraph"/>
              <w:numPr>
                <w:ilvl w:val="0"/>
                <w:numId w:val="6"/>
              </w:numPr>
              <w:jc w:val="both"/>
              <w:rPr>
                <w:rFonts w:asciiTheme="minorHAnsi" w:hAnsiTheme="minorHAnsi" w:cstheme="minorHAnsi"/>
              </w:rPr>
            </w:pPr>
            <w:r w:rsidRPr="004543F6">
              <w:rPr>
                <w:rFonts w:asciiTheme="minorHAnsi" w:hAnsiTheme="minorHAnsi" w:cstheme="minorHAnsi"/>
              </w:rPr>
              <w:t>The government should review its approach to employers paying for, or reimbursing the cost of, vaccines. For example, many employers provide fl</w:t>
            </w:r>
            <w:r w:rsidRPr="004543F6">
              <w:rPr>
                <w:rFonts w:asciiTheme="minorHAnsi" w:hAnsiTheme="minorHAnsi" w:cstheme="minorHAnsi"/>
              </w:rPr>
              <w:t>u vaccine shots or flu vaccine vouchers each autumn. Generally, these can be exempted under the trivial benefits rules. However, if an employee pays for the vaccine (which in many instances is the most practical</w:t>
            </w:r>
            <w:r>
              <w:rPr>
                <w:rFonts w:asciiTheme="minorHAnsi" w:hAnsiTheme="minorHAnsi" w:cstheme="minorHAnsi"/>
              </w:rPr>
              <w:t xml:space="preserve"> approach</w:t>
            </w:r>
            <w:r w:rsidRPr="004543F6">
              <w:rPr>
                <w:rFonts w:asciiTheme="minorHAnsi" w:hAnsiTheme="minorHAnsi" w:cstheme="minorHAnsi"/>
              </w:rPr>
              <w:t>), any reimbursement by the employer is taxable. How the vaccine is paid for shouldn’t dictate the tax treatment, and considering that ongoing coronavirus vaccinations might be required</w:t>
            </w:r>
            <w:r>
              <w:rPr>
                <w:rFonts w:asciiTheme="minorHAnsi" w:hAnsiTheme="minorHAnsi" w:cstheme="minorHAnsi"/>
              </w:rPr>
              <w:t xml:space="preserve"> </w:t>
            </w:r>
            <w:r w:rsidRPr="00020088">
              <w:rPr>
                <w:rFonts w:asciiTheme="minorHAnsi" w:hAnsiTheme="minorHAnsi" w:cstheme="minorHAnsi"/>
              </w:rPr>
              <w:t>(the cost of which might exceed the trivial benefits exemption limit)</w:t>
            </w:r>
            <w:r>
              <w:rPr>
                <w:rFonts w:asciiTheme="minorHAnsi" w:hAnsiTheme="minorHAnsi" w:cstheme="minorHAnsi"/>
              </w:rPr>
              <w:t>,</w:t>
            </w:r>
            <w:r w:rsidRPr="004543F6">
              <w:rPr>
                <w:rFonts w:asciiTheme="minorHAnsi" w:hAnsiTheme="minorHAnsi" w:cstheme="minorHAnsi"/>
              </w:rPr>
              <w:t xml:space="preserve"> the treatment should be aligned.</w:t>
            </w:r>
          </w:p>
        </w:tc>
      </w:tr>
      <w:tr w:rsidTr="007B5737">
        <w:tblPrEx>
          <w:tblW w:w="0" w:type="auto"/>
          <w:jc w:val="center"/>
          <w:tblLook w:val="0000"/>
        </w:tblPrEx>
        <w:trPr>
          <w:jc w:val="center"/>
        </w:trPr>
        <w:tc>
          <w:tcPr>
            <w:tcW w:w="564" w:type="dxa"/>
          </w:tcPr>
          <w:p w:rsidR="00C27AD5" w:rsidRPr="00D849C0" w:rsidP="00C27AD5">
            <w:pPr>
              <w:numPr>
                <w:ilvl w:val="1"/>
                <w:numId w:val="1"/>
              </w:numPr>
              <w:jc w:val="both"/>
              <w:rPr>
                <w:rFonts w:asciiTheme="minorHAnsi" w:hAnsiTheme="minorHAnsi" w:cstheme="minorHAnsi"/>
              </w:rPr>
            </w:pPr>
          </w:p>
        </w:tc>
        <w:tc>
          <w:tcPr>
            <w:tcW w:w="9902" w:type="dxa"/>
          </w:tcPr>
          <w:p w:rsidR="00C27AD5" w:rsidRPr="00D849C0" w:rsidP="00020088">
            <w:pPr>
              <w:jc w:val="both"/>
              <w:rPr>
                <w:rFonts w:asciiTheme="minorHAnsi" w:hAnsiTheme="minorHAnsi" w:cstheme="minorHAnsi"/>
              </w:rPr>
            </w:pPr>
            <w:r>
              <w:t xml:space="preserve">There is a different tax treatment between </w:t>
            </w:r>
            <w:r w:rsidRPr="00121ADF">
              <w:t>employee</w:t>
            </w:r>
            <w:r>
              <w:t>-</w:t>
            </w:r>
            <w:r w:rsidRPr="00121ADF">
              <w:t>purchased office equipment</w:t>
            </w:r>
            <w:r>
              <w:t xml:space="preserve"> where the employer reimburses the cost and </w:t>
            </w:r>
            <w:r>
              <w:t>the employee ultimately retain</w:t>
            </w:r>
            <w:r>
              <w:t>s</w:t>
            </w:r>
            <w:r>
              <w:t xml:space="preserve"> the equipment at home (non-taxable)</w:t>
            </w:r>
            <w:r>
              <w:t>,</w:t>
            </w:r>
            <w:r>
              <w:t xml:space="preserve"> and where the employer has pr</w:t>
            </w:r>
            <w:r>
              <w:t>ovided the equipment and ultimately allows the employee to retain the equipment at home (taxable on the employee)</w:t>
            </w:r>
            <w:r w:rsidRPr="00121ADF">
              <w:t>.</w:t>
            </w:r>
            <w:r>
              <w:rPr>
                <w:rStyle w:val="FootnoteReference"/>
              </w:rPr>
              <w:footnoteReference w:id="2"/>
            </w:r>
            <w:r>
              <w:t xml:space="preserve"> </w:t>
            </w:r>
            <w:r w:rsidRPr="009459C8">
              <w:t>We think that to be fair and</w:t>
            </w:r>
            <w:r>
              <w:t xml:space="preserve"> to</w:t>
            </w:r>
            <w:r w:rsidRPr="009459C8">
              <w:t xml:space="preserve"> level the playing field the government should introduce a temporary exemption</w:t>
            </w:r>
            <w:r>
              <w:t xml:space="preserve"> for the second case – perhaps</w:t>
            </w:r>
            <w:r>
              <w:t xml:space="preserve"> with a financial limit to restrict the scope for abuse.</w:t>
            </w:r>
          </w:p>
        </w:tc>
      </w:tr>
      <w:tr w:rsidTr="007B5737">
        <w:tblPrEx>
          <w:tblW w:w="0" w:type="auto"/>
          <w:jc w:val="center"/>
          <w:tblLook w:val="0000"/>
        </w:tblPrEx>
        <w:trPr>
          <w:jc w:val="center"/>
        </w:trPr>
        <w:tc>
          <w:tcPr>
            <w:tcW w:w="564" w:type="dxa"/>
          </w:tcPr>
          <w:p w:rsidR="00DB3B4F" w:rsidRPr="00D849C0" w:rsidP="00DB3B4F">
            <w:pPr>
              <w:numPr>
                <w:ilvl w:val="1"/>
                <w:numId w:val="1"/>
              </w:numPr>
              <w:jc w:val="both"/>
              <w:rPr>
                <w:rFonts w:asciiTheme="minorHAnsi" w:hAnsiTheme="minorHAnsi" w:cstheme="minorHAnsi"/>
              </w:rPr>
            </w:pPr>
          </w:p>
        </w:tc>
        <w:tc>
          <w:tcPr>
            <w:tcW w:w="9902" w:type="dxa"/>
          </w:tcPr>
          <w:p w:rsidR="00DB3B4F" w:rsidRPr="00D849C0" w:rsidP="00DB3B4F">
            <w:pPr>
              <w:jc w:val="both"/>
              <w:rPr>
                <w:rFonts w:asciiTheme="minorHAnsi" w:hAnsiTheme="minorHAnsi" w:cstheme="minorHAnsi"/>
              </w:rPr>
            </w:pPr>
            <w:r w:rsidRPr="006C68C8">
              <w:rPr>
                <w:rFonts w:asciiTheme="minorHAnsi" w:hAnsiTheme="minorHAnsi" w:cstheme="minorHAnsi"/>
                <w:u w:val="single"/>
              </w:rPr>
              <w:t>Combatting COVID-19 fraud [2.61]</w:t>
            </w:r>
          </w:p>
        </w:tc>
      </w:tr>
      <w:tr w:rsidTr="007B5737">
        <w:tblPrEx>
          <w:tblW w:w="0" w:type="auto"/>
          <w:jc w:val="center"/>
          <w:tblLook w:val="0000"/>
        </w:tblPrEx>
        <w:trPr>
          <w:jc w:val="center"/>
        </w:trPr>
        <w:tc>
          <w:tcPr>
            <w:tcW w:w="564" w:type="dxa"/>
          </w:tcPr>
          <w:p w:rsidR="00DB3B4F" w:rsidRPr="00D849C0" w:rsidP="00DB3B4F">
            <w:pPr>
              <w:numPr>
                <w:ilvl w:val="1"/>
                <w:numId w:val="1"/>
              </w:numPr>
              <w:jc w:val="both"/>
              <w:rPr>
                <w:rFonts w:asciiTheme="minorHAnsi" w:hAnsiTheme="minorHAnsi" w:cstheme="minorHAnsi"/>
              </w:rPr>
            </w:pPr>
          </w:p>
        </w:tc>
        <w:tc>
          <w:tcPr>
            <w:tcW w:w="9902" w:type="dxa"/>
          </w:tcPr>
          <w:p w:rsidR="00DB3B4F" w:rsidRPr="00D849C0" w:rsidP="00F53854">
            <w:pPr>
              <w:jc w:val="both"/>
              <w:rPr>
                <w:rFonts w:asciiTheme="minorHAnsi" w:hAnsiTheme="minorHAnsi" w:cstheme="minorHAnsi"/>
              </w:rPr>
            </w:pPr>
            <w:r>
              <w:rPr>
                <w:rFonts w:asciiTheme="minorHAnsi" w:hAnsiTheme="minorHAnsi" w:cstheme="minorHAnsi"/>
              </w:rPr>
              <w:t xml:space="preserve">The COVID support schemes administered by HMRC have provided a vital lifeline to many individuals and businesses. However, the schemes have also transformed over time. For example, GOV.UK guidance on the CJRS has changed well over fifty times. </w:t>
            </w:r>
            <w:r>
              <w:rPr>
                <w:rFonts w:asciiTheme="minorHAnsi" w:hAnsiTheme="minorHAnsi" w:cstheme="minorHAnsi"/>
              </w:rPr>
              <w:t>The eligibil</w:t>
            </w:r>
            <w:r>
              <w:rPr>
                <w:rFonts w:asciiTheme="minorHAnsi" w:hAnsiTheme="minorHAnsi" w:cstheme="minorHAnsi"/>
              </w:rPr>
              <w:t xml:space="preserve">ity </w:t>
            </w:r>
            <w:r>
              <w:rPr>
                <w:rFonts w:asciiTheme="minorHAnsi" w:hAnsiTheme="minorHAnsi" w:cstheme="minorHAnsi"/>
              </w:rPr>
              <w:t xml:space="preserve">conditions for </w:t>
            </w:r>
            <w:r>
              <w:rPr>
                <w:rFonts w:asciiTheme="minorHAnsi" w:hAnsiTheme="minorHAnsi" w:cstheme="minorHAnsi"/>
              </w:rPr>
              <w:t xml:space="preserve">the </w:t>
            </w:r>
            <w:r>
              <w:rPr>
                <w:rFonts w:asciiTheme="minorHAnsi" w:hAnsiTheme="minorHAnsi" w:cstheme="minorHAnsi"/>
              </w:rPr>
              <w:t xml:space="preserve">SEISS </w:t>
            </w:r>
            <w:r>
              <w:rPr>
                <w:rFonts w:asciiTheme="minorHAnsi" w:hAnsiTheme="minorHAnsi" w:cstheme="minorHAnsi"/>
              </w:rPr>
              <w:t>grants have also changed over time, and again there have been a significant number of guidance updates.</w:t>
            </w:r>
          </w:p>
        </w:tc>
      </w:tr>
      <w:tr w:rsidTr="007B5737">
        <w:tblPrEx>
          <w:tblW w:w="0" w:type="auto"/>
          <w:jc w:val="center"/>
          <w:tblLook w:val="0000"/>
        </w:tblPrEx>
        <w:trPr>
          <w:jc w:val="center"/>
        </w:trPr>
        <w:tc>
          <w:tcPr>
            <w:tcW w:w="564" w:type="dxa"/>
          </w:tcPr>
          <w:p w:rsidR="00DB3B4F" w:rsidRPr="00D849C0" w:rsidP="00DB3B4F">
            <w:pPr>
              <w:numPr>
                <w:ilvl w:val="1"/>
                <w:numId w:val="1"/>
              </w:numPr>
              <w:jc w:val="both"/>
              <w:rPr>
                <w:rFonts w:asciiTheme="minorHAnsi" w:hAnsiTheme="minorHAnsi" w:cstheme="minorHAnsi"/>
              </w:rPr>
            </w:pPr>
          </w:p>
        </w:tc>
        <w:tc>
          <w:tcPr>
            <w:tcW w:w="9902" w:type="dxa"/>
          </w:tcPr>
          <w:p w:rsidR="00DB3B4F" w:rsidRPr="00D849C0" w:rsidP="007975F4">
            <w:pPr>
              <w:jc w:val="both"/>
              <w:rPr>
                <w:rFonts w:asciiTheme="minorHAnsi" w:hAnsiTheme="minorHAnsi" w:cstheme="minorHAnsi"/>
              </w:rPr>
            </w:pPr>
            <w:r>
              <w:rPr>
                <w:rFonts w:asciiTheme="minorHAnsi" w:hAnsiTheme="minorHAnsi" w:cstheme="minorHAnsi"/>
              </w:rPr>
              <w:t>Most tax rules are implemented by primary, secondary and tertiary legislation, often a result of detailed consultation</w:t>
            </w:r>
            <w:r>
              <w:rPr>
                <w:rFonts w:asciiTheme="minorHAnsi" w:hAnsiTheme="minorHAnsi" w:cstheme="minorHAnsi"/>
              </w:rPr>
              <w:t>, a</w:t>
            </w:r>
            <w:r>
              <w:rPr>
                <w:rFonts w:asciiTheme="minorHAnsi" w:hAnsiTheme="minorHAnsi" w:cstheme="minorHAnsi"/>
              </w:rPr>
              <w:t>nd remains static for long periods</w:t>
            </w:r>
            <w:r>
              <w:rPr>
                <w:rFonts w:asciiTheme="minorHAnsi" w:hAnsiTheme="minorHAnsi" w:cstheme="minorHAnsi"/>
              </w:rPr>
              <w:t xml:space="preserve">. Published guidance supplements and explains that </w:t>
            </w:r>
            <w:r>
              <w:rPr>
                <w:rFonts w:asciiTheme="minorHAnsi" w:hAnsiTheme="minorHAnsi" w:cstheme="minorHAnsi"/>
              </w:rPr>
              <w:t>legislation. In contra</w:t>
            </w:r>
            <w:r>
              <w:rPr>
                <w:rFonts w:asciiTheme="minorHAnsi" w:hAnsiTheme="minorHAnsi" w:cstheme="minorHAnsi"/>
              </w:rPr>
              <w:t>s</w:t>
            </w:r>
            <w:r>
              <w:rPr>
                <w:rFonts w:asciiTheme="minorHAnsi" w:hAnsiTheme="minorHAnsi" w:cstheme="minorHAnsi"/>
              </w:rPr>
              <w:t>t, the legislation for the CJRS and SEISS is predominantly included in a number of relatively short Treasury Directions, with frequently-changing pu</w:t>
            </w:r>
            <w:r>
              <w:rPr>
                <w:rFonts w:asciiTheme="minorHAnsi" w:hAnsiTheme="minorHAnsi" w:cstheme="minorHAnsi"/>
              </w:rPr>
              <w:t>blished guidance setting out many of the ‘rules’ for the schemes</w:t>
            </w:r>
            <w:r>
              <w:rPr>
                <w:rFonts w:asciiTheme="minorHAnsi" w:hAnsiTheme="minorHAnsi" w:cstheme="minorHAnsi"/>
              </w:rPr>
              <w:t>;</w:t>
            </w:r>
            <w:r>
              <w:rPr>
                <w:rFonts w:asciiTheme="minorHAnsi" w:hAnsiTheme="minorHAnsi" w:cstheme="minorHAnsi"/>
              </w:rPr>
              <w:t xml:space="preserve"> thus providing a much reduced legal framework</w:t>
            </w:r>
            <w:r>
              <w:rPr>
                <w:rFonts w:asciiTheme="minorHAnsi" w:hAnsiTheme="minorHAnsi" w:cstheme="minorHAnsi"/>
              </w:rPr>
              <w:t xml:space="preserve"> and constantly changing rules</w:t>
            </w:r>
            <w:r>
              <w:rPr>
                <w:rFonts w:asciiTheme="minorHAnsi" w:hAnsiTheme="minorHAnsi" w:cstheme="minorHAnsi"/>
              </w:rPr>
              <w:t xml:space="preserve">. </w:t>
            </w:r>
          </w:p>
        </w:tc>
      </w:tr>
      <w:tr w:rsidTr="007B5737">
        <w:tblPrEx>
          <w:tblW w:w="0" w:type="auto"/>
          <w:jc w:val="center"/>
          <w:tblLook w:val="0000"/>
        </w:tblPrEx>
        <w:trPr>
          <w:jc w:val="center"/>
        </w:trPr>
        <w:tc>
          <w:tcPr>
            <w:tcW w:w="564" w:type="dxa"/>
          </w:tcPr>
          <w:p w:rsidR="00DB3B4F" w:rsidRPr="00D849C0" w:rsidP="00DB3B4F">
            <w:pPr>
              <w:numPr>
                <w:ilvl w:val="1"/>
                <w:numId w:val="1"/>
              </w:numPr>
              <w:jc w:val="both"/>
              <w:rPr>
                <w:rFonts w:asciiTheme="minorHAnsi" w:hAnsiTheme="minorHAnsi" w:cstheme="minorHAnsi"/>
              </w:rPr>
            </w:pPr>
          </w:p>
        </w:tc>
        <w:tc>
          <w:tcPr>
            <w:tcW w:w="9902" w:type="dxa"/>
          </w:tcPr>
          <w:p w:rsidR="00DB3B4F" w:rsidRPr="00D849C0" w:rsidP="00B00B72">
            <w:pPr>
              <w:jc w:val="both"/>
              <w:rPr>
                <w:rFonts w:asciiTheme="minorHAnsi" w:hAnsiTheme="minorHAnsi" w:cstheme="minorHAnsi"/>
              </w:rPr>
            </w:pPr>
            <w:r>
              <w:rPr>
                <w:rFonts w:asciiTheme="minorHAnsi" w:hAnsiTheme="minorHAnsi" w:cstheme="minorHAnsi"/>
              </w:rPr>
              <w:t>T</w:t>
            </w:r>
            <w:r w:rsidRPr="00F53854">
              <w:rPr>
                <w:rFonts w:asciiTheme="minorHAnsi" w:hAnsiTheme="minorHAnsi" w:cstheme="minorHAnsi"/>
              </w:rPr>
              <w:t>he government is right to crack down on deliberate, fraudulent claims</w:t>
            </w:r>
            <w:r>
              <w:rPr>
                <w:rFonts w:asciiTheme="minorHAnsi" w:hAnsiTheme="minorHAnsi" w:cstheme="minorHAnsi"/>
              </w:rPr>
              <w:t xml:space="preserve">. We </w:t>
            </w:r>
            <w:r w:rsidRPr="00F53854">
              <w:rPr>
                <w:rFonts w:asciiTheme="minorHAnsi" w:hAnsiTheme="minorHAnsi" w:cstheme="minorHAnsi"/>
              </w:rPr>
              <w:t xml:space="preserve">are concerned </w:t>
            </w:r>
            <w:r>
              <w:rPr>
                <w:rFonts w:asciiTheme="minorHAnsi" w:hAnsiTheme="minorHAnsi" w:cstheme="minorHAnsi"/>
              </w:rPr>
              <w:t>at the risk that</w:t>
            </w:r>
            <w:r w:rsidRPr="00F53854">
              <w:rPr>
                <w:rFonts w:asciiTheme="minorHAnsi" w:hAnsiTheme="minorHAnsi" w:cstheme="minorHAnsi"/>
              </w:rPr>
              <w:t xml:space="preserve"> HMRC </w:t>
            </w:r>
            <w:r>
              <w:rPr>
                <w:rFonts w:asciiTheme="minorHAnsi" w:hAnsiTheme="minorHAnsi" w:cstheme="minorHAnsi"/>
              </w:rPr>
              <w:t xml:space="preserve">officials </w:t>
            </w:r>
            <w:r>
              <w:rPr>
                <w:rFonts w:asciiTheme="minorHAnsi" w:hAnsiTheme="minorHAnsi" w:cstheme="minorHAnsi"/>
              </w:rPr>
              <w:t>will become</w:t>
            </w:r>
            <w:r w:rsidRPr="00F53854">
              <w:rPr>
                <w:rFonts w:asciiTheme="minorHAnsi" w:hAnsiTheme="minorHAnsi" w:cstheme="minorHAnsi"/>
              </w:rPr>
              <w:t xml:space="preserve"> overzealous </w:t>
            </w:r>
            <w:r>
              <w:rPr>
                <w:rFonts w:asciiTheme="minorHAnsi" w:hAnsiTheme="minorHAnsi" w:cstheme="minorHAnsi"/>
              </w:rPr>
              <w:t xml:space="preserve">and shift their attention to </w:t>
            </w:r>
            <w:r w:rsidRPr="00F53854">
              <w:rPr>
                <w:rFonts w:asciiTheme="minorHAnsi" w:hAnsiTheme="minorHAnsi" w:cstheme="minorHAnsi"/>
              </w:rPr>
              <w:t>those who</w:t>
            </w:r>
            <w:r>
              <w:rPr>
                <w:rFonts w:asciiTheme="minorHAnsi" w:hAnsiTheme="minorHAnsi" w:cstheme="minorHAnsi"/>
              </w:rPr>
              <w:t xml:space="preserve"> may</w:t>
            </w:r>
            <w:r w:rsidRPr="00F53854">
              <w:rPr>
                <w:rFonts w:asciiTheme="minorHAnsi" w:hAnsiTheme="minorHAnsi" w:cstheme="minorHAnsi"/>
              </w:rPr>
              <w:t xml:space="preserve"> have made innocent mistakes</w:t>
            </w:r>
            <w:r>
              <w:rPr>
                <w:rFonts w:asciiTheme="minorHAnsi" w:hAnsiTheme="minorHAnsi" w:cstheme="minorHAnsi"/>
              </w:rPr>
              <w:t xml:space="preserve"> or not kept pace with changes to the rules</w:t>
            </w:r>
            <w:r w:rsidRPr="00F53854">
              <w:rPr>
                <w:rFonts w:asciiTheme="minorHAnsi" w:hAnsiTheme="minorHAnsi" w:cstheme="minorHAnsi"/>
              </w:rPr>
              <w:t>.</w:t>
            </w:r>
            <w:r>
              <w:rPr>
                <w:rFonts w:asciiTheme="minorHAnsi" w:hAnsiTheme="minorHAnsi" w:cstheme="minorHAnsi"/>
              </w:rPr>
              <w:t xml:space="preserve"> </w:t>
            </w:r>
            <w:r>
              <w:rPr>
                <w:rFonts w:asciiTheme="minorHAnsi" w:hAnsiTheme="minorHAnsi" w:cstheme="minorHAnsi"/>
              </w:rPr>
              <w:t>Indeed</w:t>
            </w:r>
            <w:r>
              <w:rPr>
                <w:rFonts w:asciiTheme="minorHAnsi" w:hAnsiTheme="minorHAnsi" w:cstheme="minorHAnsi"/>
              </w:rPr>
              <w:t>, government messaging around the grants has shifted</w:t>
            </w:r>
            <w:r>
              <w:rPr>
                <w:rFonts w:asciiTheme="minorHAnsi" w:hAnsiTheme="minorHAnsi" w:cstheme="minorHAnsi"/>
              </w:rPr>
              <w:t xml:space="preserve"> from the ‘give away’ approach in the early</w:t>
            </w:r>
            <w:r>
              <w:rPr>
                <w:rFonts w:asciiTheme="minorHAnsi" w:hAnsiTheme="minorHAnsi" w:cstheme="minorHAnsi"/>
              </w:rPr>
              <w:t xml:space="preserve"> weeks and months of the schemes, to the more nuanced ‘only claim if you need to’ theme now</w:t>
            </w:r>
            <w:r>
              <w:rPr>
                <w:rFonts w:asciiTheme="minorHAnsi" w:hAnsiTheme="minorHAnsi" w:cstheme="minorHAnsi"/>
              </w:rPr>
              <w:t xml:space="preserve"> (a theme that, while understandable, goes beyond the restrictions actually in the legislation)</w:t>
            </w:r>
            <w:r>
              <w:rPr>
                <w:rFonts w:asciiTheme="minorHAnsi" w:hAnsiTheme="minorHAnsi" w:cstheme="minorHAnsi"/>
              </w:rPr>
              <w:t xml:space="preserve">. HMRC must be mindful of the </w:t>
            </w:r>
            <w:r>
              <w:rPr>
                <w:rFonts w:asciiTheme="minorHAnsi" w:hAnsiTheme="minorHAnsi" w:cstheme="minorHAnsi"/>
              </w:rPr>
              <w:t>changing landscape</w:t>
            </w:r>
            <w:r>
              <w:rPr>
                <w:rFonts w:asciiTheme="minorHAnsi" w:hAnsiTheme="minorHAnsi" w:cstheme="minorHAnsi"/>
              </w:rPr>
              <w:t xml:space="preserve"> when undertaking thei</w:t>
            </w:r>
            <w:r>
              <w:rPr>
                <w:rFonts w:asciiTheme="minorHAnsi" w:hAnsiTheme="minorHAnsi" w:cstheme="minorHAnsi"/>
              </w:rPr>
              <w:t>r investigations</w:t>
            </w:r>
            <w:r>
              <w:rPr>
                <w:rFonts w:asciiTheme="minorHAnsi" w:hAnsiTheme="minorHAnsi" w:cstheme="minorHAnsi"/>
              </w:rPr>
              <w:t xml:space="preserve"> and clear guidance for taxpayers is necessary to provide them </w:t>
            </w:r>
            <w:r>
              <w:rPr>
                <w:rFonts w:asciiTheme="minorHAnsi" w:hAnsiTheme="minorHAnsi" w:cstheme="minorHAnsi"/>
              </w:rPr>
              <w:t xml:space="preserve">with </w:t>
            </w:r>
            <w:r>
              <w:rPr>
                <w:rFonts w:asciiTheme="minorHAnsi" w:hAnsiTheme="minorHAnsi" w:cstheme="minorHAnsi"/>
              </w:rPr>
              <w:t>clarity over their circumstances and obligations</w:t>
            </w:r>
            <w:r>
              <w:rPr>
                <w:rFonts w:asciiTheme="minorHAnsi" w:hAnsiTheme="minorHAnsi" w:cstheme="minorHAnsi"/>
              </w:rPr>
              <w:t>.</w:t>
            </w:r>
          </w:p>
        </w:tc>
      </w:tr>
    </w:tbl>
    <w:p w:rsidR="00D849C0" w:rsidRPr="00D849C0" w:rsidP="00D849C0">
      <w:pPr>
        <w:jc w:val="both"/>
        <w:rPr>
          <w:rFonts w:asciiTheme="minorHAnsi" w:hAnsiTheme="minorHAnsi" w:cstheme="minorHAnsi"/>
          <w:b/>
          <w:bCs/>
        </w:rPr>
      </w:pPr>
    </w:p>
    <w:tbl>
      <w:tblPr>
        <w:tblW w:w="0" w:type="auto"/>
        <w:tblLook w:val="0000"/>
      </w:tblPr>
      <w:tblGrid>
        <w:gridCol w:w="564"/>
        <w:gridCol w:w="9902"/>
      </w:tblGrid>
      <w:tr w:rsidTr="007B5737">
        <w:tblPrEx>
          <w:tblW w:w="0" w:type="auto"/>
          <w:tblLook w:val="0000"/>
        </w:tblPrEx>
        <w:tc>
          <w:tcPr>
            <w:tcW w:w="564" w:type="dxa"/>
          </w:tcPr>
          <w:p w:rsidR="00D849C0" w:rsidRPr="00D849C0" w:rsidP="00D849C0">
            <w:pPr>
              <w:numPr>
                <w:ilvl w:val="0"/>
                <w:numId w:val="1"/>
              </w:numPr>
              <w:jc w:val="both"/>
              <w:rPr>
                <w:rFonts w:asciiTheme="minorHAnsi" w:hAnsiTheme="minorHAnsi" w:cstheme="minorHAnsi"/>
              </w:rPr>
            </w:pPr>
          </w:p>
        </w:tc>
        <w:tc>
          <w:tcPr>
            <w:tcW w:w="9902" w:type="dxa"/>
          </w:tcPr>
          <w:p w:rsidR="00505B13" w:rsidRPr="00BB7EE5" w:rsidP="00D849C0">
            <w:pPr>
              <w:jc w:val="both"/>
              <w:rPr>
                <w:rFonts w:asciiTheme="minorHAnsi" w:hAnsiTheme="minorHAnsi" w:cstheme="minorHAnsi"/>
                <w:b/>
              </w:rPr>
            </w:pPr>
            <w:r w:rsidRPr="00080B96">
              <w:rPr>
                <w:rFonts w:asciiTheme="minorHAnsi" w:hAnsiTheme="minorHAnsi" w:cstheme="minorHAnsi"/>
                <w:b/>
              </w:rPr>
              <w:t>Welfare</w:t>
            </w:r>
          </w:p>
        </w:tc>
      </w:tr>
      <w:tr w:rsidTr="007B5737">
        <w:tblPrEx>
          <w:tblW w:w="0" w:type="auto"/>
          <w:tblLook w:val="0000"/>
        </w:tblPrEx>
        <w:tc>
          <w:tcPr>
            <w:tcW w:w="564" w:type="dxa"/>
          </w:tcPr>
          <w:p w:rsidR="00BB7EE5" w:rsidRPr="00D849C0" w:rsidP="00D849C0">
            <w:pPr>
              <w:numPr>
                <w:ilvl w:val="1"/>
                <w:numId w:val="1"/>
              </w:numPr>
              <w:jc w:val="both"/>
              <w:rPr>
                <w:rFonts w:asciiTheme="minorHAnsi" w:hAnsiTheme="minorHAnsi" w:cstheme="minorHAnsi"/>
              </w:rPr>
            </w:pPr>
          </w:p>
        </w:tc>
        <w:tc>
          <w:tcPr>
            <w:tcW w:w="9902" w:type="dxa"/>
          </w:tcPr>
          <w:p w:rsidR="00BB7EE5" w:rsidRPr="00BB7EE5" w:rsidP="00D849C0">
            <w:pPr>
              <w:jc w:val="both"/>
              <w:rPr>
                <w:rFonts w:asciiTheme="minorHAnsi" w:hAnsiTheme="minorHAnsi" w:cstheme="minorHAnsi"/>
                <w:u w:val="single"/>
              </w:rPr>
            </w:pPr>
            <w:r w:rsidRPr="00BB7EE5">
              <w:rPr>
                <w:rFonts w:asciiTheme="minorHAnsi" w:hAnsiTheme="minorHAnsi" w:cstheme="minorHAnsi"/>
                <w:u w:val="single"/>
              </w:rPr>
              <w:t>Universal Credit [2.19, 2.21, 2.22]</w:t>
            </w:r>
          </w:p>
        </w:tc>
      </w:tr>
      <w:tr w:rsidTr="007B5737">
        <w:tblPrEx>
          <w:tblW w:w="0" w:type="auto"/>
          <w:tblLook w:val="0000"/>
        </w:tblPrEx>
        <w:tc>
          <w:tcPr>
            <w:tcW w:w="564" w:type="dxa"/>
          </w:tcPr>
          <w:p w:rsidR="00D849C0" w:rsidRPr="00D849C0" w:rsidP="00D849C0">
            <w:pPr>
              <w:numPr>
                <w:ilvl w:val="1"/>
                <w:numId w:val="1"/>
              </w:numPr>
              <w:jc w:val="both"/>
              <w:rPr>
                <w:rFonts w:asciiTheme="minorHAnsi" w:hAnsiTheme="minorHAnsi" w:cstheme="minorHAnsi"/>
              </w:rPr>
            </w:pPr>
          </w:p>
        </w:tc>
        <w:tc>
          <w:tcPr>
            <w:tcW w:w="9902" w:type="dxa"/>
          </w:tcPr>
          <w:p w:rsidR="00D849C0" w:rsidRPr="00D849C0" w:rsidP="00D849C0">
            <w:pPr>
              <w:jc w:val="both"/>
              <w:rPr>
                <w:rFonts w:asciiTheme="minorHAnsi" w:hAnsiTheme="minorHAnsi" w:cstheme="minorHAnsi"/>
              </w:rPr>
            </w:pPr>
            <w:r>
              <w:rPr>
                <w:rFonts w:asciiTheme="minorHAnsi" w:hAnsiTheme="minorHAnsi" w:cstheme="minorHAnsi"/>
              </w:rPr>
              <w:t xml:space="preserve">There were </w:t>
            </w:r>
            <w:r>
              <w:rPr>
                <w:rFonts w:asciiTheme="minorHAnsi" w:hAnsiTheme="minorHAnsi" w:cstheme="minorHAnsi"/>
              </w:rPr>
              <w:t>several</w:t>
            </w:r>
            <w:r>
              <w:rPr>
                <w:rFonts w:asciiTheme="minorHAnsi" w:hAnsiTheme="minorHAnsi" w:cstheme="minorHAnsi"/>
              </w:rPr>
              <w:t xml:space="preserve"> Universal Credit </w:t>
            </w:r>
            <w:r>
              <w:rPr>
                <w:rFonts w:asciiTheme="minorHAnsi" w:hAnsiTheme="minorHAnsi" w:cstheme="minorHAnsi"/>
              </w:rPr>
              <w:t xml:space="preserve">(UC) </w:t>
            </w:r>
            <w:r>
              <w:rPr>
                <w:rFonts w:asciiTheme="minorHAnsi" w:hAnsiTheme="minorHAnsi" w:cstheme="minorHAnsi"/>
              </w:rPr>
              <w:t xml:space="preserve">announcements in the </w:t>
            </w:r>
            <w:r>
              <w:rPr>
                <w:rFonts w:asciiTheme="minorHAnsi" w:hAnsiTheme="minorHAnsi" w:cstheme="minorHAnsi"/>
              </w:rPr>
              <w:t>B</w:t>
            </w:r>
            <w:r>
              <w:rPr>
                <w:rFonts w:asciiTheme="minorHAnsi" w:hAnsiTheme="minorHAnsi" w:cstheme="minorHAnsi"/>
              </w:rPr>
              <w:t xml:space="preserve">udget including the extension of the £20 temporary uplift for 6 months, the continued suspension of the minimum income floor (MIF) until </w:t>
            </w:r>
            <w:r>
              <w:rPr>
                <w:rFonts w:asciiTheme="minorHAnsi" w:hAnsiTheme="minorHAnsi" w:cstheme="minorHAnsi"/>
              </w:rPr>
              <w:t xml:space="preserve">the </w:t>
            </w:r>
            <w:r>
              <w:rPr>
                <w:rFonts w:asciiTheme="minorHAnsi" w:hAnsiTheme="minorHAnsi" w:cstheme="minorHAnsi"/>
              </w:rPr>
              <w:t>end of July 2021 and the extension of the temporary higher threshold of £2,500 for surplus ea</w:t>
            </w:r>
            <w:r>
              <w:rPr>
                <w:rFonts w:asciiTheme="minorHAnsi" w:hAnsiTheme="minorHAnsi" w:cstheme="minorHAnsi"/>
              </w:rPr>
              <w:t xml:space="preserve">rnings until at least April 2022. </w:t>
            </w:r>
          </w:p>
        </w:tc>
      </w:tr>
      <w:tr w:rsidTr="007B5737">
        <w:tblPrEx>
          <w:tblW w:w="0" w:type="auto"/>
          <w:tblLook w:val="0000"/>
        </w:tblPrEx>
        <w:tc>
          <w:tcPr>
            <w:tcW w:w="564" w:type="dxa"/>
          </w:tcPr>
          <w:p w:rsidR="00D849C0" w:rsidRPr="00D849C0" w:rsidP="00D849C0">
            <w:pPr>
              <w:numPr>
                <w:ilvl w:val="1"/>
                <w:numId w:val="1"/>
              </w:numPr>
              <w:jc w:val="both"/>
              <w:rPr>
                <w:rFonts w:asciiTheme="minorHAnsi" w:hAnsiTheme="minorHAnsi" w:cstheme="minorHAnsi"/>
              </w:rPr>
            </w:pPr>
          </w:p>
        </w:tc>
        <w:tc>
          <w:tcPr>
            <w:tcW w:w="9902" w:type="dxa"/>
          </w:tcPr>
          <w:p w:rsidR="00D849C0" w:rsidRPr="00D849C0" w:rsidP="00D849C0">
            <w:pPr>
              <w:jc w:val="both"/>
              <w:rPr>
                <w:rFonts w:asciiTheme="minorHAnsi" w:hAnsiTheme="minorHAnsi" w:cstheme="minorHAnsi"/>
              </w:rPr>
            </w:pPr>
            <w:r>
              <w:rPr>
                <w:rFonts w:asciiTheme="minorHAnsi" w:hAnsiTheme="minorHAnsi" w:cstheme="minorHAnsi"/>
              </w:rPr>
              <w:t>Whilst we welcome the extension of the MIF suspension</w:t>
            </w:r>
            <w:r>
              <w:rPr>
                <w:rStyle w:val="FootnoteReference"/>
                <w:rFonts w:asciiTheme="minorHAnsi" w:hAnsiTheme="minorHAnsi" w:cstheme="minorHAnsi"/>
              </w:rPr>
              <w:footnoteReference w:id="3"/>
            </w:r>
            <w:r>
              <w:rPr>
                <w:rFonts w:asciiTheme="minorHAnsi" w:hAnsiTheme="minorHAnsi" w:cstheme="minorHAnsi"/>
              </w:rPr>
              <w:t xml:space="preserve">, we have long been concerned about the impact of the MIF on those wanting to start self-employment and those who are established </w:t>
            </w:r>
            <w:r>
              <w:rPr>
                <w:rFonts w:asciiTheme="minorHAnsi" w:hAnsiTheme="minorHAnsi" w:cstheme="minorHAnsi"/>
              </w:rPr>
              <w:t xml:space="preserve">self-employed </w:t>
            </w:r>
            <w:r>
              <w:rPr>
                <w:rFonts w:asciiTheme="minorHAnsi" w:hAnsiTheme="minorHAnsi" w:cstheme="minorHAnsi"/>
              </w:rPr>
              <w:t>but with uneven inco</w:t>
            </w:r>
            <w:r>
              <w:rPr>
                <w:rFonts w:asciiTheme="minorHAnsi" w:hAnsiTheme="minorHAnsi" w:cstheme="minorHAnsi"/>
              </w:rPr>
              <w:t>me. It cannot be right that a self-employed person, earning the same amount as an employed person over the course of a year, receives significantly less UC than an employed claimant simply because of the way their self-employed income and expenses fluctuat</w:t>
            </w:r>
            <w:r>
              <w:rPr>
                <w:rFonts w:asciiTheme="minorHAnsi" w:hAnsiTheme="minorHAnsi" w:cstheme="minorHAnsi"/>
              </w:rPr>
              <w:t>e. This is the case even if, over 12 months, they earn above 35 hours x NMW x 52 weeks. While we understand that there is a need to get the balance right between supporting entrepreneurship and not subsidising long term, unprofitable self-employment, we ar</w:t>
            </w:r>
            <w:r>
              <w:rPr>
                <w:rFonts w:asciiTheme="minorHAnsi" w:hAnsiTheme="minorHAnsi" w:cstheme="minorHAnsi"/>
              </w:rPr>
              <w:t xml:space="preserve">e concerned that this balance has not been achieved. Before the policy is reintroduced, it should undergo further review to address these issues. </w:t>
            </w:r>
          </w:p>
        </w:tc>
      </w:tr>
      <w:tr w:rsidTr="007B5737">
        <w:tblPrEx>
          <w:tblW w:w="0" w:type="auto"/>
          <w:tblLook w:val="0000"/>
        </w:tblPrEx>
        <w:tc>
          <w:tcPr>
            <w:tcW w:w="564" w:type="dxa"/>
          </w:tcPr>
          <w:p w:rsidR="00D849C0" w:rsidRPr="006C68C8" w:rsidP="00D849C0">
            <w:pPr>
              <w:numPr>
                <w:ilvl w:val="1"/>
                <w:numId w:val="1"/>
              </w:numPr>
              <w:jc w:val="both"/>
              <w:rPr>
                <w:rFonts w:asciiTheme="minorHAnsi" w:hAnsiTheme="minorHAnsi" w:cstheme="minorHAnsi"/>
                <w:i/>
              </w:rPr>
            </w:pPr>
          </w:p>
        </w:tc>
        <w:tc>
          <w:tcPr>
            <w:tcW w:w="9902" w:type="dxa"/>
          </w:tcPr>
          <w:p w:rsidR="00505B13" w:rsidRPr="009149A9" w:rsidP="007975F4">
            <w:pPr>
              <w:jc w:val="both"/>
              <w:rPr>
                <w:rFonts w:asciiTheme="minorHAnsi" w:hAnsiTheme="minorHAnsi" w:cstheme="minorHAnsi"/>
                <w:iCs/>
              </w:rPr>
            </w:pPr>
            <w:r>
              <w:rPr>
                <w:rFonts w:asciiTheme="minorHAnsi" w:hAnsiTheme="minorHAnsi" w:cstheme="minorHAnsi"/>
                <w:iCs/>
              </w:rPr>
              <w:t>We also welcome</w:t>
            </w:r>
            <w:r>
              <w:rPr>
                <w:rFonts w:asciiTheme="minorHAnsi" w:hAnsiTheme="minorHAnsi" w:cstheme="minorHAnsi"/>
                <w:iCs/>
              </w:rPr>
              <w:t xml:space="preserve"> the announcement that the surplus </w:t>
            </w:r>
            <w:r>
              <w:rPr>
                <w:rFonts w:asciiTheme="minorHAnsi" w:hAnsiTheme="minorHAnsi" w:cstheme="minorHAnsi"/>
                <w:iCs/>
              </w:rPr>
              <w:t>earnings threshold will remain at £2,500 until at least A</w:t>
            </w:r>
            <w:r>
              <w:rPr>
                <w:rFonts w:asciiTheme="minorHAnsi" w:hAnsiTheme="minorHAnsi" w:cstheme="minorHAnsi"/>
                <w:iCs/>
              </w:rPr>
              <w:t>pril 2022</w:t>
            </w:r>
            <w:r>
              <w:rPr>
                <w:rFonts w:asciiTheme="minorHAnsi" w:hAnsiTheme="minorHAnsi" w:cstheme="minorHAnsi"/>
                <w:iCs/>
              </w:rPr>
              <w:t>,</w:t>
            </w:r>
            <w:r>
              <w:rPr>
                <w:rFonts w:asciiTheme="minorHAnsi" w:hAnsiTheme="minorHAnsi" w:cstheme="minorHAnsi"/>
                <w:iCs/>
              </w:rPr>
              <w:t xml:space="preserve"> which means fewer people will be impacted by the policy than if the level reduced to £300 (as initially announced). The surplus earnings rules are some of the most compl</w:t>
            </w:r>
            <w:r>
              <w:rPr>
                <w:rFonts w:asciiTheme="minorHAnsi" w:hAnsiTheme="minorHAnsi" w:cstheme="minorHAnsi"/>
                <w:iCs/>
              </w:rPr>
              <w:t>ex</w:t>
            </w:r>
            <w:r>
              <w:rPr>
                <w:rFonts w:asciiTheme="minorHAnsi" w:hAnsiTheme="minorHAnsi" w:cstheme="minorHAnsi"/>
                <w:iCs/>
              </w:rPr>
              <w:t xml:space="preserve"> we have ever seen and we raised serious concerns about how they would be administer</w:t>
            </w:r>
            <w:r>
              <w:rPr>
                <w:rFonts w:asciiTheme="minorHAnsi" w:hAnsiTheme="minorHAnsi" w:cstheme="minorHAnsi"/>
                <w:iCs/>
              </w:rPr>
              <w:t>ed and explained to claimants</w:t>
            </w:r>
            <w:r>
              <w:rPr>
                <w:rFonts w:asciiTheme="minorHAnsi" w:hAnsiTheme="minorHAnsi" w:cstheme="minorHAnsi"/>
                <w:iCs/>
              </w:rPr>
              <w:t xml:space="preserve"> when they were first introduced</w:t>
            </w:r>
            <w:r>
              <w:rPr>
                <w:rFonts w:asciiTheme="minorHAnsi" w:hAnsiTheme="minorHAnsi" w:cstheme="minorHAnsi"/>
                <w:iCs/>
              </w:rPr>
              <w:t>.</w:t>
            </w:r>
            <w:r>
              <w:rPr>
                <w:rFonts w:asciiTheme="minorHAnsi" w:hAnsiTheme="minorHAnsi" w:cstheme="minorHAnsi"/>
                <w:iCs/>
              </w:rPr>
              <w:t xml:space="preserve"> Pre-pandemic, very few UC claimants were affected by the rules as it required a substantial increase </w:t>
            </w:r>
            <w:r>
              <w:rPr>
                <w:rFonts w:asciiTheme="minorHAnsi" w:hAnsiTheme="minorHAnsi" w:cstheme="minorHAnsi"/>
                <w:iCs/>
              </w:rPr>
              <w:t xml:space="preserve">in </w:t>
            </w:r>
            <w:r>
              <w:rPr>
                <w:rFonts w:asciiTheme="minorHAnsi" w:hAnsiTheme="minorHAnsi" w:cstheme="minorHAnsi"/>
                <w:iCs/>
              </w:rPr>
              <w:t>income in an assessment period to trigger the</w:t>
            </w:r>
            <w:r>
              <w:rPr>
                <w:rFonts w:asciiTheme="minorHAnsi" w:hAnsiTheme="minorHAnsi" w:cstheme="minorHAnsi"/>
                <w:iCs/>
              </w:rPr>
              <w:t>m;</w:t>
            </w:r>
            <w:r>
              <w:rPr>
                <w:rFonts w:asciiTheme="minorHAnsi" w:hAnsiTheme="minorHAnsi" w:cstheme="minorHAnsi"/>
                <w:iCs/>
              </w:rPr>
              <w:t xml:space="preserve"> however as SEISS grants count as income f</w:t>
            </w:r>
            <w:r>
              <w:rPr>
                <w:rFonts w:asciiTheme="minorHAnsi" w:hAnsiTheme="minorHAnsi" w:cstheme="minorHAnsi"/>
                <w:iCs/>
              </w:rPr>
              <w:t>or UC purposes, in some cases they will have triggered the surplus earnings rules. The rules were introduced in order to stop people manipulating their income to increase their UC payments – however we suspect most of those impacted (</w:t>
            </w:r>
            <w:r>
              <w:rPr>
                <w:rFonts w:asciiTheme="minorHAnsi" w:hAnsiTheme="minorHAnsi" w:cstheme="minorHAnsi"/>
                <w:iCs/>
              </w:rPr>
              <w:t>e</w:t>
            </w:r>
            <w:r>
              <w:rPr>
                <w:rFonts w:asciiTheme="minorHAnsi" w:hAnsiTheme="minorHAnsi" w:cstheme="minorHAnsi"/>
                <w:iCs/>
              </w:rPr>
              <w:t>specially when the ac</w:t>
            </w:r>
            <w:r>
              <w:rPr>
                <w:rFonts w:asciiTheme="minorHAnsi" w:hAnsiTheme="minorHAnsi" w:cstheme="minorHAnsi"/>
                <w:iCs/>
              </w:rPr>
              <w:t>tivation threshold is reduced to £300) will be people who have a one-off increase of income or a rise in income due to a new job which then ends suddenly. Again, this time should be used to examine the impact of the policy and the evidence base on which it</w:t>
            </w:r>
            <w:r>
              <w:rPr>
                <w:rFonts w:asciiTheme="minorHAnsi" w:hAnsiTheme="minorHAnsi" w:cstheme="minorHAnsi"/>
                <w:iCs/>
              </w:rPr>
              <w:t xml:space="preserve"> was introduced. We </w:t>
            </w:r>
            <w:r>
              <w:rPr>
                <w:rFonts w:asciiTheme="minorHAnsi" w:hAnsiTheme="minorHAnsi" w:cstheme="minorHAnsi"/>
                <w:iCs/>
              </w:rPr>
              <w:t>believe a general anti-abuse provision would be sufficient to protect taxpayers</w:t>
            </w:r>
            <w:r>
              <w:rPr>
                <w:rFonts w:asciiTheme="minorHAnsi" w:hAnsiTheme="minorHAnsi" w:cstheme="minorHAnsi"/>
                <w:iCs/>
              </w:rPr>
              <w:t>’</w:t>
            </w:r>
            <w:r>
              <w:rPr>
                <w:rFonts w:asciiTheme="minorHAnsi" w:hAnsiTheme="minorHAnsi" w:cstheme="minorHAnsi"/>
                <w:iCs/>
              </w:rPr>
              <w:t xml:space="preserve"> money without negatively impacting genuine claimants who have changes in circumstances</w:t>
            </w:r>
            <w:r>
              <w:rPr>
                <w:rFonts w:asciiTheme="minorHAnsi" w:hAnsiTheme="minorHAnsi" w:cstheme="minorHAnsi"/>
                <w:iCs/>
              </w:rPr>
              <w:t xml:space="preserve"> or income</w:t>
            </w:r>
            <w:r>
              <w:rPr>
                <w:rFonts w:asciiTheme="minorHAnsi" w:hAnsiTheme="minorHAnsi" w:cstheme="minorHAnsi"/>
                <w:iCs/>
              </w:rPr>
              <w:t xml:space="preserve">. </w:t>
            </w:r>
          </w:p>
        </w:tc>
      </w:tr>
      <w:tr w:rsidTr="007B5737">
        <w:tblPrEx>
          <w:tblW w:w="0" w:type="auto"/>
          <w:tblLook w:val="0000"/>
        </w:tblPrEx>
        <w:tc>
          <w:tcPr>
            <w:tcW w:w="564" w:type="dxa"/>
          </w:tcPr>
          <w:p w:rsidR="00BB7EE5" w:rsidRPr="00D849C0" w:rsidP="00D849C0">
            <w:pPr>
              <w:numPr>
                <w:ilvl w:val="1"/>
                <w:numId w:val="1"/>
              </w:numPr>
              <w:jc w:val="both"/>
              <w:rPr>
                <w:rFonts w:asciiTheme="minorHAnsi" w:hAnsiTheme="minorHAnsi" w:cstheme="minorHAnsi"/>
              </w:rPr>
            </w:pPr>
          </w:p>
        </w:tc>
        <w:tc>
          <w:tcPr>
            <w:tcW w:w="9902" w:type="dxa"/>
          </w:tcPr>
          <w:p w:rsidR="00BB7EE5" w:rsidRPr="00BB7EE5" w:rsidP="00D849C0">
            <w:pPr>
              <w:jc w:val="both"/>
              <w:rPr>
                <w:rFonts w:asciiTheme="minorHAnsi" w:hAnsiTheme="minorHAnsi" w:cstheme="minorHAnsi"/>
                <w:u w:val="single"/>
              </w:rPr>
            </w:pPr>
            <w:r w:rsidRPr="00BB7EE5">
              <w:rPr>
                <w:rFonts w:asciiTheme="minorHAnsi" w:hAnsiTheme="minorHAnsi" w:cstheme="minorHAnsi"/>
                <w:u w:val="single"/>
              </w:rPr>
              <w:t>Working Tax Credit [2.20]</w:t>
            </w:r>
          </w:p>
        </w:tc>
      </w:tr>
      <w:tr w:rsidTr="007B5737">
        <w:tblPrEx>
          <w:tblW w:w="0" w:type="auto"/>
          <w:tblLook w:val="0000"/>
        </w:tblPrEx>
        <w:tc>
          <w:tcPr>
            <w:tcW w:w="564" w:type="dxa"/>
          </w:tcPr>
          <w:p w:rsidR="00D849C0" w:rsidRPr="00D849C0" w:rsidP="00D849C0">
            <w:pPr>
              <w:numPr>
                <w:ilvl w:val="1"/>
                <w:numId w:val="1"/>
              </w:numPr>
              <w:jc w:val="both"/>
              <w:rPr>
                <w:rFonts w:asciiTheme="minorHAnsi" w:hAnsiTheme="minorHAnsi" w:cstheme="minorHAnsi"/>
              </w:rPr>
            </w:pPr>
          </w:p>
        </w:tc>
        <w:tc>
          <w:tcPr>
            <w:tcW w:w="9902" w:type="dxa"/>
          </w:tcPr>
          <w:p w:rsidR="00D849C0" w:rsidRPr="00D849C0" w:rsidP="00B00B72">
            <w:pPr>
              <w:jc w:val="both"/>
              <w:rPr>
                <w:rFonts w:asciiTheme="minorHAnsi" w:hAnsiTheme="minorHAnsi" w:cstheme="minorHAnsi"/>
              </w:rPr>
            </w:pPr>
            <w:r>
              <w:rPr>
                <w:rFonts w:asciiTheme="minorHAnsi" w:hAnsiTheme="minorHAnsi" w:cstheme="minorHAnsi"/>
              </w:rPr>
              <w:t xml:space="preserve">As noted in paragraph </w:t>
            </w:r>
            <w:r w:rsidRPr="00B00B72">
              <w:rPr>
                <w:rFonts w:asciiTheme="minorHAnsi" w:hAnsiTheme="minorHAnsi" w:cstheme="minorHAnsi"/>
              </w:rPr>
              <w:t>5.</w:t>
            </w:r>
            <w:r w:rsidRPr="00B00B72">
              <w:rPr>
                <w:rFonts w:asciiTheme="minorHAnsi" w:hAnsiTheme="minorHAnsi" w:cstheme="minorHAnsi"/>
              </w:rPr>
              <w:t>2</w:t>
            </w:r>
            <w:r>
              <w:rPr>
                <w:rFonts w:asciiTheme="minorHAnsi" w:hAnsiTheme="minorHAnsi" w:cstheme="minorHAnsi"/>
              </w:rPr>
              <w:t>, the Government announced a 6</w:t>
            </w:r>
            <w:r>
              <w:rPr>
                <w:rFonts w:asciiTheme="minorHAnsi" w:hAnsiTheme="minorHAnsi" w:cstheme="minorHAnsi"/>
              </w:rPr>
              <w:t>-</w:t>
            </w:r>
            <w:r>
              <w:rPr>
                <w:rFonts w:asciiTheme="minorHAnsi" w:hAnsiTheme="minorHAnsi" w:cstheme="minorHAnsi"/>
              </w:rPr>
              <w:t xml:space="preserve">month extension of the temporary £20 a week uplift in universal credit. This £20 a week uplift was originally introduced in March 2020 to support those the </w:t>
            </w:r>
            <w:r>
              <w:rPr>
                <w:rFonts w:asciiTheme="minorHAnsi" w:hAnsiTheme="minorHAnsi" w:cstheme="minorHAnsi"/>
              </w:rPr>
              <w:t>g</w:t>
            </w:r>
            <w:r>
              <w:rPr>
                <w:rFonts w:asciiTheme="minorHAnsi" w:hAnsiTheme="minorHAnsi" w:cstheme="minorHAnsi"/>
              </w:rPr>
              <w:t xml:space="preserve">overnment felt were facing the most financial disruption as a result of the pandemic. It was therefore added to UC and Working Tax Credit (WTC) (but not other legacy benefits) </w:t>
            </w:r>
            <w:r>
              <w:rPr>
                <w:rFonts w:asciiTheme="minorHAnsi" w:hAnsiTheme="minorHAnsi" w:cstheme="minorHAnsi"/>
              </w:rPr>
              <w:t>– aimed at</w:t>
            </w:r>
            <w:r>
              <w:rPr>
                <w:rFonts w:asciiTheme="minorHAnsi" w:hAnsiTheme="minorHAnsi" w:cstheme="minorHAnsi"/>
              </w:rPr>
              <w:t xml:space="preserve"> those whose work was affected by the pandemic. </w:t>
            </w:r>
          </w:p>
        </w:tc>
      </w:tr>
      <w:tr w:rsidTr="007B5737">
        <w:tblPrEx>
          <w:tblW w:w="0" w:type="auto"/>
          <w:tblLook w:val="0000"/>
        </w:tblPrEx>
        <w:tc>
          <w:tcPr>
            <w:tcW w:w="564" w:type="dxa"/>
          </w:tcPr>
          <w:p w:rsidR="00D849C0" w:rsidRPr="00D849C0" w:rsidP="00D849C0">
            <w:pPr>
              <w:numPr>
                <w:ilvl w:val="1"/>
                <w:numId w:val="1"/>
              </w:numPr>
              <w:jc w:val="both"/>
              <w:rPr>
                <w:rFonts w:asciiTheme="minorHAnsi" w:hAnsiTheme="minorHAnsi" w:cstheme="minorHAnsi"/>
              </w:rPr>
            </w:pPr>
          </w:p>
        </w:tc>
        <w:tc>
          <w:tcPr>
            <w:tcW w:w="9902" w:type="dxa"/>
          </w:tcPr>
          <w:p w:rsidR="007A2132" w:rsidRPr="00D849C0" w:rsidP="00FB1585">
            <w:pPr>
              <w:jc w:val="both"/>
              <w:rPr>
                <w:rFonts w:asciiTheme="minorHAnsi" w:hAnsiTheme="minorHAnsi" w:cstheme="minorHAnsi"/>
              </w:rPr>
            </w:pPr>
            <w:r>
              <w:rPr>
                <w:rFonts w:asciiTheme="minorHAnsi" w:hAnsiTheme="minorHAnsi" w:cstheme="minorHAnsi"/>
              </w:rPr>
              <w:t xml:space="preserve">As UC is a monthly </w:t>
            </w:r>
            <w:r>
              <w:rPr>
                <w:rFonts w:asciiTheme="minorHAnsi" w:hAnsiTheme="minorHAnsi" w:cstheme="minorHAnsi"/>
              </w:rPr>
              <w:t>paid benefit, based on assessment periods, it is relatively easy to implement a 6</w:t>
            </w:r>
            <w:r>
              <w:rPr>
                <w:rFonts w:asciiTheme="minorHAnsi" w:hAnsiTheme="minorHAnsi" w:cstheme="minorHAnsi"/>
              </w:rPr>
              <w:t>-</w:t>
            </w:r>
            <w:r>
              <w:rPr>
                <w:rFonts w:asciiTheme="minorHAnsi" w:hAnsiTheme="minorHAnsi" w:cstheme="minorHAnsi"/>
              </w:rPr>
              <w:t>month extension of the £20 a week uplift into the ne</w:t>
            </w:r>
            <w:r>
              <w:rPr>
                <w:rFonts w:asciiTheme="minorHAnsi" w:hAnsiTheme="minorHAnsi" w:cstheme="minorHAnsi"/>
              </w:rPr>
              <w:t>w tax year (to 30 September 2021</w:t>
            </w:r>
            <w:r>
              <w:rPr>
                <w:rFonts w:asciiTheme="minorHAnsi" w:hAnsiTheme="minorHAnsi" w:cstheme="minorHAnsi"/>
              </w:rPr>
              <w:t xml:space="preserve">). However, WTC, along with </w:t>
            </w:r>
            <w:r>
              <w:rPr>
                <w:rFonts w:asciiTheme="minorHAnsi" w:hAnsiTheme="minorHAnsi" w:cstheme="minorHAnsi"/>
              </w:rPr>
              <w:t>Child Tax Credit (CTC)</w:t>
            </w:r>
            <w:r>
              <w:rPr>
                <w:rFonts w:asciiTheme="minorHAnsi" w:hAnsiTheme="minorHAnsi" w:cstheme="minorHAnsi"/>
              </w:rPr>
              <w:t>, is calculated on an annual basis and i</w:t>
            </w:r>
            <w:r>
              <w:rPr>
                <w:rFonts w:asciiTheme="minorHAnsi" w:hAnsiTheme="minorHAnsi" w:cstheme="minorHAnsi"/>
              </w:rPr>
              <w:t xml:space="preserve">t is not possible for the tax credit system to increase the basic element of WTC for only 6 months. </w:t>
            </w:r>
          </w:p>
        </w:tc>
      </w:tr>
      <w:tr w:rsidTr="007B5737">
        <w:tblPrEx>
          <w:tblW w:w="0" w:type="auto"/>
          <w:tblLook w:val="0000"/>
        </w:tblPrEx>
        <w:tc>
          <w:tcPr>
            <w:tcW w:w="564" w:type="dxa"/>
          </w:tcPr>
          <w:p w:rsidR="00FB1585" w:rsidRPr="00D849C0" w:rsidP="00D849C0">
            <w:pPr>
              <w:numPr>
                <w:ilvl w:val="1"/>
                <w:numId w:val="1"/>
              </w:numPr>
              <w:jc w:val="both"/>
              <w:rPr>
                <w:rFonts w:asciiTheme="minorHAnsi" w:hAnsiTheme="minorHAnsi" w:cstheme="minorHAnsi"/>
              </w:rPr>
            </w:pPr>
          </w:p>
        </w:tc>
        <w:tc>
          <w:tcPr>
            <w:tcW w:w="9902" w:type="dxa"/>
          </w:tcPr>
          <w:p w:rsidR="00FB1585" w:rsidP="00436F79">
            <w:pPr>
              <w:jc w:val="both"/>
              <w:rPr>
                <w:rFonts w:asciiTheme="minorHAnsi" w:hAnsiTheme="minorHAnsi" w:cstheme="minorHAnsi"/>
              </w:rPr>
            </w:pPr>
            <w:r w:rsidRPr="00FB1585">
              <w:rPr>
                <w:rFonts w:asciiTheme="minorHAnsi" w:hAnsiTheme="minorHAnsi" w:cstheme="minorHAnsi"/>
              </w:rPr>
              <w:t>To deal with this, the £20 a week increase to the basic element of WTC will end on 5 April 2021 and previously announced rates will apply from 6 April 20</w:t>
            </w:r>
            <w:r w:rsidRPr="00FB1585">
              <w:rPr>
                <w:rFonts w:asciiTheme="minorHAnsi" w:hAnsiTheme="minorHAnsi" w:cstheme="minorHAnsi"/>
              </w:rPr>
              <w:t>21. Instead, the Chancellor announced a new, one-off payment of £500 for people who</w:t>
            </w:r>
            <w:r>
              <w:rPr>
                <w:rFonts w:asciiTheme="minorHAnsi" w:hAnsiTheme="minorHAnsi" w:cstheme="minorHAnsi"/>
              </w:rPr>
              <w:t>, broadly,</w:t>
            </w:r>
            <w:r w:rsidRPr="00FB1585">
              <w:rPr>
                <w:rFonts w:asciiTheme="minorHAnsi" w:hAnsiTheme="minorHAnsi" w:cstheme="minorHAnsi"/>
              </w:rPr>
              <w:t xml:space="preserve"> were getting WTC or CTC (and </w:t>
            </w:r>
            <w:r>
              <w:rPr>
                <w:rFonts w:asciiTheme="minorHAnsi" w:hAnsiTheme="minorHAnsi" w:cstheme="minorHAnsi"/>
              </w:rPr>
              <w:t xml:space="preserve">in addition to CTC </w:t>
            </w:r>
            <w:r w:rsidRPr="00FB1585">
              <w:rPr>
                <w:rFonts w:asciiTheme="minorHAnsi" w:hAnsiTheme="minorHAnsi" w:cstheme="minorHAnsi"/>
              </w:rPr>
              <w:t xml:space="preserve">were eligible for WTC but </w:t>
            </w:r>
            <w:r w:rsidRPr="00FB1585">
              <w:rPr>
                <w:rFonts w:asciiTheme="minorHAnsi" w:hAnsiTheme="minorHAnsi" w:cstheme="minorHAnsi"/>
              </w:rPr>
              <w:t>were</w:t>
            </w:r>
            <w:r>
              <w:rPr>
                <w:rFonts w:asciiTheme="minorHAnsi" w:hAnsiTheme="minorHAnsi" w:cstheme="minorHAnsi"/>
              </w:rPr>
              <w:t xml:space="preserve"> not</w:t>
            </w:r>
            <w:r w:rsidRPr="00FB1585">
              <w:rPr>
                <w:rFonts w:asciiTheme="minorHAnsi" w:hAnsiTheme="minorHAnsi" w:cstheme="minorHAnsi"/>
              </w:rPr>
              <w:t xml:space="preserve"> </w:t>
            </w:r>
            <w:r w:rsidRPr="00FB1585">
              <w:rPr>
                <w:rFonts w:asciiTheme="minorHAnsi" w:hAnsiTheme="minorHAnsi" w:cstheme="minorHAnsi"/>
              </w:rPr>
              <w:t>receiving actual payments due to their income level) on 2 March 2021.</w:t>
            </w:r>
          </w:p>
        </w:tc>
      </w:tr>
      <w:tr w:rsidTr="007B5737">
        <w:tblPrEx>
          <w:tblW w:w="0" w:type="auto"/>
          <w:tblLook w:val="0000"/>
        </w:tblPrEx>
        <w:tc>
          <w:tcPr>
            <w:tcW w:w="564" w:type="dxa"/>
          </w:tcPr>
          <w:p w:rsidR="00FB1585" w:rsidRPr="00D849C0" w:rsidP="00D849C0">
            <w:pPr>
              <w:numPr>
                <w:ilvl w:val="1"/>
                <w:numId w:val="1"/>
              </w:numPr>
              <w:jc w:val="both"/>
              <w:rPr>
                <w:rFonts w:asciiTheme="minorHAnsi" w:hAnsiTheme="minorHAnsi" w:cstheme="minorHAnsi"/>
              </w:rPr>
            </w:pPr>
          </w:p>
        </w:tc>
        <w:tc>
          <w:tcPr>
            <w:tcW w:w="9902" w:type="dxa"/>
          </w:tcPr>
          <w:p w:rsidR="00FB1585" w:rsidP="00D849C0">
            <w:pPr>
              <w:jc w:val="both"/>
              <w:rPr>
                <w:rFonts w:asciiTheme="minorHAnsi" w:hAnsiTheme="minorHAnsi" w:cstheme="minorHAnsi"/>
              </w:rPr>
            </w:pPr>
            <w:r w:rsidRPr="00FB1585">
              <w:rPr>
                <w:rFonts w:asciiTheme="minorHAnsi" w:hAnsiTheme="minorHAnsi" w:cstheme="minorHAnsi"/>
              </w:rPr>
              <w:t>As with</w:t>
            </w:r>
            <w:r w:rsidRPr="00FB1585">
              <w:rPr>
                <w:rFonts w:asciiTheme="minorHAnsi" w:hAnsiTheme="minorHAnsi" w:cstheme="minorHAnsi"/>
              </w:rPr>
              <w:t xml:space="preserve"> other coronavirus support payments developed by HMRC, this payment has been designed</w:t>
            </w:r>
            <w:r>
              <w:rPr>
                <w:rFonts w:asciiTheme="minorHAnsi" w:hAnsiTheme="minorHAnsi" w:cstheme="minorHAnsi"/>
              </w:rPr>
              <w:t>,</w:t>
            </w:r>
            <w:r w:rsidRPr="00FB1585">
              <w:rPr>
                <w:rFonts w:asciiTheme="minorHAnsi" w:hAnsiTheme="minorHAnsi" w:cstheme="minorHAnsi"/>
              </w:rPr>
              <w:t xml:space="preserve"> and will need to be delivered</w:t>
            </w:r>
            <w:r>
              <w:rPr>
                <w:rFonts w:asciiTheme="minorHAnsi" w:hAnsiTheme="minorHAnsi" w:cstheme="minorHAnsi"/>
              </w:rPr>
              <w:t>,</w:t>
            </w:r>
            <w:r w:rsidRPr="00FB1585">
              <w:rPr>
                <w:rFonts w:asciiTheme="minorHAnsi" w:hAnsiTheme="minorHAnsi" w:cstheme="minorHAnsi"/>
              </w:rPr>
              <w:t xml:space="preserve"> very quickly. It sits outside of the tax credit system, is not a payment of tax credits but tax credit data is used to establish qualifica</w:t>
            </w:r>
            <w:r w:rsidRPr="00FB1585">
              <w:rPr>
                <w:rFonts w:asciiTheme="minorHAnsi" w:hAnsiTheme="minorHAnsi" w:cstheme="minorHAnsi"/>
              </w:rPr>
              <w:t xml:space="preserve">tion. As with the other payments, there is a balance between speed of delivery (which requires simplicity in the rules of entitlement) and fairness (how targeted the payment is). This means there are likely to be some people who expect to qualify who will </w:t>
            </w:r>
            <w:r w:rsidRPr="00FB1585">
              <w:rPr>
                <w:rFonts w:asciiTheme="minorHAnsi" w:hAnsiTheme="minorHAnsi" w:cstheme="minorHAnsi"/>
              </w:rPr>
              <w:t>not and some who are not expecting the payment who will get it. The payments will be made automatically by HMRC and so communication about the entitlement conditions will be crucial.</w:t>
            </w:r>
          </w:p>
        </w:tc>
      </w:tr>
      <w:tr w:rsidTr="007B5737">
        <w:tblPrEx>
          <w:tblW w:w="0" w:type="auto"/>
          <w:tblLook w:val="0000"/>
        </w:tblPrEx>
        <w:tc>
          <w:tcPr>
            <w:tcW w:w="564" w:type="dxa"/>
          </w:tcPr>
          <w:p w:rsidR="00FB1585" w:rsidRPr="00D849C0" w:rsidP="00D849C0">
            <w:pPr>
              <w:numPr>
                <w:ilvl w:val="1"/>
                <w:numId w:val="1"/>
              </w:numPr>
              <w:jc w:val="both"/>
              <w:rPr>
                <w:rFonts w:asciiTheme="minorHAnsi" w:hAnsiTheme="minorHAnsi" w:cstheme="minorHAnsi"/>
              </w:rPr>
            </w:pPr>
          </w:p>
        </w:tc>
        <w:tc>
          <w:tcPr>
            <w:tcW w:w="9902" w:type="dxa"/>
          </w:tcPr>
          <w:p w:rsidR="00FB1585" w:rsidP="00D849C0">
            <w:pPr>
              <w:jc w:val="both"/>
              <w:rPr>
                <w:rFonts w:asciiTheme="minorHAnsi" w:hAnsiTheme="minorHAnsi" w:cstheme="minorHAnsi"/>
              </w:rPr>
            </w:pPr>
            <w:r w:rsidRPr="006323D8">
              <w:rPr>
                <w:rFonts w:asciiTheme="minorHAnsi" w:hAnsiTheme="minorHAnsi" w:cstheme="minorHAnsi"/>
              </w:rPr>
              <w:t>We are pleased that the Finance Bill includes a provision to exempt the</w:t>
            </w:r>
            <w:r w:rsidRPr="006323D8">
              <w:rPr>
                <w:rFonts w:asciiTheme="minorHAnsi" w:hAnsiTheme="minorHAnsi" w:cstheme="minorHAnsi"/>
              </w:rPr>
              <w:t xml:space="preserve"> payment from tax and that it will not be treated as income for other benefits. The Finance Bill also contains a provision to extend the charge to income tax for those not entitled to coronavirus support payments (ie putting in place a mechanism to recover</w:t>
            </w:r>
            <w:r w:rsidRPr="006323D8">
              <w:rPr>
                <w:rFonts w:asciiTheme="minorHAnsi" w:hAnsiTheme="minorHAnsi" w:cstheme="minorHAnsi"/>
              </w:rPr>
              <w:t xml:space="preserve"> the payments) to this payment as well. Whilst in principle we understand the need to have a recovery mechanism for those not entitled to the payment, as HMRC are making this payment automatically without any claim from an individual, we are concerned over</w:t>
            </w:r>
            <w:r w:rsidRPr="006323D8">
              <w:rPr>
                <w:rFonts w:asciiTheme="minorHAnsi" w:hAnsiTheme="minorHAnsi" w:cstheme="minorHAnsi"/>
              </w:rPr>
              <w:t xml:space="preserve"> its scope. In particular, it appears to apply not only where the tax credit award or the payment was obtained as a result of fraudulent activity, but also where HMRC make a payment in error in non-fraudulent cases. Given the complexity of the tax credit a</w:t>
            </w:r>
            <w:r w:rsidRPr="006323D8">
              <w:rPr>
                <w:rFonts w:asciiTheme="minorHAnsi" w:hAnsiTheme="minorHAnsi" w:cstheme="minorHAnsi"/>
              </w:rPr>
              <w:t>nnual system and the subtle differences between entitlement, awards and payments, we think it would be unreasonable to expect people who receive a payment to independently verify that they are in fact entitled, and we have recommended an amendment to the c</w:t>
            </w:r>
            <w:r w:rsidRPr="006323D8">
              <w:rPr>
                <w:rFonts w:asciiTheme="minorHAnsi" w:hAnsiTheme="minorHAnsi" w:cstheme="minorHAnsi"/>
              </w:rPr>
              <w:t xml:space="preserve">lause to exclude these non-fraudulent cases.        </w:t>
            </w:r>
          </w:p>
        </w:tc>
      </w:tr>
    </w:tbl>
    <w:p w:rsidR="00D849C0" w:rsidRPr="00D849C0" w:rsidP="00D849C0">
      <w:pPr>
        <w:jc w:val="both"/>
        <w:rPr>
          <w:rFonts w:asciiTheme="minorHAnsi" w:hAnsiTheme="minorHAnsi" w:cstheme="minorHAnsi"/>
          <w:b/>
          <w:bCs/>
        </w:rPr>
      </w:pPr>
    </w:p>
    <w:tbl>
      <w:tblPr>
        <w:tblW w:w="10548" w:type="dxa"/>
        <w:jc w:val="center"/>
        <w:tblLook w:val="0000"/>
      </w:tblPr>
      <w:tblGrid>
        <w:gridCol w:w="709"/>
        <w:gridCol w:w="9839"/>
      </w:tblGrid>
      <w:tr w:rsidTr="00890044">
        <w:tblPrEx>
          <w:tblW w:w="10548" w:type="dxa"/>
          <w:jc w:val="center"/>
          <w:tblLook w:val="0000"/>
        </w:tblPrEx>
        <w:trPr>
          <w:jc w:val="center"/>
        </w:trPr>
        <w:tc>
          <w:tcPr>
            <w:tcW w:w="709" w:type="dxa"/>
          </w:tcPr>
          <w:p w:rsidR="00D849C0" w:rsidRPr="00D849C0" w:rsidP="00D849C0">
            <w:pPr>
              <w:numPr>
                <w:ilvl w:val="0"/>
                <w:numId w:val="1"/>
              </w:numPr>
              <w:jc w:val="both"/>
              <w:rPr>
                <w:rFonts w:asciiTheme="minorHAnsi" w:hAnsiTheme="minorHAnsi" w:cstheme="minorHAnsi"/>
              </w:rPr>
            </w:pPr>
          </w:p>
        </w:tc>
        <w:tc>
          <w:tcPr>
            <w:tcW w:w="9839" w:type="dxa"/>
          </w:tcPr>
          <w:p w:rsidR="00D849C0" w:rsidRPr="001F6F2B" w:rsidP="00645762">
            <w:pPr>
              <w:jc w:val="both"/>
              <w:rPr>
                <w:rFonts w:asciiTheme="minorHAnsi" w:hAnsiTheme="minorHAnsi" w:cstheme="minorHAnsi"/>
                <w:b/>
              </w:rPr>
            </w:pPr>
            <w:r w:rsidRPr="001F6F2B">
              <w:rPr>
                <w:rFonts w:asciiTheme="minorHAnsi" w:hAnsiTheme="minorHAnsi" w:cstheme="minorHAnsi"/>
                <w:b/>
              </w:rPr>
              <w:t>Thresholds</w:t>
            </w:r>
            <w:r>
              <w:rPr>
                <w:rFonts w:asciiTheme="minorHAnsi" w:hAnsiTheme="minorHAnsi" w:cstheme="minorHAnsi"/>
                <w:b/>
              </w:rPr>
              <w:t xml:space="preserve"> [2.73</w:t>
            </w:r>
            <w:r>
              <w:rPr>
                <w:rFonts w:asciiTheme="minorHAnsi" w:hAnsiTheme="minorHAnsi" w:cstheme="minorHAnsi"/>
                <w:b/>
              </w:rPr>
              <w:t xml:space="preserve"> – 2.80</w:t>
            </w:r>
            <w:r>
              <w:rPr>
                <w:rFonts w:asciiTheme="minorHAnsi" w:hAnsiTheme="minorHAnsi" w:cstheme="minorHAnsi"/>
                <w:b/>
              </w:rPr>
              <w:t>, 2.91]</w:t>
            </w:r>
          </w:p>
        </w:tc>
      </w:tr>
      <w:tr w:rsidTr="00890044">
        <w:tblPrEx>
          <w:tblW w:w="10548" w:type="dxa"/>
          <w:jc w:val="center"/>
          <w:tblLook w:val="0000"/>
        </w:tblPrEx>
        <w:trPr>
          <w:jc w:val="center"/>
        </w:trPr>
        <w:tc>
          <w:tcPr>
            <w:tcW w:w="709" w:type="dxa"/>
          </w:tcPr>
          <w:p w:rsidR="00D849C0" w:rsidRPr="00D849C0" w:rsidP="00D849C0">
            <w:pPr>
              <w:numPr>
                <w:ilvl w:val="1"/>
                <w:numId w:val="1"/>
              </w:numPr>
              <w:jc w:val="both"/>
              <w:rPr>
                <w:rFonts w:asciiTheme="minorHAnsi" w:hAnsiTheme="minorHAnsi" w:cstheme="minorHAnsi"/>
              </w:rPr>
            </w:pPr>
          </w:p>
        </w:tc>
        <w:tc>
          <w:tcPr>
            <w:tcW w:w="9839" w:type="dxa"/>
          </w:tcPr>
          <w:p w:rsidR="00D849C0" w:rsidRPr="00D849C0" w:rsidP="00C50363">
            <w:pPr>
              <w:jc w:val="both"/>
              <w:rPr>
                <w:rFonts w:asciiTheme="minorHAnsi" w:hAnsiTheme="minorHAnsi" w:cstheme="minorHAnsi"/>
              </w:rPr>
            </w:pPr>
            <w:r>
              <w:rPr>
                <w:rFonts w:asciiTheme="minorHAnsi" w:hAnsiTheme="minorHAnsi" w:cstheme="minorHAnsi"/>
              </w:rPr>
              <w:t>The Budget announced that a number of thresholds would be frozen</w:t>
            </w:r>
            <w:r>
              <w:rPr>
                <w:rFonts w:asciiTheme="minorHAnsi" w:hAnsiTheme="minorHAnsi" w:cstheme="minorHAnsi"/>
              </w:rPr>
              <w:t xml:space="preserve">, </w:t>
            </w:r>
            <w:r>
              <w:rPr>
                <w:rFonts w:asciiTheme="minorHAnsi" w:hAnsiTheme="minorHAnsi" w:cstheme="minorHAnsi"/>
              </w:rPr>
              <w:t>rather than</w:t>
            </w:r>
            <w:r>
              <w:rPr>
                <w:rFonts w:asciiTheme="minorHAnsi" w:hAnsiTheme="minorHAnsi" w:cstheme="minorHAnsi"/>
              </w:rPr>
              <w:t xml:space="preserve"> being</w:t>
            </w:r>
            <w:r>
              <w:rPr>
                <w:rFonts w:asciiTheme="minorHAnsi" w:hAnsiTheme="minorHAnsi" w:cstheme="minorHAnsi"/>
              </w:rPr>
              <w:t xml:space="preserve"> increased in accordance with inflation or other uprating mechanism</w:t>
            </w:r>
            <w:r>
              <w:rPr>
                <w:rFonts w:asciiTheme="minorHAnsi" w:hAnsiTheme="minorHAnsi" w:cstheme="minorHAnsi"/>
              </w:rPr>
              <w:t>s</w:t>
            </w:r>
            <w:r>
              <w:rPr>
                <w:rFonts w:asciiTheme="minorHAnsi" w:hAnsiTheme="minorHAnsi" w:cstheme="minorHAnsi"/>
              </w:rPr>
              <w:t>. This includes the p</w:t>
            </w:r>
            <w:r w:rsidRPr="0089660B">
              <w:rPr>
                <w:rFonts w:asciiTheme="minorHAnsi" w:hAnsiTheme="minorHAnsi" w:cstheme="minorHAnsi"/>
              </w:rPr>
              <w:t xml:space="preserve">ersonal </w:t>
            </w:r>
            <w:r>
              <w:rPr>
                <w:rFonts w:asciiTheme="minorHAnsi" w:hAnsiTheme="minorHAnsi" w:cstheme="minorHAnsi"/>
              </w:rPr>
              <w:t>a</w:t>
            </w:r>
            <w:r w:rsidRPr="0089660B">
              <w:rPr>
                <w:rFonts w:asciiTheme="minorHAnsi" w:hAnsiTheme="minorHAnsi" w:cstheme="minorHAnsi"/>
              </w:rPr>
              <w:t>llowance and higher rate threshold</w:t>
            </w:r>
            <w:r>
              <w:rPr>
                <w:rFonts w:asciiTheme="minorHAnsi" w:hAnsiTheme="minorHAnsi" w:cstheme="minorHAnsi"/>
              </w:rPr>
              <w:t>,</w:t>
            </w:r>
            <w:r>
              <w:rPr>
                <w:rFonts w:asciiTheme="minorHAnsi" w:hAnsiTheme="minorHAnsi" w:cstheme="minorHAnsi"/>
              </w:rPr>
              <w:t xml:space="preserve"> the</w:t>
            </w:r>
            <w:r>
              <w:t xml:space="preserve"> </w:t>
            </w:r>
            <w:r>
              <w:rPr>
                <w:rFonts w:asciiTheme="minorHAnsi" w:hAnsiTheme="minorHAnsi" w:cstheme="minorHAnsi"/>
              </w:rPr>
              <w:t>i</w:t>
            </w:r>
            <w:r w:rsidRPr="0089660B">
              <w:rPr>
                <w:rFonts w:asciiTheme="minorHAnsi" w:hAnsiTheme="minorHAnsi" w:cstheme="minorHAnsi"/>
              </w:rPr>
              <w:t>nheritance tax nil-rate band and residence nil-rate band</w:t>
            </w:r>
            <w:r>
              <w:rPr>
                <w:rFonts w:asciiTheme="minorHAnsi" w:hAnsiTheme="minorHAnsi" w:cstheme="minorHAnsi"/>
              </w:rPr>
              <w:t xml:space="preserve">, </w:t>
            </w:r>
            <w:r w:rsidRPr="00AA7803">
              <w:rPr>
                <w:rFonts w:asciiTheme="minorHAnsi" w:hAnsiTheme="minorHAnsi" w:cstheme="minorHAnsi"/>
              </w:rPr>
              <w:t>NIC thresholds</w:t>
            </w:r>
            <w:r>
              <w:rPr>
                <w:rFonts w:asciiTheme="minorHAnsi" w:hAnsiTheme="minorHAnsi" w:cstheme="minorHAnsi"/>
              </w:rPr>
              <w:t xml:space="preserve">, </w:t>
            </w:r>
            <w:r w:rsidRPr="00AA7803">
              <w:rPr>
                <w:rFonts w:asciiTheme="minorHAnsi" w:hAnsiTheme="minorHAnsi" w:cstheme="minorHAnsi"/>
              </w:rPr>
              <w:t xml:space="preserve">CGT </w:t>
            </w:r>
            <w:r>
              <w:rPr>
                <w:rFonts w:asciiTheme="minorHAnsi" w:hAnsiTheme="minorHAnsi" w:cstheme="minorHAnsi"/>
              </w:rPr>
              <w:t>a</w:t>
            </w:r>
            <w:r w:rsidRPr="00AA7803">
              <w:rPr>
                <w:rFonts w:asciiTheme="minorHAnsi" w:hAnsiTheme="minorHAnsi" w:cstheme="minorHAnsi"/>
              </w:rPr>
              <w:t xml:space="preserve">nnual </w:t>
            </w:r>
            <w:r>
              <w:rPr>
                <w:rFonts w:asciiTheme="minorHAnsi" w:hAnsiTheme="minorHAnsi" w:cstheme="minorHAnsi"/>
              </w:rPr>
              <w:t>exempt amount, pensions l</w:t>
            </w:r>
            <w:r w:rsidRPr="00AA7803">
              <w:rPr>
                <w:rFonts w:asciiTheme="minorHAnsi" w:hAnsiTheme="minorHAnsi" w:cstheme="minorHAnsi"/>
              </w:rPr>
              <w:t>ifetime</w:t>
            </w:r>
            <w:r w:rsidRPr="00AA7803">
              <w:rPr>
                <w:rFonts w:asciiTheme="minorHAnsi" w:hAnsiTheme="minorHAnsi" w:cstheme="minorHAnsi"/>
              </w:rPr>
              <w:t xml:space="preserve"> </w:t>
            </w:r>
            <w:r>
              <w:rPr>
                <w:rFonts w:asciiTheme="minorHAnsi" w:hAnsiTheme="minorHAnsi" w:cstheme="minorHAnsi"/>
              </w:rPr>
              <w:t>a</w:t>
            </w:r>
            <w:r w:rsidRPr="00AA7803">
              <w:rPr>
                <w:rFonts w:asciiTheme="minorHAnsi" w:hAnsiTheme="minorHAnsi" w:cstheme="minorHAnsi"/>
              </w:rPr>
              <w:t>llowance</w:t>
            </w:r>
            <w:r>
              <w:rPr>
                <w:rFonts w:asciiTheme="minorHAnsi" w:hAnsiTheme="minorHAnsi" w:cstheme="minorHAnsi"/>
              </w:rPr>
              <w:t>, s</w:t>
            </w:r>
            <w:r w:rsidRPr="00AA7803">
              <w:rPr>
                <w:rFonts w:asciiTheme="minorHAnsi" w:hAnsiTheme="minorHAnsi" w:cstheme="minorHAnsi"/>
              </w:rPr>
              <w:t>tarting rate for savings tax band</w:t>
            </w:r>
            <w:r>
              <w:rPr>
                <w:rFonts w:asciiTheme="minorHAnsi" w:hAnsiTheme="minorHAnsi" w:cstheme="minorHAnsi"/>
              </w:rPr>
              <w:t xml:space="preserve"> and the VAT threshold (see later)</w:t>
            </w:r>
            <w:r>
              <w:rPr>
                <w:rFonts w:asciiTheme="minorHAnsi" w:hAnsiTheme="minorHAnsi" w:cstheme="minorHAnsi"/>
              </w:rPr>
              <w:t>.</w:t>
            </w:r>
          </w:p>
        </w:tc>
      </w:tr>
      <w:tr w:rsidTr="00890044">
        <w:tblPrEx>
          <w:tblW w:w="10548" w:type="dxa"/>
          <w:jc w:val="center"/>
          <w:tblLook w:val="0000"/>
        </w:tblPrEx>
        <w:trPr>
          <w:jc w:val="center"/>
        </w:trPr>
        <w:tc>
          <w:tcPr>
            <w:tcW w:w="709" w:type="dxa"/>
          </w:tcPr>
          <w:p w:rsidR="00D849C0" w:rsidRPr="00D849C0" w:rsidP="00D849C0">
            <w:pPr>
              <w:numPr>
                <w:ilvl w:val="1"/>
                <w:numId w:val="1"/>
              </w:numPr>
              <w:jc w:val="both"/>
              <w:rPr>
                <w:rFonts w:asciiTheme="minorHAnsi" w:hAnsiTheme="minorHAnsi" w:cstheme="minorHAnsi"/>
              </w:rPr>
            </w:pPr>
          </w:p>
        </w:tc>
        <w:tc>
          <w:tcPr>
            <w:tcW w:w="9839" w:type="dxa"/>
          </w:tcPr>
          <w:p w:rsidR="00D849C0" w:rsidRPr="00D849C0" w:rsidP="00884DF1">
            <w:pPr>
              <w:jc w:val="both"/>
              <w:rPr>
                <w:rFonts w:asciiTheme="minorHAnsi" w:hAnsiTheme="minorHAnsi" w:cstheme="minorHAnsi"/>
              </w:rPr>
            </w:pPr>
            <w:r>
              <w:rPr>
                <w:rFonts w:asciiTheme="minorHAnsi" w:hAnsiTheme="minorHAnsi" w:cstheme="minorHAnsi"/>
              </w:rPr>
              <w:t xml:space="preserve">Announcing a freezing of thresholds for a </w:t>
            </w:r>
            <w:r>
              <w:rPr>
                <w:rFonts w:asciiTheme="minorHAnsi" w:hAnsiTheme="minorHAnsi" w:cstheme="minorHAnsi"/>
              </w:rPr>
              <w:t xml:space="preserve">considerable </w:t>
            </w:r>
            <w:r>
              <w:rPr>
                <w:rFonts w:asciiTheme="minorHAnsi" w:hAnsiTheme="minorHAnsi" w:cstheme="minorHAnsi"/>
              </w:rPr>
              <w:t xml:space="preserve">period of time </w:t>
            </w:r>
            <w:r>
              <w:rPr>
                <w:rFonts w:asciiTheme="minorHAnsi" w:hAnsiTheme="minorHAnsi" w:cstheme="minorHAnsi"/>
              </w:rPr>
              <w:t xml:space="preserve">ahead </w:t>
            </w:r>
            <w:r>
              <w:rPr>
                <w:rFonts w:asciiTheme="minorHAnsi" w:hAnsiTheme="minorHAnsi" w:cstheme="minorHAnsi"/>
              </w:rPr>
              <w:t xml:space="preserve">complies with many of the Committee’s principles (certainty, stability etc). </w:t>
            </w:r>
            <w:r>
              <w:rPr>
                <w:rFonts w:asciiTheme="minorHAnsi" w:hAnsiTheme="minorHAnsi" w:cstheme="minorHAnsi"/>
              </w:rPr>
              <w:t xml:space="preserve">It will also raise substantial revenues whilst, prima facie, not damaging growth. </w:t>
            </w:r>
          </w:p>
        </w:tc>
      </w:tr>
      <w:tr w:rsidTr="00890044">
        <w:tblPrEx>
          <w:tblW w:w="10548" w:type="dxa"/>
          <w:jc w:val="center"/>
          <w:tblLook w:val="0000"/>
        </w:tblPrEx>
        <w:trPr>
          <w:jc w:val="center"/>
        </w:trPr>
        <w:tc>
          <w:tcPr>
            <w:tcW w:w="709" w:type="dxa"/>
          </w:tcPr>
          <w:p w:rsidR="00D849C0" w:rsidRPr="00D849C0" w:rsidP="00D849C0">
            <w:pPr>
              <w:numPr>
                <w:ilvl w:val="1"/>
                <w:numId w:val="1"/>
              </w:numPr>
              <w:jc w:val="both"/>
              <w:rPr>
                <w:rFonts w:asciiTheme="minorHAnsi" w:hAnsiTheme="minorHAnsi" w:cstheme="minorHAnsi"/>
              </w:rPr>
            </w:pPr>
          </w:p>
        </w:tc>
        <w:tc>
          <w:tcPr>
            <w:tcW w:w="9839" w:type="dxa"/>
          </w:tcPr>
          <w:p w:rsidR="00A022C4" w:rsidP="00685C13">
            <w:pPr>
              <w:jc w:val="both"/>
              <w:rPr>
                <w:rFonts w:asciiTheme="minorHAnsi" w:hAnsiTheme="minorHAnsi" w:cstheme="minorHAnsi"/>
              </w:rPr>
            </w:pPr>
            <w:r w:rsidRPr="001E5372">
              <w:rPr>
                <w:rFonts w:asciiTheme="minorHAnsi" w:hAnsiTheme="minorHAnsi" w:cstheme="minorHAnsi"/>
              </w:rPr>
              <w:t>Having frozen these thresholds, the opportunity should be taken to consider what future policy</w:t>
            </w:r>
            <w:r w:rsidRPr="001E5372">
              <w:rPr>
                <w:rFonts w:asciiTheme="minorHAnsi" w:hAnsiTheme="minorHAnsi" w:cstheme="minorHAnsi"/>
              </w:rPr>
              <w:t xml:space="preserve"> should be</w:t>
            </w:r>
            <w:r>
              <w:rPr>
                <w:rFonts w:asciiTheme="minorHAnsi" w:hAnsiTheme="minorHAnsi" w:cstheme="minorHAnsi"/>
              </w:rPr>
              <w:t xml:space="preserve"> in these areas</w:t>
            </w:r>
            <w:r w:rsidRPr="001E5372">
              <w:rPr>
                <w:rFonts w:asciiTheme="minorHAnsi" w:hAnsiTheme="minorHAnsi" w:cstheme="minorHAnsi"/>
              </w:rPr>
              <w:t>. For example</w:t>
            </w:r>
            <w:r>
              <w:rPr>
                <w:rFonts w:asciiTheme="minorHAnsi" w:hAnsiTheme="minorHAnsi" w:cstheme="minorHAnsi"/>
              </w:rPr>
              <w:t>:</w:t>
            </w:r>
          </w:p>
          <w:p w:rsidR="00884DF1" w:rsidP="00D352D4">
            <w:pPr>
              <w:pStyle w:val="ListParagraph"/>
              <w:numPr>
                <w:ilvl w:val="0"/>
                <w:numId w:val="7"/>
              </w:numPr>
              <w:jc w:val="both"/>
              <w:rPr>
                <w:rFonts w:asciiTheme="minorHAnsi" w:hAnsiTheme="minorHAnsi" w:cstheme="minorHAnsi"/>
              </w:rPr>
            </w:pPr>
            <w:r>
              <w:rPr>
                <w:rFonts w:asciiTheme="minorHAnsi" w:hAnsiTheme="minorHAnsi" w:cstheme="minorHAnsi"/>
              </w:rPr>
              <w:t xml:space="preserve">Is increasing the income tax threshold the most </w:t>
            </w:r>
            <w:r>
              <w:rPr>
                <w:rFonts w:asciiTheme="minorHAnsi" w:hAnsiTheme="minorHAnsi" w:cstheme="minorHAnsi"/>
              </w:rPr>
              <w:t>targeted</w:t>
            </w:r>
            <w:r>
              <w:rPr>
                <w:rFonts w:asciiTheme="minorHAnsi" w:hAnsiTheme="minorHAnsi" w:cstheme="minorHAnsi"/>
              </w:rPr>
              <w:t xml:space="preserve"> way of helping people on the lowest pay, </w:t>
            </w:r>
            <w:r>
              <w:rPr>
                <w:rFonts w:asciiTheme="minorHAnsi" w:hAnsiTheme="minorHAnsi" w:cstheme="minorHAnsi"/>
              </w:rPr>
              <w:t xml:space="preserve">or providing better work incentives, </w:t>
            </w:r>
            <w:r>
              <w:rPr>
                <w:rFonts w:asciiTheme="minorHAnsi" w:hAnsiTheme="minorHAnsi" w:cstheme="minorHAnsi"/>
              </w:rPr>
              <w:t xml:space="preserve">as compared to say, alignment of lower NIC thresholds </w:t>
            </w:r>
            <w:r>
              <w:rPr>
                <w:rFonts w:asciiTheme="minorHAnsi" w:hAnsiTheme="minorHAnsi" w:cstheme="minorHAnsi"/>
              </w:rPr>
              <w:t>and</w:t>
            </w:r>
            <w:r>
              <w:rPr>
                <w:rFonts w:asciiTheme="minorHAnsi" w:hAnsiTheme="minorHAnsi" w:cstheme="minorHAnsi"/>
              </w:rPr>
              <w:t xml:space="preserve"> </w:t>
            </w:r>
            <w:r>
              <w:rPr>
                <w:rFonts w:asciiTheme="minorHAnsi" w:hAnsiTheme="minorHAnsi" w:cstheme="minorHAnsi"/>
              </w:rPr>
              <w:t>/</w:t>
            </w:r>
            <w:r>
              <w:rPr>
                <w:rFonts w:asciiTheme="minorHAnsi" w:hAnsiTheme="minorHAnsi" w:cstheme="minorHAnsi"/>
              </w:rPr>
              <w:t xml:space="preserve"> </w:t>
            </w:r>
            <w:r>
              <w:rPr>
                <w:rFonts w:asciiTheme="minorHAnsi" w:hAnsiTheme="minorHAnsi" w:cstheme="minorHAnsi"/>
              </w:rPr>
              <w:t>or increasing the wor</w:t>
            </w:r>
            <w:r>
              <w:rPr>
                <w:rFonts w:asciiTheme="minorHAnsi" w:hAnsiTheme="minorHAnsi" w:cstheme="minorHAnsi"/>
              </w:rPr>
              <w:t>k allowance in Universal Credit</w:t>
            </w:r>
            <w:r>
              <w:rPr>
                <w:rFonts w:asciiTheme="minorHAnsi" w:hAnsiTheme="minorHAnsi" w:cstheme="minorHAnsi"/>
              </w:rPr>
              <w:t>, and</w:t>
            </w:r>
            <w:r>
              <w:rPr>
                <w:rFonts w:asciiTheme="minorHAnsi" w:hAnsiTheme="minorHAnsi" w:cstheme="minorHAnsi"/>
              </w:rPr>
              <w:t xml:space="preserve"> </w:t>
            </w:r>
            <w:r>
              <w:rPr>
                <w:rFonts w:asciiTheme="minorHAnsi" w:hAnsiTheme="minorHAnsi" w:cstheme="minorHAnsi"/>
              </w:rPr>
              <w:t>/</w:t>
            </w:r>
            <w:r>
              <w:rPr>
                <w:rFonts w:asciiTheme="minorHAnsi" w:hAnsiTheme="minorHAnsi" w:cstheme="minorHAnsi"/>
              </w:rPr>
              <w:t xml:space="preserve"> </w:t>
            </w:r>
            <w:r>
              <w:rPr>
                <w:rFonts w:asciiTheme="minorHAnsi" w:hAnsiTheme="minorHAnsi" w:cstheme="minorHAnsi"/>
              </w:rPr>
              <w:t>or reducing the rate at which Universal Credit is withdrawn as claimants are able to earn more money</w:t>
            </w:r>
            <w:r>
              <w:rPr>
                <w:rFonts w:asciiTheme="minorHAnsi" w:hAnsiTheme="minorHAnsi" w:cstheme="minorHAnsi"/>
              </w:rPr>
              <w:t>?</w:t>
            </w:r>
            <w:r>
              <w:rPr>
                <w:rFonts w:asciiTheme="minorHAnsi" w:hAnsiTheme="minorHAnsi" w:cstheme="minorHAnsi"/>
              </w:rPr>
              <w:t xml:space="preserve"> This rate of withdrawal, sometimes combined with loss of ‘passported’ benefits</w:t>
            </w:r>
            <w:r>
              <w:rPr>
                <w:rFonts w:asciiTheme="minorHAnsi" w:hAnsiTheme="minorHAnsi" w:cstheme="minorHAnsi"/>
              </w:rPr>
              <w:t>, can act as a higher marginal effect</w:t>
            </w:r>
            <w:r>
              <w:rPr>
                <w:rFonts w:asciiTheme="minorHAnsi" w:hAnsiTheme="minorHAnsi" w:cstheme="minorHAnsi"/>
              </w:rPr>
              <w:t>ive rate of tax than the formal tax system.</w:t>
            </w:r>
          </w:p>
          <w:p w:rsidR="006713E5" w:rsidRPr="00822A82" w:rsidP="00822A82">
            <w:pPr>
              <w:pStyle w:val="ListParagraph"/>
              <w:numPr>
                <w:ilvl w:val="0"/>
                <w:numId w:val="7"/>
              </w:numPr>
              <w:jc w:val="both"/>
              <w:rPr>
                <w:rFonts w:asciiTheme="minorHAnsi" w:hAnsiTheme="minorHAnsi" w:cstheme="minorHAnsi"/>
              </w:rPr>
            </w:pPr>
            <w:r w:rsidRPr="00A022C4">
              <w:rPr>
                <w:rFonts w:asciiTheme="minorHAnsi" w:hAnsiTheme="minorHAnsi" w:cstheme="minorHAnsi"/>
              </w:rPr>
              <w:t xml:space="preserve">Should the </w:t>
            </w:r>
            <w:r>
              <w:rPr>
                <w:rFonts w:asciiTheme="minorHAnsi" w:hAnsiTheme="minorHAnsi" w:cstheme="minorHAnsi"/>
              </w:rPr>
              <w:t>income tax and</w:t>
            </w:r>
            <w:r w:rsidRPr="00A022C4">
              <w:rPr>
                <w:rFonts w:asciiTheme="minorHAnsi" w:hAnsiTheme="minorHAnsi" w:cstheme="minorHAnsi"/>
              </w:rPr>
              <w:t xml:space="preserve"> NIC threshold</w:t>
            </w:r>
            <w:r>
              <w:rPr>
                <w:rFonts w:asciiTheme="minorHAnsi" w:hAnsiTheme="minorHAnsi" w:cstheme="minorHAnsi"/>
              </w:rPr>
              <w:t xml:space="preserve">s be aligned? </w:t>
            </w:r>
            <w:r w:rsidRPr="00D352D4">
              <w:rPr>
                <w:rFonts w:asciiTheme="minorHAnsi" w:hAnsiTheme="minorHAnsi" w:cstheme="minorHAnsi"/>
              </w:rPr>
              <w:t>The government has confirmed that the NIC Upper Earnings Limit and Upper Profits Limit will continue to be tied to the income tax higher rate threshold</w:t>
            </w:r>
            <w:r>
              <w:rPr>
                <w:rFonts w:asciiTheme="minorHAnsi" w:hAnsiTheme="minorHAnsi" w:cstheme="minorHAnsi"/>
              </w:rPr>
              <w:t xml:space="preserve"> until 2</w:t>
            </w:r>
            <w:r>
              <w:rPr>
                <w:rFonts w:asciiTheme="minorHAnsi" w:hAnsiTheme="minorHAnsi" w:cstheme="minorHAnsi"/>
              </w:rPr>
              <w:t>026</w:t>
            </w:r>
            <w:r w:rsidRPr="00D352D4">
              <w:rPr>
                <w:rFonts w:asciiTheme="minorHAnsi" w:hAnsiTheme="minorHAnsi" w:cstheme="minorHAnsi"/>
              </w:rPr>
              <w:t xml:space="preserve">. </w:t>
            </w:r>
            <w:r>
              <w:rPr>
                <w:rFonts w:asciiTheme="minorHAnsi" w:hAnsiTheme="minorHAnsi" w:cstheme="minorHAnsi"/>
              </w:rPr>
              <w:t>However, t</w:t>
            </w:r>
            <w:r w:rsidRPr="00D352D4">
              <w:rPr>
                <w:rFonts w:asciiTheme="minorHAnsi" w:hAnsiTheme="minorHAnsi" w:cstheme="minorHAnsi"/>
              </w:rPr>
              <w:t>he Primary Threshold and Lower Profits Limit for NICs will continue to be set at fiscal events during this period, so they may continue to increase. If this were the case, there would be an opportunity for the government to realign the point</w:t>
            </w:r>
            <w:r w:rsidRPr="00D352D4">
              <w:rPr>
                <w:rFonts w:asciiTheme="minorHAnsi" w:hAnsiTheme="minorHAnsi" w:cstheme="minorHAnsi"/>
              </w:rPr>
              <w:t xml:space="preserve"> at which NICs are paid with the point at which income tax is payable. While this </w:t>
            </w:r>
            <w:r>
              <w:rPr>
                <w:rFonts w:asciiTheme="minorHAnsi" w:hAnsiTheme="minorHAnsi" w:cstheme="minorHAnsi"/>
              </w:rPr>
              <w:t xml:space="preserve">might </w:t>
            </w:r>
            <w:r w:rsidRPr="00D352D4">
              <w:rPr>
                <w:rFonts w:asciiTheme="minorHAnsi" w:hAnsiTheme="minorHAnsi" w:cstheme="minorHAnsi"/>
              </w:rPr>
              <w:t xml:space="preserve">create </w:t>
            </w:r>
            <w:r>
              <w:rPr>
                <w:rFonts w:asciiTheme="minorHAnsi" w:hAnsiTheme="minorHAnsi" w:cstheme="minorHAnsi"/>
              </w:rPr>
              <w:t xml:space="preserve">more of </w:t>
            </w:r>
            <w:r w:rsidRPr="00D352D4">
              <w:rPr>
                <w:rFonts w:asciiTheme="minorHAnsi" w:hAnsiTheme="minorHAnsi" w:cstheme="minorHAnsi"/>
              </w:rPr>
              <w:t>a cliff-edge</w:t>
            </w:r>
            <w:r>
              <w:rPr>
                <w:rFonts w:asciiTheme="minorHAnsi" w:hAnsiTheme="minorHAnsi" w:cstheme="minorHAnsi"/>
              </w:rPr>
              <w:t xml:space="preserve">, with liability to both tax and NI arising simultaneously, </w:t>
            </w:r>
            <w:r w:rsidRPr="00D352D4">
              <w:rPr>
                <w:rFonts w:asciiTheme="minorHAnsi" w:hAnsiTheme="minorHAnsi" w:cstheme="minorHAnsi"/>
              </w:rPr>
              <w:t>it would be simple</w:t>
            </w:r>
            <w:r>
              <w:rPr>
                <w:rFonts w:asciiTheme="minorHAnsi" w:hAnsiTheme="minorHAnsi" w:cstheme="minorHAnsi"/>
              </w:rPr>
              <w:t>r</w:t>
            </w:r>
            <w:r w:rsidRPr="00D352D4">
              <w:rPr>
                <w:rFonts w:asciiTheme="minorHAnsi" w:hAnsiTheme="minorHAnsi" w:cstheme="minorHAnsi"/>
              </w:rPr>
              <w:t xml:space="preserve"> for low-earning individuals to understand when they become liable to </w:t>
            </w:r>
            <w:r>
              <w:rPr>
                <w:rFonts w:asciiTheme="minorHAnsi" w:hAnsiTheme="minorHAnsi" w:cstheme="minorHAnsi"/>
              </w:rPr>
              <w:t>deductions</w:t>
            </w:r>
            <w:r w:rsidRPr="00D352D4">
              <w:rPr>
                <w:rFonts w:asciiTheme="minorHAnsi" w:hAnsiTheme="minorHAnsi" w:cstheme="minorHAnsi"/>
              </w:rPr>
              <w:t>.</w:t>
            </w:r>
          </w:p>
          <w:p w:rsidR="00B95CFF" w:rsidRPr="00A022C4" w:rsidP="00FB1585">
            <w:pPr>
              <w:pStyle w:val="ListParagraph"/>
              <w:numPr>
                <w:ilvl w:val="0"/>
                <w:numId w:val="7"/>
              </w:numPr>
              <w:jc w:val="both"/>
              <w:rPr>
                <w:rFonts w:asciiTheme="minorHAnsi" w:hAnsiTheme="minorHAnsi" w:cstheme="minorHAnsi"/>
              </w:rPr>
            </w:pPr>
            <w:r w:rsidRPr="00B95CFF">
              <w:rPr>
                <w:rFonts w:asciiTheme="minorHAnsi" w:hAnsiTheme="minorHAnsi" w:cstheme="minorHAnsi"/>
              </w:rPr>
              <w:t>The current pensions tax relief system was introduced in Finance Act 2004, after many years of painstaking work and consultation, and this is the first year since then it has</w:t>
            </w:r>
            <w:r w:rsidRPr="00B95CFF">
              <w:rPr>
                <w:rFonts w:asciiTheme="minorHAnsi" w:hAnsiTheme="minorHAnsi" w:cstheme="minorHAnsi"/>
              </w:rPr>
              <w:t xml:space="preserve">n’t undergone significant amendments. We think that there is a case for a review of the pensions tax relief system with the aim of removing the complexity introduced over the couple of decades and </w:t>
            </w:r>
            <w:r>
              <w:rPr>
                <w:rFonts w:asciiTheme="minorHAnsi" w:hAnsiTheme="minorHAnsi" w:cstheme="minorHAnsi"/>
              </w:rPr>
              <w:t>striking a better (and better understood) balance between a</w:t>
            </w:r>
            <w:r>
              <w:rPr>
                <w:rFonts w:asciiTheme="minorHAnsi" w:hAnsiTheme="minorHAnsi" w:cstheme="minorHAnsi"/>
              </w:rPr>
              <w:t xml:space="preserve">ffordability, fairness and </w:t>
            </w:r>
            <w:r w:rsidRPr="00B95CFF">
              <w:rPr>
                <w:rFonts w:asciiTheme="minorHAnsi" w:hAnsiTheme="minorHAnsi" w:cstheme="minorHAnsi"/>
              </w:rPr>
              <w:t>strengthen</w:t>
            </w:r>
            <w:r>
              <w:rPr>
                <w:rFonts w:asciiTheme="minorHAnsi" w:hAnsiTheme="minorHAnsi" w:cstheme="minorHAnsi"/>
              </w:rPr>
              <w:t>ing</w:t>
            </w:r>
            <w:r w:rsidRPr="00B95CFF">
              <w:rPr>
                <w:rFonts w:asciiTheme="minorHAnsi" w:hAnsiTheme="minorHAnsi" w:cstheme="minorHAnsi"/>
              </w:rPr>
              <w:t xml:space="preserve"> the incentive to save. </w:t>
            </w:r>
          </w:p>
        </w:tc>
      </w:tr>
      <w:tr w:rsidTr="00890044">
        <w:tblPrEx>
          <w:tblW w:w="10548" w:type="dxa"/>
          <w:jc w:val="center"/>
          <w:tblLook w:val="0000"/>
        </w:tblPrEx>
        <w:trPr>
          <w:trHeight w:val="60"/>
          <w:jc w:val="center"/>
        </w:trPr>
        <w:tc>
          <w:tcPr>
            <w:tcW w:w="709" w:type="dxa"/>
          </w:tcPr>
          <w:p w:rsidR="00D849C0" w:rsidRPr="00D849C0" w:rsidP="00D849C0">
            <w:pPr>
              <w:numPr>
                <w:ilvl w:val="1"/>
                <w:numId w:val="1"/>
              </w:numPr>
              <w:jc w:val="both"/>
              <w:rPr>
                <w:rFonts w:asciiTheme="minorHAnsi" w:hAnsiTheme="minorHAnsi" w:cstheme="minorHAnsi"/>
              </w:rPr>
            </w:pPr>
          </w:p>
        </w:tc>
        <w:tc>
          <w:tcPr>
            <w:tcW w:w="9839" w:type="dxa"/>
          </w:tcPr>
          <w:p w:rsidR="00D849C0" w:rsidRPr="00685C13" w:rsidP="008710AE">
            <w:pPr>
              <w:jc w:val="both"/>
              <w:rPr>
                <w:rFonts w:asciiTheme="minorHAnsi" w:hAnsiTheme="minorHAnsi" w:cstheme="minorHAnsi"/>
              </w:rPr>
            </w:pPr>
            <w:r>
              <w:rPr>
                <w:rFonts w:asciiTheme="minorHAnsi" w:hAnsiTheme="minorHAnsi" w:cstheme="minorHAnsi"/>
              </w:rPr>
              <w:t xml:space="preserve">Freezing thresholds </w:t>
            </w:r>
            <w:r>
              <w:rPr>
                <w:rFonts w:asciiTheme="minorHAnsi" w:hAnsiTheme="minorHAnsi" w:cstheme="minorHAnsi"/>
              </w:rPr>
              <w:t xml:space="preserve">brings more people into the scope of taxes, increasing the number who </w:t>
            </w:r>
            <w:r>
              <w:rPr>
                <w:rFonts w:asciiTheme="minorHAnsi" w:hAnsiTheme="minorHAnsi" w:cstheme="minorHAnsi"/>
              </w:rPr>
              <w:t xml:space="preserve">have to deal with the complexity of tax </w:t>
            </w:r>
            <w:r>
              <w:rPr>
                <w:rFonts w:asciiTheme="minorHAnsi" w:hAnsiTheme="minorHAnsi" w:cstheme="minorHAnsi"/>
              </w:rPr>
              <w:t xml:space="preserve">administration </w:t>
            </w:r>
            <w:r>
              <w:rPr>
                <w:rFonts w:asciiTheme="minorHAnsi" w:hAnsiTheme="minorHAnsi" w:cstheme="minorHAnsi"/>
              </w:rPr>
              <w:t xml:space="preserve">for the first time. We </w:t>
            </w:r>
            <w:r>
              <w:rPr>
                <w:rFonts w:asciiTheme="minorHAnsi" w:hAnsiTheme="minorHAnsi" w:cstheme="minorHAnsi"/>
              </w:rPr>
              <w:t xml:space="preserve">are </w:t>
            </w:r>
            <w:r>
              <w:rPr>
                <w:rFonts w:asciiTheme="minorHAnsi" w:hAnsiTheme="minorHAnsi" w:cstheme="minorHAnsi"/>
              </w:rPr>
              <w:t xml:space="preserve">particularly pleased, therefore, </w:t>
            </w:r>
            <w:r>
              <w:rPr>
                <w:rFonts w:asciiTheme="minorHAnsi" w:hAnsiTheme="minorHAnsi" w:cstheme="minorHAnsi"/>
              </w:rPr>
              <w:t>that delivering a secure and easily accessible single digital account / customer record is a key element of the 10-year tax administration strategy.</w:t>
            </w:r>
            <w:r>
              <w:rPr>
                <w:rStyle w:val="FootnoteReference"/>
                <w:rFonts w:asciiTheme="minorHAnsi" w:hAnsiTheme="minorHAnsi" w:cstheme="minorHAnsi"/>
              </w:rPr>
              <w:footnoteReference w:id="4"/>
            </w:r>
            <w:r>
              <w:rPr>
                <w:rFonts w:asciiTheme="minorHAnsi" w:hAnsiTheme="minorHAnsi" w:cstheme="minorHAnsi"/>
              </w:rPr>
              <w:t xml:space="preserve"> </w:t>
            </w:r>
            <w:r>
              <w:rPr>
                <w:rFonts w:asciiTheme="minorHAnsi" w:hAnsiTheme="minorHAnsi" w:cstheme="minorHAnsi"/>
              </w:rPr>
              <w:t>Giving taxpayers a single, complete picture o</w:t>
            </w:r>
            <w:r>
              <w:rPr>
                <w:rFonts w:asciiTheme="minorHAnsi" w:hAnsiTheme="minorHAnsi" w:cstheme="minorHAnsi"/>
              </w:rPr>
              <w:t>f their tax affairs (or equivalent information for their authorised agent) will help them understand their obligations, liabilities and entitlements much more easily.</w:t>
            </w:r>
          </w:p>
        </w:tc>
      </w:tr>
      <w:tr w:rsidTr="00890044">
        <w:tblPrEx>
          <w:tblW w:w="10548" w:type="dxa"/>
          <w:jc w:val="center"/>
          <w:tblLook w:val="0000"/>
        </w:tblPrEx>
        <w:trPr>
          <w:trHeight w:val="60"/>
          <w:jc w:val="center"/>
        </w:trPr>
        <w:tc>
          <w:tcPr>
            <w:tcW w:w="709" w:type="dxa"/>
          </w:tcPr>
          <w:p w:rsidR="000C6627" w:rsidRPr="00D849C0" w:rsidP="00D849C0">
            <w:pPr>
              <w:numPr>
                <w:ilvl w:val="1"/>
                <w:numId w:val="1"/>
              </w:numPr>
              <w:jc w:val="both"/>
              <w:rPr>
                <w:rFonts w:asciiTheme="minorHAnsi" w:hAnsiTheme="minorHAnsi" w:cstheme="minorHAnsi"/>
              </w:rPr>
            </w:pPr>
          </w:p>
        </w:tc>
        <w:tc>
          <w:tcPr>
            <w:tcW w:w="9839" w:type="dxa"/>
          </w:tcPr>
          <w:p w:rsidR="000C6627" w:rsidP="000C6627">
            <w:pPr>
              <w:jc w:val="both"/>
              <w:rPr>
                <w:rFonts w:asciiTheme="minorHAnsi" w:hAnsiTheme="minorHAnsi" w:cstheme="minorHAnsi"/>
              </w:rPr>
            </w:pPr>
            <w:r>
              <w:rPr>
                <w:rFonts w:asciiTheme="minorHAnsi" w:hAnsiTheme="minorHAnsi" w:cstheme="minorHAnsi"/>
              </w:rPr>
              <w:t>Similarly, long-term freezing of thresholds inevitably increases the likelihood of them</w:t>
            </w:r>
            <w:r>
              <w:rPr>
                <w:rFonts w:asciiTheme="minorHAnsi" w:hAnsiTheme="minorHAnsi" w:cstheme="minorHAnsi"/>
              </w:rPr>
              <w:t xml:space="preserve"> being reached. For example, w</w:t>
            </w:r>
            <w:r w:rsidRPr="00B95CFF">
              <w:rPr>
                <w:rFonts w:asciiTheme="minorHAnsi" w:hAnsiTheme="minorHAnsi" w:cstheme="minorHAnsi"/>
              </w:rPr>
              <w:t xml:space="preserve">hile the decision to freeze the pensions lifetime allowance until April 2026 provides certainty, </w:t>
            </w:r>
            <w:r>
              <w:rPr>
                <w:rFonts w:asciiTheme="minorHAnsi" w:hAnsiTheme="minorHAnsi" w:cstheme="minorHAnsi"/>
              </w:rPr>
              <w:t>individuals will need to ensure they do not unwittingly breach the threshold</w:t>
            </w:r>
            <w:r w:rsidRPr="00B95CFF">
              <w:rPr>
                <w:rFonts w:asciiTheme="minorHAnsi" w:hAnsiTheme="minorHAnsi" w:cstheme="minorHAnsi"/>
              </w:rPr>
              <w:t xml:space="preserve">. </w:t>
            </w:r>
          </w:p>
        </w:tc>
      </w:tr>
      <w:tr w:rsidTr="00890044">
        <w:tblPrEx>
          <w:tblW w:w="10548" w:type="dxa"/>
          <w:jc w:val="center"/>
          <w:tblLook w:val="0000"/>
        </w:tblPrEx>
        <w:trPr>
          <w:trHeight w:val="60"/>
          <w:jc w:val="center"/>
        </w:trPr>
        <w:tc>
          <w:tcPr>
            <w:tcW w:w="709" w:type="dxa"/>
          </w:tcPr>
          <w:p w:rsidR="00FB1585" w:rsidRPr="00D849C0" w:rsidP="00D849C0">
            <w:pPr>
              <w:numPr>
                <w:ilvl w:val="1"/>
                <w:numId w:val="1"/>
              </w:numPr>
              <w:jc w:val="both"/>
              <w:rPr>
                <w:rFonts w:asciiTheme="minorHAnsi" w:hAnsiTheme="minorHAnsi" w:cstheme="minorHAnsi"/>
              </w:rPr>
            </w:pPr>
          </w:p>
        </w:tc>
        <w:tc>
          <w:tcPr>
            <w:tcW w:w="9839" w:type="dxa"/>
          </w:tcPr>
          <w:p w:rsidR="00FB1585" w:rsidP="00685C13">
            <w:pPr>
              <w:jc w:val="both"/>
              <w:rPr>
                <w:rFonts w:asciiTheme="minorHAnsi" w:hAnsiTheme="minorHAnsi" w:cstheme="minorHAnsi"/>
              </w:rPr>
            </w:pPr>
            <w:r>
              <w:rPr>
                <w:rFonts w:asciiTheme="minorHAnsi" w:hAnsiTheme="minorHAnsi" w:cstheme="minorHAnsi"/>
              </w:rPr>
              <w:t xml:space="preserve">We were also pleased </w:t>
            </w:r>
            <w:r w:rsidRPr="00FB1585">
              <w:rPr>
                <w:rFonts w:asciiTheme="minorHAnsi" w:hAnsiTheme="minorHAnsi" w:cstheme="minorHAnsi"/>
              </w:rPr>
              <w:t xml:space="preserve">to see the announcement on </w:t>
            </w:r>
            <w:r w:rsidRPr="00FB1585">
              <w:rPr>
                <w:rFonts w:asciiTheme="minorHAnsi" w:hAnsiTheme="minorHAnsi" w:cstheme="minorHAnsi"/>
              </w:rPr>
              <w:t>tax consultation day that, from 1 January 2022, over 90% of non-taxpaying estates each year will no longer have to complete inheritance tax (IHT) forms for deaths when probate or confirmation is required. The change will mean that only around 15% of estate</w:t>
            </w:r>
            <w:r w:rsidRPr="00FB1585">
              <w:rPr>
                <w:rFonts w:asciiTheme="minorHAnsi" w:hAnsiTheme="minorHAnsi" w:cstheme="minorHAnsi"/>
              </w:rPr>
              <w:t xml:space="preserve">s will need </w:t>
            </w:r>
            <w:r w:rsidRPr="00FB1585">
              <w:rPr>
                <w:rFonts w:asciiTheme="minorHAnsi" w:hAnsiTheme="minorHAnsi" w:cstheme="minorHAnsi"/>
              </w:rPr>
              <w:t>to complete some form of IHT return, and will be a welcome simplification for families and executors in the aftermath of bereavement.</w:t>
            </w:r>
          </w:p>
        </w:tc>
      </w:tr>
      <w:tr w:rsidTr="00890044">
        <w:tblPrEx>
          <w:tblW w:w="10548" w:type="dxa"/>
          <w:jc w:val="center"/>
          <w:tblLook w:val="0000"/>
        </w:tblPrEx>
        <w:trPr>
          <w:jc w:val="center"/>
        </w:trPr>
        <w:tc>
          <w:tcPr>
            <w:tcW w:w="709" w:type="dxa"/>
          </w:tcPr>
          <w:p w:rsidR="00C27AD5" w:rsidRPr="00D849C0" w:rsidP="00C27AD5">
            <w:pPr>
              <w:numPr>
                <w:ilvl w:val="1"/>
                <w:numId w:val="1"/>
              </w:numPr>
              <w:jc w:val="both"/>
              <w:rPr>
                <w:rFonts w:asciiTheme="minorHAnsi" w:hAnsiTheme="minorHAnsi" w:cstheme="minorHAnsi"/>
              </w:rPr>
            </w:pPr>
          </w:p>
        </w:tc>
        <w:tc>
          <w:tcPr>
            <w:tcW w:w="9839" w:type="dxa"/>
          </w:tcPr>
          <w:p w:rsidR="00E1779B" w:rsidP="00B95CFF">
            <w:pPr>
              <w:jc w:val="both"/>
              <w:rPr>
                <w:rFonts w:asciiTheme="minorHAnsi" w:hAnsiTheme="minorHAnsi" w:cstheme="minorHAnsi"/>
              </w:rPr>
            </w:pPr>
            <w:r>
              <w:rPr>
                <w:rFonts w:asciiTheme="minorHAnsi" w:hAnsiTheme="minorHAnsi" w:cstheme="minorHAnsi"/>
              </w:rPr>
              <w:t xml:space="preserve">The personal allowance and higher-rate threshold will increase for 2021-22 in line with the </w:t>
            </w:r>
            <w:r>
              <w:rPr>
                <w:rFonts w:asciiTheme="minorHAnsi" w:hAnsiTheme="minorHAnsi" w:cstheme="minorHAnsi"/>
              </w:rPr>
              <w:t>September 2020 CPI, as announced in the November 2020 Spending Review. As a result, the higher-rate threshold for 2021/22 is set to be £50,270</w:t>
            </w:r>
            <w:r>
              <w:rPr>
                <w:rFonts w:asciiTheme="minorHAnsi" w:hAnsiTheme="minorHAnsi" w:cstheme="minorHAnsi"/>
              </w:rPr>
              <w:t xml:space="preserve">. </w:t>
            </w:r>
            <w:r>
              <w:rPr>
                <w:rFonts w:asciiTheme="minorHAnsi" w:hAnsiTheme="minorHAnsi" w:cstheme="minorHAnsi"/>
              </w:rPr>
              <w:t>This means that basic rate taxpayers, for the first time, will be affected by the High Income Child Benefit Char</w:t>
            </w:r>
            <w:r>
              <w:rPr>
                <w:rFonts w:asciiTheme="minorHAnsi" w:hAnsiTheme="minorHAnsi" w:cstheme="minorHAnsi"/>
              </w:rPr>
              <w:t>ge (HICBC). This is directly contrary to the original policy intent of the HICBC announced in the spending review ten years earlier, which stated that the charge should only affect families with a higher-rate taxpayer. It is therefore disappointing that th</w:t>
            </w:r>
            <w:r>
              <w:rPr>
                <w:rFonts w:asciiTheme="minorHAnsi" w:hAnsiTheme="minorHAnsi" w:cstheme="minorHAnsi"/>
              </w:rPr>
              <w:t>e Government did not take the opportunity to increase the threshold at which the HICBC begins to at least £60,000 as suggested by LITRG in their pre-budget representation.</w:t>
            </w:r>
            <w:r>
              <w:rPr>
                <w:rStyle w:val="FootnoteReference"/>
                <w:rFonts w:asciiTheme="minorHAnsi" w:hAnsiTheme="minorHAnsi" w:cstheme="minorHAnsi"/>
              </w:rPr>
              <w:footnoteReference w:id="5"/>
            </w:r>
            <w:r>
              <w:rPr>
                <w:rFonts w:asciiTheme="minorHAnsi" w:hAnsiTheme="minorHAnsi" w:cstheme="minorHAnsi"/>
              </w:rPr>
              <w:t xml:space="preserve"> </w:t>
            </w:r>
            <w:r w:rsidRPr="00645762">
              <w:rPr>
                <w:rFonts w:asciiTheme="minorHAnsi" w:hAnsiTheme="minorHAnsi" w:cstheme="minorHAnsi"/>
              </w:rPr>
              <w:t xml:space="preserve">At the very least, in line with the Committee’s principle of ensuring there is </w:t>
            </w:r>
            <w:r w:rsidRPr="00645762">
              <w:rPr>
                <w:rFonts w:asciiTheme="minorHAnsi" w:hAnsiTheme="minorHAnsi" w:cstheme="minorHAnsi"/>
              </w:rPr>
              <w:t>ongoing monitoring of tax measures, we think that the HICBC is due a public review of whether the policy is working effectively – the number of cases reaching the First-tier Tribunal concerned with backdated assessments to the charge suggest</w:t>
            </w:r>
            <w:r>
              <w:rPr>
                <w:rFonts w:asciiTheme="minorHAnsi" w:hAnsiTheme="minorHAnsi" w:cstheme="minorHAnsi"/>
              </w:rPr>
              <w:t>s</w:t>
            </w:r>
            <w:r w:rsidRPr="00645762">
              <w:rPr>
                <w:rFonts w:asciiTheme="minorHAnsi" w:hAnsiTheme="minorHAnsi" w:cstheme="minorHAnsi"/>
              </w:rPr>
              <w:t xml:space="preserve"> that it is no</w:t>
            </w:r>
            <w:r w:rsidRPr="00645762">
              <w:rPr>
                <w:rFonts w:asciiTheme="minorHAnsi" w:hAnsiTheme="minorHAnsi" w:cstheme="minorHAnsi"/>
              </w:rPr>
              <w:t>t.</w:t>
            </w:r>
          </w:p>
          <w:p w:rsidR="00E1779B" w:rsidRPr="00D849C0" w:rsidP="004036E4">
            <w:pPr>
              <w:ind w:left="-533" w:hanging="533"/>
              <w:jc w:val="both"/>
              <w:rPr>
                <w:rFonts w:asciiTheme="minorHAnsi" w:hAnsiTheme="minorHAnsi" w:cstheme="minorHAnsi"/>
              </w:rPr>
            </w:pPr>
            <w:r>
              <w:rPr>
                <w:rFonts w:asciiTheme="minorHAnsi" w:hAnsiTheme="minorHAnsi" w:cstheme="minorHAnsi"/>
              </w:rPr>
              <w:t xml:space="preserve">6.6 </w:t>
            </w:r>
          </w:p>
        </w:tc>
      </w:tr>
      <w:tr w:rsidTr="00890044">
        <w:tblPrEx>
          <w:tblW w:w="10548" w:type="dxa"/>
          <w:jc w:val="center"/>
          <w:tblLook w:val="0000"/>
        </w:tblPrEx>
        <w:trPr>
          <w:jc w:val="center"/>
        </w:trPr>
        <w:tc>
          <w:tcPr>
            <w:tcW w:w="709" w:type="dxa"/>
          </w:tcPr>
          <w:p w:rsidR="001F6F2B" w:rsidRPr="00D849C0" w:rsidP="001F6F2B">
            <w:pPr>
              <w:numPr>
                <w:ilvl w:val="0"/>
                <w:numId w:val="1"/>
              </w:numPr>
              <w:jc w:val="both"/>
              <w:rPr>
                <w:rFonts w:asciiTheme="minorHAnsi" w:hAnsiTheme="minorHAnsi" w:cstheme="minorHAnsi"/>
              </w:rPr>
            </w:pPr>
          </w:p>
        </w:tc>
        <w:tc>
          <w:tcPr>
            <w:tcW w:w="9839" w:type="dxa"/>
          </w:tcPr>
          <w:p w:rsidR="001F6F2B" w:rsidRPr="001F6F2B" w:rsidP="00D849C0">
            <w:pPr>
              <w:jc w:val="both"/>
              <w:rPr>
                <w:rFonts w:asciiTheme="minorHAnsi" w:hAnsiTheme="minorHAnsi" w:cstheme="minorHAnsi"/>
                <w:b/>
              </w:rPr>
            </w:pPr>
            <w:r w:rsidRPr="001F6F2B">
              <w:rPr>
                <w:rFonts w:asciiTheme="minorHAnsi" w:hAnsiTheme="minorHAnsi" w:cstheme="minorHAnsi"/>
                <w:b/>
              </w:rPr>
              <w:t>Personal Tax</w:t>
            </w:r>
          </w:p>
        </w:tc>
      </w:tr>
      <w:tr w:rsidTr="00890044">
        <w:tblPrEx>
          <w:tblW w:w="10548" w:type="dxa"/>
          <w:jc w:val="center"/>
          <w:tblLook w:val="0000"/>
        </w:tblPrEx>
        <w:trPr>
          <w:jc w:val="center"/>
        </w:trPr>
        <w:tc>
          <w:tcPr>
            <w:tcW w:w="709" w:type="dxa"/>
          </w:tcPr>
          <w:p w:rsidR="001F6F2B" w:rsidRPr="0037187C" w:rsidP="00D849C0">
            <w:pPr>
              <w:numPr>
                <w:ilvl w:val="1"/>
                <w:numId w:val="1"/>
              </w:numPr>
              <w:jc w:val="both"/>
              <w:rPr>
                <w:rFonts w:asciiTheme="minorHAnsi" w:hAnsiTheme="minorHAnsi" w:cstheme="minorHAnsi"/>
                <w:u w:val="single"/>
              </w:rPr>
            </w:pPr>
          </w:p>
        </w:tc>
        <w:tc>
          <w:tcPr>
            <w:tcW w:w="9839" w:type="dxa"/>
          </w:tcPr>
          <w:p w:rsidR="001F6F2B" w:rsidRPr="0037187C" w:rsidP="00D849C0">
            <w:pPr>
              <w:jc w:val="both"/>
              <w:rPr>
                <w:rFonts w:asciiTheme="minorHAnsi" w:hAnsiTheme="minorHAnsi" w:cstheme="minorHAnsi"/>
                <w:u w:val="single"/>
              </w:rPr>
            </w:pPr>
            <w:r w:rsidRPr="0037187C">
              <w:rPr>
                <w:rFonts w:asciiTheme="minorHAnsi" w:hAnsiTheme="minorHAnsi" w:cstheme="minorHAnsi"/>
                <w:u w:val="single"/>
              </w:rPr>
              <w:t>Social Investment Tax Relief (SITR) extension [2.148]</w:t>
            </w:r>
          </w:p>
        </w:tc>
      </w:tr>
      <w:tr w:rsidTr="00890044">
        <w:tblPrEx>
          <w:tblW w:w="10548" w:type="dxa"/>
          <w:jc w:val="center"/>
          <w:tblLook w:val="0000"/>
        </w:tblPrEx>
        <w:trPr>
          <w:jc w:val="center"/>
        </w:trPr>
        <w:tc>
          <w:tcPr>
            <w:tcW w:w="709" w:type="dxa"/>
          </w:tcPr>
          <w:p w:rsidR="001F6F2B" w:rsidRPr="00D849C0" w:rsidP="00D849C0">
            <w:pPr>
              <w:numPr>
                <w:ilvl w:val="1"/>
                <w:numId w:val="1"/>
              </w:numPr>
              <w:jc w:val="both"/>
              <w:rPr>
                <w:rFonts w:asciiTheme="minorHAnsi" w:hAnsiTheme="minorHAnsi" w:cstheme="minorHAnsi"/>
              </w:rPr>
            </w:pPr>
          </w:p>
        </w:tc>
        <w:tc>
          <w:tcPr>
            <w:tcW w:w="9839" w:type="dxa"/>
          </w:tcPr>
          <w:p w:rsidR="001F6F2B" w:rsidRPr="00D849C0" w:rsidP="001A6E7F">
            <w:pPr>
              <w:jc w:val="both"/>
              <w:rPr>
                <w:rFonts w:asciiTheme="minorHAnsi" w:hAnsiTheme="minorHAnsi" w:cstheme="minorHAnsi"/>
              </w:rPr>
            </w:pPr>
            <w:r>
              <w:rPr>
                <w:rFonts w:asciiTheme="minorHAnsi" w:hAnsiTheme="minorHAnsi" w:cstheme="minorHAnsi"/>
              </w:rPr>
              <w:t>At B</w:t>
            </w:r>
            <w:r w:rsidRPr="001A6E7F">
              <w:rPr>
                <w:rFonts w:asciiTheme="minorHAnsi" w:hAnsiTheme="minorHAnsi" w:cstheme="minorHAnsi"/>
              </w:rPr>
              <w:t>udget 2021 the government announced it would extend SITR in its current form beyond its sunset clau</w:t>
            </w:r>
            <w:r>
              <w:rPr>
                <w:rFonts w:asciiTheme="minorHAnsi" w:hAnsiTheme="minorHAnsi" w:cstheme="minorHAnsi"/>
              </w:rPr>
              <w:t>se of April 2021, for two years</w:t>
            </w:r>
            <w:r w:rsidRPr="001A6E7F">
              <w:rPr>
                <w:rFonts w:asciiTheme="minorHAnsi" w:hAnsiTheme="minorHAnsi" w:cstheme="minorHAnsi"/>
              </w:rPr>
              <w:t>.</w:t>
            </w:r>
            <w:r>
              <w:rPr>
                <w:rFonts w:asciiTheme="minorHAnsi" w:hAnsiTheme="minorHAnsi" w:cstheme="minorHAnsi"/>
              </w:rPr>
              <w:t xml:space="preserve"> In the meantime, t</w:t>
            </w:r>
            <w:r w:rsidRPr="001A6E7F">
              <w:rPr>
                <w:rFonts w:asciiTheme="minorHAnsi" w:hAnsiTheme="minorHAnsi" w:cstheme="minorHAnsi"/>
              </w:rPr>
              <w:t xml:space="preserve">he government </w:t>
            </w:r>
            <w:r>
              <w:rPr>
                <w:rFonts w:asciiTheme="minorHAnsi" w:hAnsiTheme="minorHAnsi" w:cstheme="minorHAnsi"/>
              </w:rPr>
              <w:t>will co</w:t>
            </w:r>
            <w:r>
              <w:rPr>
                <w:rFonts w:asciiTheme="minorHAnsi" w:hAnsiTheme="minorHAnsi" w:cstheme="minorHAnsi"/>
              </w:rPr>
              <w:t>ntinue</w:t>
            </w:r>
            <w:r w:rsidRPr="001A6E7F">
              <w:rPr>
                <w:rFonts w:asciiTheme="minorHAnsi" w:hAnsiTheme="minorHAnsi" w:cstheme="minorHAnsi"/>
              </w:rPr>
              <w:t xml:space="preserve"> to monitor the social investment market and assess the most appropriate form of support for the policy objectives that SITR was introduced to achieve.</w:t>
            </w:r>
          </w:p>
        </w:tc>
      </w:tr>
      <w:tr w:rsidTr="00890044">
        <w:tblPrEx>
          <w:tblW w:w="10548" w:type="dxa"/>
          <w:jc w:val="center"/>
          <w:tblLook w:val="0000"/>
        </w:tblPrEx>
        <w:trPr>
          <w:jc w:val="center"/>
        </w:trPr>
        <w:tc>
          <w:tcPr>
            <w:tcW w:w="709" w:type="dxa"/>
          </w:tcPr>
          <w:p w:rsidR="00015DCD" w:rsidRPr="00D849C0" w:rsidP="00D849C0">
            <w:pPr>
              <w:numPr>
                <w:ilvl w:val="1"/>
                <w:numId w:val="1"/>
              </w:numPr>
              <w:jc w:val="both"/>
              <w:rPr>
                <w:rFonts w:asciiTheme="minorHAnsi" w:hAnsiTheme="minorHAnsi" w:cstheme="minorHAnsi"/>
              </w:rPr>
            </w:pPr>
          </w:p>
        </w:tc>
        <w:tc>
          <w:tcPr>
            <w:tcW w:w="9839" w:type="dxa"/>
          </w:tcPr>
          <w:p w:rsidR="00015DCD" w:rsidP="000F239F">
            <w:pPr>
              <w:jc w:val="both"/>
              <w:rPr>
                <w:rFonts w:asciiTheme="minorHAnsi" w:hAnsiTheme="minorHAnsi" w:cstheme="minorHAnsi"/>
              </w:rPr>
            </w:pPr>
            <w:r>
              <w:rPr>
                <w:rFonts w:asciiTheme="minorHAnsi" w:hAnsiTheme="minorHAnsi" w:cstheme="minorHAnsi"/>
              </w:rPr>
              <w:t>The social enterprise market is a small but important one, bridging the gap between charit</w:t>
            </w:r>
            <w:r>
              <w:rPr>
                <w:rFonts w:asciiTheme="minorHAnsi" w:hAnsiTheme="minorHAnsi" w:cstheme="minorHAnsi"/>
              </w:rPr>
              <w:t>ies</w:t>
            </w:r>
            <w:r>
              <w:rPr>
                <w:rFonts w:asciiTheme="minorHAnsi" w:hAnsiTheme="minorHAnsi" w:cstheme="minorHAnsi"/>
              </w:rPr>
              <w:t xml:space="preserve"> and businesses. Many </w:t>
            </w:r>
            <w:r>
              <w:rPr>
                <w:rFonts w:asciiTheme="minorHAnsi" w:hAnsiTheme="minorHAnsi" w:cstheme="minorHAnsi"/>
              </w:rPr>
              <w:t>smaller social enterprises</w:t>
            </w:r>
            <w:r>
              <w:rPr>
                <w:rFonts w:asciiTheme="minorHAnsi" w:hAnsiTheme="minorHAnsi" w:cstheme="minorHAnsi"/>
              </w:rPr>
              <w:t xml:space="preserve"> rely heavily on grant-funding and donations. SITR encourages them to look at more ‘commercial’ forms of financing such as equity and debt. </w:t>
            </w:r>
          </w:p>
        </w:tc>
      </w:tr>
      <w:tr w:rsidTr="00890044">
        <w:tblPrEx>
          <w:tblW w:w="10548" w:type="dxa"/>
          <w:jc w:val="center"/>
          <w:tblLook w:val="0000"/>
        </w:tblPrEx>
        <w:trPr>
          <w:jc w:val="center"/>
        </w:trPr>
        <w:tc>
          <w:tcPr>
            <w:tcW w:w="709" w:type="dxa"/>
          </w:tcPr>
          <w:p w:rsidR="00015DCD" w:rsidRPr="00D849C0" w:rsidP="00D849C0">
            <w:pPr>
              <w:numPr>
                <w:ilvl w:val="1"/>
                <w:numId w:val="1"/>
              </w:numPr>
              <w:jc w:val="both"/>
              <w:rPr>
                <w:rFonts w:asciiTheme="minorHAnsi" w:hAnsiTheme="minorHAnsi" w:cstheme="minorHAnsi"/>
              </w:rPr>
            </w:pPr>
          </w:p>
        </w:tc>
        <w:tc>
          <w:tcPr>
            <w:tcW w:w="9839" w:type="dxa"/>
          </w:tcPr>
          <w:p w:rsidR="00015DCD" w:rsidP="000F239F">
            <w:pPr>
              <w:jc w:val="both"/>
              <w:rPr>
                <w:rFonts w:asciiTheme="minorHAnsi" w:hAnsiTheme="minorHAnsi" w:cstheme="minorHAnsi"/>
              </w:rPr>
            </w:pPr>
            <w:r>
              <w:rPr>
                <w:rFonts w:asciiTheme="minorHAnsi" w:hAnsiTheme="minorHAnsi" w:cstheme="minorHAnsi"/>
              </w:rPr>
              <w:t>However, because SITR is modelled on the Enterprise Investment Sc</w:t>
            </w:r>
            <w:r>
              <w:rPr>
                <w:rFonts w:asciiTheme="minorHAnsi" w:hAnsiTheme="minorHAnsi" w:cstheme="minorHAnsi"/>
              </w:rPr>
              <w:t>heme (EIS), it is complex –</w:t>
            </w:r>
            <w:r>
              <w:rPr>
                <w:rFonts w:asciiTheme="minorHAnsi" w:hAnsiTheme="minorHAnsi" w:cstheme="minorHAnsi"/>
              </w:rPr>
              <w:t xml:space="preserve"> much too complex for the smaller</w:t>
            </w:r>
            <w:r>
              <w:rPr>
                <w:rFonts w:asciiTheme="minorHAnsi" w:hAnsiTheme="minorHAnsi" w:cstheme="minorHAnsi"/>
              </w:rPr>
              <w:t xml:space="preserve"> organisations it is designed to support. (We would make similar observations in relation to the Seed Enterprise Investment Scheme (SEIS), which is </w:t>
            </w:r>
            <w:r>
              <w:rPr>
                <w:rFonts w:asciiTheme="minorHAnsi" w:hAnsiTheme="minorHAnsi" w:cstheme="minorHAnsi"/>
              </w:rPr>
              <w:t xml:space="preserve">also </w:t>
            </w:r>
            <w:r>
              <w:rPr>
                <w:rFonts w:asciiTheme="minorHAnsi" w:hAnsiTheme="minorHAnsi" w:cstheme="minorHAnsi"/>
              </w:rPr>
              <w:t>complex</w:t>
            </w:r>
            <w:r>
              <w:rPr>
                <w:rFonts w:asciiTheme="minorHAnsi" w:hAnsiTheme="minorHAnsi" w:cstheme="minorHAnsi"/>
              </w:rPr>
              <w:t xml:space="preserve"> and difficult</w:t>
            </w:r>
            <w:r>
              <w:rPr>
                <w:rFonts w:asciiTheme="minorHAnsi" w:hAnsiTheme="minorHAnsi" w:cstheme="minorHAnsi"/>
              </w:rPr>
              <w:t xml:space="preserve"> for small companies t</w:t>
            </w:r>
            <w:r>
              <w:rPr>
                <w:rFonts w:asciiTheme="minorHAnsi" w:hAnsiTheme="minorHAnsi" w:cstheme="minorHAnsi"/>
              </w:rPr>
              <w:t>o navigate).</w:t>
            </w:r>
          </w:p>
        </w:tc>
      </w:tr>
      <w:tr w:rsidTr="00890044">
        <w:tblPrEx>
          <w:tblW w:w="10548" w:type="dxa"/>
          <w:jc w:val="center"/>
          <w:tblLook w:val="0000"/>
        </w:tblPrEx>
        <w:trPr>
          <w:jc w:val="center"/>
        </w:trPr>
        <w:tc>
          <w:tcPr>
            <w:tcW w:w="709" w:type="dxa"/>
          </w:tcPr>
          <w:p w:rsidR="001A6E7F" w:rsidRPr="00D849C0" w:rsidP="00D849C0">
            <w:pPr>
              <w:numPr>
                <w:ilvl w:val="1"/>
                <w:numId w:val="1"/>
              </w:numPr>
              <w:jc w:val="both"/>
              <w:rPr>
                <w:rFonts w:asciiTheme="minorHAnsi" w:hAnsiTheme="minorHAnsi" w:cstheme="minorHAnsi"/>
              </w:rPr>
            </w:pPr>
          </w:p>
        </w:tc>
        <w:tc>
          <w:tcPr>
            <w:tcW w:w="9839" w:type="dxa"/>
          </w:tcPr>
          <w:p w:rsidR="001A6E7F" w:rsidP="008D4DAC">
            <w:pPr>
              <w:jc w:val="both"/>
              <w:rPr>
                <w:rFonts w:asciiTheme="minorHAnsi" w:hAnsiTheme="minorHAnsi" w:cstheme="minorHAnsi"/>
              </w:rPr>
            </w:pPr>
            <w:r>
              <w:rPr>
                <w:rFonts w:asciiTheme="minorHAnsi" w:hAnsiTheme="minorHAnsi" w:cstheme="minorHAnsi"/>
              </w:rPr>
              <w:t>So whilst we are pleased to see this short-term extension of SITR, it does nothing to ease the complex require</w:t>
            </w:r>
            <w:r>
              <w:rPr>
                <w:rFonts w:asciiTheme="minorHAnsi" w:hAnsiTheme="minorHAnsi" w:cstheme="minorHAnsi"/>
              </w:rPr>
              <w:t>ments for obtaining the relief</w:t>
            </w:r>
            <w:r>
              <w:rPr>
                <w:rFonts w:asciiTheme="minorHAnsi" w:hAnsiTheme="minorHAnsi" w:cstheme="minorHAnsi"/>
              </w:rPr>
              <w:t>, nor awareness of the relief itself; both of which represent barriers to its take up</w:t>
            </w:r>
            <w:r>
              <w:rPr>
                <w:rFonts w:asciiTheme="minorHAnsi" w:hAnsiTheme="minorHAnsi" w:cstheme="minorHAnsi"/>
              </w:rPr>
              <w:t xml:space="preserve">. </w:t>
            </w:r>
          </w:p>
        </w:tc>
      </w:tr>
      <w:tr w:rsidTr="00890044">
        <w:tblPrEx>
          <w:tblW w:w="10548" w:type="dxa"/>
          <w:jc w:val="center"/>
          <w:tblLook w:val="0000"/>
        </w:tblPrEx>
        <w:trPr>
          <w:jc w:val="center"/>
        </w:trPr>
        <w:tc>
          <w:tcPr>
            <w:tcW w:w="709" w:type="dxa"/>
          </w:tcPr>
          <w:p w:rsidR="0037187C" w:rsidRPr="00D849C0" w:rsidP="00D849C0">
            <w:pPr>
              <w:numPr>
                <w:ilvl w:val="1"/>
                <w:numId w:val="1"/>
              </w:numPr>
              <w:jc w:val="both"/>
              <w:rPr>
                <w:rFonts w:asciiTheme="minorHAnsi" w:hAnsiTheme="minorHAnsi" w:cstheme="minorHAnsi"/>
              </w:rPr>
            </w:pPr>
          </w:p>
        </w:tc>
        <w:tc>
          <w:tcPr>
            <w:tcW w:w="9839" w:type="dxa"/>
          </w:tcPr>
          <w:p w:rsidR="0037187C" w:rsidRPr="008D4DAC" w:rsidP="000F239F">
            <w:pPr>
              <w:jc w:val="both"/>
              <w:rPr>
                <w:rFonts w:asciiTheme="minorHAnsi" w:hAnsiTheme="minorHAnsi" w:cstheme="minorHAnsi"/>
              </w:rPr>
            </w:pPr>
            <w:r>
              <w:rPr>
                <w:rFonts w:asciiTheme="minorHAnsi" w:hAnsiTheme="minorHAnsi" w:cstheme="minorHAnsi"/>
              </w:rPr>
              <w:t xml:space="preserve">The </w:t>
            </w:r>
            <w:r>
              <w:rPr>
                <w:rFonts w:asciiTheme="minorHAnsi" w:hAnsiTheme="minorHAnsi" w:cstheme="minorHAnsi"/>
              </w:rPr>
              <w:t>governm</w:t>
            </w:r>
            <w:r>
              <w:rPr>
                <w:rFonts w:asciiTheme="minorHAnsi" w:hAnsiTheme="minorHAnsi" w:cstheme="minorHAnsi"/>
              </w:rPr>
              <w:t xml:space="preserve">ent should be encouraged to consult more widely on how investment in </w:t>
            </w:r>
            <w:r>
              <w:rPr>
                <w:rFonts w:asciiTheme="minorHAnsi" w:hAnsiTheme="minorHAnsi" w:cstheme="minorHAnsi"/>
              </w:rPr>
              <w:t>social enterprises</w:t>
            </w:r>
            <w:r>
              <w:rPr>
                <w:rFonts w:asciiTheme="minorHAnsi" w:hAnsiTheme="minorHAnsi" w:cstheme="minorHAnsi"/>
              </w:rPr>
              <w:t xml:space="preserve"> can be facilitated. This would go broader than tax matters, but one such element should be the extent (if any) that the tax system should incentivise such investments</w:t>
            </w:r>
            <w:r>
              <w:rPr>
                <w:color w:val="FF0000"/>
              </w:rPr>
              <w:t xml:space="preserve"> </w:t>
            </w:r>
            <w:r w:rsidRPr="000F239F">
              <w:t>a</w:t>
            </w:r>
            <w:r w:rsidRPr="000F239F">
              <w:t>nd, if so, the best model to use</w:t>
            </w:r>
            <w:r>
              <w:rPr>
                <w:rFonts w:asciiTheme="minorHAnsi" w:hAnsiTheme="minorHAnsi" w:cstheme="minorHAnsi"/>
              </w:rPr>
              <w:t>.</w:t>
            </w:r>
          </w:p>
        </w:tc>
      </w:tr>
      <w:tr w:rsidTr="00890044">
        <w:tblPrEx>
          <w:tblW w:w="10548" w:type="dxa"/>
          <w:jc w:val="center"/>
          <w:tblLook w:val="0000"/>
        </w:tblPrEx>
        <w:trPr>
          <w:jc w:val="center"/>
        </w:trPr>
        <w:tc>
          <w:tcPr>
            <w:tcW w:w="709" w:type="dxa"/>
          </w:tcPr>
          <w:p w:rsidR="004036E4" w:rsidRPr="00D849C0" w:rsidP="00D849C0">
            <w:pPr>
              <w:numPr>
                <w:ilvl w:val="1"/>
                <w:numId w:val="1"/>
              </w:numPr>
              <w:jc w:val="both"/>
              <w:rPr>
                <w:rFonts w:asciiTheme="minorHAnsi" w:hAnsiTheme="minorHAnsi" w:cstheme="minorHAnsi"/>
              </w:rPr>
            </w:pPr>
          </w:p>
        </w:tc>
        <w:tc>
          <w:tcPr>
            <w:tcW w:w="9839" w:type="dxa"/>
          </w:tcPr>
          <w:p w:rsidR="004036E4" w:rsidRPr="004036E4" w:rsidP="000F239F">
            <w:pPr>
              <w:jc w:val="both"/>
              <w:rPr>
                <w:rFonts w:asciiTheme="minorHAnsi" w:hAnsiTheme="minorHAnsi" w:cstheme="minorHAnsi"/>
                <w:u w:val="single"/>
              </w:rPr>
            </w:pPr>
            <w:r w:rsidRPr="004036E4">
              <w:rPr>
                <w:rFonts w:asciiTheme="minorHAnsi" w:hAnsiTheme="minorHAnsi" w:cstheme="minorHAnsi"/>
                <w:u w:val="single"/>
              </w:rPr>
              <w:t>Pensions tax</w:t>
            </w:r>
          </w:p>
        </w:tc>
      </w:tr>
      <w:tr w:rsidTr="00890044">
        <w:tblPrEx>
          <w:tblW w:w="10548" w:type="dxa"/>
          <w:jc w:val="center"/>
          <w:tblLook w:val="0000"/>
        </w:tblPrEx>
        <w:trPr>
          <w:jc w:val="center"/>
        </w:trPr>
        <w:tc>
          <w:tcPr>
            <w:tcW w:w="709" w:type="dxa"/>
          </w:tcPr>
          <w:p w:rsidR="004036E4" w:rsidRPr="00D849C0" w:rsidP="00D849C0">
            <w:pPr>
              <w:numPr>
                <w:ilvl w:val="1"/>
                <w:numId w:val="1"/>
              </w:numPr>
              <w:jc w:val="both"/>
              <w:rPr>
                <w:rFonts w:asciiTheme="minorHAnsi" w:hAnsiTheme="minorHAnsi" w:cstheme="minorHAnsi"/>
              </w:rPr>
            </w:pPr>
          </w:p>
        </w:tc>
        <w:tc>
          <w:tcPr>
            <w:tcW w:w="9839" w:type="dxa"/>
          </w:tcPr>
          <w:p w:rsidR="004036E4" w:rsidP="004036E4">
            <w:pPr>
              <w:jc w:val="both"/>
              <w:rPr>
                <w:rFonts w:asciiTheme="minorHAnsi" w:hAnsiTheme="minorHAnsi" w:cstheme="minorHAnsi"/>
              </w:rPr>
            </w:pPr>
            <w:r>
              <w:rPr>
                <w:rFonts w:asciiTheme="minorHAnsi" w:hAnsiTheme="minorHAnsi" w:cstheme="minorHAnsi"/>
              </w:rPr>
              <w:t xml:space="preserve">We note that the government is undertaking a number of pensions tax technical updates, but we are disappointed that no mention is made of net pay pension schemes, notwithstanding the fact that </w:t>
            </w:r>
            <w:r>
              <w:rPr>
                <w:rFonts w:asciiTheme="minorHAnsi" w:hAnsiTheme="minorHAnsi" w:cstheme="minorHAnsi"/>
              </w:rPr>
              <w:t xml:space="preserve">seeking to </w:t>
            </w:r>
            <w:r>
              <w:rPr>
                <w:rFonts w:asciiTheme="minorHAnsi" w:hAnsiTheme="minorHAnsi" w:cstheme="minorHAnsi"/>
              </w:rPr>
              <w:t xml:space="preserve">address </w:t>
            </w:r>
            <w:r>
              <w:rPr>
                <w:rFonts w:asciiTheme="minorHAnsi" w:hAnsiTheme="minorHAnsi" w:cstheme="minorHAnsi"/>
              </w:rPr>
              <w:t xml:space="preserve">this </w:t>
            </w:r>
            <w:r>
              <w:rPr>
                <w:rFonts w:asciiTheme="minorHAnsi" w:hAnsiTheme="minorHAnsi" w:cstheme="minorHAnsi"/>
              </w:rPr>
              <w:t xml:space="preserve">issue </w:t>
            </w:r>
            <w:r>
              <w:rPr>
                <w:rFonts w:asciiTheme="minorHAnsi" w:hAnsiTheme="minorHAnsi" w:cstheme="minorHAnsi"/>
              </w:rPr>
              <w:t xml:space="preserve">was a commitment in the </w:t>
            </w:r>
            <w:r>
              <w:rPr>
                <w:rFonts w:asciiTheme="minorHAnsi" w:hAnsiTheme="minorHAnsi" w:cstheme="minorHAnsi"/>
              </w:rPr>
              <w:t xml:space="preserve">2019 </w:t>
            </w:r>
            <w:r>
              <w:rPr>
                <w:rFonts w:asciiTheme="minorHAnsi" w:hAnsiTheme="minorHAnsi" w:cstheme="minorHAnsi"/>
              </w:rPr>
              <w:t>Cons</w:t>
            </w:r>
            <w:r>
              <w:rPr>
                <w:rFonts w:asciiTheme="minorHAnsi" w:hAnsiTheme="minorHAnsi" w:cstheme="minorHAnsi"/>
              </w:rPr>
              <w:t xml:space="preserve">ervative </w:t>
            </w:r>
            <w:r>
              <w:rPr>
                <w:rFonts w:asciiTheme="minorHAnsi" w:hAnsiTheme="minorHAnsi" w:cstheme="minorHAnsi"/>
              </w:rPr>
              <w:t xml:space="preserve">Election </w:t>
            </w:r>
            <w:r>
              <w:rPr>
                <w:rFonts w:asciiTheme="minorHAnsi" w:hAnsiTheme="minorHAnsi" w:cstheme="minorHAnsi"/>
              </w:rPr>
              <w:t>manifesto.</w:t>
            </w:r>
            <w:r>
              <w:rPr>
                <w:rStyle w:val="FootnoteReference"/>
                <w:rFonts w:asciiTheme="minorHAnsi" w:hAnsiTheme="minorHAnsi" w:cstheme="minorHAnsi"/>
              </w:rPr>
              <w:footnoteReference w:id="6"/>
            </w:r>
            <w:r>
              <w:rPr>
                <w:rFonts w:asciiTheme="minorHAnsi" w:hAnsiTheme="minorHAnsi" w:cstheme="minorHAnsi"/>
              </w:rPr>
              <w:t xml:space="preserve"> We urge the government to look at this area, and remove this unfairness, without further delay. </w:t>
            </w:r>
          </w:p>
          <w:p w:rsidR="00F37D3C" w:rsidP="004036E4">
            <w:pPr>
              <w:jc w:val="both"/>
              <w:rPr>
                <w:rFonts w:asciiTheme="minorHAnsi" w:hAnsiTheme="minorHAnsi" w:cstheme="minorHAnsi"/>
              </w:rPr>
            </w:pPr>
          </w:p>
        </w:tc>
      </w:tr>
      <w:tr w:rsidTr="00890044">
        <w:tblPrEx>
          <w:tblW w:w="10548" w:type="dxa"/>
          <w:jc w:val="center"/>
          <w:tblLook w:val="0000"/>
        </w:tblPrEx>
        <w:trPr>
          <w:jc w:val="center"/>
        </w:trPr>
        <w:tc>
          <w:tcPr>
            <w:tcW w:w="709" w:type="dxa"/>
          </w:tcPr>
          <w:p w:rsidR="001F6F2B" w:rsidRPr="00D849C0" w:rsidP="001F6F2B">
            <w:pPr>
              <w:numPr>
                <w:ilvl w:val="0"/>
                <w:numId w:val="1"/>
              </w:numPr>
              <w:jc w:val="both"/>
              <w:rPr>
                <w:rFonts w:asciiTheme="minorHAnsi" w:hAnsiTheme="minorHAnsi" w:cstheme="minorHAnsi"/>
              </w:rPr>
            </w:pPr>
          </w:p>
        </w:tc>
        <w:tc>
          <w:tcPr>
            <w:tcW w:w="9839" w:type="dxa"/>
          </w:tcPr>
          <w:p w:rsidR="001F6F2B" w:rsidRPr="001F6F2B" w:rsidP="00D849C0">
            <w:pPr>
              <w:jc w:val="both"/>
              <w:rPr>
                <w:rFonts w:asciiTheme="minorHAnsi" w:hAnsiTheme="minorHAnsi" w:cstheme="minorHAnsi"/>
                <w:b/>
              </w:rPr>
            </w:pPr>
            <w:r w:rsidRPr="001F6F2B">
              <w:rPr>
                <w:rFonts w:asciiTheme="minorHAnsi" w:hAnsiTheme="minorHAnsi" w:cstheme="minorHAnsi"/>
                <w:b/>
              </w:rPr>
              <w:t>Business Tax</w:t>
            </w:r>
            <w:r>
              <w:rPr>
                <w:rFonts w:asciiTheme="minorHAnsi" w:hAnsiTheme="minorHAnsi" w:cstheme="minorHAnsi"/>
                <w:b/>
              </w:rPr>
              <w:t>es</w:t>
            </w:r>
          </w:p>
        </w:tc>
      </w:tr>
      <w:tr w:rsidTr="00890044">
        <w:tblPrEx>
          <w:tblW w:w="10548" w:type="dxa"/>
          <w:jc w:val="center"/>
          <w:tblLook w:val="0000"/>
        </w:tblPrEx>
        <w:trPr>
          <w:jc w:val="center"/>
        </w:trPr>
        <w:tc>
          <w:tcPr>
            <w:tcW w:w="709" w:type="dxa"/>
          </w:tcPr>
          <w:p w:rsidR="001F6F2B" w:rsidRPr="006C68C8" w:rsidP="00D849C0">
            <w:pPr>
              <w:numPr>
                <w:ilvl w:val="1"/>
                <w:numId w:val="1"/>
              </w:numPr>
              <w:jc w:val="both"/>
              <w:rPr>
                <w:rFonts w:asciiTheme="minorHAnsi" w:hAnsiTheme="minorHAnsi" w:cstheme="minorHAnsi"/>
                <w:u w:val="single"/>
              </w:rPr>
            </w:pPr>
          </w:p>
        </w:tc>
        <w:tc>
          <w:tcPr>
            <w:tcW w:w="9839" w:type="dxa"/>
          </w:tcPr>
          <w:p w:rsidR="001F6F2B" w:rsidRPr="006C68C8" w:rsidP="00815E86">
            <w:pPr>
              <w:jc w:val="both"/>
              <w:rPr>
                <w:rFonts w:asciiTheme="minorHAnsi" w:hAnsiTheme="minorHAnsi" w:cstheme="minorHAnsi"/>
                <w:u w:val="single"/>
              </w:rPr>
            </w:pPr>
            <w:r w:rsidRPr="006C68C8">
              <w:rPr>
                <w:rFonts w:asciiTheme="minorHAnsi" w:hAnsiTheme="minorHAnsi" w:cstheme="minorHAnsi"/>
                <w:u w:val="single"/>
              </w:rPr>
              <w:t>Extended loss carry back for businesses [2.51]</w:t>
            </w:r>
            <w:r>
              <w:rPr>
                <w:rFonts w:asciiTheme="minorHAnsi" w:hAnsiTheme="minorHAnsi" w:cstheme="minorHAnsi"/>
                <w:u w:val="single"/>
              </w:rPr>
              <w:t xml:space="preserve"> </w:t>
            </w:r>
          </w:p>
        </w:tc>
      </w:tr>
      <w:tr w:rsidTr="00890044">
        <w:tblPrEx>
          <w:tblW w:w="10548" w:type="dxa"/>
          <w:jc w:val="center"/>
          <w:tblLook w:val="0000"/>
        </w:tblPrEx>
        <w:trPr>
          <w:jc w:val="center"/>
        </w:trPr>
        <w:tc>
          <w:tcPr>
            <w:tcW w:w="709" w:type="dxa"/>
          </w:tcPr>
          <w:p w:rsidR="001F6F2B" w:rsidRPr="00D849C0" w:rsidP="00D849C0">
            <w:pPr>
              <w:numPr>
                <w:ilvl w:val="1"/>
                <w:numId w:val="1"/>
              </w:numPr>
              <w:jc w:val="both"/>
              <w:rPr>
                <w:rFonts w:asciiTheme="minorHAnsi" w:hAnsiTheme="minorHAnsi" w:cstheme="minorHAnsi"/>
              </w:rPr>
            </w:pPr>
          </w:p>
        </w:tc>
        <w:tc>
          <w:tcPr>
            <w:tcW w:w="9839" w:type="dxa"/>
          </w:tcPr>
          <w:p w:rsidR="001F6F2B" w:rsidRPr="00D849C0" w:rsidP="00E427BB">
            <w:pPr>
              <w:jc w:val="both"/>
              <w:rPr>
                <w:rFonts w:asciiTheme="minorHAnsi" w:hAnsiTheme="minorHAnsi" w:cstheme="minorHAnsi"/>
              </w:rPr>
            </w:pPr>
            <w:r w:rsidRPr="00963022">
              <w:rPr>
                <w:rFonts w:asciiTheme="minorHAnsi" w:hAnsiTheme="minorHAnsi" w:cstheme="minorHAnsi"/>
              </w:rPr>
              <w:t xml:space="preserve">The CIOT welcomes the Budget decision that the </w:t>
            </w:r>
            <w:r w:rsidRPr="00963022">
              <w:rPr>
                <w:rFonts w:asciiTheme="minorHAnsi" w:hAnsiTheme="minorHAnsi" w:cstheme="minorHAnsi"/>
              </w:rPr>
              <w:t>trading loss carry-back rule will be temporarily extended from one year to three years</w:t>
            </w:r>
            <w:r>
              <w:rPr>
                <w:rFonts w:asciiTheme="minorHAnsi" w:hAnsiTheme="minorHAnsi" w:cstheme="minorHAnsi"/>
              </w:rPr>
              <w:t xml:space="preserve">. This </w:t>
            </w:r>
            <w:r>
              <w:rPr>
                <w:rFonts w:asciiTheme="minorHAnsi" w:hAnsiTheme="minorHAnsi" w:cstheme="minorHAnsi"/>
              </w:rPr>
              <w:t>i</w:t>
            </w:r>
            <w:r>
              <w:rPr>
                <w:rFonts w:asciiTheme="minorHAnsi" w:hAnsiTheme="minorHAnsi" w:cstheme="minorHAnsi"/>
              </w:rPr>
              <w:t xml:space="preserve">s </w:t>
            </w:r>
            <w:r w:rsidRPr="00963022">
              <w:rPr>
                <w:rFonts w:asciiTheme="minorHAnsi" w:hAnsiTheme="minorHAnsi" w:cstheme="minorHAnsi"/>
              </w:rPr>
              <w:t xml:space="preserve">something the CIOT </w:t>
            </w:r>
            <w:r>
              <w:rPr>
                <w:rFonts w:asciiTheme="minorHAnsi" w:hAnsiTheme="minorHAnsi" w:cstheme="minorHAnsi"/>
              </w:rPr>
              <w:t>has been suggesting over the past year, including in a Budget representation in January</w:t>
            </w:r>
            <w:r>
              <w:rPr>
                <w:rFonts w:asciiTheme="minorHAnsi" w:hAnsiTheme="minorHAnsi" w:cstheme="minorHAnsi"/>
              </w:rPr>
              <w:t>.</w:t>
            </w:r>
            <w:r>
              <w:rPr>
                <w:rStyle w:val="FootnoteReference"/>
                <w:rFonts w:asciiTheme="minorHAnsi" w:hAnsiTheme="minorHAnsi" w:cstheme="minorHAnsi"/>
              </w:rPr>
              <w:footnoteReference w:id="7"/>
            </w:r>
            <w:r w:rsidRPr="00963022">
              <w:rPr>
                <w:rFonts w:asciiTheme="minorHAnsi" w:hAnsiTheme="minorHAnsi" w:cstheme="minorHAnsi"/>
              </w:rPr>
              <w:t xml:space="preserve"> Allowing businesses to benefit from a three-year carry back of trading losses arising during the pandemic will give businesses with a track record of making profits and paying tax – a good proxy for long-term viability – but which have suffered during the</w:t>
            </w:r>
            <w:r w:rsidRPr="00963022">
              <w:rPr>
                <w:rFonts w:asciiTheme="minorHAnsi" w:hAnsiTheme="minorHAnsi" w:cstheme="minorHAnsi"/>
              </w:rPr>
              <w:t xml:space="preserve"> pandemic, a muc</w:t>
            </w:r>
            <w:r>
              <w:rPr>
                <w:rFonts w:asciiTheme="minorHAnsi" w:hAnsiTheme="minorHAnsi" w:cstheme="minorHAnsi"/>
              </w:rPr>
              <w:t>h-needed cash injection.</w:t>
            </w:r>
          </w:p>
        </w:tc>
      </w:tr>
      <w:tr w:rsidTr="00890044">
        <w:tblPrEx>
          <w:tblW w:w="10548" w:type="dxa"/>
          <w:jc w:val="center"/>
          <w:tblLook w:val="0000"/>
        </w:tblPrEx>
        <w:trPr>
          <w:jc w:val="center"/>
        </w:trPr>
        <w:tc>
          <w:tcPr>
            <w:tcW w:w="709" w:type="dxa"/>
          </w:tcPr>
          <w:p w:rsidR="00963022" w:rsidRPr="00D849C0" w:rsidP="00D849C0">
            <w:pPr>
              <w:numPr>
                <w:ilvl w:val="1"/>
                <w:numId w:val="1"/>
              </w:numPr>
              <w:jc w:val="both"/>
              <w:rPr>
                <w:rFonts w:asciiTheme="minorHAnsi" w:hAnsiTheme="minorHAnsi" w:cstheme="minorHAnsi"/>
              </w:rPr>
            </w:pPr>
          </w:p>
        </w:tc>
        <w:tc>
          <w:tcPr>
            <w:tcW w:w="9839" w:type="dxa"/>
          </w:tcPr>
          <w:p w:rsidR="00963022" w:rsidRPr="00963022" w:rsidP="00963022">
            <w:pPr>
              <w:jc w:val="both"/>
              <w:rPr>
                <w:rFonts w:asciiTheme="minorHAnsi" w:hAnsiTheme="minorHAnsi" w:cstheme="minorHAnsi"/>
              </w:rPr>
            </w:pPr>
            <w:r w:rsidRPr="00963022">
              <w:rPr>
                <w:rFonts w:asciiTheme="minorHAnsi" w:hAnsiTheme="minorHAnsi" w:cstheme="minorHAnsi"/>
              </w:rPr>
              <w:t xml:space="preserve">In our view the measures will also be cost-effective. In many cases (where the business would ultimately have recovered in any event), it will be a cash flow </w:t>
            </w:r>
            <w:r>
              <w:rPr>
                <w:rFonts w:asciiTheme="minorHAnsi" w:hAnsiTheme="minorHAnsi" w:cstheme="minorHAnsi"/>
              </w:rPr>
              <w:t xml:space="preserve">(rather than absolute) </w:t>
            </w:r>
            <w:r w:rsidRPr="00963022">
              <w:rPr>
                <w:rFonts w:asciiTheme="minorHAnsi" w:hAnsiTheme="minorHAnsi" w:cstheme="minorHAnsi"/>
              </w:rPr>
              <w:t>cost to the government which wil</w:t>
            </w:r>
            <w:r w:rsidRPr="00963022">
              <w:rPr>
                <w:rFonts w:asciiTheme="minorHAnsi" w:hAnsiTheme="minorHAnsi" w:cstheme="minorHAnsi"/>
              </w:rPr>
              <w:t>l reverse as the business, having used up its losses by carrying them back, makes profits and pays tax sooner in the future.</w:t>
            </w:r>
          </w:p>
        </w:tc>
      </w:tr>
      <w:tr w:rsidTr="00890044">
        <w:tblPrEx>
          <w:tblW w:w="10548" w:type="dxa"/>
          <w:jc w:val="center"/>
          <w:tblLook w:val="0000"/>
        </w:tblPrEx>
        <w:trPr>
          <w:jc w:val="center"/>
        </w:trPr>
        <w:tc>
          <w:tcPr>
            <w:tcW w:w="709" w:type="dxa"/>
          </w:tcPr>
          <w:p w:rsidR="00963022" w:rsidRPr="00D849C0" w:rsidP="00D849C0">
            <w:pPr>
              <w:numPr>
                <w:ilvl w:val="1"/>
                <w:numId w:val="1"/>
              </w:numPr>
              <w:jc w:val="both"/>
              <w:rPr>
                <w:rFonts w:asciiTheme="minorHAnsi" w:hAnsiTheme="minorHAnsi" w:cstheme="minorHAnsi"/>
              </w:rPr>
            </w:pPr>
          </w:p>
        </w:tc>
        <w:tc>
          <w:tcPr>
            <w:tcW w:w="9839" w:type="dxa"/>
          </w:tcPr>
          <w:p w:rsidR="00963022" w:rsidRPr="00963022" w:rsidP="00E15F5F">
            <w:pPr>
              <w:jc w:val="both"/>
              <w:rPr>
                <w:rFonts w:asciiTheme="minorHAnsi" w:hAnsiTheme="minorHAnsi" w:cstheme="minorHAnsi"/>
              </w:rPr>
            </w:pPr>
            <w:r w:rsidRPr="00963022">
              <w:rPr>
                <w:rFonts w:asciiTheme="minorHAnsi" w:hAnsiTheme="minorHAnsi" w:cstheme="minorHAnsi"/>
              </w:rPr>
              <w:t xml:space="preserve">We note the cap of £2m on the amount of losses that can be carried back to the additional two years and recognise that this does </w:t>
            </w:r>
            <w:r w:rsidRPr="00963022">
              <w:rPr>
                <w:rFonts w:asciiTheme="minorHAnsi" w:hAnsiTheme="minorHAnsi" w:cstheme="minorHAnsi"/>
              </w:rPr>
              <w:t>permit a maximum cost to the Exchequer to be calculated. However, we would be surprised if the measure would have cost significantly more over the economic cycle if it had been unlimited</w:t>
            </w:r>
            <w:r>
              <w:rPr>
                <w:rFonts w:asciiTheme="minorHAnsi" w:hAnsiTheme="minorHAnsi" w:cstheme="minorHAnsi"/>
              </w:rPr>
              <w:t xml:space="preserve">. </w:t>
            </w:r>
            <w:r w:rsidRPr="00963022">
              <w:rPr>
                <w:rFonts w:asciiTheme="minorHAnsi" w:hAnsiTheme="minorHAnsi" w:cstheme="minorHAnsi"/>
              </w:rPr>
              <w:t xml:space="preserve">This is because it is likely to be the largest companies which have </w:t>
            </w:r>
            <w:r w:rsidRPr="00963022">
              <w:rPr>
                <w:rFonts w:asciiTheme="minorHAnsi" w:hAnsiTheme="minorHAnsi" w:cstheme="minorHAnsi"/>
              </w:rPr>
              <w:t>losses in excess of £2m per accounting period</w:t>
            </w:r>
            <w:r>
              <w:rPr>
                <w:rFonts w:asciiTheme="minorHAnsi" w:hAnsiTheme="minorHAnsi" w:cstheme="minorHAnsi"/>
              </w:rPr>
              <w:t>, and these companies</w:t>
            </w:r>
            <w:r w:rsidRPr="00963022">
              <w:rPr>
                <w:rFonts w:asciiTheme="minorHAnsi" w:hAnsiTheme="minorHAnsi" w:cstheme="minorHAnsi"/>
              </w:rPr>
              <w:t xml:space="preserve"> </w:t>
            </w:r>
            <w:r>
              <w:rPr>
                <w:rFonts w:asciiTheme="minorHAnsi" w:hAnsiTheme="minorHAnsi" w:cstheme="minorHAnsi"/>
              </w:rPr>
              <w:t xml:space="preserve">will be subject to </w:t>
            </w:r>
            <w:r w:rsidRPr="00963022">
              <w:rPr>
                <w:rFonts w:asciiTheme="minorHAnsi" w:hAnsiTheme="minorHAnsi" w:cstheme="minorHAnsi"/>
              </w:rPr>
              <w:t xml:space="preserve">the higher rate of corporation tax that will apply from April 2023. </w:t>
            </w:r>
            <w:r>
              <w:rPr>
                <w:rFonts w:asciiTheme="minorHAnsi" w:hAnsiTheme="minorHAnsi" w:cstheme="minorHAnsi"/>
              </w:rPr>
              <w:t>So, carrying back losses to be relieved at the 19% rate of corporation tax could cost the Exchequer le</w:t>
            </w:r>
            <w:r>
              <w:rPr>
                <w:rFonts w:asciiTheme="minorHAnsi" w:hAnsiTheme="minorHAnsi" w:cstheme="minorHAnsi"/>
              </w:rPr>
              <w:t>ss than if those losses were carried forward and relieved at the 25% rate.</w:t>
            </w:r>
            <w:r w:rsidRPr="00963022">
              <w:rPr>
                <w:rFonts w:asciiTheme="minorHAnsi" w:hAnsiTheme="minorHAnsi" w:cstheme="minorHAnsi"/>
              </w:rPr>
              <w:t xml:space="preserve"> </w:t>
            </w:r>
          </w:p>
        </w:tc>
      </w:tr>
      <w:tr w:rsidTr="00890044">
        <w:tblPrEx>
          <w:tblW w:w="10548" w:type="dxa"/>
          <w:jc w:val="center"/>
          <w:tblLook w:val="0000"/>
        </w:tblPrEx>
        <w:trPr>
          <w:jc w:val="center"/>
        </w:trPr>
        <w:tc>
          <w:tcPr>
            <w:tcW w:w="709" w:type="dxa"/>
          </w:tcPr>
          <w:p w:rsidR="00963022" w:rsidRPr="00D849C0" w:rsidP="00D849C0">
            <w:pPr>
              <w:numPr>
                <w:ilvl w:val="1"/>
                <w:numId w:val="1"/>
              </w:numPr>
              <w:jc w:val="both"/>
              <w:rPr>
                <w:rFonts w:asciiTheme="minorHAnsi" w:hAnsiTheme="minorHAnsi" w:cstheme="minorHAnsi"/>
              </w:rPr>
            </w:pPr>
          </w:p>
        </w:tc>
        <w:tc>
          <w:tcPr>
            <w:tcW w:w="9839" w:type="dxa"/>
          </w:tcPr>
          <w:p w:rsidR="00963022" w:rsidRPr="00963022" w:rsidP="00E15F5F">
            <w:pPr>
              <w:jc w:val="both"/>
              <w:rPr>
                <w:rFonts w:asciiTheme="minorHAnsi" w:hAnsiTheme="minorHAnsi" w:cstheme="minorHAnsi"/>
              </w:rPr>
            </w:pPr>
            <w:r>
              <w:rPr>
                <w:rFonts w:asciiTheme="minorHAnsi" w:hAnsiTheme="minorHAnsi" w:cstheme="minorHAnsi"/>
              </w:rPr>
              <w:t>Indeed this</w:t>
            </w:r>
            <w:r w:rsidRPr="00963022">
              <w:rPr>
                <w:rFonts w:asciiTheme="minorHAnsi" w:hAnsiTheme="minorHAnsi" w:cstheme="minorHAnsi"/>
              </w:rPr>
              <w:t xml:space="preserve"> combination may give some businesses a dilemma – use current losses for relief on past corporation tax bills at 19</w:t>
            </w:r>
            <w:r>
              <w:rPr>
                <w:rFonts w:asciiTheme="minorHAnsi" w:hAnsiTheme="minorHAnsi" w:cstheme="minorHAnsi"/>
              </w:rPr>
              <w:t>%</w:t>
            </w:r>
            <w:r w:rsidRPr="00963022">
              <w:rPr>
                <w:rFonts w:asciiTheme="minorHAnsi" w:hAnsiTheme="minorHAnsi" w:cstheme="minorHAnsi"/>
              </w:rPr>
              <w:t>, getting the money now, or banking on profits retu</w:t>
            </w:r>
            <w:r w:rsidRPr="00963022">
              <w:rPr>
                <w:rFonts w:asciiTheme="minorHAnsi" w:hAnsiTheme="minorHAnsi" w:cstheme="minorHAnsi"/>
              </w:rPr>
              <w:t>rning in future and keeping the losses to get relief at 25</w:t>
            </w:r>
            <w:r>
              <w:rPr>
                <w:rFonts w:asciiTheme="minorHAnsi" w:hAnsiTheme="minorHAnsi" w:cstheme="minorHAnsi"/>
              </w:rPr>
              <w:t>%</w:t>
            </w:r>
            <w:r w:rsidRPr="00963022">
              <w:rPr>
                <w:rFonts w:asciiTheme="minorHAnsi" w:hAnsiTheme="minorHAnsi" w:cstheme="minorHAnsi"/>
              </w:rPr>
              <w:t xml:space="preserve"> in a few years’ time. But most businesses will probably think it better to have that choice than not.</w:t>
            </w:r>
          </w:p>
        </w:tc>
      </w:tr>
      <w:tr w:rsidTr="00890044">
        <w:tblPrEx>
          <w:tblW w:w="10548" w:type="dxa"/>
          <w:jc w:val="center"/>
          <w:tblLook w:val="0000"/>
        </w:tblPrEx>
        <w:trPr>
          <w:jc w:val="center"/>
        </w:trPr>
        <w:tc>
          <w:tcPr>
            <w:tcW w:w="709" w:type="dxa"/>
          </w:tcPr>
          <w:p w:rsidR="00963022" w:rsidRPr="00D849C0" w:rsidP="00D849C0">
            <w:pPr>
              <w:numPr>
                <w:ilvl w:val="1"/>
                <w:numId w:val="1"/>
              </w:numPr>
              <w:jc w:val="both"/>
              <w:rPr>
                <w:rFonts w:asciiTheme="minorHAnsi" w:hAnsiTheme="minorHAnsi" w:cstheme="minorHAnsi"/>
              </w:rPr>
            </w:pPr>
          </w:p>
        </w:tc>
        <w:tc>
          <w:tcPr>
            <w:tcW w:w="9839" w:type="dxa"/>
          </w:tcPr>
          <w:p w:rsidR="00963022" w:rsidRPr="00963022" w:rsidP="00DC6380">
            <w:pPr>
              <w:jc w:val="both"/>
              <w:rPr>
                <w:rFonts w:asciiTheme="minorHAnsi" w:hAnsiTheme="minorHAnsi" w:cstheme="minorHAnsi"/>
              </w:rPr>
            </w:pPr>
            <w:r>
              <w:rPr>
                <w:rFonts w:asciiTheme="minorHAnsi" w:hAnsiTheme="minorHAnsi" w:cstheme="minorHAnsi"/>
              </w:rPr>
              <w:t>T</w:t>
            </w:r>
            <w:r w:rsidRPr="00963022">
              <w:rPr>
                <w:rFonts w:asciiTheme="minorHAnsi" w:hAnsiTheme="minorHAnsi" w:cstheme="minorHAnsi"/>
              </w:rPr>
              <w:t>he extended carry back of losses is limited to trading losses, replicat</w:t>
            </w:r>
            <w:r>
              <w:rPr>
                <w:rFonts w:asciiTheme="minorHAnsi" w:hAnsiTheme="minorHAnsi" w:cstheme="minorHAnsi"/>
              </w:rPr>
              <w:t>ing</w:t>
            </w:r>
            <w:r w:rsidRPr="00963022">
              <w:rPr>
                <w:rFonts w:asciiTheme="minorHAnsi" w:hAnsiTheme="minorHAnsi" w:cstheme="minorHAnsi"/>
              </w:rPr>
              <w:t xml:space="preserve"> the existing rul</w:t>
            </w:r>
            <w:r w:rsidRPr="00963022">
              <w:rPr>
                <w:rFonts w:asciiTheme="minorHAnsi" w:hAnsiTheme="minorHAnsi" w:cstheme="minorHAnsi"/>
              </w:rPr>
              <w:t xml:space="preserve">es permitting a twelve month carry back </w:t>
            </w:r>
            <w:r>
              <w:rPr>
                <w:rFonts w:asciiTheme="minorHAnsi" w:hAnsiTheme="minorHAnsi" w:cstheme="minorHAnsi"/>
              </w:rPr>
              <w:t>(</w:t>
            </w:r>
            <w:r w:rsidRPr="00963022">
              <w:rPr>
                <w:rFonts w:asciiTheme="minorHAnsi" w:hAnsiTheme="minorHAnsi" w:cstheme="minorHAnsi"/>
              </w:rPr>
              <w:t>by excluding property income losses and non-trading loan relationship deficits). We recognis</w:t>
            </w:r>
            <w:r>
              <w:rPr>
                <w:rFonts w:asciiTheme="minorHAnsi" w:hAnsiTheme="minorHAnsi" w:cstheme="minorHAnsi"/>
              </w:rPr>
              <w:t>e that these measures have been</w:t>
            </w:r>
            <w:r w:rsidRPr="00963022">
              <w:rPr>
                <w:rFonts w:asciiTheme="minorHAnsi" w:hAnsiTheme="minorHAnsi" w:cstheme="minorHAnsi"/>
              </w:rPr>
              <w:t xml:space="preserve"> costed and the decision about where to target relief has been made in terms of supporting b</w:t>
            </w:r>
            <w:r w:rsidRPr="00963022">
              <w:rPr>
                <w:rFonts w:asciiTheme="minorHAnsi" w:hAnsiTheme="minorHAnsi" w:cstheme="minorHAnsi"/>
              </w:rPr>
              <w:t xml:space="preserve">usinesses that have </w:t>
            </w:r>
            <w:r>
              <w:rPr>
                <w:rFonts w:asciiTheme="minorHAnsi" w:hAnsiTheme="minorHAnsi" w:cstheme="minorHAnsi"/>
              </w:rPr>
              <w:t>incurred losses</w:t>
            </w:r>
            <w:r w:rsidRPr="00963022">
              <w:rPr>
                <w:rFonts w:asciiTheme="minorHAnsi" w:hAnsiTheme="minorHAnsi" w:cstheme="minorHAnsi"/>
              </w:rPr>
              <w:t xml:space="preserve"> as a result of the COVID-19 pandemic</w:t>
            </w:r>
            <w:r>
              <w:rPr>
                <w:rFonts w:asciiTheme="minorHAnsi" w:hAnsiTheme="minorHAnsi" w:cstheme="minorHAnsi"/>
              </w:rPr>
              <w:t xml:space="preserve">. However, </w:t>
            </w:r>
            <w:r w:rsidRPr="00963022">
              <w:rPr>
                <w:rFonts w:asciiTheme="minorHAnsi" w:hAnsiTheme="minorHAnsi" w:cstheme="minorHAnsi"/>
              </w:rPr>
              <w:t>many landlords are incurring losses</w:t>
            </w:r>
            <w:r>
              <w:rPr>
                <w:rFonts w:asciiTheme="minorHAnsi" w:hAnsiTheme="minorHAnsi" w:cstheme="minorHAnsi"/>
              </w:rPr>
              <w:t>, for instance</w:t>
            </w:r>
            <w:r w:rsidRPr="00963022">
              <w:rPr>
                <w:rFonts w:asciiTheme="minorHAnsi" w:hAnsiTheme="minorHAnsi" w:cstheme="minorHAnsi"/>
              </w:rPr>
              <w:t xml:space="preserve"> because their trading tenants are making losses. Property businesses will be an important part of the economic recovery – t</w:t>
            </w:r>
            <w:r w:rsidRPr="00963022">
              <w:rPr>
                <w:rFonts w:asciiTheme="minorHAnsi" w:hAnsiTheme="minorHAnsi" w:cstheme="minorHAnsi"/>
              </w:rPr>
              <w:t>hey will need to re-purpose the high street. Property businesses that have incurred losses would benefit in the same way as trading businesses from an ability to carry back losses to achieve a cash flow injection, noting that the cash flow cost to the gove</w:t>
            </w:r>
            <w:r w:rsidRPr="00963022">
              <w:rPr>
                <w:rFonts w:asciiTheme="minorHAnsi" w:hAnsiTheme="minorHAnsi" w:cstheme="minorHAnsi"/>
              </w:rPr>
              <w:t>rnment will reverse as the property business returns to profit in the future</w:t>
            </w:r>
            <w:r>
              <w:rPr>
                <w:rFonts w:asciiTheme="minorHAnsi" w:hAnsiTheme="minorHAnsi" w:cstheme="minorHAnsi"/>
              </w:rPr>
              <w:t xml:space="preserve">. </w:t>
            </w:r>
          </w:p>
        </w:tc>
      </w:tr>
      <w:tr w:rsidTr="00890044">
        <w:tblPrEx>
          <w:tblW w:w="10548" w:type="dxa"/>
          <w:jc w:val="center"/>
          <w:tblLook w:val="0000"/>
        </w:tblPrEx>
        <w:trPr>
          <w:jc w:val="center"/>
        </w:trPr>
        <w:tc>
          <w:tcPr>
            <w:tcW w:w="709" w:type="dxa"/>
          </w:tcPr>
          <w:p w:rsidR="006C68C8" w:rsidRPr="006C68C8" w:rsidP="00D849C0">
            <w:pPr>
              <w:numPr>
                <w:ilvl w:val="1"/>
                <w:numId w:val="1"/>
              </w:numPr>
              <w:jc w:val="both"/>
              <w:rPr>
                <w:rFonts w:asciiTheme="minorHAnsi" w:hAnsiTheme="minorHAnsi" w:cstheme="minorHAnsi"/>
                <w:u w:val="single"/>
              </w:rPr>
            </w:pPr>
          </w:p>
        </w:tc>
        <w:tc>
          <w:tcPr>
            <w:tcW w:w="9839" w:type="dxa"/>
          </w:tcPr>
          <w:p w:rsidR="006C68C8" w:rsidRPr="006C68C8" w:rsidP="00D849C0">
            <w:pPr>
              <w:jc w:val="both"/>
              <w:rPr>
                <w:rFonts w:asciiTheme="minorHAnsi" w:hAnsiTheme="minorHAnsi" w:cstheme="minorHAnsi"/>
                <w:u w:val="single"/>
              </w:rPr>
            </w:pPr>
            <w:r w:rsidRPr="006C68C8">
              <w:rPr>
                <w:rFonts w:asciiTheme="minorHAnsi" w:hAnsiTheme="minorHAnsi" w:cstheme="minorHAnsi"/>
                <w:u w:val="single"/>
              </w:rPr>
              <w:t>Corporation tax [2.81]</w:t>
            </w:r>
            <w:r>
              <w:rPr>
                <w:rFonts w:asciiTheme="minorHAnsi" w:hAnsiTheme="minorHAnsi" w:cstheme="minorHAnsi"/>
                <w:u w:val="single"/>
              </w:rPr>
              <w:t xml:space="preserve"> </w:t>
            </w:r>
          </w:p>
        </w:tc>
      </w:tr>
      <w:tr w:rsidTr="00890044">
        <w:tblPrEx>
          <w:tblW w:w="10548" w:type="dxa"/>
          <w:jc w:val="center"/>
          <w:tblLook w:val="0000"/>
        </w:tblPrEx>
        <w:trPr>
          <w:jc w:val="center"/>
        </w:trPr>
        <w:tc>
          <w:tcPr>
            <w:tcW w:w="709" w:type="dxa"/>
          </w:tcPr>
          <w:p w:rsidR="006C68C8" w:rsidRPr="00D849C0" w:rsidP="00D849C0">
            <w:pPr>
              <w:numPr>
                <w:ilvl w:val="1"/>
                <w:numId w:val="1"/>
              </w:numPr>
              <w:jc w:val="both"/>
              <w:rPr>
                <w:rFonts w:asciiTheme="minorHAnsi" w:hAnsiTheme="minorHAnsi" w:cstheme="minorHAnsi"/>
              </w:rPr>
            </w:pPr>
          </w:p>
        </w:tc>
        <w:tc>
          <w:tcPr>
            <w:tcW w:w="9839" w:type="dxa"/>
          </w:tcPr>
          <w:p w:rsidR="006C68C8" w:rsidRPr="00D849C0" w:rsidP="000B6175">
            <w:pPr>
              <w:jc w:val="both"/>
              <w:rPr>
                <w:rFonts w:asciiTheme="minorHAnsi" w:hAnsiTheme="minorHAnsi" w:cstheme="minorHAnsi"/>
              </w:rPr>
            </w:pPr>
            <w:r w:rsidRPr="00963022">
              <w:rPr>
                <w:rFonts w:asciiTheme="minorHAnsi" w:hAnsiTheme="minorHAnsi" w:cstheme="minorHAnsi"/>
              </w:rPr>
              <w:t xml:space="preserve">The increase in the corporation tax rate for larger businesses from April 2023 is a big change in direction of government policy, following </w:t>
            </w:r>
            <w:r>
              <w:rPr>
                <w:rFonts w:asciiTheme="minorHAnsi" w:hAnsiTheme="minorHAnsi" w:cstheme="minorHAnsi"/>
              </w:rPr>
              <w:t xml:space="preserve">an acceleration of rate cuts in the last decade </w:t>
            </w:r>
            <w:r w:rsidRPr="00963022">
              <w:rPr>
                <w:rFonts w:asciiTheme="minorHAnsi" w:hAnsiTheme="minorHAnsi" w:cstheme="minorHAnsi"/>
              </w:rPr>
              <w:t>and the abolition of the previous small profits rate after 2014. The</w:t>
            </w:r>
            <w:r w:rsidRPr="00963022">
              <w:rPr>
                <w:rFonts w:asciiTheme="minorHAnsi" w:hAnsiTheme="minorHAnsi" w:cstheme="minorHAnsi"/>
              </w:rPr>
              <w:t xml:space="preserve"> reintroduction of a small profits rate will obviously be welcomed by those who will benefit from it, </w:t>
            </w:r>
            <w:r>
              <w:rPr>
                <w:rFonts w:asciiTheme="minorHAnsi" w:hAnsiTheme="minorHAnsi" w:cstheme="minorHAnsi"/>
              </w:rPr>
              <w:t>but</w:t>
            </w:r>
            <w:r w:rsidRPr="00963022">
              <w:rPr>
                <w:rFonts w:asciiTheme="minorHAnsi" w:hAnsiTheme="minorHAnsi" w:cstheme="minorHAnsi"/>
              </w:rPr>
              <w:t xml:space="preserve"> </w:t>
            </w:r>
            <w:r w:rsidRPr="00963022">
              <w:rPr>
                <w:rFonts w:asciiTheme="minorHAnsi" w:hAnsiTheme="minorHAnsi" w:cstheme="minorHAnsi"/>
              </w:rPr>
              <w:t>it will add to the</w:t>
            </w:r>
            <w:r>
              <w:rPr>
                <w:rFonts w:asciiTheme="minorHAnsi" w:hAnsiTheme="minorHAnsi" w:cstheme="minorHAnsi"/>
              </w:rPr>
              <w:t xml:space="preserve"> complexity of the tax system</w:t>
            </w:r>
            <w:r>
              <w:rPr>
                <w:rFonts w:asciiTheme="minorHAnsi" w:hAnsiTheme="minorHAnsi" w:cstheme="minorHAnsi"/>
              </w:rPr>
              <w:t xml:space="preserve"> and misses an opportunity to alleviate the ‘three person problem’ (see para </w:t>
            </w:r>
            <w:r w:rsidRPr="001D32D4">
              <w:rPr>
                <w:rFonts w:asciiTheme="minorHAnsi" w:hAnsiTheme="minorHAnsi" w:cstheme="minorHAnsi"/>
              </w:rPr>
              <w:t>8.10</w:t>
            </w:r>
            <w:r>
              <w:rPr>
                <w:rFonts w:asciiTheme="minorHAnsi" w:hAnsiTheme="minorHAnsi" w:cstheme="minorHAnsi"/>
              </w:rPr>
              <w:t xml:space="preserve"> below)</w:t>
            </w:r>
            <w:r>
              <w:rPr>
                <w:rFonts w:asciiTheme="minorHAnsi" w:hAnsiTheme="minorHAnsi" w:cstheme="minorHAnsi"/>
              </w:rPr>
              <w:t xml:space="preserve">. </w:t>
            </w:r>
          </w:p>
        </w:tc>
      </w:tr>
      <w:tr w:rsidTr="00890044">
        <w:tblPrEx>
          <w:tblW w:w="10548" w:type="dxa"/>
          <w:jc w:val="center"/>
          <w:tblLook w:val="0000"/>
        </w:tblPrEx>
        <w:trPr>
          <w:jc w:val="center"/>
        </w:trPr>
        <w:tc>
          <w:tcPr>
            <w:tcW w:w="709" w:type="dxa"/>
          </w:tcPr>
          <w:p w:rsidR="000A521E" w:rsidRPr="00D849C0" w:rsidP="00D849C0">
            <w:pPr>
              <w:numPr>
                <w:ilvl w:val="1"/>
                <w:numId w:val="1"/>
              </w:numPr>
              <w:jc w:val="both"/>
              <w:rPr>
                <w:rFonts w:asciiTheme="minorHAnsi" w:hAnsiTheme="minorHAnsi" w:cstheme="minorHAnsi"/>
              </w:rPr>
            </w:pPr>
          </w:p>
        </w:tc>
        <w:tc>
          <w:tcPr>
            <w:tcW w:w="9839" w:type="dxa"/>
          </w:tcPr>
          <w:p w:rsidR="000A521E" w:rsidRPr="00963022" w:rsidP="001D32D4">
            <w:pPr>
              <w:jc w:val="both"/>
              <w:rPr>
                <w:rFonts w:asciiTheme="minorHAnsi" w:hAnsiTheme="minorHAnsi" w:cstheme="minorHAnsi"/>
              </w:rPr>
            </w:pPr>
            <w:r>
              <w:rPr>
                <w:rFonts w:asciiTheme="minorHAnsi" w:hAnsiTheme="minorHAnsi" w:cstheme="minorHAnsi"/>
              </w:rPr>
              <w:t xml:space="preserve">The early </w:t>
            </w:r>
            <w:r>
              <w:rPr>
                <w:rFonts w:asciiTheme="minorHAnsi" w:hAnsiTheme="minorHAnsi" w:cstheme="minorHAnsi"/>
              </w:rPr>
              <w:t>announcement of the future increase provides some clarity, at least for the next three years</w:t>
            </w:r>
            <w:r>
              <w:rPr>
                <w:rFonts w:asciiTheme="minorHAnsi" w:hAnsiTheme="minorHAnsi" w:cstheme="minorHAnsi"/>
              </w:rPr>
              <w:t>, but some longer term indications of rates would be useful, especially considering the increase reverses the previous policy approach</w:t>
            </w:r>
            <w:r>
              <w:rPr>
                <w:rFonts w:asciiTheme="minorHAnsi" w:hAnsiTheme="minorHAnsi" w:cstheme="minorHAnsi"/>
              </w:rPr>
              <w:t xml:space="preserve">. </w:t>
            </w:r>
            <w:r>
              <w:rPr>
                <w:rFonts w:asciiTheme="minorHAnsi" w:hAnsiTheme="minorHAnsi" w:cstheme="minorHAnsi"/>
              </w:rPr>
              <w:t xml:space="preserve">The announcement is broadly </w:t>
            </w:r>
            <w:r>
              <w:rPr>
                <w:rFonts w:asciiTheme="minorHAnsi" w:hAnsiTheme="minorHAnsi" w:cstheme="minorHAnsi"/>
              </w:rPr>
              <w:t xml:space="preserve">consistent with the </w:t>
            </w:r>
            <w:r>
              <w:rPr>
                <w:rFonts w:asciiTheme="minorHAnsi" w:hAnsiTheme="minorHAnsi" w:cstheme="minorHAnsi"/>
              </w:rPr>
              <w:t xml:space="preserve">Committee’s </w:t>
            </w:r>
            <w:r>
              <w:rPr>
                <w:rFonts w:asciiTheme="minorHAnsi" w:hAnsiTheme="minorHAnsi" w:cstheme="minorHAnsi"/>
              </w:rPr>
              <w:t>acknowledgement that tax rises should not happen now, but will be necessary in the future</w:t>
            </w:r>
            <w:r>
              <w:rPr>
                <w:rFonts w:asciiTheme="minorHAnsi" w:hAnsiTheme="minorHAnsi" w:cstheme="minorHAnsi"/>
              </w:rPr>
              <w:t xml:space="preserve">; although whether over 30% is </w:t>
            </w:r>
            <w:r>
              <w:rPr>
                <w:rFonts w:asciiTheme="minorHAnsi" w:hAnsiTheme="minorHAnsi" w:cstheme="minorHAnsi"/>
              </w:rPr>
              <w:t xml:space="preserve">a moderate increase </w:t>
            </w:r>
            <w:r>
              <w:rPr>
                <w:rFonts w:asciiTheme="minorHAnsi" w:hAnsiTheme="minorHAnsi" w:cstheme="minorHAnsi"/>
              </w:rPr>
              <w:t>is subject to debate</w:t>
            </w:r>
            <w:r>
              <w:rPr>
                <w:rFonts w:asciiTheme="minorHAnsi" w:hAnsiTheme="minorHAnsi" w:cstheme="minorHAnsi"/>
              </w:rPr>
              <w:t>.</w:t>
            </w:r>
          </w:p>
        </w:tc>
      </w:tr>
      <w:tr w:rsidTr="00890044">
        <w:tblPrEx>
          <w:tblW w:w="10548" w:type="dxa"/>
          <w:jc w:val="center"/>
          <w:tblLook w:val="0000"/>
        </w:tblPrEx>
        <w:trPr>
          <w:jc w:val="center"/>
        </w:trPr>
        <w:tc>
          <w:tcPr>
            <w:tcW w:w="709" w:type="dxa"/>
          </w:tcPr>
          <w:p w:rsidR="00963022" w:rsidRPr="00D849C0" w:rsidP="00D849C0">
            <w:pPr>
              <w:numPr>
                <w:ilvl w:val="1"/>
                <w:numId w:val="1"/>
              </w:numPr>
              <w:jc w:val="both"/>
              <w:rPr>
                <w:rFonts w:asciiTheme="minorHAnsi" w:hAnsiTheme="minorHAnsi" w:cstheme="minorHAnsi"/>
              </w:rPr>
            </w:pPr>
          </w:p>
        </w:tc>
        <w:tc>
          <w:tcPr>
            <w:tcW w:w="9839" w:type="dxa"/>
          </w:tcPr>
          <w:p w:rsidR="00963022" w:rsidRPr="00D849C0" w:rsidP="001D32D4">
            <w:pPr>
              <w:jc w:val="both"/>
              <w:rPr>
                <w:rFonts w:asciiTheme="minorHAnsi" w:hAnsiTheme="minorHAnsi" w:cstheme="minorHAnsi"/>
              </w:rPr>
            </w:pPr>
            <w:r>
              <w:rPr>
                <w:rFonts w:asciiTheme="minorHAnsi" w:hAnsiTheme="minorHAnsi" w:cstheme="minorHAnsi"/>
              </w:rPr>
              <w:t>R</w:t>
            </w:r>
            <w:r>
              <w:rPr>
                <w:rFonts w:asciiTheme="minorHAnsi" w:hAnsiTheme="minorHAnsi" w:cstheme="minorHAnsi"/>
              </w:rPr>
              <w:t xml:space="preserve">eintroducing a ‘small profits rate’ of corporation tax, rather than allow the increased rate to apply to all companies, does </w:t>
            </w:r>
            <w:r w:rsidRPr="00963022">
              <w:rPr>
                <w:rFonts w:asciiTheme="minorHAnsi" w:hAnsiTheme="minorHAnsi" w:cstheme="minorHAnsi"/>
              </w:rPr>
              <w:t>miss an opportunity to reduce the imbalance between the tax burdens on employment, self-employment and those operating through a co</w:t>
            </w:r>
            <w:r w:rsidRPr="00963022">
              <w:rPr>
                <w:rFonts w:asciiTheme="minorHAnsi" w:hAnsiTheme="minorHAnsi" w:cstheme="minorHAnsi"/>
              </w:rPr>
              <w:t>mpany (</w:t>
            </w:r>
            <w:r>
              <w:rPr>
                <w:rFonts w:asciiTheme="minorHAnsi" w:hAnsiTheme="minorHAnsi" w:cstheme="minorHAnsi"/>
              </w:rPr>
              <w:t xml:space="preserve">referred to as </w:t>
            </w:r>
            <w:r w:rsidRPr="00963022">
              <w:rPr>
                <w:rFonts w:asciiTheme="minorHAnsi" w:hAnsiTheme="minorHAnsi" w:cstheme="minorHAnsi"/>
              </w:rPr>
              <w:t xml:space="preserve">the ‘three person problem’). </w:t>
            </w:r>
            <w:r>
              <w:rPr>
                <w:rFonts w:asciiTheme="minorHAnsi" w:hAnsiTheme="minorHAnsi" w:cstheme="minorHAnsi"/>
              </w:rPr>
              <w:t>Few small companies that reinvest profits pay corporation tax because of the availability of the Annual Investment Allowance, but the rate is likely to be very relevant to those who are distributing profit</w:t>
            </w:r>
            <w:r>
              <w:rPr>
                <w:rFonts w:asciiTheme="minorHAnsi" w:hAnsiTheme="minorHAnsi" w:cstheme="minorHAnsi"/>
              </w:rPr>
              <w:t>s which might otherwise have been more highly taxed as earnings, or rolling profits up in cash in the hope of even more tax-efficient access to it later.</w:t>
            </w:r>
          </w:p>
        </w:tc>
      </w:tr>
      <w:tr w:rsidTr="00890044">
        <w:tblPrEx>
          <w:tblW w:w="10548" w:type="dxa"/>
          <w:jc w:val="center"/>
          <w:tblLook w:val="0000"/>
        </w:tblPrEx>
        <w:trPr>
          <w:jc w:val="center"/>
        </w:trPr>
        <w:tc>
          <w:tcPr>
            <w:tcW w:w="709" w:type="dxa"/>
          </w:tcPr>
          <w:p w:rsidR="00963022" w:rsidRPr="00D849C0" w:rsidP="00D849C0">
            <w:pPr>
              <w:numPr>
                <w:ilvl w:val="1"/>
                <w:numId w:val="1"/>
              </w:numPr>
              <w:jc w:val="both"/>
              <w:rPr>
                <w:rFonts w:asciiTheme="minorHAnsi" w:hAnsiTheme="minorHAnsi" w:cstheme="minorHAnsi"/>
              </w:rPr>
            </w:pPr>
          </w:p>
        </w:tc>
        <w:tc>
          <w:tcPr>
            <w:tcW w:w="9839" w:type="dxa"/>
          </w:tcPr>
          <w:p w:rsidR="00963022" w:rsidRPr="00D849C0" w:rsidP="00815E86">
            <w:pPr>
              <w:jc w:val="both"/>
              <w:rPr>
                <w:rFonts w:asciiTheme="minorHAnsi" w:hAnsiTheme="minorHAnsi" w:cstheme="minorHAnsi"/>
              </w:rPr>
            </w:pPr>
            <w:r w:rsidRPr="00963022">
              <w:rPr>
                <w:rFonts w:asciiTheme="minorHAnsi" w:hAnsiTheme="minorHAnsi" w:cstheme="minorHAnsi"/>
              </w:rPr>
              <w:t xml:space="preserve">Tax rates remain one of the factors motivating businesses to incorporate. A number of changes in </w:t>
            </w:r>
            <w:r w:rsidRPr="00963022">
              <w:rPr>
                <w:rFonts w:asciiTheme="minorHAnsi" w:hAnsiTheme="minorHAnsi" w:cstheme="minorHAnsi"/>
              </w:rPr>
              <w:t>recent years have mitigated the tax benefits of incorporation, such as the introduction of the dividend rate in April 2016, the reduction in the dividend allowance to £2,000 in April 2018, and cancellation of the proposed reduction in the corporation tax r</w:t>
            </w:r>
            <w:r w:rsidRPr="00963022">
              <w:rPr>
                <w:rFonts w:asciiTheme="minorHAnsi" w:hAnsiTheme="minorHAnsi" w:cstheme="minorHAnsi"/>
              </w:rPr>
              <w:t>ate to 17%. But there remains, for some, a clear tax benefit in operating what is broadly the same underlying business, bu</w:t>
            </w:r>
            <w:r>
              <w:rPr>
                <w:rFonts w:asciiTheme="minorHAnsi" w:hAnsiTheme="minorHAnsi" w:cstheme="minorHAnsi"/>
              </w:rPr>
              <w:t>t within a corporate ‘wrapper’.</w:t>
            </w:r>
          </w:p>
        </w:tc>
      </w:tr>
      <w:tr w:rsidTr="00890044">
        <w:tblPrEx>
          <w:tblW w:w="10548" w:type="dxa"/>
          <w:jc w:val="center"/>
          <w:tblLook w:val="0000"/>
        </w:tblPrEx>
        <w:trPr>
          <w:jc w:val="center"/>
        </w:trPr>
        <w:tc>
          <w:tcPr>
            <w:tcW w:w="709" w:type="dxa"/>
          </w:tcPr>
          <w:p w:rsidR="00815E86" w:rsidRPr="00D849C0" w:rsidP="00D849C0">
            <w:pPr>
              <w:numPr>
                <w:ilvl w:val="1"/>
                <w:numId w:val="1"/>
              </w:numPr>
              <w:jc w:val="both"/>
              <w:rPr>
                <w:rFonts w:asciiTheme="minorHAnsi" w:hAnsiTheme="minorHAnsi" w:cstheme="minorHAnsi"/>
              </w:rPr>
            </w:pPr>
          </w:p>
        </w:tc>
        <w:tc>
          <w:tcPr>
            <w:tcW w:w="9839" w:type="dxa"/>
          </w:tcPr>
          <w:p w:rsidR="00815E86" w:rsidRPr="00963022" w:rsidP="00D849C0">
            <w:pPr>
              <w:jc w:val="both"/>
              <w:rPr>
                <w:rFonts w:asciiTheme="minorHAnsi" w:hAnsiTheme="minorHAnsi" w:cstheme="minorHAnsi"/>
              </w:rPr>
            </w:pPr>
            <w:r w:rsidRPr="00815E86">
              <w:rPr>
                <w:rFonts w:asciiTheme="minorHAnsi" w:hAnsiTheme="minorHAnsi" w:cstheme="minorHAnsi"/>
              </w:rPr>
              <w:t>Although the upper limit of £50,000 annual profits to the new small profits rate is lower than it wa</w:t>
            </w:r>
            <w:r w:rsidRPr="00815E86">
              <w:rPr>
                <w:rFonts w:asciiTheme="minorHAnsi" w:hAnsiTheme="minorHAnsi" w:cstheme="minorHAnsi"/>
              </w:rPr>
              <w:t>s in the past, it will still benefit very many of those service providers who might have otherwise remained unincorporated (or might even have operated as employees) but for the fiscal benefits of incorporation.</w:t>
            </w:r>
          </w:p>
        </w:tc>
      </w:tr>
      <w:tr w:rsidTr="00890044">
        <w:tblPrEx>
          <w:tblW w:w="10548" w:type="dxa"/>
          <w:jc w:val="center"/>
          <w:tblLook w:val="0000"/>
        </w:tblPrEx>
        <w:trPr>
          <w:jc w:val="center"/>
        </w:trPr>
        <w:tc>
          <w:tcPr>
            <w:tcW w:w="709" w:type="dxa"/>
          </w:tcPr>
          <w:p w:rsidR="00963022" w:rsidRPr="00D849C0" w:rsidP="00D849C0">
            <w:pPr>
              <w:numPr>
                <w:ilvl w:val="1"/>
                <w:numId w:val="1"/>
              </w:numPr>
              <w:jc w:val="both"/>
              <w:rPr>
                <w:rFonts w:asciiTheme="minorHAnsi" w:hAnsiTheme="minorHAnsi" w:cstheme="minorHAnsi"/>
              </w:rPr>
            </w:pPr>
          </w:p>
        </w:tc>
        <w:tc>
          <w:tcPr>
            <w:tcW w:w="9839" w:type="dxa"/>
          </w:tcPr>
          <w:p w:rsidR="00963022" w:rsidRPr="00D849C0" w:rsidP="000F2759">
            <w:pPr>
              <w:jc w:val="both"/>
              <w:rPr>
                <w:rFonts w:asciiTheme="minorHAnsi" w:hAnsiTheme="minorHAnsi" w:cstheme="minorHAnsi"/>
              </w:rPr>
            </w:pPr>
            <w:r>
              <w:rPr>
                <w:rFonts w:asciiTheme="minorHAnsi" w:hAnsiTheme="minorHAnsi" w:cstheme="minorHAnsi"/>
              </w:rPr>
              <w:t>We remain of the view</w:t>
            </w:r>
            <w:r w:rsidRPr="00963022">
              <w:rPr>
                <w:rFonts w:asciiTheme="minorHAnsi" w:hAnsiTheme="minorHAnsi" w:cstheme="minorHAnsi"/>
              </w:rPr>
              <w:t xml:space="preserve"> that there needs to </w:t>
            </w:r>
            <w:r w:rsidRPr="00963022">
              <w:rPr>
                <w:rFonts w:asciiTheme="minorHAnsi" w:hAnsiTheme="minorHAnsi" w:cstheme="minorHAnsi"/>
              </w:rPr>
              <w:t>be a wide, open and very public debate on the tax treatment of different kinds of work structures.</w:t>
            </w:r>
            <w:r>
              <w:rPr>
                <w:rFonts w:asciiTheme="minorHAnsi" w:hAnsiTheme="minorHAnsi" w:cstheme="minorHAnsi"/>
              </w:rPr>
              <w:t xml:space="preserve"> </w:t>
            </w:r>
            <w:r w:rsidRPr="00963022">
              <w:rPr>
                <w:rFonts w:asciiTheme="minorHAnsi" w:hAnsiTheme="minorHAnsi" w:cstheme="minorHAnsi"/>
              </w:rPr>
              <w:t>A key point is whether the tax and benefits systems should aim for a completely level playing field between employment and self-employment – and if ‘self-emp</w:t>
            </w:r>
            <w:r w:rsidRPr="00963022">
              <w:rPr>
                <w:rFonts w:asciiTheme="minorHAnsi" w:hAnsiTheme="minorHAnsi" w:cstheme="minorHAnsi"/>
              </w:rPr>
              <w:t xml:space="preserve">loyed’ whether within or without a corporate ‘wrapper’ - or whether differentials should be accepted and the focus put on trying to reform and clarify existing distinctions. </w:t>
            </w:r>
            <w:r>
              <w:rPr>
                <w:rFonts w:asciiTheme="minorHAnsi" w:hAnsiTheme="minorHAnsi" w:cstheme="minorHAnsi"/>
              </w:rPr>
              <w:t>It is disappointing that this whole area seems to have been neglected in the Budge</w:t>
            </w:r>
            <w:r>
              <w:rPr>
                <w:rFonts w:asciiTheme="minorHAnsi" w:hAnsiTheme="minorHAnsi" w:cstheme="minorHAnsi"/>
              </w:rPr>
              <w:t>t and on ‘</w:t>
            </w:r>
            <w:r>
              <w:rPr>
                <w:rFonts w:asciiTheme="minorHAnsi" w:hAnsiTheme="minorHAnsi" w:cstheme="minorHAnsi"/>
              </w:rPr>
              <w:t>tax consultation day</w:t>
            </w:r>
            <w:r>
              <w:rPr>
                <w:rFonts w:asciiTheme="minorHAnsi" w:hAnsiTheme="minorHAnsi" w:cstheme="minorHAnsi"/>
              </w:rPr>
              <w:t>’.</w:t>
            </w:r>
          </w:p>
        </w:tc>
      </w:tr>
      <w:tr w:rsidTr="00890044">
        <w:tblPrEx>
          <w:tblW w:w="10548" w:type="dxa"/>
          <w:jc w:val="center"/>
          <w:tblLook w:val="0000"/>
        </w:tblPrEx>
        <w:trPr>
          <w:jc w:val="center"/>
        </w:trPr>
        <w:tc>
          <w:tcPr>
            <w:tcW w:w="709" w:type="dxa"/>
          </w:tcPr>
          <w:p w:rsidR="006C68C8" w:rsidRPr="00715F94" w:rsidP="00D849C0">
            <w:pPr>
              <w:numPr>
                <w:ilvl w:val="1"/>
                <w:numId w:val="1"/>
              </w:numPr>
              <w:jc w:val="both"/>
              <w:rPr>
                <w:rFonts w:asciiTheme="minorHAnsi" w:hAnsiTheme="minorHAnsi" w:cstheme="minorHAnsi"/>
                <w:u w:val="single"/>
              </w:rPr>
            </w:pPr>
          </w:p>
        </w:tc>
        <w:tc>
          <w:tcPr>
            <w:tcW w:w="9839" w:type="dxa"/>
          </w:tcPr>
          <w:p w:rsidR="006C68C8" w:rsidRPr="00715F94" w:rsidP="00D849C0">
            <w:pPr>
              <w:jc w:val="both"/>
              <w:rPr>
                <w:rFonts w:asciiTheme="minorHAnsi" w:hAnsiTheme="minorHAnsi" w:cstheme="minorHAnsi"/>
                <w:u w:val="single"/>
              </w:rPr>
            </w:pPr>
            <w:r w:rsidRPr="00715F94">
              <w:rPr>
                <w:rFonts w:asciiTheme="minorHAnsi" w:hAnsiTheme="minorHAnsi" w:cstheme="minorHAnsi"/>
                <w:u w:val="single"/>
              </w:rPr>
              <w:t>Preventing abuse of the Research and Development (R&amp;D) relief for small and medium-sized enterprises (SMEs) [2.103]</w:t>
            </w:r>
            <w:r>
              <w:rPr>
                <w:rFonts w:asciiTheme="minorHAnsi" w:hAnsiTheme="minorHAnsi" w:cstheme="minorHAnsi"/>
                <w:u w:val="single"/>
              </w:rPr>
              <w:t xml:space="preserve"> – also R&amp;D tax reliefs [2.149]</w:t>
            </w:r>
          </w:p>
        </w:tc>
      </w:tr>
      <w:tr w:rsidTr="00890044">
        <w:tblPrEx>
          <w:tblW w:w="10548" w:type="dxa"/>
          <w:jc w:val="center"/>
          <w:tblLook w:val="0000"/>
        </w:tblPrEx>
        <w:trPr>
          <w:jc w:val="center"/>
        </w:trPr>
        <w:tc>
          <w:tcPr>
            <w:tcW w:w="709" w:type="dxa"/>
          </w:tcPr>
          <w:p w:rsidR="00963022" w:rsidRPr="00D849C0" w:rsidP="00963022">
            <w:pPr>
              <w:numPr>
                <w:ilvl w:val="1"/>
                <w:numId w:val="1"/>
              </w:numPr>
              <w:jc w:val="both"/>
              <w:rPr>
                <w:rFonts w:asciiTheme="minorHAnsi" w:hAnsiTheme="minorHAnsi" w:cstheme="minorHAnsi"/>
              </w:rPr>
            </w:pPr>
          </w:p>
        </w:tc>
        <w:tc>
          <w:tcPr>
            <w:tcW w:w="9839" w:type="dxa"/>
          </w:tcPr>
          <w:p w:rsidR="00963022" w:rsidRPr="00D849C0" w:rsidP="001D32D4">
            <w:pPr>
              <w:jc w:val="both"/>
              <w:rPr>
                <w:rFonts w:asciiTheme="minorHAnsi" w:hAnsiTheme="minorHAnsi" w:cstheme="minorHAnsi"/>
              </w:rPr>
            </w:pPr>
            <w:r>
              <w:rPr>
                <w:rFonts w:cstheme="minorHAnsi"/>
              </w:rPr>
              <w:t>T</w:t>
            </w:r>
            <w:r w:rsidRPr="00E84ECB">
              <w:rPr>
                <w:rFonts w:cstheme="minorHAnsi"/>
              </w:rPr>
              <w:t xml:space="preserve">he government </w:t>
            </w:r>
            <w:r>
              <w:rPr>
                <w:rFonts w:cstheme="minorHAnsi"/>
              </w:rPr>
              <w:t>is</w:t>
            </w:r>
            <w:r>
              <w:rPr>
                <w:rFonts w:cstheme="minorHAnsi"/>
              </w:rPr>
              <w:t xml:space="preserve"> right </w:t>
            </w:r>
            <w:r>
              <w:rPr>
                <w:rFonts w:cstheme="minorHAnsi"/>
              </w:rPr>
              <w:t>t</w:t>
            </w:r>
            <w:r>
              <w:rPr>
                <w:rFonts w:cstheme="minorHAnsi"/>
              </w:rPr>
              <w:t xml:space="preserve">o be </w:t>
            </w:r>
            <w:r w:rsidRPr="00E84ECB">
              <w:rPr>
                <w:rFonts w:cstheme="minorHAnsi"/>
              </w:rPr>
              <w:t>work</w:t>
            </w:r>
            <w:r>
              <w:rPr>
                <w:rFonts w:cstheme="minorHAnsi"/>
              </w:rPr>
              <w:t>ing</w:t>
            </w:r>
            <w:r w:rsidRPr="00E84ECB">
              <w:rPr>
                <w:rFonts w:cstheme="minorHAnsi"/>
              </w:rPr>
              <w:t xml:space="preserve"> to counter fraudulent attempts to claim the SME R&amp;D scheme payable tax credit. The proposed cap on the amount of SME payable R&amp;D tax credit that a business can receive in any one year by reference to the company’s total PAYE and NICs liability will assist</w:t>
            </w:r>
            <w:r w:rsidRPr="00E84ECB">
              <w:rPr>
                <w:rFonts w:cstheme="minorHAnsi"/>
              </w:rPr>
              <w:t xml:space="preserve"> in deterring abuse. We welcome the aspects of the proposals that have been incorporated as a result of two consultations conducted during 2019 and 2020 to minimise the impact and deterrent </w:t>
            </w:r>
            <w:r>
              <w:rPr>
                <w:rFonts w:cstheme="minorHAnsi"/>
              </w:rPr>
              <w:t xml:space="preserve">effect </w:t>
            </w:r>
            <w:r w:rsidRPr="00E84ECB">
              <w:rPr>
                <w:rFonts w:cstheme="minorHAnsi"/>
              </w:rPr>
              <w:t xml:space="preserve">on genuine businesses undertaking </w:t>
            </w:r>
            <w:r>
              <w:rPr>
                <w:rFonts w:cstheme="minorHAnsi"/>
              </w:rPr>
              <w:t xml:space="preserve">genuine </w:t>
            </w:r>
            <w:r w:rsidRPr="00E84ECB">
              <w:rPr>
                <w:rFonts w:cstheme="minorHAnsi"/>
              </w:rPr>
              <w:t>R&amp;D.</w:t>
            </w:r>
          </w:p>
        </w:tc>
      </w:tr>
      <w:tr w:rsidTr="00890044">
        <w:tblPrEx>
          <w:tblW w:w="10548" w:type="dxa"/>
          <w:jc w:val="center"/>
          <w:tblLook w:val="0000"/>
        </w:tblPrEx>
        <w:trPr>
          <w:jc w:val="center"/>
        </w:trPr>
        <w:tc>
          <w:tcPr>
            <w:tcW w:w="709" w:type="dxa"/>
          </w:tcPr>
          <w:p w:rsidR="00963022" w:rsidRPr="00D849C0" w:rsidP="00D849C0">
            <w:pPr>
              <w:numPr>
                <w:ilvl w:val="1"/>
                <w:numId w:val="1"/>
              </w:numPr>
              <w:jc w:val="both"/>
              <w:rPr>
                <w:rFonts w:asciiTheme="minorHAnsi" w:hAnsiTheme="minorHAnsi" w:cstheme="minorHAnsi"/>
              </w:rPr>
            </w:pPr>
          </w:p>
        </w:tc>
        <w:tc>
          <w:tcPr>
            <w:tcW w:w="9839" w:type="dxa"/>
          </w:tcPr>
          <w:p w:rsidR="00963022" w:rsidRPr="00D849C0" w:rsidP="00417C77">
            <w:pPr>
              <w:jc w:val="both"/>
              <w:rPr>
                <w:rFonts w:asciiTheme="minorHAnsi" w:hAnsiTheme="minorHAnsi" w:cstheme="minorHAnsi"/>
              </w:rPr>
            </w:pPr>
            <w:r w:rsidRPr="00FD70A1">
              <w:rPr>
                <w:rFonts w:asciiTheme="minorHAnsi" w:hAnsiTheme="minorHAnsi" w:cstheme="minorHAnsi"/>
              </w:rPr>
              <w:t>We also we</w:t>
            </w:r>
            <w:r w:rsidRPr="00FD70A1">
              <w:rPr>
                <w:rFonts w:asciiTheme="minorHAnsi" w:hAnsiTheme="minorHAnsi" w:cstheme="minorHAnsi"/>
              </w:rPr>
              <w:t>lcome the continued recognition by the government of the importance of R&amp;D to increasing productivity and the commitment to ensure that the UK remains a competitive location for cutting-edge research.</w:t>
            </w:r>
            <w:r>
              <w:rPr>
                <w:rFonts w:asciiTheme="minorHAnsi" w:hAnsiTheme="minorHAnsi" w:cstheme="minorHAnsi"/>
              </w:rPr>
              <w:t xml:space="preserve"> Reviews of reliefs are an oft-forgotten stage of the ta</w:t>
            </w:r>
            <w:r>
              <w:rPr>
                <w:rFonts w:asciiTheme="minorHAnsi" w:hAnsiTheme="minorHAnsi" w:cstheme="minorHAnsi"/>
              </w:rPr>
              <w:t xml:space="preserve">x policy-making process, and we were pleased to see at the Budget the government’s review of whether the </w:t>
            </w:r>
            <w:r w:rsidRPr="00417C77">
              <w:rPr>
                <w:rFonts w:asciiTheme="minorHAnsi" w:hAnsiTheme="minorHAnsi" w:cstheme="minorHAnsi"/>
              </w:rPr>
              <w:t>reliefs remain up-to-date, competitive and well-targeted</w:t>
            </w:r>
            <w:r>
              <w:rPr>
                <w:rFonts w:asciiTheme="minorHAnsi" w:hAnsiTheme="minorHAnsi" w:cstheme="minorHAnsi"/>
              </w:rPr>
              <w:t xml:space="preserve">. </w:t>
            </w:r>
            <w:r w:rsidRPr="00FD70A1">
              <w:rPr>
                <w:rFonts w:asciiTheme="minorHAnsi" w:hAnsiTheme="minorHAnsi" w:cstheme="minorHAnsi"/>
              </w:rPr>
              <w:t xml:space="preserve"> </w:t>
            </w:r>
          </w:p>
        </w:tc>
      </w:tr>
      <w:tr w:rsidTr="00890044">
        <w:tblPrEx>
          <w:tblW w:w="10548" w:type="dxa"/>
          <w:jc w:val="center"/>
          <w:tblLook w:val="0000"/>
        </w:tblPrEx>
        <w:trPr>
          <w:jc w:val="center"/>
        </w:trPr>
        <w:tc>
          <w:tcPr>
            <w:tcW w:w="709" w:type="dxa"/>
          </w:tcPr>
          <w:p w:rsidR="00963022" w:rsidRPr="00D849C0" w:rsidP="00D849C0">
            <w:pPr>
              <w:numPr>
                <w:ilvl w:val="1"/>
                <w:numId w:val="1"/>
              </w:numPr>
              <w:jc w:val="both"/>
              <w:rPr>
                <w:rFonts w:asciiTheme="minorHAnsi" w:hAnsiTheme="minorHAnsi" w:cstheme="minorHAnsi"/>
              </w:rPr>
            </w:pPr>
          </w:p>
        </w:tc>
        <w:tc>
          <w:tcPr>
            <w:tcW w:w="9839" w:type="dxa"/>
          </w:tcPr>
          <w:p w:rsidR="00963022" w:rsidRPr="00D849C0" w:rsidP="00DC6380">
            <w:pPr>
              <w:jc w:val="both"/>
              <w:rPr>
                <w:rFonts w:asciiTheme="minorHAnsi" w:hAnsiTheme="minorHAnsi" w:cstheme="minorHAnsi"/>
              </w:rPr>
            </w:pPr>
            <w:r>
              <w:rPr>
                <w:rFonts w:asciiTheme="minorHAnsi" w:hAnsiTheme="minorHAnsi" w:cstheme="minorHAnsi"/>
              </w:rPr>
              <w:t xml:space="preserve">We also encourage HMRC to continue, along with the </w:t>
            </w:r>
            <w:r>
              <w:rPr>
                <w:rFonts w:asciiTheme="minorHAnsi" w:hAnsiTheme="minorHAnsi" w:cstheme="minorHAnsi"/>
              </w:rPr>
              <w:t>p</w:t>
            </w:r>
            <w:r>
              <w:rPr>
                <w:rFonts w:asciiTheme="minorHAnsi" w:hAnsiTheme="minorHAnsi" w:cstheme="minorHAnsi"/>
              </w:rPr>
              <w:t xml:space="preserve">rofessional </w:t>
            </w:r>
            <w:r>
              <w:rPr>
                <w:rFonts w:asciiTheme="minorHAnsi" w:hAnsiTheme="minorHAnsi" w:cstheme="minorHAnsi"/>
              </w:rPr>
              <w:t>b</w:t>
            </w:r>
            <w:r>
              <w:rPr>
                <w:rFonts w:asciiTheme="minorHAnsi" w:hAnsiTheme="minorHAnsi" w:cstheme="minorHAnsi"/>
              </w:rPr>
              <w:t>odies, its efforts to im</w:t>
            </w:r>
            <w:r>
              <w:rPr>
                <w:rFonts w:asciiTheme="minorHAnsi" w:hAnsiTheme="minorHAnsi" w:cstheme="minorHAnsi"/>
              </w:rPr>
              <w:t>prove standards in part of the R&amp;D advice sector, to ensure that only legitimate claims are made by adviser</w:t>
            </w:r>
            <w:r>
              <w:rPr>
                <w:rFonts w:asciiTheme="minorHAnsi" w:hAnsiTheme="minorHAnsi" w:cstheme="minorHAnsi"/>
              </w:rPr>
              <w:t>s</w:t>
            </w:r>
            <w:r>
              <w:rPr>
                <w:rFonts w:asciiTheme="minorHAnsi" w:hAnsiTheme="minorHAnsi" w:cstheme="minorHAnsi"/>
              </w:rPr>
              <w:t xml:space="preserve"> who adhere to strict professional standards such as Professional Conduct in Relation to Taxation (PCRT).</w:t>
            </w:r>
            <w:r>
              <w:rPr>
                <w:rStyle w:val="FootnoteReference"/>
                <w:rFonts w:asciiTheme="minorHAnsi" w:hAnsiTheme="minorHAnsi" w:cstheme="minorHAnsi"/>
              </w:rPr>
              <w:footnoteReference w:id="8"/>
            </w:r>
          </w:p>
        </w:tc>
      </w:tr>
      <w:tr w:rsidTr="00890044">
        <w:tblPrEx>
          <w:tblW w:w="10548" w:type="dxa"/>
          <w:jc w:val="center"/>
          <w:tblLook w:val="0000"/>
        </w:tblPrEx>
        <w:trPr>
          <w:jc w:val="center"/>
        </w:trPr>
        <w:tc>
          <w:tcPr>
            <w:tcW w:w="709" w:type="dxa"/>
          </w:tcPr>
          <w:p w:rsidR="006C68C8" w:rsidRPr="0037187C" w:rsidP="00D849C0">
            <w:pPr>
              <w:numPr>
                <w:ilvl w:val="1"/>
                <w:numId w:val="1"/>
              </w:numPr>
              <w:jc w:val="both"/>
              <w:rPr>
                <w:rFonts w:asciiTheme="minorHAnsi" w:hAnsiTheme="minorHAnsi" w:cstheme="minorHAnsi"/>
                <w:u w:val="single"/>
              </w:rPr>
            </w:pPr>
          </w:p>
        </w:tc>
        <w:tc>
          <w:tcPr>
            <w:tcW w:w="9839" w:type="dxa"/>
          </w:tcPr>
          <w:p w:rsidR="006C68C8" w:rsidRPr="0037187C" w:rsidP="00D849C0">
            <w:pPr>
              <w:jc w:val="both"/>
              <w:rPr>
                <w:rFonts w:asciiTheme="minorHAnsi" w:hAnsiTheme="minorHAnsi" w:cstheme="minorHAnsi"/>
                <w:u w:val="single"/>
              </w:rPr>
            </w:pPr>
            <w:r w:rsidRPr="0037187C">
              <w:rPr>
                <w:rFonts w:asciiTheme="minorHAnsi" w:hAnsiTheme="minorHAnsi" w:cstheme="minorHAnsi"/>
                <w:u w:val="single"/>
              </w:rPr>
              <w:t>Super-deduction [2.111]</w:t>
            </w:r>
          </w:p>
        </w:tc>
      </w:tr>
      <w:tr w:rsidTr="00890044">
        <w:tblPrEx>
          <w:tblW w:w="10548" w:type="dxa"/>
          <w:jc w:val="center"/>
          <w:tblLook w:val="0000"/>
        </w:tblPrEx>
        <w:trPr>
          <w:jc w:val="center"/>
        </w:trPr>
        <w:tc>
          <w:tcPr>
            <w:tcW w:w="709" w:type="dxa"/>
          </w:tcPr>
          <w:p w:rsidR="00963022" w:rsidRPr="00D849C0" w:rsidP="00963022">
            <w:pPr>
              <w:numPr>
                <w:ilvl w:val="1"/>
                <w:numId w:val="1"/>
              </w:numPr>
              <w:jc w:val="both"/>
              <w:rPr>
                <w:rFonts w:asciiTheme="minorHAnsi" w:hAnsiTheme="minorHAnsi" w:cstheme="minorHAnsi"/>
              </w:rPr>
            </w:pPr>
          </w:p>
        </w:tc>
        <w:tc>
          <w:tcPr>
            <w:tcW w:w="9839" w:type="dxa"/>
          </w:tcPr>
          <w:p w:rsidR="00963022" w:rsidRPr="00D849C0" w:rsidP="009E3D11">
            <w:pPr>
              <w:jc w:val="both"/>
              <w:rPr>
                <w:rFonts w:asciiTheme="minorHAnsi" w:hAnsiTheme="minorHAnsi" w:cstheme="minorHAnsi"/>
              </w:rPr>
            </w:pPr>
            <w:r>
              <w:t>T</w:t>
            </w:r>
            <w:r w:rsidRPr="002C3413">
              <w:t xml:space="preserve">he </w:t>
            </w:r>
            <w:r w:rsidRPr="002C3413">
              <w:t>super</w:t>
            </w:r>
            <w:r>
              <w:t>-</w:t>
            </w:r>
            <w:r w:rsidRPr="002C3413">
              <w:t xml:space="preserve">deduction, </w:t>
            </w:r>
            <w:r w:rsidRPr="002C3413">
              <w:rPr>
                <w:bCs/>
              </w:rPr>
              <w:t>allowing companies to reduce their corporation tax bill by 130% of the value of their investment for two years,</w:t>
            </w:r>
            <w:r w:rsidRPr="002C3413">
              <w:t xml:space="preserve"> </w:t>
            </w:r>
            <w:r>
              <w:t>being introduced as a new f</w:t>
            </w:r>
            <w:r>
              <w:t>irst</w:t>
            </w:r>
            <w:r>
              <w:t>-y</w:t>
            </w:r>
            <w:r>
              <w:t xml:space="preserve">ear </w:t>
            </w:r>
            <w:r>
              <w:t>a</w:t>
            </w:r>
            <w:r>
              <w:t>llowance over that period,</w:t>
            </w:r>
            <w:r>
              <w:t xml:space="preserve"> alongside a new 50% first-year allowance for qualifying special rate assets,</w:t>
            </w:r>
            <w:r>
              <w:t xml:space="preserve"> </w:t>
            </w:r>
            <w:r w:rsidRPr="002C3413">
              <w:t xml:space="preserve">will be a real incentive to </w:t>
            </w:r>
            <w:r>
              <w:t xml:space="preserve">make or accelerate </w:t>
            </w:r>
            <w:r w:rsidRPr="002C3413">
              <w:t>investment</w:t>
            </w:r>
            <w:r>
              <w:t>.</w:t>
            </w:r>
            <w:r w:rsidRPr="002C3413">
              <w:t xml:space="preserve"> It will make most difference to larger businesses, as smaller ones benefit proportionally more from the existing Annual</w:t>
            </w:r>
            <w:r w:rsidRPr="002C3413">
              <w:t xml:space="preserve"> Investment Allowance</w:t>
            </w:r>
            <w:r>
              <w:t xml:space="preserve"> (AIA)</w:t>
            </w:r>
            <w:r w:rsidRPr="002C3413">
              <w:t>; indeed</w:t>
            </w:r>
            <w:r>
              <w:t>,</w:t>
            </w:r>
            <w:r w:rsidRPr="002C3413">
              <w:t xml:space="preserve"> </w:t>
            </w:r>
            <w:r>
              <w:t xml:space="preserve">as noted, </w:t>
            </w:r>
            <w:r w:rsidRPr="002C3413">
              <w:t xml:space="preserve">the smallest businesses that invest often pay no tax as a result. The Chancellor may have feared that without this new </w:t>
            </w:r>
            <w:r>
              <w:t>stimulus</w:t>
            </w:r>
            <w:r w:rsidRPr="002C3413">
              <w:t>, larger companies would have had a fiscal incentive to defer investment until 202</w:t>
            </w:r>
            <w:r w:rsidRPr="002C3413">
              <w:t xml:space="preserve">3 when the higher rate of corporation tax </w:t>
            </w:r>
            <w:r>
              <w:t>will apply</w:t>
            </w:r>
            <w:r w:rsidRPr="002C3413">
              <w:t>, in order to attract the corresponding higher rate of relief.</w:t>
            </w:r>
            <w:r>
              <w:t xml:space="preserve"> </w:t>
            </w:r>
          </w:p>
        </w:tc>
      </w:tr>
      <w:tr w:rsidTr="00890044">
        <w:tblPrEx>
          <w:tblW w:w="10548" w:type="dxa"/>
          <w:jc w:val="center"/>
          <w:tblLook w:val="0000"/>
        </w:tblPrEx>
        <w:trPr>
          <w:jc w:val="center"/>
        </w:trPr>
        <w:tc>
          <w:tcPr>
            <w:tcW w:w="709" w:type="dxa"/>
          </w:tcPr>
          <w:p w:rsidR="00963022" w:rsidRPr="00D849C0" w:rsidP="00963022">
            <w:pPr>
              <w:numPr>
                <w:ilvl w:val="1"/>
                <w:numId w:val="1"/>
              </w:numPr>
              <w:jc w:val="both"/>
              <w:rPr>
                <w:rFonts w:asciiTheme="minorHAnsi" w:hAnsiTheme="minorHAnsi" w:cstheme="minorHAnsi"/>
              </w:rPr>
            </w:pPr>
          </w:p>
        </w:tc>
        <w:tc>
          <w:tcPr>
            <w:tcW w:w="9839" w:type="dxa"/>
          </w:tcPr>
          <w:p w:rsidR="00963022" w:rsidRPr="00D849C0" w:rsidP="007445D1">
            <w:pPr>
              <w:jc w:val="both"/>
              <w:rPr>
                <w:rFonts w:asciiTheme="minorHAnsi" w:hAnsiTheme="minorHAnsi" w:cstheme="minorHAnsi"/>
              </w:rPr>
            </w:pPr>
            <w:r w:rsidRPr="002C3413">
              <w:t>That said, there has been too much tinkering with rules and rates of capital allowances, and frequent changes more often than not bring co</w:t>
            </w:r>
            <w:r w:rsidRPr="002C3413">
              <w:t xml:space="preserve">mplexity and uncertainty, and undermine investor understanding of, and confidence in, what is on offer at any one time. This further temporary measure leaves unresolved the question of what is the ongoing permanent level of support through </w:t>
            </w:r>
            <w:r>
              <w:t xml:space="preserve">the </w:t>
            </w:r>
            <w:r w:rsidRPr="002C3413">
              <w:t>tax system f</w:t>
            </w:r>
            <w:r w:rsidRPr="002C3413">
              <w:t>or corporate investment.</w:t>
            </w:r>
            <w:r>
              <w:t xml:space="preserve"> There is a need for ongoing indications of a stable environment post 2023.</w:t>
            </w:r>
          </w:p>
        </w:tc>
      </w:tr>
      <w:tr w:rsidTr="00890044">
        <w:tblPrEx>
          <w:tblW w:w="10548" w:type="dxa"/>
          <w:jc w:val="center"/>
          <w:tblLook w:val="0000"/>
        </w:tblPrEx>
        <w:trPr>
          <w:jc w:val="center"/>
        </w:trPr>
        <w:tc>
          <w:tcPr>
            <w:tcW w:w="709" w:type="dxa"/>
          </w:tcPr>
          <w:p w:rsidR="001D32D4" w:rsidRPr="00D849C0" w:rsidP="00963022">
            <w:pPr>
              <w:numPr>
                <w:ilvl w:val="1"/>
                <w:numId w:val="1"/>
              </w:numPr>
              <w:jc w:val="both"/>
              <w:rPr>
                <w:rFonts w:asciiTheme="minorHAnsi" w:hAnsiTheme="minorHAnsi" w:cstheme="minorHAnsi"/>
              </w:rPr>
            </w:pPr>
          </w:p>
        </w:tc>
        <w:tc>
          <w:tcPr>
            <w:tcW w:w="9839" w:type="dxa"/>
          </w:tcPr>
          <w:p w:rsidR="001D32D4" w:rsidRPr="002C3413" w:rsidP="007445D1">
            <w:pPr>
              <w:jc w:val="both"/>
            </w:pPr>
            <w:r w:rsidRPr="001D32D4">
              <w:t>There are some exclusions from the ability to benefit from the super-deduction, in particular the exclusion for leasing and for electric cars. The exclusi</w:t>
            </w:r>
            <w:r w:rsidRPr="001D32D4">
              <w:t>on for leasing is a general one that applies in respect of all first-year allowances and applies equally to equipment leasing, and plant or machinery that is leased as part of a property. Thus excluding leasing from the benefit of the new super-deduction a</w:t>
            </w:r>
            <w:r w:rsidRPr="001D32D4">
              <w:t>nd 50% first-year allowance for special rate assets is consistent with this existing policy</w:t>
            </w:r>
            <w:r>
              <w:t xml:space="preserve">. </w:t>
            </w:r>
            <w:r w:rsidRPr="001D32D4">
              <w:t xml:space="preserve">We also note that there are some circumstances where a lessee can claim capital allowances (for example under long funding leases and hire purchase contracts) and </w:t>
            </w:r>
            <w:r w:rsidRPr="001D32D4">
              <w:t>in these circumstances, the super-deduction should be available to the lessee</w:t>
            </w:r>
            <w:r>
              <w:t xml:space="preserve">. </w:t>
            </w:r>
            <w:r w:rsidRPr="001D32D4">
              <w:t>We understand that the prohibition from first-year allowances for leased assets is part of the government’s wider concerns around opportunities for abuse in these sectors</w:t>
            </w:r>
            <w:r>
              <w:t xml:space="preserve">. </w:t>
            </w:r>
            <w:r w:rsidRPr="001D32D4">
              <w:t xml:space="preserve">This </w:t>
            </w:r>
            <w:r w:rsidRPr="001D32D4">
              <w:t>policy rationale is more easily understood in relation to equipment leasing, which is considered to be broadly akin to financing the underlying plant or machinery</w:t>
            </w:r>
            <w:r>
              <w:t xml:space="preserve">. </w:t>
            </w:r>
            <w:r w:rsidRPr="001D32D4">
              <w:t>Further the plant or machinery is generally moveable, which also gives rise to concerns as t</w:t>
            </w:r>
            <w:r w:rsidRPr="001D32D4">
              <w:t>o where the equipment is being utilised, as the policy aim is to improve productivity in the UK.</w:t>
            </w:r>
          </w:p>
        </w:tc>
      </w:tr>
      <w:tr w:rsidTr="00890044">
        <w:tblPrEx>
          <w:tblW w:w="10548" w:type="dxa"/>
          <w:jc w:val="center"/>
          <w:tblLook w:val="0000"/>
        </w:tblPrEx>
        <w:trPr>
          <w:jc w:val="center"/>
        </w:trPr>
        <w:tc>
          <w:tcPr>
            <w:tcW w:w="709" w:type="dxa"/>
          </w:tcPr>
          <w:p w:rsidR="001D32D4" w:rsidRPr="00D849C0" w:rsidP="00963022">
            <w:pPr>
              <w:numPr>
                <w:ilvl w:val="1"/>
                <w:numId w:val="1"/>
              </w:numPr>
              <w:jc w:val="both"/>
              <w:rPr>
                <w:rFonts w:asciiTheme="minorHAnsi" w:hAnsiTheme="minorHAnsi" w:cstheme="minorHAnsi"/>
              </w:rPr>
            </w:pPr>
          </w:p>
        </w:tc>
        <w:tc>
          <w:tcPr>
            <w:tcW w:w="9839" w:type="dxa"/>
          </w:tcPr>
          <w:p w:rsidR="001D32D4" w:rsidRPr="001D32D4" w:rsidP="007445D1">
            <w:pPr>
              <w:jc w:val="both"/>
            </w:pPr>
            <w:r w:rsidRPr="001D32D4">
              <w:t>However, we suggest that the position of landlords of UK property, particularly in the current climate, is not analogous with equipment lessors</w:t>
            </w:r>
            <w:r>
              <w:t xml:space="preserve">. </w:t>
            </w:r>
            <w:r w:rsidRPr="001D32D4">
              <w:t>Property lan</w:t>
            </w:r>
            <w:r w:rsidRPr="001D32D4">
              <w:t>dlords are increasingly having to offer capital contributions and incur significant fit-out costs to support tenants. In addition, in many sectors (for example the hospitality sector and the care sector) businesses commonly operate as ‘opco/propco’ structu</w:t>
            </w:r>
            <w:r w:rsidRPr="001D32D4">
              <w:t>res and these businesses will be unable to benefit from the new generous first-year allowances on capital costs incurred by the propco (landlord), despite the investment being made in respect of the underlying trading business (and, therefore, contributing</w:t>
            </w:r>
            <w:r w:rsidRPr="001D32D4">
              <w:t xml:space="preserve"> to the productivity of the business). There are examples in other areas of the tax code where </w:t>
            </w:r>
            <w:r w:rsidRPr="001D32D4">
              <w:t>organisational structures within a group are ignored (for example in the rules relating to substantial shareholding exemption) and the same could have been consi</w:t>
            </w:r>
            <w:r w:rsidRPr="001D32D4">
              <w:t>dered here.</w:t>
            </w:r>
          </w:p>
        </w:tc>
      </w:tr>
      <w:tr w:rsidTr="00890044">
        <w:tblPrEx>
          <w:tblW w:w="10548" w:type="dxa"/>
          <w:jc w:val="center"/>
          <w:tblLook w:val="0000"/>
        </w:tblPrEx>
        <w:trPr>
          <w:jc w:val="center"/>
        </w:trPr>
        <w:tc>
          <w:tcPr>
            <w:tcW w:w="709" w:type="dxa"/>
          </w:tcPr>
          <w:p w:rsidR="001D32D4" w:rsidRPr="00D849C0" w:rsidP="00963022">
            <w:pPr>
              <w:numPr>
                <w:ilvl w:val="1"/>
                <w:numId w:val="1"/>
              </w:numPr>
              <w:jc w:val="both"/>
              <w:rPr>
                <w:rFonts w:asciiTheme="minorHAnsi" w:hAnsiTheme="minorHAnsi" w:cstheme="minorHAnsi"/>
              </w:rPr>
            </w:pPr>
          </w:p>
        </w:tc>
        <w:tc>
          <w:tcPr>
            <w:tcW w:w="9839" w:type="dxa"/>
          </w:tcPr>
          <w:p w:rsidR="001D32D4" w:rsidRPr="001D32D4" w:rsidP="007445D1">
            <w:pPr>
              <w:jc w:val="both"/>
            </w:pPr>
            <w:r w:rsidRPr="001D32D4">
              <w:t>We note that the built sector is the source of a substantial amount of emissions</w:t>
            </w:r>
            <w:r>
              <w:t xml:space="preserve">. </w:t>
            </w:r>
            <w:r w:rsidRPr="001D32D4">
              <w:t>Thus, while accepting that this particular policy initiative is aimed at encouraging productivity through tax relief for investment in plant or machinery, an op</w:t>
            </w:r>
            <w:r w:rsidRPr="001D32D4">
              <w:t>portunity could also have been taken to reflect the government’s overall green agenda by using the capital allowances system to encourage landlords to retro-fit properties to reduce emissions.</w:t>
            </w:r>
          </w:p>
        </w:tc>
      </w:tr>
      <w:tr w:rsidTr="00890044">
        <w:tblPrEx>
          <w:tblW w:w="10548" w:type="dxa"/>
          <w:jc w:val="center"/>
          <w:tblLook w:val="0000"/>
        </w:tblPrEx>
        <w:trPr>
          <w:jc w:val="center"/>
        </w:trPr>
        <w:tc>
          <w:tcPr>
            <w:tcW w:w="709" w:type="dxa"/>
          </w:tcPr>
          <w:p w:rsidR="00315F14" w:rsidRPr="00D849C0" w:rsidP="00963022">
            <w:pPr>
              <w:numPr>
                <w:ilvl w:val="1"/>
                <w:numId w:val="1"/>
              </w:numPr>
              <w:jc w:val="both"/>
              <w:rPr>
                <w:rFonts w:asciiTheme="minorHAnsi" w:hAnsiTheme="minorHAnsi" w:cstheme="minorHAnsi"/>
              </w:rPr>
            </w:pPr>
          </w:p>
        </w:tc>
        <w:tc>
          <w:tcPr>
            <w:tcW w:w="9839" w:type="dxa"/>
          </w:tcPr>
          <w:p w:rsidR="00315F14" w:rsidP="00890044">
            <w:pPr>
              <w:jc w:val="both"/>
            </w:pPr>
            <w:r>
              <w:t xml:space="preserve">We understand that the policy decision to exclude cars </w:t>
            </w:r>
            <w:r>
              <w:t>(but not commercial vehicles more generally) is consistent with the policy that has always excluded cars from the AIA</w:t>
            </w:r>
            <w:r>
              <w:t xml:space="preserve">. </w:t>
            </w:r>
            <w:r>
              <w:t>This is on the basis that cars have their own capital allowance regime intended to incentivise investment in electric cars, b</w:t>
            </w:r>
            <w:r>
              <w:t>y</w:t>
            </w:r>
            <w:r>
              <w:t xml:space="preserve"> providing </w:t>
            </w:r>
            <w:r>
              <w:t xml:space="preserve">a specific 100% first-year allowance for </w:t>
            </w:r>
            <w:r>
              <w:t>them</w:t>
            </w:r>
            <w:r>
              <w:t xml:space="preserve"> (which has also recently been extended to 2025)</w:t>
            </w:r>
            <w:r>
              <w:t xml:space="preserve">. </w:t>
            </w:r>
            <w:r>
              <w:t xml:space="preserve"> </w:t>
            </w:r>
            <w:r>
              <w:t xml:space="preserve">Whilst accepting this policy distinction for cars, we note that the announced increase in the main rate of corporation tax </w:t>
            </w:r>
            <w:r>
              <w:t xml:space="preserve">could delay </w:t>
            </w:r>
            <w:r>
              <w:t xml:space="preserve">investment </w:t>
            </w:r>
            <w:r>
              <w:t>decisions around a company’s fleet of cars</w:t>
            </w:r>
            <w:r>
              <w:t>, as compared with</w:t>
            </w:r>
            <w:r>
              <w:t xml:space="preserve"> other plant or machinery which will qualify for the new super-deduction</w:t>
            </w:r>
            <w:r>
              <w:t xml:space="preserve">. </w:t>
            </w:r>
            <w:r>
              <w:t xml:space="preserve"> </w:t>
            </w:r>
          </w:p>
          <w:p w:rsidR="00F37D3C" w:rsidRPr="002C3413" w:rsidP="00E15F5F">
            <w:pPr>
              <w:rPr>
                <w:rFonts w:cstheme="minorHAnsi"/>
              </w:rPr>
            </w:pPr>
          </w:p>
        </w:tc>
      </w:tr>
      <w:tr w:rsidTr="00890044">
        <w:tblPrEx>
          <w:tblW w:w="10548" w:type="dxa"/>
          <w:jc w:val="center"/>
          <w:tblLook w:val="0000"/>
        </w:tblPrEx>
        <w:trPr>
          <w:jc w:val="center"/>
        </w:trPr>
        <w:tc>
          <w:tcPr>
            <w:tcW w:w="709" w:type="dxa"/>
          </w:tcPr>
          <w:p w:rsidR="001F6F2B" w:rsidRPr="00D849C0" w:rsidP="001F6F2B">
            <w:pPr>
              <w:numPr>
                <w:ilvl w:val="0"/>
                <w:numId w:val="1"/>
              </w:numPr>
              <w:jc w:val="both"/>
              <w:rPr>
                <w:rFonts w:asciiTheme="minorHAnsi" w:hAnsiTheme="minorHAnsi" w:cstheme="minorHAnsi"/>
              </w:rPr>
            </w:pPr>
          </w:p>
        </w:tc>
        <w:tc>
          <w:tcPr>
            <w:tcW w:w="9839" w:type="dxa"/>
          </w:tcPr>
          <w:p w:rsidR="001F6F2B" w:rsidRPr="001F6F2B" w:rsidP="00D849C0">
            <w:pPr>
              <w:jc w:val="both"/>
              <w:rPr>
                <w:rFonts w:asciiTheme="minorHAnsi" w:hAnsiTheme="minorHAnsi" w:cstheme="minorHAnsi"/>
                <w:b/>
              </w:rPr>
            </w:pPr>
            <w:r w:rsidRPr="001F6F2B">
              <w:rPr>
                <w:rFonts w:asciiTheme="minorHAnsi" w:hAnsiTheme="minorHAnsi" w:cstheme="minorHAnsi"/>
                <w:b/>
              </w:rPr>
              <w:t>Property Tax</w:t>
            </w:r>
          </w:p>
        </w:tc>
      </w:tr>
      <w:tr w:rsidTr="00890044">
        <w:tblPrEx>
          <w:tblW w:w="10548" w:type="dxa"/>
          <w:jc w:val="center"/>
          <w:tblLook w:val="0000"/>
        </w:tblPrEx>
        <w:trPr>
          <w:jc w:val="center"/>
        </w:trPr>
        <w:tc>
          <w:tcPr>
            <w:tcW w:w="709" w:type="dxa"/>
          </w:tcPr>
          <w:p w:rsidR="001F6F2B" w:rsidRPr="006C68C8" w:rsidP="00D849C0">
            <w:pPr>
              <w:numPr>
                <w:ilvl w:val="1"/>
                <w:numId w:val="1"/>
              </w:numPr>
              <w:jc w:val="both"/>
              <w:rPr>
                <w:rFonts w:asciiTheme="minorHAnsi" w:hAnsiTheme="minorHAnsi" w:cstheme="minorHAnsi"/>
                <w:u w:val="single"/>
              </w:rPr>
            </w:pPr>
          </w:p>
        </w:tc>
        <w:tc>
          <w:tcPr>
            <w:tcW w:w="9839" w:type="dxa"/>
          </w:tcPr>
          <w:p w:rsidR="001F6F2B" w:rsidRPr="006C68C8" w:rsidP="00D849C0">
            <w:pPr>
              <w:jc w:val="both"/>
              <w:rPr>
                <w:rFonts w:asciiTheme="minorHAnsi" w:hAnsiTheme="minorHAnsi" w:cstheme="minorHAnsi"/>
                <w:u w:val="single"/>
              </w:rPr>
            </w:pPr>
            <w:r w:rsidRPr="006C68C8">
              <w:rPr>
                <w:rFonts w:asciiTheme="minorHAnsi" w:hAnsiTheme="minorHAnsi" w:cstheme="minorHAnsi"/>
                <w:u w:val="single"/>
              </w:rPr>
              <w:t>Temporary Stamp Duty Land Tax (SDLT) cut [2.26]</w:t>
            </w:r>
          </w:p>
        </w:tc>
      </w:tr>
      <w:tr w:rsidTr="00890044">
        <w:tblPrEx>
          <w:tblW w:w="10548" w:type="dxa"/>
          <w:jc w:val="center"/>
          <w:tblLook w:val="0000"/>
        </w:tblPrEx>
        <w:trPr>
          <w:jc w:val="center"/>
        </w:trPr>
        <w:tc>
          <w:tcPr>
            <w:tcW w:w="709" w:type="dxa"/>
          </w:tcPr>
          <w:p w:rsidR="001F6F2B" w:rsidRPr="00D849C0" w:rsidP="00D849C0">
            <w:pPr>
              <w:numPr>
                <w:ilvl w:val="1"/>
                <w:numId w:val="1"/>
              </w:numPr>
              <w:jc w:val="both"/>
              <w:rPr>
                <w:rFonts w:asciiTheme="minorHAnsi" w:hAnsiTheme="minorHAnsi" w:cstheme="minorHAnsi"/>
              </w:rPr>
            </w:pPr>
          </w:p>
        </w:tc>
        <w:tc>
          <w:tcPr>
            <w:tcW w:w="9839" w:type="dxa"/>
          </w:tcPr>
          <w:p w:rsidR="001F6F2B" w:rsidRPr="00D849C0" w:rsidP="00C61D5D">
            <w:pPr>
              <w:jc w:val="both"/>
              <w:rPr>
                <w:rFonts w:asciiTheme="minorHAnsi" w:hAnsiTheme="minorHAnsi" w:cstheme="minorHAnsi"/>
              </w:rPr>
            </w:pPr>
            <w:r w:rsidRPr="00C84C21">
              <w:rPr>
                <w:rFonts w:asciiTheme="minorHAnsi" w:hAnsiTheme="minorHAnsi" w:cstheme="minorHAnsi"/>
              </w:rPr>
              <w:t xml:space="preserve">The purpose of the temporary increase, announced on </w:t>
            </w:r>
            <w:r w:rsidRPr="00C84C21">
              <w:rPr>
                <w:rFonts w:asciiTheme="minorHAnsi" w:hAnsiTheme="minorHAnsi" w:cstheme="minorHAnsi"/>
              </w:rPr>
              <w:t xml:space="preserve">8 July 2020, to the SDLT nil rate band for residential property sales, from £125,000 to £500,000 was to revive the housing market and stimulate household consumption against the background of falling property transactions in the COVID-19 lockdown. The new </w:t>
            </w:r>
            <w:r w:rsidRPr="00C84C21">
              <w:rPr>
                <w:rFonts w:asciiTheme="minorHAnsi" w:hAnsiTheme="minorHAnsi" w:cstheme="minorHAnsi"/>
              </w:rPr>
              <w:t xml:space="preserve">measure extends the temporary increase to 30 June 2021 followed by a further temporary relief period from 1 July 2021 to 30 September 2021 when the nil rate band is £250,000. </w:t>
            </w:r>
          </w:p>
        </w:tc>
      </w:tr>
      <w:tr w:rsidTr="00890044">
        <w:tblPrEx>
          <w:tblW w:w="10548" w:type="dxa"/>
          <w:jc w:val="center"/>
          <w:tblLook w:val="0000"/>
        </w:tblPrEx>
        <w:trPr>
          <w:jc w:val="center"/>
        </w:trPr>
        <w:tc>
          <w:tcPr>
            <w:tcW w:w="709" w:type="dxa"/>
          </w:tcPr>
          <w:p w:rsidR="006C68C8" w:rsidRPr="00D849C0" w:rsidP="00D849C0">
            <w:pPr>
              <w:numPr>
                <w:ilvl w:val="1"/>
                <w:numId w:val="1"/>
              </w:numPr>
              <w:jc w:val="both"/>
              <w:rPr>
                <w:rFonts w:asciiTheme="minorHAnsi" w:hAnsiTheme="minorHAnsi" w:cstheme="minorHAnsi"/>
              </w:rPr>
            </w:pPr>
          </w:p>
        </w:tc>
        <w:tc>
          <w:tcPr>
            <w:tcW w:w="9839" w:type="dxa"/>
          </w:tcPr>
          <w:p w:rsidR="006C68C8" w:rsidRPr="00D849C0" w:rsidP="00E758CD">
            <w:pPr>
              <w:jc w:val="both"/>
              <w:rPr>
                <w:rFonts w:asciiTheme="minorHAnsi" w:hAnsiTheme="minorHAnsi" w:cstheme="minorHAnsi"/>
              </w:rPr>
            </w:pPr>
            <w:r w:rsidRPr="00C61D5D">
              <w:rPr>
                <w:rFonts w:asciiTheme="minorHAnsi" w:hAnsiTheme="minorHAnsi" w:cstheme="minorHAnsi"/>
              </w:rPr>
              <w:t xml:space="preserve">The tapered transition back to pre-pandemic rates should take some of the </w:t>
            </w:r>
            <w:r w:rsidRPr="00C61D5D">
              <w:rPr>
                <w:rFonts w:asciiTheme="minorHAnsi" w:hAnsiTheme="minorHAnsi" w:cstheme="minorHAnsi"/>
              </w:rPr>
              <w:t>bottlenecks out of the system for house buyers wishing to complete transactions before the increased nil rate band expires altogether</w:t>
            </w:r>
            <w:r>
              <w:rPr>
                <w:rFonts w:asciiTheme="minorHAnsi" w:hAnsiTheme="minorHAnsi" w:cstheme="minorHAnsi"/>
              </w:rPr>
              <w:t>,</w:t>
            </w:r>
            <w:r w:rsidRPr="00C61D5D">
              <w:rPr>
                <w:rFonts w:asciiTheme="minorHAnsi" w:hAnsiTheme="minorHAnsi" w:cstheme="minorHAnsi"/>
              </w:rPr>
              <w:t xml:space="preserve"> although with some added complexity because different rate bands apply</w:t>
            </w:r>
            <w:r>
              <w:rPr>
                <w:rFonts w:asciiTheme="minorHAnsi" w:hAnsiTheme="minorHAnsi" w:cstheme="minorHAnsi"/>
              </w:rPr>
              <w:t xml:space="preserve"> at different times</w:t>
            </w:r>
            <w:r w:rsidRPr="00C84C21">
              <w:rPr>
                <w:rFonts w:asciiTheme="minorHAnsi" w:hAnsiTheme="minorHAnsi" w:cstheme="minorHAnsi"/>
              </w:rPr>
              <w:t>.</w:t>
            </w:r>
            <w:r>
              <w:rPr>
                <w:rStyle w:val="FootnoteReference"/>
                <w:rFonts w:asciiTheme="minorHAnsi" w:hAnsiTheme="minorHAnsi" w:cstheme="minorHAnsi"/>
              </w:rPr>
              <w:footnoteReference w:id="9"/>
            </w:r>
            <w:r>
              <w:rPr>
                <w:rFonts w:asciiTheme="minorHAnsi" w:hAnsiTheme="minorHAnsi" w:cstheme="minorHAnsi"/>
              </w:rPr>
              <w:t xml:space="preserve"> </w:t>
            </w:r>
          </w:p>
        </w:tc>
      </w:tr>
      <w:tr w:rsidTr="00890044">
        <w:tblPrEx>
          <w:tblW w:w="10548" w:type="dxa"/>
          <w:jc w:val="center"/>
          <w:tblLook w:val="0000"/>
        </w:tblPrEx>
        <w:trPr>
          <w:jc w:val="center"/>
        </w:trPr>
        <w:tc>
          <w:tcPr>
            <w:tcW w:w="709" w:type="dxa"/>
          </w:tcPr>
          <w:p w:rsidR="001F6F2B" w:rsidRPr="00D849C0" w:rsidP="00D849C0">
            <w:pPr>
              <w:numPr>
                <w:ilvl w:val="1"/>
                <w:numId w:val="1"/>
              </w:numPr>
              <w:jc w:val="both"/>
              <w:rPr>
                <w:rFonts w:asciiTheme="minorHAnsi" w:hAnsiTheme="minorHAnsi" w:cstheme="minorHAnsi"/>
              </w:rPr>
            </w:pPr>
          </w:p>
        </w:tc>
        <w:tc>
          <w:tcPr>
            <w:tcW w:w="9839" w:type="dxa"/>
          </w:tcPr>
          <w:p w:rsidR="001F6F2B" w:rsidRPr="00D849C0" w:rsidP="00A97D99">
            <w:pPr>
              <w:jc w:val="both"/>
              <w:rPr>
                <w:rFonts w:asciiTheme="minorHAnsi" w:hAnsiTheme="minorHAnsi" w:cstheme="minorHAnsi"/>
              </w:rPr>
            </w:pPr>
            <w:r w:rsidRPr="00C61D5D">
              <w:rPr>
                <w:rFonts w:asciiTheme="minorHAnsi" w:hAnsiTheme="minorHAnsi" w:cstheme="minorHAnsi"/>
              </w:rPr>
              <w:t>Although the economy stil</w:t>
            </w:r>
            <w:r w:rsidRPr="00C61D5D">
              <w:rPr>
                <w:rFonts w:asciiTheme="minorHAnsi" w:hAnsiTheme="minorHAnsi" w:cstheme="minorHAnsi"/>
              </w:rPr>
              <w:t>l needs support, it is important the government publishes the economic analysis to show the further extension is cost effective and not simply absorbed in increased house prices. A 2011 evaluation of a previous temporary stimul</w:t>
            </w:r>
            <w:r>
              <w:rPr>
                <w:rFonts w:asciiTheme="minorHAnsi" w:hAnsiTheme="minorHAnsi" w:cstheme="minorHAnsi"/>
              </w:rPr>
              <w:t>us</w:t>
            </w:r>
            <w:r w:rsidRPr="00C61D5D">
              <w:rPr>
                <w:rFonts w:asciiTheme="minorHAnsi" w:hAnsiTheme="minorHAnsi" w:cstheme="minorHAnsi"/>
              </w:rPr>
              <w:t xml:space="preserve"> for first-time buyers on transactions between March 2010 and 2012 concluded the majority of the tax relief was capitalised in higher prices</w:t>
            </w:r>
            <w:r w:rsidRPr="00C84C21">
              <w:rPr>
                <w:rFonts w:asciiTheme="minorHAnsi" w:hAnsiTheme="minorHAnsi" w:cstheme="minorHAnsi"/>
              </w:rPr>
              <w:t>.</w:t>
            </w:r>
            <w:r>
              <w:rPr>
                <w:rFonts w:asciiTheme="minorHAnsi" w:hAnsiTheme="minorHAnsi" w:cstheme="minorHAnsi"/>
                <w:vertAlign w:val="superscript"/>
              </w:rPr>
              <w:footnoteReference w:id="10"/>
            </w:r>
          </w:p>
        </w:tc>
      </w:tr>
      <w:tr w:rsidTr="00890044">
        <w:tblPrEx>
          <w:tblW w:w="10548" w:type="dxa"/>
          <w:jc w:val="center"/>
          <w:tblLook w:val="0000"/>
        </w:tblPrEx>
        <w:trPr>
          <w:jc w:val="center"/>
        </w:trPr>
        <w:tc>
          <w:tcPr>
            <w:tcW w:w="709" w:type="dxa"/>
          </w:tcPr>
          <w:p w:rsidR="00E758CD" w:rsidRPr="00D849C0" w:rsidP="00D849C0">
            <w:pPr>
              <w:numPr>
                <w:ilvl w:val="1"/>
                <w:numId w:val="1"/>
              </w:numPr>
              <w:jc w:val="both"/>
              <w:rPr>
                <w:rFonts w:asciiTheme="minorHAnsi" w:hAnsiTheme="minorHAnsi" w:cstheme="minorHAnsi"/>
              </w:rPr>
            </w:pPr>
          </w:p>
        </w:tc>
        <w:tc>
          <w:tcPr>
            <w:tcW w:w="9839" w:type="dxa"/>
          </w:tcPr>
          <w:p w:rsidR="00E758CD" w:rsidRPr="002F2E6B" w:rsidP="00A97D99">
            <w:pPr>
              <w:jc w:val="both"/>
              <w:rPr>
                <w:rFonts w:asciiTheme="minorHAnsi" w:hAnsiTheme="minorHAnsi" w:cstheme="minorHAnsi"/>
              </w:rPr>
            </w:pPr>
            <w:r w:rsidRPr="00E758CD">
              <w:rPr>
                <w:rFonts w:asciiTheme="minorHAnsi" w:hAnsiTheme="minorHAnsi" w:cstheme="minorHAnsi"/>
              </w:rPr>
              <w:t>The increased nil rate band applies to both the main rate of SDLT</w:t>
            </w:r>
            <w:r>
              <w:rPr>
                <w:rFonts w:asciiTheme="minorHAnsi" w:hAnsiTheme="minorHAnsi" w:cstheme="minorHAnsi"/>
              </w:rPr>
              <w:t>,</w:t>
            </w:r>
            <w:r w:rsidRPr="00E758CD">
              <w:rPr>
                <w:rFonts w:asciiTheme="minorHAnsi" w:hAnsiTheme="minorHAnsi" w:cstheme="minorHAnsi"/>
              </w:rPr>
              <w:t xml:space="preserve"> and the surcharge rate of 3% for purchase</w:t>
            </w:r>
            <w:r>
              <w:rPr>
                <w:rFonts w:asciiTheme="minorHAnsi" w:hAnsiTheme="minorHAnsi" w:cstheme="minorHAnsi"/>
              </w:rPr>
              <w:t>s</w:t>
            </w:r>
            <w:r w:rsidRPr="00E758CD">
              <w:rPr>
                <w:rFonts w:asciiTheme="minorHAnsi" w:hAnsiTheme="minorHAnsi" w:cstheme="minorHAnsi"/>
              </w:rPr>
              <w:t xml:space="preserve"> </w:t>
            </w:r>
            <w:r w:rsidRPr="00E758CD">
              <w:rPr>
                <w:rFonts w:asciiTheme="minorHAnsi" w:hAnsiTheme="minorHAnsi" w:cstheme="minorHAnsi"/>
              </w:rPr>
              <w:t xml:space="preserve">of additional properties such as second homes or buy to lets. The aim of that surcharge </w:t>
            </w:r>
            <w:r>
              <w:rPr>
                <w:rFonts w:asciiTheme="minorHAnsi" w:hAnsiTheme="minorHAnsi" w:cstheme="minorHAnsi"/>
              </w:rPr>
              <w:t xml:space="preserve">is to </w:t>
            </w:r>
            <w:r w:rsidRPr="00E758CD">
              <w:rPr>
                <w:rFonts w:asciiTheme="minorHAnsi" w:hAnsiTheme="minorHAnsi" w:cstheme="minorHAnsi"/>
              </w:rPr>
              <w:t>impos</w:t>
            </w:r>
            <w:r>
              <w:rPr>
                <w:rFonts w:asciiTheme="minorHAnsi" w:hAnsiTheme="minorHAnsi" w:cstheme="minorHAnsi"/>
              </w:rPr>
              <w:t>e</w:t>
            </w:r>
            <w:r w:rsidRPr="00E758CD">
              <w:rPr>
                <w:rFonts w:asciiTheme="minorHAnsi" w:hAnsiTheme="minorHAnsi" w:cstheme="minorHAnsi"/>
              </w:rPr>
              <w:t xml:space="preserve"> an additional SDLT cost on buyers of second homes or for investment</w:t>
            </w:r>
            <w:r>
              <w:rPr>
                <w:rFonts w:asciiTheme="minorHAnsi" w:hAnsiTheme="minorHAnsi" w:cstheme="minorHAnsi"/>
              </w:rPr>
              <w:t xml:space="preserve">, thus </w:t>
            </w:r>
            <w:r w:rsidRPr="00E758CD">
              <w:rPr>
                <w:rFonts w:asciiTheme="minorHAnsi" w:hAnsiTheme="minorHAnsi" w:cstheme="minorHAnsi"/>
              </w:rPr>
              <w:t>increas</w:t>
            </w:r>
            <w:r>
              <w:rPr>
                <w:rFonts w:asciiTheme="minorHAnsi" w:hAnsiTheme="minorHAnsi" w:cstheme="minorHAnsi"/>
              </w:rPr>
              <w:t>ing</w:t>
            </w:r>
            <w:r w:rsidRPr="00E758CD">
              <w:rPr>
                <w:rFonts w:asciiTheme="minorHAnsi" w:hAnsiTheme="minorHAnsi" w:cstheme="minorHAnsi"/>
              </w:rPr>
              <w:t xml:space="preserve"> supply for </w:t>
            </w:r>
            <w:r>
              <w:rPr>
                <w:rFonts w:asciiTheme="minorHAnsi" w:hAnsiTheme="minorHAnsi" w:cstheme="minorHAnsi"/>
              </w:rPr>
              <w:t xml:space="preserve">first time </w:t>
            </w:r>
            <w:r w:rsidRPr="00E758CD">
              <w:rPr>
                <w:rFonts w:asciiTheme="minorHAnsi" w:hAnsiTheme="minorHAnsi" w:cstheme="minorHAnsi"/>
              </w:rPr>
              <w:t xml:space="preserve">buyers </w:t>
            </w:r>
            <w:r>
              <w:rPr>
                <w:rFonts w:asciiTheme="minorHAnsi" w:hAnsiTheme="minorHAnsi" w:cstheme="minorHAnsi"/>
              </w:rPr>
              <w:t>or those moving home</w:t>
            </w:r>
            <w:r w:rsidRPr="00E758CD">
              <w:rPr>
                <w:rFonts w:asciiTheme="minorHAnsi" w:hAnsiTheme="minorHAnsi" w:cstheme="minorHAnsi"/>
              </w:rPr>
              <w:t xml:space="preserve">. </w:t>
            </w:r>
            <w:r>
              <w:rPr>
                <w:rFonts w:asciiTheme="minorHAnsi" w:hAnsiTheme="minorHAnsi" w:cstheme="minorHAnsi"/>
              </w:rPr>
              <w:t>Applying the nil ra</w:t>
            </w:r>
            <w:r>
              <w:rPr>
                <w:rFonts w:asciiTheme="minorHAnsi" w:hAnsiTheme="minorHAnsi" w:cstheme="minorHAnsi"/>
              </w:rPr>
              <w:t xml:space="preserve">te band to purchases subject to the </w:t>
            </w:r>
            <w:r w:rsidRPr="00E758CD">
              <w:rPr>
                <w:rFonts w:asciiTheme="minorHAnsi" w:hAnsiTheme="minorHAnsi" w:cstheme="minorHAnsi"/>
              </w:rPr>
              <w:t>3% surcharge</w:t>
            </w:r>
            <w:r>
              <w:rPr>
                <w:rFonts w:asciiTheme="minorHAnsi" w:hAnsiTheme="minorHAnsi" w:cstheme="minorHAnsi"/>
              </w:rPr>
              <w:t xml:space="preserve"> (as well as first time buyers / home movers) seems</w:t>
            </w:r>
            <w:r w:rsidRPr="00E758CD">
              <w:rPr>
                <w:rFonts w:asciiTheme="minorHAnsi" w:hAnsiTheme="minorHAnsi" w:cstheme="minorHAnsi"/>
              </w:rPr>
              <w:t xml:space="preserve"> contrary to the policy behind the surcharge</w:t>
            </w:r>
            <w:r>
              <w:rPr>
                <w:rFonts w:asciiTheme="minorHAnsi" w:hAnsiTheme="minorHAnsi" w:cstheme="minorHAnsi"/>
              </w:rPr>
              <w:t>, particularly</w:t>
            </w:r>
            <w:r w:rsidRPr="00E758CD">
              <w:rPr>
                <w:rFonts w:asciiTheme="minorHAnsi" w:hAnsiTheme="minorHAnsi" w:cstheme="minorHAnsi"/>
              </w:rPr>
              <w:t xml:space="preserve"> if as a result prices increase for </w:t>
            </w:r>
            <w:r>
              <w:rPr>
                <w:rFonts w:asciiTheme="minorHAnsi" w:hAnsiTheme="minorHAnsi" w:cstheme="minorHAnsi"/>
              </w:rPr>
              <w:t>those</w:t>
            </w:r>
            <w:r w:rsidRPr="00E758CD">
              <w:rPr>
                <w:rFonts w:asciiTheme="minorHAnsi" w:hAnsiTheme="minorHAnsi" w:cstheme="minorHAnsi"/>
              </w:rPr>
              <w:t xml:space="preserve"> whom the surcharge was intended to help.</w:t>
            </w:r>
          </w:p>
        </w:tc>
      </w:tr>
      <w:tr w:rsidTr="00890044">
        <w:tblPrEx>
          <w:tblW w:w="10548" w:type="dxa"/>
          <w:jc w:val="center"/>
          <w:tblLook w:val="0000"/>
        </w:tblPrEx>
        <w:trPr>
          <w:jc w:val="center"/>
        </w:trPr>
        <w:tc>
          <w:tcPr>
            <w:tcW w:w="709" w:type="dxa"/>
          </w:tcPr>
          <w:p w:rsidR="002F2E6B" w:rsidRPr="00D849C0" w:rsidP="00D849C0">
            <w:pPr>
              <w:numPr>
                <w:ilvl w:val="1"/>
                <w:numId w:val="1"/>
              </w:numPr>
              <w:jc w:val="both"/>
              <w:rPr>
                <w:rFonts w:asciiTheme="minorHAnsi" w:hAnsiTheme="minorHAnsi" w:cstheme="minorHAnsi"/>
              </w:rPr>
            </w:pPr>
          </w:p>
        </w:tc>
        <w:tc>
          <w:tcPr>
            <w:tcW w:w="9839" w:type="dxa"/>
          </w:tcPr>
          <w:p w:rsidR="002F2E6B" w:rsidRPr="00C61D5D" w:rsidP="00A97D99">
            <w:pPr>
              <w:jc w:val="both"/>
              <w:rPr>
                <w:rFonts w:asciiTheme="minorHAnsi" w:hAnsiTheme="minorHAnsi" w:cstheme="minorHAnsi"/>
              </w:rPr>
            </w:pPr>
            <w:r>
              <w:rPr>
                <w:rFonts w:asciiTheme="minorHAnsi" w:hAnsiTheme="minorHAnsi" w:cstheme="minorHAnsi"/>
              </w:rPr>
              <w:t>As the above h</w:t>
            </w:r>
            <w:r>
              <w:rPr>
                <w:rFonts w:asciiTheme="minorHAnsi" w:hAnsiTheme="minorHAnsi" w:cstheme="minorHAnsi"/>
              </w:rPr>
              <w:t xml:space="preserve">elps illustrate, </w:t>
            </w:r>
            <w:r w:rsidRPr="002F2E6B">
              <w:rPr>
                <w:rFonts w:asciiTheme="minorHAnsi" w:hAnsiTheme="minorHAnsi" w:cstheme="minorHAnsi"/>
              </w:rPr>
              <w:t>SDLT continues to become an increasingly complex tax,</w:t>
            </w:r>
            <w:r>
              <w:rPr>
                <w:rFonts w:asciiTheme="minorHAnsi" w:hAnsiTheme="minorHAnsi" w:cstheme="minorHAnsi"/>
                <w:vertAlign w:val="superscript"/>
              </w:rPr>
              <w:footnoteReference w:id="11"/>
            </w:r>
            <w:r w:rsidRPr="002F2E6B">
              <w:rPr>
                <w:rFonts w:asciiTheme="minorHAnsi" w:hAnsiTheme="minorHAnsi" w:cstheme="minorHAnsi"/>
              </w:rPr>
              <w:t xml:space="preserve"> </w:t>
            </w:r>
            <w:r>
              <w:rPr>
                <w:rFonts w:asciiTheme="minorHAnsi" w:hAnsiTheme="minorHAnsi" w:cstheme="minorHAnsi"/>
              </w:rPr>
              <w:t>handled</w:t>
            </w:r>
            <w:r w:rsidRPr="002F2E6B">
              <w:rPr>
                <w:rFonts w:asciiTheme="minorHAnsi" w:hAnsiTheme="minorHAnsi" w:cstheme="minorHAnsi"/>
              </w:rPr>
              <w:t xml:space="preserve"> predominantly by </w:t>
            </w:r>
            <w:r>
              <w:rPr>
                <w:rFonts w:asciiTheme="minorHAnsi" w:hAnsiTheme="minorHAnsi" w:cstheme="minorHAnsi"/>
              </w:rPr>
              <w:t xml:space="preserve">conveyancers (most of whom are not </w:t>
            </w:r>
            <w:r w:rsidRPr="002F2E6B">
              <w:rPr>
                <w:rFonts w:asciiTheme="minorHAnsi" w:hAnsiTheme="minorHAnsi" w:cstheme="minorHAnsi"/>
              </w:rPr>
              <w:t>tax specialists</w:t>
            </w:r>
            <w:r>
              <w:rPr>
                <w:rFonts w:asciiTheme="minorHAnsi" w:hAnsiTheme="minorHAnsi" w:cstheme="minorHAnsi"/>
              </w:rPr>
              <w:t>)</w:t>
            </w:r>
            <w:r w:rsidRPr="002F2E6B">
              <w:rPr>
                <w:rFonts w:asciiTheme="minorHAnsi" w:hAnsiTheme="minorHAnsi" w:cstheme="minorHAnsi"/>
              </w:rPr>
              <w:t>.</w:t>
            </w:r>
            <w:r>
              <w:rPr>
                <w:rFonts w:asciiTheme="minorHAnsi" w:hAnsiTheme="minorHAnsi" w:cstheme="minorHAnsi"/>
              </w:rPr>
              <w:t xml:space="preserve"> It was disappointing, therefore, that ‘</w:t>
            </w:r>
            <w:r>
              <w:rPr>
                <w:rFonts w:asciiTheme="minorHAnsi" w:hAnsiTheme="minorHAnsi" w:cstheme="minorHAnsi"/>
              </w:rPr>
              <w:t>tax consultation day</w:t>
            </w:r>
            <w:r>
              <w:rPr>
                <w:rFonts w:asciiTheme="minorHAnsi" w:hAnsiTheme="minorHAnsi" w:cstheme="minorHAnsi"/>
              </w:rPr>
              <w:t xml:space="preserve">’ did not produce any early-stage consultations on how SDLT, or property </w:t>
            </w:r>
            <w:r>
              <w:rPr>
                <w:rFonts w:asciiTheme="minorHAnsi" w:hAnsiTheme="minorHAnsi" w:cstheme="minorHAnsi"/>
              </w:rPr>
              <w:t xml:space="preserve">taxation </w:t>
            </w:r>
            <w:r>
              <w:rPr>
                <w:rFonts w:asciiTheme="minorHAnsi" w:hAnsiTheme="minorHAnsi" w:cstheme="minorHAnsi"/>
              </w:rPr>
              <w:t>more generally, might be reformed.</w:t>
            </w:r>
          </w:p>
        </w:tc>
      </w:tr>
      <w:tr w:rsidTr="00890044">
        <w:tblPrEx>
          <w:tblW w:w="10548" w:type="dxa"/>
          <w:jc w:val="center"/>
          <w:tblLook w:val="0000"/>
        </w:tblPrEx>
        <w:trPr>
          <w:jc w:val="center"/>
        </w:trPr>
        <w:tc>
          <w:tcPr>
            <w:tcW w:w="709" w:type="dxa"/>
          </w:tcPr>
          <w:p w:rsidR="006C68C8" w:rsidRPr="006C68C8" w:rsidP="00D849C0">
            <w:pPr>
              <w:numPr>
                <w:ilvl w:val="1"/>
                <w:numId w:val="1"/>
              </w:numPr>
              <w:jc w:val="both"/>
              <w:rPr>
                <w:rFonts w:asciiTheme="minorHAnsi" w:hAnsiTheme="minorHAnsi" w:cstheme="minorHAnsi"/>
                <w:u w:val="single"/>
              </w:rPr>
            </w:pPr>
          </w:p>
        </w:tc>
        <w:tc>
          <w:tcPr>
            <w:tcW w:w="9839" w:type="dxa"/>
          </w:tcPr>
          <w:p w:rsidR="006C68C8" w:rsidRPr="006C68C8" w:rsidP="00D849C0">
            <w:pPr>
              <w:jc w:val="both"/>
              <w:rPr>
                <w:rFonts w:asciiTheme="minorHAnsi" w:hAnsiTheme="minorHAnsi" w:cstheme="minorHAnsi"/>
                <w:u w:val="single"/>
              </w:rPr>
            </w:pPr>
            <w:r w:rsidRPr="006C68C8">
              <w:rPr>
                <w:rFonts w:asciiTheme="minorHAnsi" w:hAnsiTheme="minorHAnsi" w:cstheme="minorHAnsi"/>
                <w:u w:val="single"/>
              </w:rPr>
              <w:t>Business rates reliefs [2.47]</w:t>
            </w:r>
          </w:p>
        </w:tc>
      </w:tr>
      <w:tr w:rsidTr="00890044">
        <w:tblPrEx>
          <w:tblW w:w="10548" w:type="dxa"/>
          <w:jc w:val="center"/>
          <w:tblLook w:val="0000"/>
        </w:tblPrEx>
        <w:trPr>
          <w:jc w:val="center"/>
        </w:trPr>
        <w:tc>
          <w:tcPr>
            <w:tcW w:w="709" w:type="dxa"/>
          </w:tcPr>
          <w:p w:rsidR="006C68C8" w:rsidRPr="00D849C0" w:rsidP="00D849C0">
            <w:pPr>
              <w:numPr>
                <w:ilvl w:val="1"/>
                <w:numId w:val="1"/>
              </w:numPr>
              <w:jc w:val="both"/>
              <w:rPr>
                <w:rFonts w:asciiTheme="minorHAnsi" w:hAnsiTheme="minorHAnsi" w:cstheme="minorHAnsi"/>
              </w:rPr>
            </w:pPr>
          </w:p>
        </w:tc>
        <w:tc>
          <w:tcPr>
            <w:tcW w:w="9839" w:type="dxa"/>
          </w:tcPr>
          <w:p w:rsidR="006C68C8" w:rsidRPr="00D849C0" w:rsidP="00E714A9">
            <w:pPr>
              <w:jc w:val="both"/>
              <w:rPr>
                <w:rFonts w:asciiTheme="minorHAnsi" w:hAnsiTheme="minorHAnsi" w:cstheme="minorHAnsi"/>
              </w:rPr>
            </w:pPr>
            <w:r>
              <w:t xml:space="preserve">The extension of business rates relief will continue to support retail and hospitality venues </w:t>
            </w:r>
            <w:r>
              <w:t>through the pandemic and, in this sense, is to be welcomed. The extension attempts to both target and cap the relief, going some way to addressing the criticisms of the previous ‘blanket’ relief. It is understood that nearly 1/5 of last year’s rates relief</w:t>
            </w:r>
            <w:r>
              <w:t xml:space="preserve"> has been or will be repaid by major supermarkets and essential retailers, so we are pleased to see some focus on the extension of the relief, rather than leaving it entirely to conscience and public opinion to mitigate its cost</w:t>
            </w:r>
            <w:r>
              <w:t>.</w:t>
            </w:r>
          </w:p>
        </w:tc>
      </w:tr>
      <w:tr w:rsidTr="00890044">
        <w:tblPrEx>
          <w:tblW w:w="10548" w:type="dxa"/>
          <w:jc w:val="center"/>
          <w:tblLook w:val="0000"/>
        </w:tblPrEx>
        <w:trPr>
          <w:jc w:val="center"/>
        </w:trPr>
        <w:tc>
          <w:tcPr>
            <w:tcW w:w="709" w:type="dxa"/>
          </w:tcPr>
          <w:p w:rsidR="0061200F" w:rsidRPr="00D849C0" w:rsidP="00D849C0">
            <w:pPr>
              <w:numPr>
                <w:ilvl w:val="1"/>
                <w:numId w:val="1"/>
              </w:numPr>
              <w:jc w:val="both"/>
              <w:rPr>
                <w:rFonts w:asciiTheme="minorHAnsi" w:hAnsiTheme="minorHAnsi" w:cstheme="minorHAnsi"/>
              </w:rPr>
            </w:pPr>
          </w:p>
        </w:tc>
        <w:tc>
          <w:tcPr>
            <w:tcW w:w="9839" w:type="dxa"/>
          </w:tcPr>
          <w:p w:rsidR="0061200F" w:rsidP="00717947">
            <w:pPr>
              <w:jc w:val="both"/>
              <w:rPr>
                <w:rFonts w:asciiTheme="minorHAnsi" w:hAnsiTheme="minorHAnsi" w:cstheme="minorHAnsi"/>
              </w:rPr>
            </w:pPr>
            <w:r w:rsidRPr="0061200F">
              <w:rPr>
                <w:rFonts w:asciiTheme="minorHAnsi" w:hAnsiTheme="minorHAnsi" w:cstheme="minorHAnsi"/>
              </w:rPr>
              <w:t>In the longer term, we n</w:t>
            </w:r>
            <w:r w:rsidRPr="0061200F">
              <w:rPr>
                <w:rFonts w:asciiTheme="minorHAnsi" w:hAnsiTheme="minorHAnsi" w:cstheme="minorHAnsi"/>
              </w:rPr>
              <w:t>eed to bear in mind that because of the economic relationship between rent and rates, much of the cost of business rates may be borne by landlords, and this issue needs to be factored in to consideration of the future of rates.</w:t>
            </w:r>
            <w:r>
              <w:rPr>
                <w:rFonts w:asciiTheme="minorHAnsi" w:hAnsiTheme="minorHAnsi" w:cstheme="minorHAnsi"/>
              </w:rPr>
              <w:t xml:space="preserve"> We look forward to the outco</w:t>
            </w:r>
            <w:r>
              <w:rPr>
                <w:rFonts w:asciiTheme="minorHAnsi" w:hAnsiTheme="minorHAnsi" w:cstheme="minorHAnsi"/>
              </w:rPr>
              <w:t>me of the fundamental review of business rates which will conclude in the autumn.</w:t>
            </w:r>
          </w:p>
        </w:tc>
      </w:tr>
      <w:tr w:rsidTr="00890044">
        <w:tblPrEx>
          <w:tblW w:w="10548" w:type="dxa"/>
          <w:jc w:val="center"/>
          <w:tblLook w:val="0000"/>
        </w:tblPrEx>
        <w:trPr>
          <w:jc w:val="center"/>
        </w:trPr>
        <w:tc>
          <w:tcPr>
            <w:tcW w:w="709" w:type="dxa"/>
          </w:tcPr>
          <w:p w:rsidR="006C68C8" w:rsidRPr="006C68C8" w:rsidP="00D849C0">
            <w:pPr>
              <w:numPr>
                <w:ilvl w:val="1"/>
                <w:numId w:val="1"/>
              </w:numPr>
              <w:jc w:val="both"/>
              <w:rPr>
                <w:rFonts w:asciiTheme="minorHAnsi" w:hAnsiTheme="minorHAnsi" w:cstheme="minorHAnsi"/>
                <w:u w:val="single"/>
              </w:rPr>
            </w:pPr>
          </w:p>
        </w:tc>
        <w:tc>
          <w:tcPr>
            <w:tcW w:w="9839" w:type="dxa"/>
          </w:tcPr>
          <w:p w:rsidR="006C68C8" w:rsidRPr="006C68C8" w:rsidP="00D849C0">
            <w:pPr>
              <w:jc w:val="both"/>
              <w:rPr>
                <w:rFonts w:asciiTheme="minorHAnsi" w:hAnsiTheme="minorHAnsi" w:cstheme="minorHAnsi"/>
                <w:u w:val="single"/>
              </w:rPr>
            </w:pPr>
            <w:r w:rsidRPr="006C68C8">
              <w:rPr>
                <w:rFonts w:asciiTheme="minorHAnsi" w:hAnsiTheme="minorHAnsi" w:cstheme="minorHAnsi"/>
                <w:u w:val="single"/>
              </w:rPr>
              <w:t>Business rates repayments [2.49]</w:t>
            </w:r>
          </w:p>
        </w:tc>
      </w:tr>
      <w:tr w:rsidTr="00890044">
        <w:tblPrEx>
          <w:tblW w:w="10548" w:type="dxa"/>
          <w:jc w:val="center"/>
          <w:tblLook w:val="0000"/>
        </w:tblPrEx>
        <w:trPr>
          <w:jc w:val="center"/>
        </w:trPr>
        <w:tc>
          <w:tcPr>
            <w:tcW w:w="709" w:type="dxa"/>
          </w:tcPr>
          <w:p w:rsidR="006C68C8" w:rsidRPr="00D849C0" w:rsidP="00D849C0">
            <w:pPr>
              <w:numPr>
                <w:ilvl w:val="1"/>
                <w:numId w:val="1"/>
              </w:numPr>
              <w:jc w:val="both"/>
              <w:rPr>
                <w:rFonts w:asciiTheme="minorHAnsi" w:hAnsiTheme="minorHAnsi" w:cstheme="minorHAnsi"/>
              </w:rPr>
            </w:pPr>
          </w:p>
        </w:tc>
        <w:tc>
          <w:tcPr>
            <w:tcW w:w="9839" w:type="dxa"/>
          </w:tcPr>
          <w:p w:rsidR="006C68C8" w:rsidRPr="006C68C8" w:rsidP="00A97D99">
            <w:pPr>
              <w:jc w:val="both"/>
              <w:rPr>
                <w:rFonts w:asciiTheme="minorHAnsi" w:hAnsiTheme="minorHAnsi" w:cstheme="minorHAnsi"/>
              </w:rPr>
            </w:pPr>
            <w:r>
              <w:rPr>
                <w:rFonts w:asciiTheme="minorHAnsi" w:hAnsiTheme="minorHAnsi" w:cstheme="minorHAnsi"/>
              </w:rPr>
              <w:t>We welcome the measure, which will bring certainty of treatment to those who have repaid their business rates relief</w:t>
            </w:r>
            <w:r>
              <w:rPr>
                <w:rFonts w:asciiTheme="minorHAnsi" w:hAnsiTheme="minorHAnsi" w:cstheme="minorHAnsi"/>
              </w:rPr>
              <w:t>. We welcome</w:t>
            </w:r>
            <w:r>
              <w:rPr>
                <w:rFonts w:asciiTheme="minorHAnsi" w:hAnsiTheme="minorHAnsi" w:cstheme="minorHAnsi"/>
              </w:rPr>
              <w:t xml:space="preserve"> particul</w:t>
            </w:r>
            <w:r>
              <w:rPr>
                <w:rFonts w:asciiTheme="minorHAnsi" w:hAnsiTheme="minorHAnsi" w:cstheme="minorHAnsi"/>
              </w:rPr>
              <w:t>arly that it aligns the deduction for the repayment with the period in which the original liability would have been due and paid</w:t>
            </w:r>
            <w:r>
              <w:rPr>
                <w:rFonts w:asciiTheme="minorHAnsi" w:hAnsiTheme="minorHAnsi" w:cstheme="minorHAnsi"/>
              </w:rPr>
              <w:t>.</w:t>
            </w:r>
          </w:p>
        </w:tc>
      </w:tr>
      <w:tr w:rsidTr="00890044">
        <w:tblPrEx>
          <w:tblW w:w="10548" w:type="dxa"/>
          <w:jc w:val="center"/>
          <w:tblLook w:val="0000"/>
        </w:tblPrEx>
        <w:trPr>
          <w:jc w:val="center"/>
        </w:trPr>
        <w:tc>
          <w:tcPr>
            <w:tcW w:w="709" w:type="dxa"/>
          </w:tcPr>
          <w:p w:rsidR="006C68C8" w:rsidRPr="00D849C0" w:rsidP="00D849C0">
            <w:pPr>
              <w:numPr>
                <w:ilvl w:val="1"/>
                <w:numId w:val="1"/>
              </w:numPr>
              <w:jc w:val="both"/>
              <w:rPr>
                <w:rFonts w:asciiTheme="minorHAnsi" w:hAnsiTheme="minorHAnsi" w:cstheme="minorHAnsi"/>
              </w:rPr>
            </w:pPr>
          </w:p>
        </w:tc>
        <w:tc>
          <w:tcPr>
            <w:tcW w:w="9839" w:type="dxa"/>
          </w:tcPr>
          <w:p w:rsidR="006C68C8" w:rsidP="00717947">
            <w:pPr>
              <w:jc w:val="both"/>
              <w:rPr>
                <w:rFonts w:asciiTheme="minorHAnsi" w:hAnsiTheme="minorHAnsi" w:cstheme="minorHAnsi"/>
              </w:rPr>
            </w:pPr>
            <w:r>
              <w:rPr>
                <w:rFonts w:asciiTheme="minorHAnsi" w:hAnsiTheme="minorHAnsi" w:cstheme="minorHAnsi"/>
              </w:rPr>
              <w:t xml:space="preserve">However </w:t>
            </w:r>
            <w:r w:rsidRPr="00717947">
              <w:rPr>
                <w:rFonts w:asciiTheme="minorHAnsi" w:hAnsiTheme="minorHAnsi" w:cstheme="minorHAnsi"/>
              </w:rPr>
              <w:t xml:space="preserve">no such certainty seems to exist with the </w:t>
            </w:r>
            <w:r w:rsidRPr="00717947">
              <w:rPr>
                <w:rFonts w:asciiTheme="minorHAnsi" w:hAnsiTheme="minorHAnsi" w:cstheme="minorHAnsi"/>
              </w:rPr>
              <w:t xml:space="preserve">voluntary </w:t>
            </w:r>
            <w:r w:rsidRPr="00717947">
              <w:rPr>
                <w:rFonts w:asciiTheme="minorHAnsi" w:hAnsiTheme="minorHAnsi" w:cstheme="minorHAnsi"/>
              </w:rPr>
              <w:t xml:space="preserve">repayment of some other forms of COVID support; such as </w:t>
            </w:r>
            <w:r w:rsidRPr="00717947">
              <w:rPr>
                <w:rFonts w:asciiTheme="minorHAnsi" w:hAnsiTheme="minorHAnsi" w:cstheme="minorHAnsi"/>
              </w:rPr>
              <w:t>repayment of CJRS and SEISS grant monies.</w:t>
            </w:r>
            <w:r>
              <w:rPr>
                <w:rFonts w:asciiTheme="minorHAnsi" w:hAnsiTheme="minorHAnsi" w:cstheme="minorHAnsi"/>
              </w:rPr>
              <w:t xml:space="preserve"> </w:t>
            </w:r>
            <w:r>
              <w:rPr>
                <w:rFonts w:asciiTheme="minorHAnsi" w:hAnsiTheme="minorHAnsi" w:cstheme="minorHAnsi"/>
              </w:rPr>
              <w:t xml:space="preserve">We have sought clarity from HMRC in relation to this, but to date the issue remains outstanding. </w:t>
            </w:r>
            <w:r>
              <w:rPr>
                <w:rFonts w:asciiTheme="minorHAnsi" w:hAnsiTheme="minorHAnsi" w:cstheme="minorHAnsi"/>
              </w:rPr>
              <w:t xml:space="preserve">We note that the legislation in the current Finance Bill allows this measure to </w:t>
            </w:r>
            <w:r w:rsidRPr="00137390">
              <w:rPr>
                <w:rFonts w:asciiTheme="minorHAnsi" w:hAnsiTheme="minorHAnsi" w:cstheme="minorHAnsi"/>
              </w:rPr>
              <w:t>be extended to other repaid liabiliti</w:t>
            </w:r>
            <w:r w:rsidRPr="00137390">
              <w:rPr>
                <w:rFonts w:asciiTheme="minorHAnsi" w:hAnsiTheme="minorHAnsi" w:cstheme="minorHAnsi"/>
              </w:rPr>
              <w:t>es by regulation.</w:t>
            </w:r>
          </w:p>
          <w:p w:rsidR="00F37D3C" w:rsidRPr="006C68C8" w:rsidP="00717947">
            <w:pPr>
              <w:jc w:val="both"/>
              <w:rPr>
                <w:rFonts w:asciiTheme="minorHAnsi" w:hAnsiTheme="minorHAnsi" w:cstheme="minorHAnsi"/>
              </w:rPr>
            </w:pPr>
          </w:p>
        </w:tc>
      </w:tr>
      <w:tr w:rsidTr="00890044">
        <w:tblPrEx>
          <w:tblW w:w="10548" w:type="dxa"/>
          <w:jc w:val="center"/>
          <w:tblLook w:val="0000"/>
        </w:tblPrEx>
        <w:trPr>
          <w:jc w:val="center"/>
        </w:trPr>
        <w:tc>
          <w:tcPr>
            <w:tcW w:w="709" w:type="dxa"/>
          </w:tcPr>
          <w:p w:rsidR="001F6F2B" w:rsidRPr="00D849C0" w:rsidP="001F6F2B">
            <w:pPr>
              <w:numPr>
                <w:ilvl w:val="0"/>
                <w:numId w:val="1"/>
              </w:numPr>
              <w:jc w:val="both"/>
              <w:rPr>
                <w:rFonts w:asciiTheme="minorHAnsi" w:hAnsiTheme="minorHAnsi" w:cstheme="minorHAnsi"/>
              </w:rPr>
            </w:pPr>
          </w:p>
        </w:tc>
        <w:tc>
          <w:tcPr>
            <w:tcW w:w="9839" w:type="dxa"/>
          </w:tcPr>
          <w:p w:rsidR="001F6F2B" w:rsidRPr="001F6F2B" w:rsidP="00D849C0">
            <w:pPr>
              <w:jc w:val="both"/>
              <w:rPr>
                <w:rFonts w:asciiTheme="minorHAnsi" w:hAnsiTheme="minorHAnsi" w:cstheme="minorHAnsi"/>
                <w:b/>
              </w:rPr>
            </w:pPr>
            <w:r w:rsidRPr="001F6F2B">
              <w:rPr>
                <w:rFonts w:asciiTheme="minorHAnsi" w:hAnsiTheme="minorHAnsi" w:cstheme="minorHAnsi"/>
                <w:b/>
              </w:rPr>
              <w:t>Indirect Tax</w:t>
            </w:r>
          </w:p>
        </w:tc>
      </w:tr>
      <w:tr w:rsidTr="00890044">
        <w:tblPrEx>
          <w:tblW w:w="10548" w:type="dxa"/>
          <w:jc w:val="center"/>
          <w:tblLook w:val="0000"/>
        </w:tblPrEx>
        <w:trPr>
          <w:jc w:val="center"/>
        </w:trPr>
        <w:tc>
          <w:tcPr>
            <w:tcW w:w="709" w:type="dxa"/>
          </w:tcPr>
          <w:p w:rsidR="001F6F2B" w:rsidRPr="006C68C8" w:rsidP="00D849C0">
            <w:pPr>
              <w:numPr>
                <w:ilvl w:val="1"/>
                <w:numId w:val="1"/>
              </w:numPr>
              <w:jc w:val="both"/>
              <w:rPr>
                <w:rFonts w:asciiTheme="minorHAnsi" w:hAnsiTheme="minorHAnsi" w:cstheme="minorHAnsi"/>
                <w:u w:val="single"/>
              </w:rPr>
            </w:pPr>
          </w:p>
        </w:tc>
        <w:tc>
          <w:tcPr>
            <w:tcW w:w="9839" w:type="dxa"/>
          </w:tcPr>
          <w:p w:rsidR="001F6F2B" w:rsidRPr="006C68C8" w:rsidP="00D849C0">
            <w:pPr>
              <w:jc w:val="both"/>
              <w:rPr>
                <w:rFonts w:asciiTheme="minorHAnsi" w:hAnsiTheme="minorHAnsi" w:cstheme="minorHAnsi"/>
                <w:u w:val="single"/>
              </w:rPr>
            </w:pPr>
            <w:r w:rsidRPr="006C68C8">
              <w:rPr>
                <w:rFonts w:asciiTheme="minorHAnsi" w:hAnsiTheme="minorHAnsi" w:cstheme="minorHAnsi"/>
                <w:u w:val="single"/>
              </w:rPr>
              <w:t>VAT Deferral New Payment Scheme [2.45]</w:t>
            </w:r>
          </w:p>
        </w:tc>
      </w:tr>
      <w:tr w:rsidTr="00890044">
        <w:tblPrEx>
          <w:tblW w:w="10548" w:type="dxa"/>
          <w:jc w:val="center"/>
          <w:tblLook w:val="0000"/>
        </w:tblPrEx>
        <w:trPr>
          <w:jc w:val="center"/>
        </w:trPr>
        <w:tc>
          <w:tcPr>
            <w:tcW w:w="709" w:type="dxa"/>
          </w:tcPr>
          <w:p w:rsidR="001F6F2B" w:rsidRPr="00D849C0" w:rsidP="00D849C0">
            <w:pPr>
              <w:numPr>
                <w:ilvl w:val="1"/>
                <w:numId w:val="1"/>
              </w:numPr>
              <w:jc w:val="both"/>
              <w:rPr>
                <w:rFonts w:asciiTheme="minorHAnsi" w:hAnsiTheme="minorHAnsi" w:cstheme="minorHAnsi"/>
              </w:rPr>
            </w:pPr>
          </w:p>
        </w:tc>
        <w:tc>
          <w:tcPr>
            <w:tcW w:w="9839" w:type="dxa"/>
          </w:tcPr>
          <w:p w:rsidR="001F6F2B" w:rsidRPr="00D849C0" w:rsidP="00A97D99">
            <w:pPr>
              <w:jc w:val="both"/>
              <w:rPr>
                <w:rFonts w:asciiTheme="minorHAnsi" w:hAnsiTheme="minorHAnsi" w:cstheme="minorHAnsi"/>
              </w:rPr>
            </w:pPr>
            <w:r>
              <w:rPr>
                <w:rFonts w:asciiTheme="minorHAnsi" w:hAnsiTheme="minorHAnsi" w:cstheme="minorHAnsi"/>
              </w:rPr>
              <w:t>We welcome the further extension (announced in September 2020) for businesses to pay their deferred VAT over up to eleven instalments to January 2022.</w:t>
            </w:r>
          </w:p>
        </w:tc>
      </w:tr>
      <w:tr w:rsidTr="00890044">
        <w:tblPrEx>
          <w:tblW w:w="10548" w:type="dxa"/>
          <w:jc w:val="center"/>
          <w:tblLook w:val="0000"/>
        </w:tblPrEx>
        <w:trPr>
          <w:jc w:val="center"/>
        </w:trPr>
        <w:tc>
          <w:tcPr>
            <w:tcW w:w="709" w:type="dxa"/>
          </w:tcPr>
          <w:p w:rsidR="006C68C8" w:rsidRPr="00D849C0" w:rsidP="00D849C0">
            <w:pPr>
              <w:numPr>
                <w:ilvl w:val="1"/>
                <w:numId w:val="1"/>
              </w:numPr>
              <w:jc w:val="both"/>
              <w:rPr>
                <w:rFonts w:asciiTheme="minorHAnsi" w:hAnsiTheme="minorHAnsi" w:cstheme="minorHAnsi"/>
              </w:rPr>
            </w:pPr>
          </w:p>
        </w:tc>
        <w:tc>
          <w:tcPr>
            <w:tcW w:w="9839" w:type="dxa"/>
          </w:tcPr>
          <w:p w:rsidR="004E6C87" w:rsidP="00BA265B">
            <w:pPr>
              <w:jc w:val="both"/>
              <w:rPr>
                <w:rFonts w:asciiTheme="minorHAnsi" w:hAnsiTheme="minorHAnsi" w:cstheme="minorHAnsi"/>
              </w:rPr>
            </w:pPr>
            <w:r>
              <w:rPr>
                <w:rFonts w:asciiTheme="minorHAnsi" w:hAnsiTheme="minorHAnsi" w:cstheme="minorHAnsi"/>
              </w:rPr>
              <w:t xml:space="preserve">The deferred VAT </w:t>
            </w:r>
            <w:r>
              <w:rPr>
                <w:rFonts w:asciiTheme="minorHAnsi" w:hAnsiTheme="minorHAnsi" w:cstheme="minorHAnsi"/>
              </w:rPr>
              <w:t xml:space="preserve">remains </w:t>
            </w:r>
            <w:r>
              <w:rPr>
                <w:rFonts w:asciiTheme="minorHAnsi" w:hAnsiTheme="minorHAnsi" w:cstheme="minorHAnsi"/>
              </w:rPr>
              <w:t xml:space="preserve">legally due by 31 March 2021, but businesses </w:t>
            </w:r>
            <w:r>
              <w:rPr>
                <w:rFonts w:asciiTheme="minorHAnsi" w:hAnsiTheme="minorHAnsi" w:cstheme="minorHAnsi"/>
              </w:rPr>
              <w:t xml:space="preserve">can </w:t>
            </w:r>
            <w:r>
              <w:rPr>
                <w:rFonts w:asciiTheme="minorHAnsi" w:hAnsiTheme="minorHAnsi" w:cstheme="minorHAnsi"/>
              </w:rPr>
              <w:t>secure additional time to pay that liability:</w:t>
            </w:r>
          </w:p>
          <w:p w:rsidR="004C42A0" w:rsidP="004E6C87">
            <w:pPr>
              <w:pStyle w:val="ListParagraph"/>
              <w:numPr>
                <w:ilvl w:val="0"/>
                <w:numId w:val="8"/>
              </w:numPr>
              <w:jc w:val="both"/>
              <w:rPr>
                <w:rFonts w:asciiTheme="minorHAnsi" w:hAnsiTheme="minorHAnsi" w:cstheme="minorHAnsi"/>
              </w:rPr>
            </w:pPr>
            <w:r>
              <w:rPr>
                <w:rFonts w:asciiTheme="minorHAnsi" w:hAnsiTheme="minorHAnsi" w:cstheme="minorHAnsi"/>
              </w:rPr>
              <w:t>By j</w:t>
            </w:r>
            <w:r w:rsidRPr="004E6C87">
              <w:rPr>
                <w:rFonts w:asciiTheme="minorHAnsi" w:hAnsiTheme="minorHAnsi" w:cstheme="minorHAnsi"/>
              </w:rPr>
              <w:t>oin</w:t>
            </w:r>
            <w:r>
              <w:rPr>
                <w:rFonts w:asciiTheme="minorHAnsi" w:hAnsiTheme="minorHAnsi" w:cstheme="minorHAnsi"/>
              </w:rPr>
              <w:t>ing</w:t>
            </w:r>
            <w:r>
              <w:rPr>
                <w:rFonts w:asciiTheme="minorHAnsi" w:hAnsiTheme="minorHAnsi" w:cstheme="minorHAnsi"/>
              </w:rPr>
              <w:t xml:space="preserve"> the</w:t>
            </w:r>
            <w:r w:rsidRPr="004E6C87">
              <w:rPr>
                <w:rFonts w:asciiTheme="minorHAnsi" w:hAnsiTheme="minorHAnsi" w:cstheme="minorHAnsi"/>
              </w:rPr>
              <w:t xml:space="preserve"> VAT </w:t>
            </w:r>
            <w:r>
              <w:rPr>
                <w:rFonts w:asciiTheme="minorHAnsi" w:hAnsiTheme="minorHAnsi" w:cstheme="minorHAnsi"/>
              </w:rPr>
              <w:t xml:space="preserve">Deferral </w:t>
            </w:r>
            <w:r w:rsidRPr="004E6C87">
              <w:rPr>
                <w:rFonts w:asciiTheme="minorHAnsi" w:hAnsiTheme="minorHAnsi" w:cstheme="minorHAnsi"/>
              </w:rPr>
              <w:t>N</w:t>
            </w:r>
            <w:r>
              <w:rPr>
                <w:rFonts w:asciiTheme="minorHAnsi" w:hAnsiTheme="minorHAnsi" w:cstheme="minorHAnsi"/>
              </w:rPr>
              <w:t xml:space="preserve">ew </w:t>
            </w:r>
            <w:r w:rsidRPr="004E6C87">
              <w:rPr>
                <w:rFonts w:asciiTheme="minorHAnsi" w:hAnsiTheme="minorHAnsi" w:cstheme="minorHAnsi"/>
              </w:rPr>
              <w:t>P</w:t>
            </w:r>
            <w:r>
              <w:rPr>
                <w:rFonts w:asciiTheme="minorHAnsi" w:hAnsiTheme="minorHAnsi" w:cstheme="minorHAnsi"/>
              </w:rPr>
              <w:t xml:space="preserve">ayment </w:t>
            </w:r>
            <w:r w:rsidRPr="004E6C87">
              <w:rPr>
                <w:rFonts w:asciiTheme="minorHAnsi" w:hAnsiTheme="minorHAnsi" w:cstheme="minorHAnsi"/>
              </w:rPr>
              <w:t>S</w:t>
            </w:r>
            <w:r>
              <w:rPr>
                <w:rFonts w:asciiTheme="minorHAnsi" w:hAnsiTheme="minorHAnsi" w:cstheme="minorHAnsi"/>
              </w:rPr>
              <w:t>cheme</w:t>
            </w:r>
            <w:r w:rsidRPr="004E6C87">
              <w:rPr>
                <w:rFonts w:asciiTheme="minorHAnsi" w:hAnsiTheme="minorHAnsi" w:cstheme="minorHAnsi"/>
              </w:rPr>
              <w:t xml:space="preserve"> online by 21 June</w:t>
            </w:r>
          </w:p>
          <w:p w:rsidR="006C68C8" w:rsidRPr="004C42A0" w:rsidP="00BA265B">
            <w:pPr>
              <w:pStyle w:val="ListParagraph"/>
              <w:numPr>
                <w:ilvl w:val="0"/>
                <w:numId w:val="8"/>
              </w:numPr>
              <w:jc w:val="both"/>
              <w:rPr>
                <w:rFonts w:asciiTheme="minorHAnsi" w:hAnsiTheme="minorHAnsi" w:cstheme="minorHAnsi"/>
              </w:rPr>
            </w:pPr>
            <w:r>
              <w:rPr>
                <w:rFonts w:asciiTheme="minorHAnsi" w:hAnsiTheme="minorHAnsi" w:cstheme="minorHAnsi"/>
              </w:rPr>
              <w:t xml:space="preserve">By </w:t>
            </w:r>
            <w:r w:rsidRPr="004E6C87">
              <w:rPr>
                <w:rFonts w:asciiTheme="minorHAnsi" w:hAnsiTheme="minorHAnsi" w:cstheme="minorHAnsi"/>
              </w:rPr>
              <w:t>contact</w:t>
            </w:r>
            <w:r>
              <w:rPr>
                <w:rFonts w:asciiTheme="minorHAnsi" w:hAnsiTheme="minorHAnsi" w:cstheme="minorHAnsi"/>
              </w:rPr>
              <w:t>ing</w:t>
            </w:r>
            <w:r w:rsidRPr="004E6C87">
              <w:rPr>
                <w:rFonts w:asciiTheme="minorHAnsi" w:hAnsiTheme="minorHAnsi" w:cstheme="minorHAnsi"/>
              </w:rPr>
              <w:t xml:space="preserve"> HMRC and agree</w:t>
            </w:r>
            <w:r>
              <w:rPr>
                <w:rFonts w:asciiTheme="minorHAnsi" w:hAnsiTheme="minorHAnsi" w:cstheme="minorHAnsi"/>
              </w:rPr>
              <w:t xml:space="preserve">ing further time to pay </w:t>
            </w:r>
            <w:r w:rsidRPr="004E6C87">
              <w:rPr>
                <w:rFonts w:asciiTheme="minorHAnsi" w:hAnsiTheme="minorHAnsi" w:cstheme="minorHAnsi"/>
              </w:rPr>
              <w:t>by 30 June.</w:t>
            </w:r>
          </w:p>
        </w:tc>
      </w:tr>
      <w:tr w:rsidTr="00890044">
        <w:tblPrEx>
          <w:tblW w:w="10548" w:type="dxa"/>
          <w:jc w:val="center"/>
          <w:tblLook w:val="0000"/>
        </w:tblPrEx>
        <w:trPr>
          <w:jc w:val="center"/>
        </w:trPr>
        <w:tc>
          <w:tcPr>
            <w:tcW w:w="709" w:type="dxa"/>
          </w:tcPr>
          <w:p w:rsidR="004C42A0" w:rsidRPr="00D849C0" w:rsidP="00D849C0">
            <w:pPr>
              <w:numPr>
                <w:ilvl w:val="1"/>
                <w:numId w:val="1"/>
              </w:numPr>
              <w:jc w:val="both"/>
              <w:rPr>
                <w:rFonts w:asciiTheme="minorHAnsi" w:hAnsiTheme="minorHAnsi" w:cstheme="minorHAnsi"/>
              </w:rPr>
            </w:pPr>
          </w:p>
        </w:tc>
        <w:tc>
          <w:tcPr>
            <w:tcW w:w="9839" w:type="dxa"/>
          </w:tcPr>
          <w:p w:rsidR="004C42A0" w:rsidP="004C42A0">
            <w:pPr>
              <w:jc w:val="both"/>
              <w:rPr>
                <w:rFonts w:asciiTheme="minorHAnsi" w:hAnsiTheme="minorHAnsi" w:cstheme="minorHAnsi"/>
              </w:rPr>
            </w:pPr>
            <w:r>
              <w:rPr>
                <w:rFonts w:asciiTheme="minorHAnsi" w:hAnsiTheme="minorHAnsi" w:cstheme="minorHAnsi"/>
              </w:rPr>
              <w:t xml:space="preserve">A business who has failed to pay the outstanding VAT, </w:t>
            </w:r>
            <w:r w:rsidRPr="004C42A0">
              <w:rPr>
                <w:rFonts w:asciiTheme="minorHAnsi" w:hAnsiTheme="minorHAnsi" w:cstheme="minorHAnsi"/>
              </w:rPr>
              <w:t xml:space="preserve">or entered </w:t>
            </w:r>
            <w:r>
              <w:rPr>
                <w:rFonts w:asciiTheme="minorHAnsi" w:hAnsiTheme="minorHAnsi" w:cstheme="minorHAnsi"/>
              </w:rPr>
              <w:t>into payment arrangements with HMRC,</w:t>
            </w:r>
            <w:r w:rsidRPr="004C42A0">
              <w:rPr>
                <w:rFonts w:asciiTheme="minorHAnsi" w:hAnsiTheme="minorHAnsi" w:cstheme="minorHAnsi"/>
              </w:rPr>
              <w:t xml:space="preserve"> </w:t>
            </w:r>
            <w:r>
              <w:rPr>
                <w:rFonts w:asciiTheme="minorHAnsi" w:hAnsiTheme="minorHAnsi" w:cstheme="minorHAnsi"/>
              </w:rPr>
              <w:t>on or before 30 June 2021 will be subject to a penalty. This begs the question of what happens if a business pays th</w:t>
            </w:r>
            <w:r>
              <w:rPr>
                <w:rFonts w:asciiTheme="minorHAnsi" w:hAnsiTheme="minorHAnsi" w:cstheme="minorHAnsi"/>
              </w:rPr>
              <w:t xml:space="preserve">eir outstanding VAT after the legally due date of 31 March 2021, but before the penalty trigger date of 30 June 2021. We understand that HMRC will not seek to penalise these businesses, but the position is </w:t>
            </w:r>
            <w:r>
              <w:rPr>
                <w:rFonts w:asciiTheme="minorHAnsi" w:hAnsiTheme="minorHAnsi" w:cstheme="minorHAnsi"/>
              </w:rPr>
              <w:t>confusing and does not help bring any certainty; p</w:t>
            </w:r>
            <w:r>
              <w:rPr>
                <w:rFonts w:asciiTheme="minorHAnsi" w:hAnsiTheme="minorHAnsi" w:cstheme="minorHAnsi"/>
              </w:rPr>
              <w:t>articularly considering the amounts involved could be significant.</w:t>
            </w:r>
          </w:p>
        </w:tc>
      </w:tr>
      <w:tr w:rsidTr="00890044">
        <w:tblPrEx>
          <w:tblW w:w="10548" w:type="dxa"/>
          <w:jc w:val="center"/>
          <w:tblLook w:val="0000"/>
        </w:tblPrEx>
        <w:trPr>
          <w:jc w:val="center"/>
        </w:trPr>
        <w:tc>
          <w:tcPr>
            <w:tcW w:w="709" w:type="dxa"/>
          </w:tcPr>
          <w:p w:rsidR="006C68C8" w:rsidRPr="006C68C8" w:rsidP="00D849C0">
            <w:pPr>
              <w:numPr>
                <w:ilvl w:val="1"/>
                <w:numId w:val="1"/>
              </w:numPr>
              <w:jc w:val="both"/>
              <w:rPr>
                <w:rFonts w:asciiTheme="minorHAnsi" w:hAnsiTheme="minorHAnsi" w:cstheme="minorHAnsi"/>
                <w:u w:val="single"/>
              </w:rPr>
            </w:pPr>
          </w:p>
        </w:tc>
        <w:tc>
          <w:tcPr>
            <w:tcW w:w="9839" w:type="dxa"/>
          </w:tcPr>
          <w:p w:rsidR="006C68C8" w:rsidRPr="006C68C8" w:rsidP="00D849C0">
            <w:pPr>
              <w:jc w:val="both"/>
              <w:rPr>
                <w:rFonts w:asciiTheme="minorHAnsi" w:hAnsiTheme="minorHAnsi" w:cstheme="minorHAnsi"/>
                <w:u w:val="single"/>
              </w:rPr>
            </w:pPr>
            <w:r w:rsidRPr="006C68C8">
              <w:rPr>
                <w:rFonts w:asciiTheme="minorHAnsi" w:hAnsiTheme="minorHAnsi" w:cstheme="minorHAnsi"/>
                <w:u w:val="single"/>
              </w:rPr>
              <w:t>VAT reduction for the UK’s tourism and hospitality sector [2.46]</w:t>
            </w:r>
          </w:p>
        </w:tc>
      </w:tr>
      <w:tr w:rsidTr="00890044">
        <w:tblPrEx>
          <w:tblW w:w="10548" w:type="dxa"/>
          <w:jc w:val="center"/>
          <w:tblLook w:val="0000"/>
        </w:tblPrEx>
        <w:trPr>
          <w:jc w:val="center"/>
        </w:trPr>
        <w:tc>
          <w:tcPr>
            <w:tcW w:w="709" w:type="dxa"/>
          </w:tcPr>
          <w:p w:rsidR="006C68C8" w:rsidRPr="00D849C0" w:rsidP="00D849C0">
            <w:pPr>
              <w:numPr>
                <w:ilvl w:val="1"/>
                <w:numId w:val="1"/>
              </w:numPr>
              <w:jc w:val="both"/>
              <w:rPr>
                <w:rFonts w:asciiTheme="minorHAnsi" w:hAnsiTheme="minorHAnsi" w:cstheme="minorHAnsi"/>
              </w:rPr>
            </w:pPr>
          </w:p>
        </w:tc>
        <w:tc>
          <w:tcPr>
            <w:tcW w:w="9839" w:type="dxa"/>
          </w:tcPr>
          <w:p w:rsidR="006C68C8" w:rsidRPr="00D849C0" w:rsidP="00D204AC">
            <w:pPr>
              <w:jc w:val="both"/>
              <w:rPr>
                <w:rFonts w:asciiTheme="minorHAnsi" w:hAnsiTheme="minorHAnsi" w:cstheme="minorHAnsi"/>
              </w:rPr>
            </w:pPr>
            <w:r>
              <w:rPr>
                <w:rFonts w:asciiTheme="minorHAnsi" w:hAnsiTheme="minorHAnsi" w:cstheme="minorHAnsi"/>
              </w:rPr>
              <w:t>The extension of the reduced rate for tourism and hospitality should provide a useful boost to the economy; either through increased profitability for those businesses that have had to remain closed during the pandemic, reduced prices for consumers on non-</w:t>
            </w:r>
            <w:r>
              <w:rPr>
                <w:rFonts w:asciiTheme="minorHAnsi" w:hAnsiTheme="minorHAnsi" w:cstheme="minorHAnsi"/>
              </w:rPr>
              <w:t xml:space="preserve">essential expenditure, or both. </w:t>
            </w:r>
          </w:p>
        </w:tc>
      </w:tr>
      <w:tr w:rsidTr="00890044">
        <w:tblPrEx>
          <w:tblW w:w="10548" w:type="dxa"/>
          <w:jc w:val="center"/>
          <w:tblLook w:val="0000"/>
        </w:tblPrEx>
        <w:trPr>
          <w:jc w:val="center"/>
        </w:trPr>
        <w:tc>
          <w:tcPr>
            <w:tcW w:w="709" w:type="dxa"/>
          </w:tcPr>
          <w:p w:rsidR="00D204AC" w:rsidRPr="00D849C0" w:rsidP="00D849C0">
            <w:pPr>
              <w:numPr>
                <w:ilvl w:val="1"/>
                <w:numId w:val="1"/>
              </w:numPr>
              <w:jc w:val="both"/>
              <w:rPr>
                <w:rFonts w:asciiTheme="minorHAnsi" w:hAnsiTheme="minorHAnsi" w:cstheme="minorHAnsi"/>
              </w:rPr>
            </w:pPr>
          </w:p>
        </w:tc>
        <w:tc>
          <w:tcPr>
            <w:tcW w:w="9839" w:type="dxa"/>
          </w:tcPr>
          <w:p w:rsidR="00D204AC" w:rsidP="00133DB7">
            <w:pPr>
              <w:jc w:val="both"/>
              <w:rPr>
                <w:rFonts w:asciiTheme="minorHAnsi" w:hAnsiTheme="minorHAnsi" w:cstheme="minorHAnsi"/>
              </w:rPr>
            </w:pPr>
            <w:r w:rsidRPr="00D204AC">
              <w:rPr>
                <w:rFonts w:asciiTheme="minorHAnsi" w:hAnsiTheme="minorHAnsi" w:cstheme="minorHAnsi"/>
              </w:rPr>
              <w:t>We are pleased that</w:t>
            </w:r>
            <w:r>
              <w:rPr>
                <w:rFonts w:asciiTheme="minorHAnsi" w:hAnsiTheme="minorHAnsi" w:cstheme="minorHAnsi"/>
              </w:rPr>
              <w:t xml:space="preserve"> the rate changes have been announced well in advance, giving affected businesses the opportunity to prepare. The administrative impact of changes to VAT rates should not be underestimated. In this rega</w:t>
            </w:r>
            <w:r>
              <w:rPr>
                <w:rFonts w:asciiTheme="minorHAnsi" w:hAnsiTheme="minorHAnsi" w:cstheme="minorHAnsi"/>
              </w:rPr>
              <w:t>rd, we are concerned that an ‘intermediate’ rate of 12.5% may give rise to additional complexity</w:t>
            </w:r>
            <w:r>
              <w:rPr>
                <w:rFonts w:asciiTheme="minorHAnsi" w:hAnsiTheme="minorHAnsi" w:cstheme="minorHAnsi"/>
              </w:rPr>
              <w:t xml:space="preserve"> and costs</w:t>
            </w:r>
            <w:r>
              <w:rPr>
                <w:rFonts w:asciiTheme="minorHAnsi" w:hAnsiTheme="minorHAnsi" w:cstheme="minorHAnsi"/>
              </w:rPr>
              <w:t xml:space="preserve">, particularly for businesses who are using basic or unfamiliar software to comply with Making Tax Digital for VAT </w:t>
            </w:r>
            <w:r w:rsidRPr="00994602">
              <w:rPr>
                <w:rFonts w:asciiTheme="minorHAnsi" w:hAnsiTheme="minorHAnsi" w:cstheme="minorHAnsi"/>
              </w:rPr>
              <w:t xml:space="preserve">and that such issues and costs </w:t>
            </w:r>
            <w:r>
              <w:rPr>
                <w:rFonts w:asciiTheme="minorHAnsi" w:hAnsiTheme="minorHAnsi" w:cstheme="minorHAnsi"/>
              </w:rPr>
              <w:t xml:space="preserve">will have to be </w:t>
            </w:r>
            <w:r w:rsidRPr="00994602">
              <w:rPr>
                <w:rFonts w:asciiTheme="minorHAnsi" w:hAnsiTheme="minorHAnsi" w:cstheme="minorHAnsi"/>
              </w:rPr>
              <w:t xml:space="preserve">borne for a limited period of for six months, which may </w:t>
            </w:r>
            <w:r>
              <w:rPr>
                <w:rFonts w:asciiTheme="minorHAnsi" w:hAnsiTheme="minorHAnsi" w:cstheme="minorHAnsi"/>
              </w:rPr>
              <w:t>mitigate</w:t>
            </w:r>
            <w:r w:rsidRPr="00994602">
              <w:rPr>
                <w:rFonts w:asciiTheme="minorHAnsi" w:hAnsiTheme="minorHAnsi" w:cstheme="minorHAnsi"/>
              </w:rPr>
              <w:t xml:space="preserve"> the benefit of the tax cut for </w:t>
            </w:r>
            <w:r>
              <w:rPr>
                <w:rFonts w:asciiTheme="minorHAnsi" w:hAnsiTheme="minorHAnsi" w:cstheme="minorHAnsi"/>
              </w:rPr>
              <w:t xml:space="preserve">some </w:t>
            </w:r>
            <w:r w:rsidRPr="00994602">
              <w:rPr>
                <w:rFonts w:asciiTheme="minorHAnsi" w:hAnsiTheme="minorHAnsi" w:cstheme="minorHAnsi"/>
              </w:rPr>
              <w:t>affected taxpayers.</w:t>
            </w:r>
          </w:p>
        </w:tc>
      </w:tr>
      <w:tr w:rsidTr="00890044">
        <w:tblPrEx>
          <w:tblW w:w="10548" w:type="dxa"/>
          <w:jc w:val="center"/>
          <w:tblLook w:val="0000"/>
        </w:tblPrEx>
        <w:trPr>
          <w:jc w:val="center"/>
        </w:trPr>
        <w:tc>
          <w:tcPr>
            <w:tcW w:w="709" w:type="dxa"/>
          </w:tcPr>
          <w:p w:rsidR="006C68C8" w:rsidRPr="00DB465D" w:rsidP="00D849C0">
            <w:pPr>
              <w:numPr>
                <w:ilvl w:val="1"/>
                <w:numId w:val="1"/>
              </w:numPr>
              <w:jc w:val="both"/>
              <w:rPr>
                <w:rFonts w:asciiTheme="minorHAnsi" w:hAnsiTheme="minorHAnsi" w:cstheme="minorHAnsi"/>
                <w:u w:val="single"/>
              </w:rPr>
            </w:pPr>
          </w:p>
        </w:tc>
        <w:tc>
          <w:tcPr>
            <w:tcW w:w="9839" w:type="dxa"/>
          </w:tcPr>
          <w:p w:rsidR="006C68C8" w:rsidRPr="00DB465D" w:rsidP="00D849C0">
            <w:pPr>
              <w:jc w:val="both"/>
              <w:rPr>
                <w:rFonts w:asciiTheme="minorHAnsi" w:hAnsiTheme="minorHAnsi" w:cstheme="minorHAnsi"/>
                <w:u w:val="single"/>
              </w:rPr>
            </w:pPr>
            <w:r w:rsidRPr="00DB465D">
              <w:rPr>
                <w:rFonts w:asciiTheme="minorHAnsi" w:hAnsiTheme="minorHAnsi" w:cstheme="minorHAnsi"/>
                <w:u w:val="single"/>
              </w:rPr>
              <w:t>VAT threshold [2.91]</w:t>
            </w:r>
          </w:p>
        </w:tc>
      </w:tr>
      <w:tr w:rsidTr="00890044">
        <w:tblPrEx>
          <w:tblW w:w="10548" w:type="dxa"/>
          <w:jc w:val="center"/>
          <w:tblLook w:val="0000"/>
        </w:tblPrEx>
        <w:trPr>
          <w:jc w:val="center"/>
        </w:trPr>
        <w:tc>
          <w:tcPr>
            <w:tcW w:w="709" w:type="dxa"/>
          </w:tcPr>
          <w:p w:rsidR="006C68C8" w:rsidRPr="00D849C0" w:rsidP="00D849C0">
            <w:pPr>
              <w:numPr>
                <w:ilvl w:val="1"/>
                <w:numId w:val="1"/>
              </w:numPr>
              <w:jc w:val="both"/>
              <w:rPr>
                <w:rFonts w:asciiTheme="minorHAnsi" w:hAnsiTheme="minorHAnsi" w:cstheme="minorHAnsi"/>
              </w:rPr>
            </w:pPr>
          </w:p>
        </w:tc>
        <w:tc>
          <w:tcPr>
            <w:tcW w:w="9839" w:type="dxa"/>
          </w:tcPr>
          <w:p w:rsidR="006C68C8" w:rsidRPr="00D849C0" w:rsidP="00994E1A">
            <w:pPr>
              <w:jc w:val="both"/>
              <w:rPr>
                <w:rFonts w:asciiTheme="minorHAnsi" w:hAnsiTheme="minorHAnsi" w:cstheme="minorHAnsi"/>
              </w:rPr>
            </w:pPr>
            <w:r>
              <w:rPr>
                <w:rFonts w:asciiTheme="minorHAnsi" w:hAnsiTheme="minorHAnsi" w:cstheme="minorHAnsi"/>
              </w:rPr>
              <w:t>The announcement that the VAT threshold has been frozen until A</w:t>
            </w:r>
            <w:r>
              <w:rPr>
                <w:rFonts w:asciiTheme="minorHAnsi" w:hAnsiTheme="minorHAnsi" w:cstheme="minorHAnsi"/>
              </w:rPr>
              <w:t>pril 2024 helps provide certainty, particularly for businesses approaching or operating around that level.</w:t>
            </w:r>
            <w:r w:rsidRPr="009232C6">
              <w:rPr>
                <w:rFonts w:asciiTheme="minorHAnsi" w:hAnsiTheme="minorHAnsi" w:cstheme="minorHAnsi"/>
              </w:rPr>
              <w:t xml:space="preserve"> However, freezing the VAT threshold again continues to ‘duck’ the key issue</w:t>
            </w:r>
            <w:r>
              <w:rPr>
                <w:rFonts w:asciiTheme="minorHAnsi" w:hAnsiTheme="minorHAnsi" w:cstheme="minorHAnsi"/>
              </w:rPr>
              <w:t>s</w:t>
            </w:r>
            <w:r w:rsidRPr="009232C6">
              <w:rPr>
                <w:rFonts w:asciiTheme="minorHAnsi" w:hAnsiTheme="minorHAnsi" w:cstheme="minorHAnsi"/>
              </w:rPr>
              <w:t xml:space="preserve"> of deciding its appropriate level</w:t>
            </w:r>
            <w:r>
              <w:rPr>
                <w:rFonts w:asciiTheme="minorHAnsi" w:hAnsiTheme="minorHAnsi" w:cstheme="minorHAnsi"/>
              </w:rPr>
              <w:t xml:space="preserve"> and how its ‘cliff-edge’ features can </w:t>
            </w:r>
            <w:r>
              <w:rPr>
                <w:rFonts w:asciiTheme="minorHAnsi" w:hAnsiTheme="minorHAnsi" w:cstheme="minorHAnsi"/>
              </w:rPr>
              <w:t>be mitigated.</w:t>
            </w:r>
          </w:p>
        </w:tc>
      </w:tr>
      <w:tr w:rsidTr="00890044">
        <w:tblPrEx>
          <w:tblW w:w="10548" w:type="dxa"/>
          <w:jc w:val="center"/>
          <w:tblLook w:val="0000"/>
        </w:tblPrEx>
        <w:trPr>
          <w:jc w:val="center"/>
        </w:trPr>
        <w:tc>
          <w:tcPr>
            <w:tcW w:w="709" w:type="dxa"/>
          </w:tcPr>
          <w:p w:rsidR="006C68C8" w:rsidRPr="00D849C0" w:rsidP="00D849C0">
            <w:pPr>
              <w:numPr>
                <w:ilvl w:val="1"/>
                <w:numId w:val="1"/>
              </w:numPr>
              <w:jc w:val="both"/>
              <w:rPr>
                <w:rFonts w:asciiTheme="minorHAnsi" w:hAnsiTheme="minorHAnsi" w:cstheme="minorHAnsi"/>
              </w:rPr>
            </w:pPr>
          </w:p>
        </w:tc>
        <w:tc>
          <w:tcPr>
            <w:tcW w:w="9839" w:type="dxa"/>
          </w:tcPr>
          <w:p w:rsidR="00F37D3C" w:rsidP="002A3E10">
            <w:pPr>
              <w:jc w:val="both"/>
              <w:rPr>
                <w:rFonts w:asciiTheme="minorHAnsi" w:hAnsiTheme="minorHAnsi" w:cstheme="minorHAnsi"/>
              </w:rPr>
            </w:pPr>
            <w:r>
              <w:rPr>
                <w:rFonts w:asciiTheme="minorHAnsi" w:hAnsiTheme="minorHAnsi" w:cstheme="minorHAnsi"/>
              </w:rPr>
              <w:t>‘</w:t>
            </w:r>
            <w:r>
              <w:rPr>
                <w:rFonts w:asciiTheme="minorHAnsi" w:hAnsiTheme="minorHAnsi" w:cstheme="minorHAnsi"/>
              </w:rPr>
              <w:t>Tax consultation day</w:t>
            </w:r>
            <w:r>
              <w:rPr>
                <w:rFonts w:asciiTheme="minorHAnsi" w:hAnsiTheme="minorHAnsi" w:cstheme="minorHAnsi"/>
              </w:rPr>
              <w:t xml:space="preserve">’ also failed to live up to </w:t>
            </w:r>
            <w:r>
              <w:rPr>
                <w:rFonts w:asciiTheme="minorHAnsi" w:hAnsiTheme="minorHAnsi" w:cstheme="minorHAnsi"/>
              </w:rPr>
              <w:t xml:space="preserve">hopes </w:t>
            </w:r>
            <w:r>
              <w:rPr>
                <w:rFonts w:asciiTheme="minorHAnsi" w:hAnsiTheme="minorHAnsi" w:cstheme="minorHAnsi"/>
              </w:rPr>
              <w:t xml:space="preserve">expressed in some quarters </w:t>
            </w:r>
            <w:r>
              <w:rPr>
                <w:rFonts w:asciiTheme="minorHAnsi" w:hAnsiTheme="minorHAnsi" w:cstheme="minorHAnsi"/>
              </w:rPr>
              <w:t>that the VAT system, or major aspects</w:t>
            </w:r>
            <w:r>
              <w:rPr>
                <w:rFonts w:asciiTheme="minorHAnsi" w:hAnsiTheme="minorHAnsi" w:cstheme="minorHAnsi"/>
              </w:rPr>
              <w:t xml:space="preserve"> of it</w:t>
            </w:r>
            <w:r>
              <w:rPr>
                <w:rFonts w:asciiTheme="minorHAnsi" w:hAnsiTheme="minorHAnsi" w:cstheme="minorHAnsi"/>
              </w:rPr>
              <w:t>, might be subject to consultation</w:t>
            </w:r>
            <w:r>
              <w:rPr>
                <w:rFonts w:asciiTheme="minorHAnsi" w:hAnsiTheme="minorHAnsi" w:cstheme="minorHAnsi"/>
              </w:rPr>
              <w:t xml:space="preserve"> </w:t>
            </w:r>
            <w:r>
              <w:rPr>
                <w:rFonts w:asciiTheme="minorHAnsi" w:hAnsiTheme="minorHAnsi" w:cstheme="minorHAnsi"/>
              </w:rPr>
              <w:t xml:space="preserve">with a view to </w:t>
            </w:r>
            <w:r>
              <w:rPr>
                <w:rFonts w:asciiTheme="minorHAnsi" w:hAnsiTheme="minorHAnsi" w:cstheme="minorHAnsi"/>
              </w:rPr>
              <w:t>simplification</w:t>
            </w:r>
            <w:r>
              <w:rPr>
                <w:rFonts w:asciiTheme="minorHAnsi" w:hAnsiTheme="minorHAnsi" w:cstheme="minorHAnsi"/>
              </w:rPr>
              <w:t xml:space="preserve"> </w:t>
            </w:r>
            <w:r>
              <w:rPr>
                <w:rFonts w:asciiTheme="minorHAnsi" w:hAnsiTheme="minorHAnsi" w:cstheme="minorHAnsi"/>
              </w:rPr>
              <w:t>now that the UK has left the EU</w:t>
            </w:r>
            <w:r>
              <w:rPr>
                <w:rFonts w:asciiTheme="minorHAnsi" w:hAnsiTheme="minorHAnsi" w:cstheme="minorHAnsi"/>
              </w:rPr>
              <w:t xml:space="preserve">. </w:t>
            </w:r>
            <w:r>
              <w:rPr>
                <w:rFonts w:asciiTheme="minorHAnsi" w:hAnsiTheme="minorHAnsi" w:cstheme="minorHAnsi"/>
              </w:rPr>
              <w:t xml:space="preserve">HMRC’s </w:t>
            </w:r>
            <w:r>
              <w:rPr>
                <w:rFonts w:asciiTheme="minorHAnsi" w:hAnsiTheme="minorHAnsi" w:cstheme="minorHAnsi"/>
              </w:rPr>
              <w:t>appraisal</w:t>
            </w:r>
            <w:r>
              <w:rPr>
                <w:rFonts w:asciiTheme="minorHAnsi" w:hAnsiTheme="minorHAnsi" w:cstheme="minorHAnsi"/>
              </w:rPr>
              <w:t xml:space="preserve"> of many of the recommendations of the Office of Tax Simplification’s November 2017 review of VAT has now been ongoing for a number of years and its status is incr</w:t>
            </w:r>
            <w:r>
              <w:rPr>
                <w:rFonts w:asciiTheme="minorHAnsi" w:hAnsiTheme="minorHAnsi" w:cstheme="minorHAnsi"/>
              </w:rPr>
              <w:t>easingly unclear in consequence</w:t>
            </w:r>
            <w:r w:rsidRPr="009232C6">
              <w:rPr>
                <w:rFonts w:asciiTheme="minorHAnsi" w:hAnsiTheme="minorHAnsi" w:cstheme="minorHAnsi"/>
              </w:rPr>
              <w:t>.</w:t>
            </w:r>
            <w:r>
              <w:rPr>
                <w:rFonts w:asciiTheme="minorHAnsi" w:hAnsiTheme="minorHAnsi" w:cstheme="minorHAnsi"/>
                <w:vertAlign w:val="superscript"/>
              </w:rPr>
              <w:footnoteReference w:id="12"/>
            </w:r>
            <w:r>
              <w:rPr>
                <w:rFonts w:asciiTheme="minorHAnsi" w:hAnsiTheme="minorHAnsi" w:cstheme="minorHAnsi"/>
              </w:rPr>
              <w:t xml:space="preserve"> </w:t>
            </w:r>
            <w:r>
              <w:rPr>
                <w:rFonts w:asciiTheme="minorHAnsi" w:hAnsiTheme="minorHAnsi" w:cstheme="minorHAnsi"/>
              </w:rPr>
              <w:t xml:space="preserve">Notwithstanding this, the government </w:t>
            </w:r>
            <w:r>
              <w:rPr>
                <w:rFonts w:asciiTheme="minorHAnsi" w:hAnsiTheme="minorHAnsi" w:cstheme="minorHAnsi"/>
              </w:rPr>
              <w:t>proposes to further increase the complexity of the VAT system, without evidencing the need to do so.</w:t>
            </w:r>
            <w:r>
              <w:rPr>
                <w:rStyle w:val="FootnoteReference"/>
                <w:rFonts w:asciiTheme="minorHAnsi" w:hAnsiTheme="minorHAnsi" w:cstheme="minorHAnsi"/>
              </w:rPr>
              <w:footnoteReference w:id="13"/>
            </w:r>
            <w:r>
              <w:rPr>
                <w:rFonts w:asciiTheme="minorHAnsi" w:hAnsiTheme="minorHAnsi" w:cstheme="minorHAnsi"/>
              </w:rPr>
              <w:t xml:space="preserve"> </w:t>
            </w:r>
          </w:p>
          <w:p w:rsidR="00822A82" w:rsidRPr="00D849C0" w:rsidP="002A3E10">
            <w:pPr>
              <w:jc w:val="both"/>
              <w:rPr>
                <w:rFonts w:asciiTheme="minorHAnsi" w:hAnsiTheme="minorHAnsi" w:cstheme="minorHAnsi"/>
              </w:rPr>
            </w:pPr>
          </w:p>
        </w:tc>
      </w:tr>
      <w:tr w:rsidTr="00890044">
        <w:tblPrEx>
          <w:tblW w:w="10548" w:type="dxa"/>
          <w:jc w:val="center"/>
          <w:tblLook w:val="0000"/>
        </w:tblPrEx>
        <w:trPr>
          <w:jc w:val="center"/>
        </w:trPr>
        <w:tc>
          <w:tcPr>
            <w:tcW w:w="709" w:type="dxa"/>
          </w:tcPr>
          <w:p w:rsidR="001F6F2B" w:rsidRPr="00D849C0" w:rsidP="001F6F2B">
            <w:pPr>
              <w:numPr>
                <w:ilvl w:val="0"/>
                <w:numId w:val="1"/>
              </w:numPr>
              <w:jc w:val="both"/>
              <w:rPr>
                <w:rFonts w:asciiTheme="minorHAnsi" w:hAnsiTheme="minorHAnsi" w:cstheme="minorHAnsi"/>
              </w:rPr>
            </w:pPr>
          </w:p>
        </w:tc>
        <w:tc>
          <w:tcPr>
            <w:tcW w:w="9839" w:type="dxa"/>
          </w:tcPr>
          <w:p w:rsidR="001F6F2B" w:rsidRPr="001F6F2B" w:rsidP="00D849C0">
            <w:pPr>
              <w:jc w:val="both"/>
              <w:rPr>
                <w:rFonts w:asciiTheme="minorHAnsi" w:hAnsiTheme="minorHAnsi" w:cstheme="minorHAnsi"/>
                <w:b/>
              </w:rPr>
            </w:pPr>
            <w:r w:rsidRPr="001F6F2B">
              <w:rPr>
                <w:rFonts w:asciiTheme="minorHAnsi" w:hAnsiTheme="minorHAnsi" w:cstheme="minorHAnsi"/>
                <w:b/>
              </w:rPr>
              <w:t>Avoidance, evasion &amp; non-compliance</w:t>
            </w:r>
          </w:p>
        </w:tc>
      </w:tr>
      <w:tr w:rsidTr="00890044">
        <w:tblPrEx>
          <w:tblW w:w="10548" w:type="dxa"/>
          <w:jc w:val="center"/>
          <w:tblLook w:val="0000"/>
        </w:tblPrEx>
        <w:trPr>
          <w:jc w:val="center"/>
        </w:trPr>
        <w:tc>
          <w:tcPr>
            <w:tcW w:w="709" w:type="dxa"/>
          </w:tcPr>
          <w:p w:rsidR="006C68C8" w:rsidRPr="004D6356" w:rsidP="00D849C0">
            <w:pPr>
              <w:numPr>
                <w:ilvl w:val="1"/>
                <w:numId w:val="1"/>
              </w:numPr>
              <w:jc w:val="both"/>
              <w:rPr>
                <w:rFonts w:asciiTheme="minorHAnsi" w:hAnsiTheme="minorHAnsi" w:cstheme="minorHAnsi"/>
                <w:u w:val="single"/>
              </w:rPr>
            </w:pPr>
          </w:p>
        </w:tc>
        <w:tc>
          <w:tcPr>
            <w:tcW w:w="9839" w:type="dxa"/>
          </w:tcPr>
          <w:p w:rsidR="006C68C8" w:rsidRPr="004D6356" w:rsidP="004D6356">
            <w:pPr>
              <w:tabs>
                <w:tab w:val="left" w:pos="920"/>
              </w:tabs>
              <w:jc w:val="both"/>
              <w:rPr>
                <w:rFonts w:asciiTheme="minorHAnsi" w:hAnsiTheme="minorHAnsi" w:cstheme="minorHAnsi"/>
                <w:u w:val="single"/>
              </w:rPr>
            </w:pPr>
            <w:r w:rsidRPr="004D6356">
              <w:rPr>
                <w:rFonts w:asciiTheme="minorHAnsi" w:hAnsiTheme="minorHAnsi" w:cstheme="minorHAnsi"/>
                <w:u w:val="single"/>
              </w:rPr>
              <w:t>Interest harmonisation and reform of penalties for late submission</w:t>
            </w:r>
            <w:r>
              <w:rPr>
                <w:rFonts w:asciiTheme="minorHAnsi" w:hAnsiTheme="minorHAnsi" w:cstheme="minorHAnsi"/>
                <w:u w:val="single"/>
              </w:rPr>
              <w:t xml:space="preserve"> and late payment of tax [2.95]</w:t>
            </w:r>
          </w:p>
        </w:tc>
      </w:tr>
      <w:tr w:rsidTr="00890044">
        <w:tblPrEx>
          <w:tblW w:w="10548" w:type="dxa"/>
          <w:jc w:val="center"/>
          <w:tblLook w:val="0000"/>
        </w:tblPrEx>
        <w:trPr>
          <w:jc w:val="center"/>
        </w:trPr>
        <w:tc>
          <w:tcPr>
            <w:tcW w:w="709" w:type="dxa"/>
          </w:tcPr>
          <w:p w:rsidR="006C68C8" w:rsidRPr="00D849C0" w:rsidP="00D849C0">
            <w:pPr>
              <w:numPr>
                <w:ilvl w:val="1"/>
                <w:numId w:val="1"/>
              </w:numPr>
              <w:jc w:val="both"/>
              <w:rPr>
                <w:rFonts w:asciiTheme="minorHAnsi" w:hAnsiTheme="minorHAnsi" w:cstheme="minorHAnsi"/>
              </w:rPr>
            </w:pPr>
          </w:p>
        </w:tc>
        <w:tc>
          <w:tcPr>
            <w:tcW w:w="9839" w:type="dxa"/>
          </w:tcPr>
          <w:p w:rsidR="006C68C8" w:rsidRPr="00D849C0" w:rsidP="00384EE2">
            <w:pPr>
              <w:jc w:val="both"/>
              <w:rPr>
                <w:rFonts w:asciiTheme="minorHAnsi" w:hAnsiTheme="minorHAnsi" w:cstheme="minorHAnsi"/>
              </w:rPr>
            </w:pPr>
            <w:r>
              <w:rPr>
                <w:rFonts w:asciiTheme="minorHAnsi" w:hAnsiTheme="minorHAnsi" w:cstheme="minorHAnsi"/>
              </w:rPr>
              <w:t xml:space="preserve">The proposal aims to bring some consistency across the main tax regimes (income tax, VAT, corporation tax) as they fall within the scope of Making Tax Digital. They also remove some quite harsh consequences </w:t>
            </w:r>
            <w:r w:rsidRPr="00B64279">
              <w:rPr>
                <w:rFonts w:asciiTheme="minorHAnsi" w:hAnsiTheme="minorHAnsi" w:cstheme="minorHAnsi"/>
              </w:rPr>
              <w:t>(particularly with VAT)</w:t>
            </w:r>
            <w:r>
              <w:rPr>
                <w:rFonts w:asciiTheme="minorHAnsi" w:hAnsiTheme="minorHAnsi" w:cstheme="minorHAnsi"/>
              </w:rPr>
              <w:t xml:space="preserve"> of occasional or minor </w:t>
            </w:r>
            <w:r w:rsidRPr="00B64279">
              <w:rPr>
                <w:rFonts w:asciiTheme="minorHAnsi" w:hAnsiTheme="minorHAnsi" w:cstheme="minorHAnsi"/>
              </w:rPr>
              <w:t>mi</w:t>
            </w:r>
            <w:r w:rsidRPr="00B64279">
              <w:rPr>
                <w:rFonts w:asciiTheme="minorHAnsi" w:hAnsiTheme="minorHAnsi" w:cstheme="minorHAnsi"/>
              </w:rPr>
              <w:t>sdemeanours</w:t>
            </w:r>
            <w:r>
              <w:rPr>
                <w:rFonts w:asciiTheme="minorHAnsi" w:hAnsiTheme="minorHAnsi" w:cstheme="minorHAnsi"/>
              </w:rPr>
              <w:t xml:space="preserve">, improving fairness by applying an approach which focuses on the taxpayer’s pattern of behaviour. </w:t>
            </w:r>
            <w:r>
              <w:rPr>
                <w:rFonts w:asciiTheme="minorHAnsi" w:hAnsiTheme="minorHAnsi" w:cstheme="minorHAnsi"/>
              </w:rPr>
              <w:t>They are included in clauses 112 and 113 (and related schedules) of the Finance Bill.</w:t>
            </w:r>
          </w:p>
        </w:tc>
      </w:tr>
      <w:tr w:rsidTr="00890044">
        <w:tblPrEx>
          <w:tblW w:w="10548" w:type="dxa"/>
          <w:jc w:val="center"/>
          <w:tblLook w:val="0000"/>
        </w:tblPrEx>
        <w:trPr>
          <w:jc w:val="center"/>
        </w:trPr>
        <w:tc>
          <w:tcPr>
            <w:tcW w:w="709" w:type="dxa"/>
          </w:tcPr>
          <w:p w:rsidR="006C68C8" w:rsidRPr="00D849C0" w:rsidP="00D849C0">
            <w:pPr>
              <w:numPr>
                <w:ilvl w:val="1"/>
                <w:numId w:val="1"/>
              </w:numPr>
              <w:jc w:val="both"/>
              <w:rPr>
                <w:rFonts w:asciiTheme="minorHAnsi" w:hAnsiTheme="minorHAnsi" w:cstheme="minorHAnsi"/>
              </w:rPr>
            </w:pPr>
          </w:p>
        </w:tc>
        <w:tc>
          <w:tcPr>
            <w:tcW w:w="9839" w:type="dxa"/>
          </w:tcPr>
          <w:p w:rsidR="006C68C8" w:rsidRPr="00D849C0" w:rsidP="006E0AB0">
            <w:pPr>
              <w:jc w:val="both"/>
              <w:rPr>
                <w:rFonts w:asciiTheme="minorHAnsi" w:hAnsiTheme="minorHAnsi" w:cstheme="minorHAnsi"/>
              </w:rPr>
            </w:pPr>
            <w:r>
              <w:rPr>
                <w:rFonts w:asciiTheme="minorHAnsi" w:hAnsiTheme="minorHAnsi" w:cstheme="minorHAnsi"/>
              </w:rPr>
              <w:t>Unfortunately, in seeking this desire for fairness</w:t>
            </w:r>
            <w:r>
              <w:rPr>
                <w:rFonts w:asciiTheme="minorHAnsi" w:hAnsiTheme="minorHAnsi" w:cstheme="minorHAnsi"/>
              </w:rPr>
              <w:t>,</w:t>
            </w:r>
            <w:r>
              <w:rPr>
                <w:rFonts w:asciiTheme="minorHAnsi" w:hAnsiTheme="minorHAnsi" w:cstheme="minorHAnsi"/>
              </w:rPr>
              <w:t xml:space="preserve"> the system is incredibly complex</w:t>
            </w:r>
            <w:r>
              <w:rPr>
                <w:rFonts w:asciiTheme="minorHAnsi" w:hAnsiTheme="minorHAnsi" w:cstheme="minorHAnsi"/>
              </w:rPr>
              <w:t>,</w:t>
            </w:r>
            <w:r>
              <w:rPr>
                <w:rFonts w:asciiTheme="minorHAnsi" w:hAnsiTheme="minorHAnsi" w:cstheme="minorHAnsi"/>
              </w:rPr>
              <w:t xml:space="preserve"> particularly the new points-based system for late submission of returns</w:t>
            </w:r>
            <w:r>
              <w:rPr>
                <w:rFonts w:asciiTheme="minorHAnsi" w:hAnsiTheme="minorHAnsi" w:cstheme="minorHAnsi"/>
              </w:rPr>
              <w:t xml:space="preserve">, and </w:t>
            </w:r>
            <w:r>
              <w:rPr>
                <w:rFonts w:asciiTheme="minorHAnsi" w:hAnsiTheme="minorHAnsi" w:cstheme="minorHAnsi"/>
              </w:rPr>
              <w:t>is</w:t>
            </w:r>
            <w:r>
              <w:rPr>
                <w:rFonts w:asciiTheme="minorHAnsi" w:hAnsiTheme="minorHAnsi" w:cstheme="minorHAnsi"/>
              </w:rPr>
              <w:t xml:space="preserve"> hard to reconcile with the Committee’s principles </w:t>
            </w:r>
            <w:r>
              <w:rPr>
                <w:rFonts w:asciiTheme="minorHAnsi" w:hAnsiTheme="minorHAnsi" w:cstheme="minorHAnsi"/>
              </w:rPr>
              <w:t>concerned with legal certainty and simplicity</w:t>
            </w:r>
            <w:r>
              <w:rPr>
                <w:rFonts w:asciiTheme="minorHAnsi" w:hAnsiTheme="minorHAnsi" w:cstheme="minorHAnsi"/>
              </w:rPr>
              <w:t xml:space="preserve">. </w:t>
            </w:r>
            <w:r w:rsidRPr="00A651AD">
              <w:rPr>
                <w:rFonts w:asciiTheme="minorHAnsi" w:hAnsiTheme="minorHAnsi" w:cstheme="minorHAnsi"/>
              </w:rPr>
              <w:t>For example, the fact that annual obligation</w:t>
            </w:r>
            <w:r w:rsidRPr="00A651AD">
              <w:rPr>
                <w:rFonts w:asciiTheme="minorHAnsi" w:hAnsiTheme="minorHAnsi" w:cstheme="minorHAnsi"/>
              </w:rPr>
              <w:t>s for an individual within Making Tax Digital for Income Tax (Self Assessment) are treated as quarterly ones for the purpose of accrual of penalty points is confusing, as are the rules on limits for the number of penalty points which may be accrued for a g</w:t>
            </w:r>
            <w:r w:rsidRPr="00A651AD">
              <w:rPr>
                <w:rFonts w:asciiTheme="minorHAnsi" w:hAnsiTheme="minorHAnsi" w:cstheme="minorHAnsi"/>
              </w:rPr>
              <w:t xml:space="preserve">iven type of obligation in a given month (or quarter). </w:t>
            </w:r>
            <w:r>
              <w:rPr>
                <w:rFonts w:asciiTheme="minorHAnsi" w:hAnsiTheme="minorHAnsi" w:cstheme="minorHAnsi"/>
              </w:rPr>
              <w:t>We are hopeful that HMRC’s systems will shield taxpayers from some of this complexity</w:t>
            </w:r>
            <w:r>
              <w:rPr>
                <w:rFonts w:asciiTheme="minorHAnsi" w:hAnsiTheme="minorHAnsi" w:cstheme="minorHAnsi"/>
              </w:rPr>
              <w:t xml:space="preserve"> and so remain practicable</w:t>
            </w:r>
            <w:r>
              <w:rPr>
                <w:rFonts w:asciiTheme="minorHAnsi" w:hAnsiTheme="minorHAnsi" w:cstheme="minorHAnsi"/>
              </w:rPr>
              <w:t xml:space="preserve">, but clear guidance is vital so that </w:t>
            </w:r>
            <w:r>
              <w:rPr>
                <w:rFonts w:asciiTheme="minorHAnsi" w:hAnsiTheme="minorHAnsi" w:cstheme="minorHAnsi"/>
              </w:rPr>
              <w:t>taxpayers</w:t>
            </w:r>
            <w:r>
              <w:rPr>
                <w:rFonts w:asciiTheme="minorHAnsi" w:hAnsiTheme="minorHAnsi" w:cstheme="minorHAnsi"/>
              </w:rPr>
              <w:t xml:space="preserve"> can understand the regime, including when </w:t>
            </w:r>
            <w:r>
              <w:rPr>
                <w:rFonts w:asciiTheme="minorHAnsi" w:hAnsiTheme="minorHAnsi" w:cstheme="minorHAnsi"/>
              </w:rPr>
              <w:t>points and financial penalties will be levied, and rights of appeal.</w:t>
            </w:r>
            <w:r>
              <w:t xml:space="preserve"> A taxpayer’s points history will need to be easily accessible by both the taxpayer and their agent, </w:t>
            </w:r>
            <w:r>
              <w:t>and HMRC’s systems should generate p</w:t>
            </w:r>
            <w:r>
              <w:t>rompts to encourage compliance</w:t>
            </w:r>
            <w:r w:rsidRPr="00FE2819">
              <w:rPr>
                <w:rFonts w:asciiTheme="minorHAnsi" w:hAnsiTheme="minorHAnsi" w:cstheme="minorHAnsi"/>
              </w:rPr>
              <w:t>.</w:t>
            </w:r>
          </w:p>
        </w:tc>
      </w:tr>
      <w:tr w:rsidTr="00890044">
        <w:tblPrEx>
          <w:tblW w:w="10548" w:type="dxa"/>
          <w:jc w:val="center"/>
          <w:tblLook w:val="0000"/>
        </w:tblPrEx>
        <w:trPr>
          <w:jc w:val="center"/>
        </w:trPr>
        <w:tc>
          <w:tcPr>
            <w:tcW w:w="709" w:type="dxa"/>
          </w:tcPr>
          <w:p w:rsidR="00966A48" w:rsidRPr="00D849C0" w:rsidP="00D849C0">
            <w:pPr>
              <w:numPr>
                <w:ilvl w:val="1"/>
                <w:numId w:val="1"/>
              </w:numPr>
              <w:jc w:val="both"/>
              <w:rPr>
                <w:rFonts w:asciiTheme="minorHAnsi" w:hAnsiTheme="minorHAnsi" w:cstheme="minorHAnsi"/>
              </w:rPr>
            </w:pPr>
          </w:p>
        </w:tc>
        <w:tc>
          <w:tcPr>
            <w:tcW w:w="9839" w:type="dxa"/>
          </w:tcPr>
          <w:p w:rsidR="00966A48" w:rsidRPr="00D849C0" w:rsidP="006E0AB0">
            <w:pPr>
              <w:jc w:val="both"/>
              <w:rPr>
                <w:rFonts w:asciiTheme="minorHAnsi" w:hAnsiTheme="minorHAnsi" w:cstheme="minorHAnsi"/>
              </w:rPr>
            </w:pPr>
            <w:r>
              <w:rPr>
                <w:rFonts w:asciiTheme="minorHAnsi" w:hAnsiTheme="minorHAnsi" w:cstheme="minorHAnsi"/>
              </w:rPr>
              <w:t xml:space="preserve">We are concerned </w:t>
            </w:r>
            <w:r>
              <w:rPr>
                <w:rFonts w:asciiTheme="minorHAnsi" w:hAnsiTheme="minorHAnsi" w:cstheme="minorHAnsi"/>
              </w:rPr>
              <w:t>that the new late submission penalty regime will come into effect precisely when many taxpayers will be dealing with the requirements of Making Tax Digital for the first time.</w:t>
            </w:r>
            <w:r>
              <w:rPr>
                <w:rStyle w:val="FootnoteReference"/>
                <w:rFonts w:asciiTheme="minorHAnsi" w:hAnsiTheme="minorHAnsi" w:cstheme="minorHAnsi"/>
              </w:rPr>
              <w:footnoteReference w:id="14"/>
            </w:r>
            <w:r>
              <w:rPr>
                <w:rFonts w:asciiTheme="minorHAnsi" w:hAnsiTheme="minorHAnsi" w:cstheme="minorHAnsi"/>
              </w:rPr>
              <w:t xml:space="preserve"> Whilst the penalty regime has an inherent ‘light touch’ (by only charging a fi</w:t>
            </w:r>
            <w:r>
              <w:rPr>
                <w:rFonts w:asciiTheme="minorHAnsi" w:hAnsiTheme="minorHAnsi" w:cstheme="minorHAnsi"/>
              </w:rPr>
              <w:t xml:space="preserve">nancial penalty when a certain level of points have been incurred), we consider that HMRC should consider exercising their discretionary powers not to apply a penalty point in a variety of circumstances </w:t>
            </w:r>
            <w:r>
              <w:rPr>
                <w:rFonts w:asciiTheme="minorHAnsi" w:hAnsiTheme="minorHAnsi" w:cstheme="minorHAnsi"/>
              </w:rPr>
              <w:t xml:space="preserve">to that affected population </w:t>
            </w:r>
            <w:r>
              <w:rPr>
                <w:rFonts w:asciiTheme="minorHAnsi" w:hAnsiTheme="minorHAnsi" w:cstheme="minorHAnsi"/>
              </w:rPr>
              <w:t xml:space="preserve">in </w:t>
            </w:r>
            <w:r>
              <w:rPr>
                <w:rFonts w:asciiTheme="minorHAnsi" w:hAnsiTheme="minorHAnsi" w:cstheme="minorHAnsi"/>
              </w:rPr>
              <w:t xml:space="preserve">the </w:t>
            </w:r>
            <w:r>
              <w:rPr>
                <w:rFonts w:asciiTheme="minorHAnsi" w:hAnsiTheme="minorHAnsi" w:cstheme="minorHAnsi"/>
              </w:rPr>
              <w:t>next stages of the</w:t>
            </w:r>
            <w:r>
              <w:rPr>
                <w:rFonts w:asciiTheme="minorHAnsi" w:hAnsiTheme="minorHAnsi" w:cstheme="minorHAnsi"/>
              </w:rPr>
              <w:t xml:space="preserve"> roll out of MTD. This will ensure that </w:t>
            </w:r>
            <w:r>
              <w:rPr>
                <w:rFonts w:asciiTheme="minorHAnsi" w:hAnsiTheme="minorHAnsi" w:cstheme="minorHAnsi"/>
              </w:rPr>
              <w:t xml:space="preserve">those </w:t>
            </w:r>
            <w:r>
              <w:rPr>
                <w:rFonts w:asciiTheme="minorHAnsi" w:hAnsiTheme="minorHAnsi" w:cstheme="minorHAnsi"/>
              </w:rPr>
              <w:t>taxpayers are protected from penalties whilst getting to grips with a new regime, and the new penalty system would then apply when the regime becomes ‘business as usual’.</w:t>
            </w:r>
            <w:r>
              <w:rPr>
                <w:rFonts w:asciiTheme="minorHAnsi" w:hAnsiTheme="minorHAnsi" w:cstheme="minorHAnsi"/>
              </w:rPr>
              <w:t xml:space="preserve"> We note that th</w:t>
            </w:r>
            <w:r>
              <w:rPr>
                <w:rFonts w:asciiTheme="minorHAnsi" w:hAnsiTheme="minorHAnsi" w:cstheme="minorHAnsi"/>
              </w:rPr>
              <w:t>ere</w:t>
            </w:r>
            <w:r>
              <w:rPr>
                <w:rFonts w:asciiTheme="minorHAnsi" w:hAnsiTheme="minorHAnsi" w:cstheme="minorHAnsi"/>
              </w:rPr>
              <w:t xml:space="preserve"> was a commitment </w:t>
            </w:r>
            <w:r>
              <w:rPr>
                <w:rFonts w:asciiTheme="minorHAnsi" w:hAnsiTheme="minorHAnsi" w:cstheme="minorHAnsi"/>
              </w:rPr>
              <w:t xml:space="preserve">by </w:t>
            </w:r>
            <w:r>
              <w:rPr>
                <w:rFonts w:asciiTheme="minorHAnsi" w:hAnsiTheme="minorHAnsi" w:cstheme="minorHAnsi"/>
              </w:rPr>
              <w:t xml:space="preserve">HMRC </w:t>
            </w:r>
            <w:r>
              <w:rPr>
                <w:rFonts w:asciiTheme="minorHAnsi" w:hAnsiTheme="minorHAnsi" w:cstheme="minorHAnsi"/>
              </w:rPr>
              <w:t xml:space="preserve">(at a time when income tax would be mandated first) </w:t>
            </w:r>
            <w:r>
              <w:rPr>
                <w:rFonts w:asciiTheme="minorHAnsi" w:hAnsiTheme="minorHAnsi" w:cstheme="minorHAnsi"/>
              </w:rPr>
              <w:t>that customers would be given a period of at least 12 months before they will be charged late submission penalties under MTD.</w:t>
            </w:r>
            <w:r>
              <w:rPr>
                <w:rStyle w:val="FootnoteReference"/>
                <w:rFonts w:asciiTheme="minorHAnsi" w:hAnsiTheme="minorHAnsi" w:cstheme="minorHAnsi"/>
              </w:rPr>
              <w:footnoteReference w:id="15"/>
            </w:r>
          </w:p>
        </w:tc>
      </w:tr>
      <w:tr w:rsidTr="00890044">
        <w:tblPrEx>
          <w:tblW w:w="10548" w:type="dxa"/>
          <w:jc w:val="center"/>
          <w:tblLook w:val="0000"/>
        </w:tblPrEx>
        <w:trPr>
          <w:jc w:val="center"/>
        </w:trPr>
        <w:tc>
          <w:tcPr>
            <w:tcW w:w="709" w:type="dxa"/>
          </w:tcPr>
          <w:p w:rsidR="00966A48" w:rsidRPr="00D849C0" w:rsidP="00D849C0">
            <w:pPr>
              <w:numPr>
                <w:ilvl w:val="1"/>
                <w:numId w:val="1"/>
              </w:numPr>
              <w:jc w:val="both"/>
              <w:rPr>
                <w:rFonts w:asciiTheme="minorHAnsi" w:hAnsiTheme="minorHAnsi" w:cstheme="minorHAnsi"/>
              </w:rPr>
            </w:pPr>
          </w:p>
        </w:tc>
        <w:tc>
          <w:tcPr>
            <w:tcW w:w="9839" w:type="dxa"/>
          </w:tcPr>
          <w:p w:rsidR="00966A48" w:rsidRPr="00D849C0" w:rsidP="00216F4B">
            <w:pPr>
              <w:jc w:val="both"/>
              <w:rPr>
                <w:rFonts w:asciiTheme="minorHAnsi" w:hAnsiTheme="minorHAnsi" w:cstheme="minorHAnsi"/>
              </w:rPr>
            </w:pPr>
            <w:r>
              <w:rPr>
                <w:rFonts w:asciiTheme="minorHAnsi" w:hAnsiTheme="minorHAnsi" w:cstheme="minorHAnsi"/>
              </w:rPr>
              <w:t xml:space="preserve">Whilst harmonisation of interest payable and repayable ensures a fairer and more coherent regime, we are concerned at the exceptions which will apply to VAT repayment interest. For example, interest will not be paid for periods </w:t>
            </w:r>
            <w:r>
              <w:rPr>
                <w:rFonts w:asciiTheme="minorHAnsi" w:hAnsiTheme="minorHAnsi" w:cstheme="minorHAnsi"/>
              </w:rPr>
              <w:t>during which HMRC are</w:t>
            </w:r>
            <w:r>
              <w:rPr>
                <w:rFonts w:asciiTheme="minorHAnsi" w:hAnsiTheme="minorHAnsi" w:cstheme="minorHAnsi"/>
              </w:rPr>
              <w:t xml:space="preserve"> undert</w:t>
            </w:r>
            <w:r>
              <w:rPr>
                <w:rFonts w:asciiTheme="minorHAnsi" w:hAnsiTheme="minorHAnsi" w:cstheme="minorHAnsi"/>
              </w:rPr>
              <w:t xml:space="preserve">aking </w:t>
            </w:r>
            <w:r>
              <w:rPr>
                <w:rFonts w:asciiTheme="minorHAnsi" w:hAnsiTheme="minorHAnsi" w:cstheme="minorHAnsi"/>
              </w:rPr>
              <w:t xml:space="preserve">‘reasonable’ </w:t>
            </w:r>
            <w:r>
              <w:rPr>
                <w:rFonts w:asciiTheme="minorHAnsi" w:hAnsiTheme="minorHAnsi" w:cstheme="minorHAnsi"/>
              </w:rPr>
              <w:t>inquir</w:t>
            </w:r>
            <w:r>
              <w:rPr>
                <w:rFonts w:asciiTheme="minorHAnsi" w:hAnsiTheme="minorHAnsi" w:cstheme="minorHAnsi"/>
              </w:rPr>
              <w:t>ies</w:t>
            </w:r>
            <w:r>
              <w:rPr>
                <w:rFonts w:asciiTheme="minorHAnsi" w:hAnsiTheme="minorHAnsi" w:cstheme="minorHAnsi"/>
              </w:rPr>
              <w:t xml:space="preserve"> into the VAT return. Whilst we recognise that HMRC may need to undertake inquiries into the validity of VAT returns </w:t>
            </w:r>
            <w:r>
              <w:rPr>
                <w:rFonts w:asciiTheme="minorHAnsi" w:hAnsiTheme="minorHAnsi" w:cstheme="minorHAnsi"/>
              </w:rPr>
              <w:t xml:space="preserve">(particularly those </w:t>
            </w:r>
            <w:r>
              <w:rPr>
                <w:rFonts w:asciiTheme="minorHAnsi" w:hAnsiTheme="minorHAnsi" w:cstheme="minorHAnsi"/>
              </w:rPr>
              <w:t>which claim a repayment</w:t>
            </w:r>
            <w:r>
              <w:rPr>
                <w:rFonts w:asciiTheme="minorHAnsi" w:hAnsiTheme="minorHAnsi" w:cstheme="minorHAnsi"/>
              </w:rPr>
              <w:t>)</w:t>
            </w:r>
            <w:r>
              <w:rPr>
                <w:rFonts w:asciiTheme="minorHAnsi" w:hAnsiTheme="minorHAnsi" w:cstheme="minorHAnsi"/>
              </w:rPr>
              <w:t>, in the intervening period the business is left with an absence of</w:t>
            </w:r>
            <w:r>
              <w:rPr>
                <w:rFonts w:asciiTheme="minorHAnsi" w:hAnsiTheme="minorHAnsi" w:cstheme="minorHAnsi"/>
              </w:rPr>
              <w:t xml:space="preserve"> funds</w:t>
            </w:r>
            <w:r>
              <w:rPr>
                <w:rFonts w:asciiTheme="minorHAnsi" w:hAnsiTheme="minorHAnsi" w:cstheme="minorHAnsi"/>
              </w:rPr>
              <w:t xml:space="preserve"> </w:t>
            </w:r>
            <w:r w:rsidRPr="00714B18">
              <w:rPr>
                <w:rFonts w:asciiTheme="minorHAnsi" w:hAnsiTheme="minorHAnsi" w:cstheme="minorHAnsi"/>
              </w:rPr>
              <w:t>which often form part of a business’s working capital</w:t>
            </w:r>
            <w:r>
              <w:rPr>
                <w:rFonts w:asciiTheme="minorHAnsi" w:hAnsiTheme="minorHAnsi" w:cstheme="minorHAnsi"/>
              </w:rPr>
              <w:t>. Rates of interest on tax repayments will typically be far lower than a business’s own cost of finance, and we would not expect businesses themselves to delay the provision of information to HMRC</w:t>
            </w:r>
            <w:r>
              <w:rPr>
                <w:rFonts w:asciiTheme="minorHAnsi" w:hAnsiTheme="minorHAnsi" w:cstheme="minorHAnsi"/>
              </w:rPr>
              <w:t>.</w:t>
            </w:r>
            <w:r>
              <w:t xml:space="preserve"> </w:t>
            </w:r>
            <w:r>
              <w:t>HMRC will be the initial arbiter of what is considered reasonable, and the measure</w:t>
            </w:r>
            <w:r>
              <w:t xml:space="preserve"> seems to remove any </w:t>
            </w:r>
            <w:r w:rsidRPr="00714B18">
              <w:rPr>
                <w:rFonts w:asciiTheme="minorHAnsi" w:hAnsiTheme="minorHAnsi" w:cstheme="minorHAnsi"/>
              </w:rPr>
              <w:t xml:space="preserve">incentive </w:t>
            </w:r>
            <w:r>
              <w:rPr>
                <w:rFonts w:asciiTheme="minorHAnsi" w:hAnsiTheme="minorHAnsi" w:cstheme="minorHAnsi"/>
              </w:rPr>
              <w:t xml:space="preserve">for </w:t>
            </w:r>
            <w:r w:rsidRPr="00714B18">
              <w:rPr>
                <w:rFonts w:asciiTheme="minorHAnsi" w:hAnsiTheme="minorHAnsi" w:cstheme="minorHAnsi"/>
              </w:rPr>
              <w:t xml:space="preserve">HMRC to </w:t>
            </w:r>
            <w:r w:rsidRPr="00410403">
              <w:rPr>
                <w:rFonts w:asciiTheme="minorHAnsi" w:hAnsiTheme="minorHAnsi" w:cstheme="minorHAnsi"/>
              </w:rPr>
              <w:t xml:space="preserve">undertake inquiries quickly and efficiently </w:t>
            </w:r>
            <w:r>
              <w:rPr>
                <w:rFonts w:asciiTheme="minorHAnsi" w:hAnsiTheme="minorHAnsi" w:cstheme="minorHAnsi"/>
              </w:rPr>
              <w:t xml:space="preserve">and make timeous </w:t>
            </w:r>
            <w:r w:rsidRPr="00714B18">
              <w:rPr>
                <w:rFonts w:asciiTheme="minorHAnsi" w:hAnsiTheme="minorHAnsi" w:cstheme="minorHAnsi"/>
              </w:rPr>
              <w:t xml:space="preserve">VAT repayments. </w:t>
            </w:r>
            <w:r w:rsidRPr="00410403">
              <w:rPr>
                <w:rFonts w:asciiTheme="minorHAnsi" w:hAnsiTheme="minorHAnsi" w:cstheme="minorHAnsi"/>
              </w:rPr>
              <w:t>We do not consider it either fair or coherent that H</w:t>
            </w:r>
            <w:r w:rsidRPr="00410403">
              <w:rPr>
                <w:rFonts w:asciiTheme="minorHAnsi" w:hAnsiTheme="minorHAnsi" w:cstheme="minorHAnsi"/>
              </w:rPr>
              <w:t>MRC can in essence ‘stop the interest clock’ and deny commercial restitution at the expense of the taxpayer.</w:t>
            </w:r>
          </w:p>
        </w:tc>
      </w:tr>
      <w:tr w:rsidTr="00890044">
        <w:tblPrEx>
          <w:tblW w:w="10548" w:type="dxa"/>
          <w:jc w:val="center"/>
          <w:tblLook w:val="0000"/>
        </w:tblPrEx>
        <w:trPr>
          <w:jc w:val="center"/>
        </w:trPr>
        <w:tc>
          <w:tcPr>
            <w:tcW w:w="709" w:type="dxa"/>
          </w:tcPr>
          <w:p w:rsidR="00EF3FCB" w:rsidRPr="00D849C0" w:rsidP="00D849C0">
            <w:pPr>
              <w:numPr>
                <w:ilvl w:val="1"/>
                <w:numId w:val="1"/>
              </w:numPr>
              <w:jc w:val="both"/>
              <w:rPr>
                <w:rFonts w:asciiTheme="minorHAnsi" w:hAnsiTheme="minorHAnsi" w:cstheme="minorHAnsi"/>
              </w:rPr>
            </w:pPr>
          </w:p>
        </w:tc>
        <w:tc>
          <w:tcPr>
            <w:tcW w:w="9839" w:type="dxa"/>
          </w:tcPr>
          <w:p w:rsidR="00483252" w:rsidP="00216F4B">
            <w:pPr>
              <w:jc w:val="both"/>
              <w:rPr>
                <w:rFonts w:asciiTheme="minorHAnsi" w:hAnsiTheme="minorHAnsi" w:cstheme="minorHAnsi"/>
              </w:rPr>
            </w:pPr>
            <w:r>
              <w:rPr>
                <w:rFonts w:asciiTheme="minorHAnsi" w:hAnsiTheme="minorHAnsi" w:cstheme="minorHAnsi"/>
              </w:rPr>
              <w:t xml:space="preserve">These concerns are further reinforced </w:t>
            </w:r>
            <w:r>
              <w:rPr>
                <w:rFonts w:asciiTheme="minorHAnsi" w:hAnsiTheme="minorHAnsi" w:cstheme="minorHAnsi"/>
              </w:rPr>
              <w:t xml:space="preserve">by two additional factors. </w:t>
            </w:r>
          </w:p>
          <w:p w:rsidR="00483252" w:rsidP="00483252">
            <w:pPr>
              <w:pStyle w:val="ListParagraph"/>
              <w:numPr>
                <w:ilvl w:val="0"/>
                <w:numId w:val="9"/>
              </w:numPr>
              <w:jc w:val="both"/>
              <w:rPr>
                <w:rFonts w:asciiTheme="minorHAnsi" w:hAnsiTheme="minorHAnsi" w:cstheme="minorHAnsi"/>
              </w:rPr>
            </w:pPr>
            <w:r w:rsidRPr="00483252">
              <w:rPr>
                <w:rFonts w:asciiTheme="minorHAnsi" w:hAnsiTheme="minorHAnsi" w:cstheme="minorHAnsi"/>
              </w:rPr>
              <w:t>VAT Repayment Supplement</w:t>
            </w:r>
            <w:r>
              <w:rPr>
                <w:rStyle w:val="FootnoteReference"/>
                <w:rFonts w:asciiTheme="minorHAnsi" w:hAnsiTheme="minorHAnsi" w:cstheme="minorHAnsi"/>
              </w:rPr>
              <w:footnoteReference w:id="16"/>
            </w:r>
            <w:r w:rsidRPr="00483252">
              <w:rPr>
                <w:rFonts w:asciiTheme="minorHAnsi" w:hAnsiTheme="minorHAnsi" w:cstheme="minorHAnsi"/>
              </w:rPr>
              <w:t>, which currently acts as a useful ‘stick’ to ensure HMRC make timely repayments of VAT</w:t>
            </w:r>
            <w:r w:rsidRPr="00483252">
              <w:rPr>
                <w:rFonts w:asciiTheme="minorHAnsi" w:hAnsiTheme="minorHAnsi" w:cstheme="minorHAnsi"/>
              </w:rPr>
              <w:t xml:space="preserve">, </w:t>
            </w:r>
            <w:r w:rsidRPr="00483252">
              <w:rPr>
                <w:rFonts w:asciiTheme="minorHAnsi" w:hAnsiTheme="minorHAnsi" w:cstheme="minorHAnsi"/>
              </w:rPr>
              <w:t xml:space="preserve">and is a fair restitution for the taxpayer in the current absence of any interest, </w:t>
            </w:r>
            <w:r w:rsidRPr="00483252">
              <w:rPr>
                <w:rFonts w:asciiTheme="minorHAnsi" w:hAnsiTheme="minorHAnsi" w:cstheme="minorHAnsi"/>
              </w:rPr>
              <w:t xml:space="preserve">is to be withdrawn. </w:t>
            </w:r>
            <w:r>
              <w:rPr>
                <w:rFonts w:asciiTheme="minorHAnsi" w:hAnsiTheme="minorHAnsi" w:cstheme="minorHAnsi"/>
              </w:rPr>
              <w:t xml:space="preserve">We are concerned that this is happening somewhat ‘below the </w:t>
            </w:r>
            <w:r>
              <w:rPr>
                <w:rFonts w:asciiTheme="minorHAnsi" w:hAnsiTheme="minorHAnsi" w:cstheme="minorHAnsi"/>
              </w:rPr>
              <w:t>radar’ as there is no specific reference to its removal in the Finance Bill, its Explanatory Notes, or the Budget day policy paper.</w:t>
            </w:r>
            <w:r>
              <w:rPr>
                <w:rStyle w:val="FootnoteReference"/>
                <w:rFonts w:asciiTheme="minorHAnsi" w:hAnsiTheme="minorHAnsi" w:cstheme="minorHAnsi"/>
              </w:rPr>
              <w:footnoteReference w:id="17"/>
            </w:r>
          </w:p>
          <w:p w:rsidR="00EF3FCB" w:rsidRPr="00483252" w:rsidP="00170510">
            <w:pPr>
              <w:pStyle w:val="ListParagraph"/>
              <w:numPr>
                <w:ilvl w:val="0"/>
                <w:numId w:val="9"/>
              </w:numPr>
              <w:jc w:val="both"/>
              <w:rPr>
                <w:rFonts w:asciiTheme="minorHAnsi" w:hAnsiTheme="minorHAnsi" w:cstheme="minorHAnsi"/>
              </w:rPr>
            </w:pPr>
            <w:r w:rsidRPr="00483252">
              <w:rPr>
                <w:rFonts w:asciiTheme="minorHAnsi" w:hAnsiTheme="minorHAnsi" w:cstheme="minorHAnsi"/>
              </w:rPr>
              <w:t xml:space="preserve">HMRC’s </w:t>
            </w:r>
            <w:r w:rsidRPr="00483252">
              <w:rPr>
                <w:rFonts w:asciiTheme="minorHAnsi" w:hAnsiTheme="minorHAnsi" w:cstheme="minorHAnsi"/>
              </w:rPr>
              <w:t>processing times</w:t>
            </w:r>
            <w:r w:rsidRPr="00483252">
              <w:rPr>
                <w:rFonts w:asciiTheme="minorHAnsi" w:hAnsiTheme="minorHAnsi" w:cstheme="minorHAnsi"/>
              </w:rPr>
              <w:t xml:space="preserve"> are currently so poor</w:t>
            </w:r>
            <w:r w:rsidRPr="00483252">
              <w:rPr>
                <w:rFonts w:asciiTheme="minorHAnsi" w:hAnsiTheme="minorHAnsi" w:cstheme="minorHAnsi"/>
              </w:rPr>
              <w:t xml:space="preserve"> </w:t>
            </w:r>
            <w:r w:rsidRPr="00483252">
              <w:rPr>
                <w:rFonts w:asciiTheme="minorHAnsi" w:hAnsiTheme="minorHAnsi" w:cstheme="minorHAnsi"/>
              </w:rPr>
              <w:t xml:space="preserve">in some service lines that </w:t>
            </w:r>
            <w:r w:rsidRPr="00483252">
              <w:rPr>
                <w:rFonts w:asciiTheme="minorHAnsi" w:hAnsiTheme="minorHAnsi" w:cstheme="minorHAnsi"/>
              </w:rPr>
              <w:t xml:space="preserve">taxpayers </w:t>
            </w:r>
            <w:r w:rsidRPr="00483252">
              <w:rPr>
                <w:rFonts w:asciiTheme="minorHAnsi" w:hAnsiTheme="minorHAnsi" w:cstheme="minorHAnsi"/>
              </w:rPr>
              <w:t xml:space="preserve">are </w:t>
            </w:r>
            <w:r w:rsidRPr="00483252">
              <w:rPr>
                <w:rFonts w:asciiTheme="minorHAnsi" w:hAnsiTheme="minorHAnsi" w:cstheme="minorHAnsi"/>
              </w:rPr>
              <w:t>wait</w:t>
            </w:r>
            <w:r w:rsidRPr="00483252">
              <w:rPr>
                <w:rFonts w:asciiTheme="minorHAnsi" w:hAnsiTheme="minorHAnsi" w:cstheme="minorHAnsi"/>
              </w:rPr>
              <w:t>ing</w:t>
            </w:r>
            <w:r w:rsidRPr="00483252">
              <w:rPr>
                <w:rFonts w:asciiTheme="minorHAnsi" w:hAnsiTheme="minorHAnsi" w:cstheme="minorHAnsi"/>
              </w:rPr>
              <w:t xml:space="preserve"> many months </w:t>
            </w:r>
            <w:r w:rsidRPr="00483252">
              <w:rPr>
                <w:rFonts w:asciiTheme="minorHAnsi" w:hAnsiTheme="minorHAnsi" w:cstheme="minorHAnsi"/>
              </w:rPr>
              <w:t>for their refun</w:t>
            </w:r>
            <w:r w:rsidRPr="00483252">
              <w:rPr>
                <w:rFonts w:asciiTheme="minorHAnsi" w:hAnsiTheme="minorHAnsi" w:cstheme="minorHAnsi"/>
              </w:rPr>
              <w:t>ds</w:t>
            </w:r>
            <w:r w:rsidRPr="00483252">
              <w:rPr>
                <w:rFonts w:asciiTheme="minorHAnsi" w:hAnsiTheme="minorHAnsi" w:cstheme="minorHAnsi"/>
              </w:rPr>
              <w:t>. We are concerned that</w:t>
            </w:r>
            <w:r w:rsidRPr="00483252">
              <w:rPr>
                <w:rFonts w:asciiTheme="minorHAnsi" w:hAnsiTheme="minorHAnsi" w:cstheme="minorHAnsi"/>
              </w:rPr>
              <w:t xml:space="preserve">, in the absence of any </w:t>
            </w:r>
            <w:r>
              <w:rPr>
                <w:rFonts w:asciiTheme="minorHAnsi" w:hAnsiTheme="minorHAnsi" w:cstheme="minorHAnsi"/>
              </w:rPr>
              <w:t xml:space="preserve">substantive </w:t>
            </w:r>
            <w:r w:rsidRPr="00483252">
              <w:rPr>
                <w:rFonts w:asciiTheme="minorHAnsi" w:hAnsiTheme="minorHAnsi" w:cstheme="minorHAnsi"/>
              </w:rPr>
              <w:t>incentive to process them timeously,</w:t>
            </w:r>
            <w:r w:rsidRPr="00483252">
              <w:rPr>
                <w:rFonts w:asciiTheme="minorHAnsi" w:hAnsiTheme="minorHAnsi" w:cstheme="minorHAnsi"/>
              </w:rPr>
              <w:t xml:space="preserve"> these delays will extend to VAT</w:t>
            </w:r>
            <w:r w:rsidRPr="00483252">
              <w:rPr>
                <w:rFonts w:asciiTheme="minorHAnsi" w:hAnsiTheme="minorHAnsi" w:cstheme="minorHAnsi"/>
              </w:rPr>
              <w:t xml:space="preserve"> refunds</w:t>
            </w:r>
            <w:r w:rsidRPr="00483252">
              <w:rPr>
                <w:rFonts w:asciiTheme="minorHAnsi" w:hAnsiTheme="minorHAnsi" w:cstheme="minorHAnsi"/>
              </w:rPr>
              <w:t>.</w:t>
            </w:r>
          </w:p>
        </w:tc>
      </w:tr>
      <w:tr w:rsidTr="00890044">
        <w:tblPrEx>
          <w:tblW w:w="10548" w:type="dxa"/>
          <w:jc w:val="center"/>
          <w:tblLook w:val="0000"/>
        </w:tblPrEx>
        <w:trPr>
          <w:jc w:val="center"/>
        </w:trPr>
        <w:tc>
          <w:tcPr>
            <w:tcW w:w="709" w:type="dxa"/>
          </w:tcPr>
          <w:p w:rsidR="006C68C8" w:rsidRPr="004D6356" w:rsidP="00D849C0">
            <w:pPr>
              <w:numPr>
                <w:ilvl w:val="1"/>
                <w:numId w:val="1"/>
              </w:numPr>
              <w:jc w:val="both"/>
              <w:rPr>
                <w:rFonts w:asciiTheme="minorHAnsi" w:hAnsiTheme="minorHAnsi" w:cstheme="minorHAnsi"/>
                <w:u w:val="single"/>
              </w:rPr>
            </w:pPr>
          </w:p>
        </w:tc>
        <w:tc>
          <w:tcPr>
            <w:tcW w:w="9839" w:type="dxa"/>
          </w:tcPr>
          <w:p w:rsidR="006C68C8" w:rsidRPr="004D6356" w:rsidP="00D849C0">
            <w:pPr>
              <w:jc w:val="both"/>
              <w:rPr>
                <w:rFonts w:asciiTheme="minorHAnsi" w:hAnsiTheme="minorHAnsi" w:cstheme="minorHAnsi"/>
                <w:u w:val="single"/>
              </w:rPr>
            </w:pPr>
            <w:r w:rsidRPr="004D6356">
              <w:rPr>
                <w:rFonts w:asciiTheme="minorHAnsi" w:hAnsiTheme="minorHAnsi" w:cstheme="minorHAnsi"/>
                <w:u w:val="single"/>
              </w:rPr>
              <w:t>Tackling promoters of tax avoidance [2.99]</w:t>
            </w:r>
          </w:p>
        </w:tc>
      </w:tr>
      <w:tr w:rsidTr="00890044">
        <w:tblPrEx>
          <w:tblW w:w="10548" w:type="dxa"/>
          <w:jc w:val="center"/>
          <w:tblLook w:val="0000"/>
        </w:tblPrEx>
        <w:trPr>
          <w:jc w:val="center"/>
        </w:trPr>
        <w:tc>
          <w:tcPr>
            <w:tcW w:w="709" w:type="dxa"/>
          </w:tcPr>
          <w:p w:rsidR="006C68C8" w:rsidRPr="00D849C0" w:rsidP="00D849C0">
            <w:pPr>
              <w:numPr>
                <w:ilvl w:val="1"/>
                <w:numId w:val="1"/>
              </w:numPr>
              <w:jc w:val="both"/>
              <w:rPr>
                <w:rFonts w:asciiTheme="minorHAnsi" w:hAnsiTheme="minorHAnsi" w:cstheme="minorHAnsi"/>
              </w:rPr>
            </w:pPr>
          </w:p>
        </w:tc>
        <w:tc>
          <w:tcPr>
            <w:tcW w:w="9839" w:type="dxa"/>
          </w:tcPr>
          <w:p w:rsidR="006C68C8" w:rsidRPr="00D849C0" w:rsidP="002644AA">
            <w:pPr>
              <w:jc w:val="both"/>
              <w:rPr>
                <w:rFonts w:asciiTheme="minorHAnsi" w:hAnsiTheme="minorHAnsi" w:cstheme="minorHAnsi"/>
              </w:rPr>
            </w:pPr>
            <w:r>
              <w:rPr>
                <w:rFonts w:asciiTheme="minorHAnsi" w:hAnsiTheme="minorHAnsi" w:cstheme="minorHAnsi"/>
              </w:rPr>
              <w:t>The government is right to be taking a robust approach to uncooperativ</w:t>
            </w:r>
            <w:r>
              <w:rPr>
                <w:rFonts w:asciiTheme="minorHAnsi" w:hAnsiTheme="minorHAnsi" w:cstheme="minorHAnsi"/>
              </w:rPr>
              <w:t xml:space="preserve">e and unscrupulous promoters who continue to devise, promote or sell tax avoidance schemes - </w:t>
            </w:r>
            <w:r w:rsidRPr="00024D46">
              <w:rPr>
                <w:rFonts w:asciiTheme="minorHAnsi" w:hAnsiTheme="minorHAnsi" w:cstheme="minorHAnsi"/>
              </w:rPr>
              <w:t>most of which do not work</w:t>
            </w:r>
            <w:r>
              <w:rPr>
                <w:rFonts w:asciiTheme="minorHAnsi" w:hAnsiTheme="minorHAnsi" w:cstheme="minorHAnsi"/>
              </w:rPr>
              <w:t>. There should be no place for such people and their schemes in the tax market.</w:t>
            </w:r>
            <w:r w:rsidRPr="002644AA">
              <w:rPr>
                <w:rFonts w:asciiTheme="minorHAnsi" w:hAnsiTheme="minorHAnsi" w:cstheme="minorHAnsi"/>
              </w:rPr>
              <w:t xml:space="preserve"> HMRC openly acknowledge that only around 20 to 30 promoter</w:t>
            </w:r>
            <w:r w:rsidRPr="002644AA">
              <w:rPr>
                <w:rFonts w:asciiTheme="minorHAnsi" w:hAnsiTheme="minorHAnsi" w:cstheme="minorHAnsi"/>
              </w:rPr>
              <w:t>s are currently in operation</w:t>
            </w:r>
            <w:r>
              <w:rPr>
                <w:rFonts w:asciiTheme="minorHAnsi" w:hAnsiTheme="minorHAnsi" w:cstheme="minorHAnsi"/>
              </w:rPr>
              <w:t xml:space="preserve">. </w:t>
            </w:r>
          </w:p>
        </w:tc>
      </w:tr>
      <w:tr w:rsidTr="00890044">
        <w:tblPrEx>
          <w:tblW w:w="10548" w:type="dxa"/>
          <w:jc w:val="center"/>
          <w:tblLook w:val="0000"/>
        </w:tblPrEx>
        <w:trPr>
          <w:jc w:val="center"/>
        </w:trPr>
        <w:tc>
          <w:tcPr>
            <w:tcW w:w="709" w:type="dxa"/>
          </w:tcPr>
          <w:p w:rsidR="006C68C8" w:rsidRPr="00D849C0" w:rsidP="00D849C0">
            <w:pPr>
              <w:numPr>
                <w:ilvl w:val="1"/>
                <w:numId w:val="1"/>
              </w:numPr>
              <w:jc w:val="both"/>
              <w:rPr>
                <w:rFonts w:asciiTheme="minorHAnsi" w:hAnsiTheme="minorHAnsi" w:cstheme="minorHAnsi"/>
              </w:rPr>
            </w:pPr>
          </w:p>
        </w:tc>
        <w:tc>
          <w:tcPr>
            <w:tcW w:w="9839" w:type="dxa"/>
          </w:tcPr>
          <w:p w:rsidR="006C68C8" w:rsidRPr="00D849C0" w:rsidP="00170510">
            <w:pPr>
              <w:jc w:val="both"/>
              <w:rPr>
                <w:rFonts w:asciiTheme="minorHAnsi" w:hAnsiTheme="minorHAnsi" w:cstheme="minorHAnsi"/>
              </w:rPr>
            </w:pPr>
            <w:r>
              <w:rPr>
                <w:rFonts w:asciiTheme="minorHAnsi" w:hAnsiTheme="minorHAnsi" w:cstheme="minorHAnsi"/>
              </w:rPr>
              <w:t xml:space="preserve">We note that a further consultation ‘clamping down on promoters of tax avoidance’ was launched on </w:t>
            </w:r>
            <w:r>
              <w:rPr>
                <w:rFonts w:asciiTheme="minorHAnsi" w:hAnsiTheme="minorHAnsi" w:cstheme="minorHAnsi"/>
              </w:rPr>
              <w:t>‘</w:t>
            </w:r>
            <w:r>
              <w:rPr>
                <w:rFonts w:asciiTheme="minorHAnsi" w:hAnsiTheme="minorHAnsi" w:cstheme="minorHAnsi"/>
              </w:rPr>
              <w:t>tax consultation day</w:t>
            </w:r>
            <w:r>
              <w:rPr>
                <w:rFonts w:asciiTheme="minorHAnsi" w:hAnsiTheme="minorHAnsi" w:cstheme="minorHAnsi"/>
              </w:rPr>
              <w:t>’</w:t>
            </w:r>
            <w:r>
              <w:rPr>
                <w:rFonts w:asciiTheme="minorHAnsi" w:hAnsiTheme="minorHAnsi" w:cstheme="minorHAnsi"/>
              </w:rPr>
              <w:t xml:space="preserve">, </w:t>
            </w:r>
            <w:r>
              <w:rPr>
                <w:rFonts w:asciiTheme="minorHAnsi" w:hAnsiTheme="minorHAnsi" w:cstheme="minorHAnsi"/>
              </w:rPr>
              <w:t>as well as changes</w:t>
            </w:r>
            <w:r>
              <w:rPr>
                <w:rFonts w:asciiTheme="minorHAnsi" w:hAnsiTheme="minorHAnsi" w:cstheme="minorHAnsi"/>
              </w:rPr>
              <w:t xml:space="preserve"> </w:t>
            </w:r>
            <w:r>
              <w:rPr>
                <w:rFonts w:asciiTheme="minorHAnsi" w:hAnsiTheme="minorHAnsi" w:cstheme="minorHAnsi"/>
              </w:rPr>
              <w:t>to existing penalties and HMRC powers being i</w:t>
            </w:r>
            <w:r>
              <w:rPr>
                <w:rFonts w:asciiTheme="minorHAnsi" w:hAnsiTheme="minorHAnsi" w:cstheme="minorHAnsi"/>
              </w:rPr>
              <w:t>ncluded in the Finance Bill.</w:t>
            </w:r>
            <w:r>
              <w:rPr>
                <w:rFonts w:asciiTheme="minorHAnsi" w:hAnsiTheme="minorHAnsi" w:cstheme="minorHAnsi"/>
              </w:rPr>
              <w:t xml:space="preserve"> </w:t>
            </w:r>
          </w:p>
        </w:tc>
      </w:tr>
      <w:tr w:rsidTr="00890044">
        <w:tblPrEx>
          <w:tblW w:w="10548" w:type="dxa"/>
          <w:jc w:val="center"/>
          <w:tblLook w:val="0000"/>
        </w:tblPrEx>
        <w:trPr>
          <w:jc w:val="center"/>
        </w:trPr>
        <w:tc>
          <w:tcPr>
            <w:tcW w:w="709" w:type="dxa"/>
          </w:tcPr>
          <w:p w:rsidR="0086356D" w:rsidRPr="00D849C0" w:rsidP="00D849C0">
            <w:pPr>
              <w:numPr>
                <w:ilvl w:val="1"/>
                <w:numId w:val="1"/>
              </w:numPr>
              <w:jc w:val="both"/>
              <w:rPr>
                <w:rFonts w:asciiTheme="minorHAnsi" w:hAnsiTheme="minorHAnsi" w:cstheme="minorHAnsi"/>
              </w:rPr>
            </w:pPr>
          </w:p>
        </w:tc>
        <w:tc>
          <w:tcPr>
            <w:tcW w:w="9839" w:type="dxa"/>
          </w:tcPr>
          <w:p w:rsidR="00DA5137" w:rsidP="0061200F">
            <w:pPr>
              <w:jc w:val="both"/>
              <w:rPr>
                <w:rFonts w:asciiTheme="minorHAnsi" w:hAnsiTheme="minorHAnsi" w:cstheme="minorHAnsi"/>
              </w:rPr>
            </w:pPr>
            <w:r w:rsidRPr="0086356D">
              <w:rPr>
                <w:rFonts w:asciiTheme="minorHAnsi" w:hAnsiTheme="minorHAnsi" w:cstheme="minorHAnsi"/>
              </w:rPr>
              <w:t xml:space="preserve">We </w:t>
            </w:r>
            <w:r w:rsidRPr="0086356D">
              <w:rPr>
                <w:rFonts w:asciiTheme="minorHAnsi" w:hAnsiTheme="minorHAnsi" w:cstheme="minorHAnsi"/>
              </w:rPr>
              <w:t>are pleased that HMRC recognise that today’s promoters are rarely members of professional bodies, and in the light of this we have limited comments</w:t>
            </w:r>
            <w:r>
              <w:rPr>
                <w:rFonts w:asciiTheme="minorHAnsi" w:hAnsiTheme="minorHAnsi" w:cstheme="minorHAnsi"/>
              </w:rPr>
              <w:t xml:space="preserve">. </w:t>
            </w:r>
            <w:r w:rsidRPr="0086356D">
              <w:rPr>
                <w:rFonts w:asciiTheme="minorHAnsi" w:hAnsiTheme="minorHAnsi" w:cstheme="minorHAnsi"/>
              </w:rPr>
              <w:t>We do wonder how successful legislative measures are in tackling the ‘hard core’ promoters who clearly do n</w:t>
            </w:r>
            <w:r w:rsidRPr="0086356D">
              <w:rPr>
                <w:rFonts w:asciiTheme="minorHAnsi" w:hAnsiTheme="minorHAnsi" w:cstheme="minorHAnsi"/>
              </w:rPr>
              <w:t xml:space="preserve">ot play by the rules. </w:t>
            </w:r>
            <w:r>
              <w:rPr>
                <w:rFonts w:asciiTheme="minorHAnsi" w:hAnsiTheme="minorHAnsi" w:cstheme="minorHAnsi"/>
              </w:rPr>
              <w:t xml:space="preserve">Indeed this seemingly endless chasing down of a small number of promoters is adding significant complexity to the tax system. Even though </w:t>
            </w:r>
            <w:r>
              <w:rPr>
                <w:rFonts w:asciiTheme="minorHAnsi" w:hAnsiTheme="minorHAnsi" w:cstheme="minorHAnsi"/>
              </w:rPr>
              <w:t>reputable</w:t>
            </w:r>
            <w:r w:rsidRPr="0086356D">
              <w:rPr>
                <w:rFonts w:asciiTheme="minorHAnsi" w:hAnsiTheme="minorHAnsi" w:cstheme="minorHAnsi"/>
              </w:rPr>
              <w:t xml:space="preserve"> advisers are not </w:t>
            </w:r>
            <w:r>
              <w:rPr>
                <w:rFonts w:asciiTheme="minorHAnsi" w:hAnsiTheme="minorHAnsi" w:cstheme="minorHAnsi"/>
              </w:rPr>
              <w:t xml:space="preserve">in the scope of these changes, they </w:t>
            </w:r>
            <w:r>
              <w:rPr>
                <w:rFonts w:asciiTheme="minorHAnsi" w:hAnsiTheme="minorHAnsi" w:cstheme="minorHAnsi"/>
              </w:rPr>
              <w:t xml:space="preserve">still </w:t>
            </w:r>
            <w:r>
              <w:rPr>
                <w:rFonts w:asciiTheme="minorHAnsi" w:hAnsiTheme="minorHAnsi" w:cstheme="minorHAnsi"/>
              </w:rPr>
              <w:t>need to ensure that they ar</w:t>
            </w:r>
            <w:r>
              <w:rPr>
                <w:rFonts w:asciiTheme="minorHAnsi" w:hAnsiTheme="minorHAnsi" w:cstheme="minorHAnsi"/>
              </w:rPr>
              <w:t xml:space="preserve">e not </w:t>
            </w:r>
            <w:r w:rsidRPr="0086356D">
              <w:rPr>
                <w:rFonts w:asciiTheme="minorHAnsi" w:hAnsiTheme="minorHAnsi" w:cstheme="minorHAnsi"/>
              </w:rPr>
              <w:t>inadvertently impacted by the new rules.</w:t>
            </w:r>
            <w:r>
              <w:rPr>
                <w:rFonts w:asciiTheme="minorHAnsi" w:hAnsiTheme="minorHAnsi" w:cstheme="minorHAnsi"/>
              </w:rPr>
              <w:t xml:space="preserve"> </w:t>
            </w:r>
          </w:p>
        </w:tc>
      </w:tr>
      <w:tr w:rsidTr="00890044">
        <w:tblPrEx>
          <w:tblW w:w="10548" w:type="dxa"/>
          <w:jc w:val="center"/>
          <w:tblLook w:val="0000"/>
        </w:tblPrEx>
        <w:trPr>
          <w:jc w:val="center"/>
        </w:trPr>
        <w:tc>
          <w:tcPr>
            <w:tcW w:w="709" w:type="dxa"/>
          </w:tcPr>
          <w:p w:rsidR="0061200F" w:rsidRPr="00D849C0" w:rsidP="00D849C0">
            <w:pPr>
              <w:numPr>
                <w:ilvl w:val="1"/>
                <w:numId w:val="1"/>
              </w:numPr>
              <w:jc w:val="both"/>
              <w:rPr>
                <w:rFonts w:asciiTheme="minorHAnsi" w:hAnsiTheme="minorHAnsi" w:cstheme="minorHAnsi"/>
              </w:rPr>
            </w:pPr>
          </w:p>
        </w:tc>
        <w:tc>
          <w:tcPr>
            <w:tcW w:w="9839" w:type="dxa"/>
          </w:tcPr>
          <w:p w:rsidR="0061200F" w:rsidRPr="0086356D" w:rsidP="00087B81">
            <w:pPr>
              <w:jc w:val="both"/>
              <w:rPr>
                <w:rFonts w:asciiTheme="minorHAnsi" w:hAnsiTheme="minorHAnsi" w:cstheme="minorHAnsi"/>
              </w:rPr>
            </w:pPr>
            <w:r>
              <w:rPr>
                <w:rFonts w:asciiTheme="minorHAnsi" w:hAnsiTheme="minorHAnsi" w:cstheme="minorHAnsi"/>
              </w:rPr>
              <w:t xml:space="preserve">Our LITRG has done a great deal of work </w:t>
            </w:r>
            <w:r>
              <w:rPr>
                <w:rFonts w:asciiTheme="minorHAnsi" w:hAnsiTheme="minorHAnsi" w:cstheme="minorHAnsi"/>
              </w:rPr>
              <w:t>helping</w:t>
            </w:r>
            <w:r>
              <w:rPr>
                <w:rFonts w:asciiTheme="minorHAnsi" w:hAnsiTheme="minorHAnsi" w:cstheme="minorHAnsi"/>
              </w:rPr>
              <w:t xml:space="preserve"> low income workers understand issues relating to the loan charge and in understanding disguised remuneration schemes for low income workers. None of these mea</w:t>
            </w:r>
            <w:r>
              <w:rPr>
                <w:rFonts w:asciiTheme="minorHAnsi" w:hAnsiTheme="minorHAnsi" w:cstheme="minorHAnsi"/>
              </w:rPr>
              <w:t xml:space="preserve">sures around tackling promoters of tax avoidance are particularly controversial from that point of view, but they are bolted onto a regime that was designed to tackle traditional tax avoidance. </w:t>
            </w:r>
          </w:p>
        </w:tc>
      </w:tr>
      <w:tr w:rsidTr="00890044">
        <w:tblPrEx>
          <w:tblW w:w="10548" w:type="dxa"/>
          <w:jc w:val="center"/>
          <w:tblLook w:val="0000"/>
        </w:tblPrEx>
        <w:trPr>
          <w:jc w:val="center"/>
        </w:trPr>
        <w:tc>
          <w:tcPr>
            <w:tcW w:w="709" w:type="dxa"/>
          </w:tcPr>
          <w:p w:rsidR="0061200F" w:rsidRPr="00D849C0" w:rsidP="00D849C0">
            <w:pPr>
              <w:numPr>
                <w:ilvl w:val="1"/>
                <w:numId w:val="1"/>
              </w:numPr>
              <w:jc w:val="both"/>
              <w:rPr>
                <w:rFonts w:asciiTheme="minorHAnsi" w:hAnsiTheme="minorHAnsi" w:cstheme="minorHAnsi"/>
              </w:rPr>
            </w:pPr>
          </w:p>
        </w:tc>
        <w:tc>
          <w:tcPr>
            <w:tcW w:w="9839" w:type="dxa"/>
          </w:tcPr>
          <w:p w:rsidR="0061200F" w:rsidRPr="0086356D" w:rsidP="0044190A">
            <w:pPr>
              <w:jc w:val="both"/>
              <w:rPr>
                <w:rFonts w:asciiTheme="minorHAnsi" w:hAnsiTheme="minorHAnsi" w:cstheme="minorHAnsi"/>
              </w:rPr>
            </w:pPr>
            <w:r w:rsidRPr="0061200F">
              <w:rPr>
                <w:rFonts w:asciiTheme="minorHAnsi" w:hAnsiTheme="minorHAnsi" w:cstheme="minorHAnsi"/>
              </w:rPr>
              <w:t>The ‘disguised remuneration’ arrangements that LITRG see to</w:t>
            </w:r>
            <w:r w:rsidRPr="0061200F">
              <w:rPr>
                <w:rFonts w:asciiTheme="minorHAnsi" w:hAnsiTheme="minorHAnsi" w:cstheme="minorHAnsi"/>
              </w:rPr>
              <w:t>day are no longer always, or mainly, an issue of traditional tax avoidance but often more about exploitation of the economics of supply chains and the nature and scale of the temporary worker labour market. As such, these clauses alone are unlikely to be e</w:t>
            </w:r>
            <w:r w:rsidRPr="0061200F">
              <w:rPr>
                <w:rFonts w:asciiTheme="minorHAnsi" w:hAnsiTheme="minorHAnsi" w:cstheme="minorHAnsi"/>
              </w:rPr>
              <w:t>ffective – what is before us is a different, more complex problem</w:t>
            </w:r>
            <w:r>
              <w:rPr>
                <w:rFonts w:asciiTheme="minorHAnsi" w:hAnsiTheme="minorHAnsi" w:cstheme="minorHAnsi"/>
              </w:rPr>
              <w:t>. HMRC are making headway through other activities</w:t>
            </w:r>
            <w:r>
              <w:rPr>
                <w:rStyle w:val="FootnoteReference"/>
                <w:rFonts w:asciiTheme="minorHAnsi" w:hAnsiTheme="minorHAnsi" w:cstheme="minorHAnsi"/>
              </w:rPr>
              <w:footnoteReference w:id="18"/>
            </w:r>
            <w:r w:rsidRPr="0061200F">
              <w:rPr>
                <w:rFonts w:asciiTheme="minorHAnsi" w:hAnsiTheme="minorHAnsi" w:cstheme="minorHAnsi"/>
              </w:rPr>
              <w:t xml:space="preserve"> </w:t>
            </w:r>
            <w:r>
              <w:rPr>
                <w:rFonts w:asciiTheme="minorHAnsi" w:hAnsiTheme="minorHAnsi" w:cstheme="minorHAnsi"/>
              </w:rPr>
              <w:t xml:space="preserve">but we would encourage other measures such as </w:t>
            </w:r>
            <w:r w:rsidRPr="0044190A">
              <w:rPr>
                <w:rFonts w:asciiTheme="minorHAnsi" w:hAnsiTheme="minorHAnsi" w:cstheme="minorHAnsi"/>
              </w:rPr>
              <w:t>dealing with the issue of generic Tax Counsels’ opinions supporting</w:t>
            </w:r>
            <w:r>
              <w:rPr>
                <w:rFonts w:asciiTheme="minorHAnsi" w:hAnsiTheme="minorHAnsi" w:cstheme="minorHAnsi"/>
              </w:rPr>
              <w:t xml:space="preserve"> packaged tax avoidance schemes</w:t>
            </w:r>
            <w:r>
              <w:rPr>
                <w:rFonts w:asciiTheme="minorHAnsi" w:hAnsiTheme="minorHAnsi" w:cstheme="minorHAnsi"/>
              </w:rPr>
              <w:t>,</w:t>
            </w:r>
            <w:r>
              <w:rPr>
                <w:rFonts w:asciiTheme="minorHAnsi" w:hAnsiTheme="minorHAnsi" w:cstheme="minorHAnsi"/>
              </w:rPr>
              <w:t xml:space="preserve"> and better </w:t>
            </w:r>
            <w:r w:rsidRPr="0044190A">
              <w:rPr>
                <w:rFonts w:asciiTheme="minorHAnsi" w:hAnsiTheme="minorHAnsi" w:cstheme="minorHAnsi"/>
              </w:rPr>
              <w:t>communications around the risks of avoidance and the types of scheme being promoted, using non-tax-technical</w:t>
            </w:r>
            <w:r>
              <w:rPr>
                <w:rFonts w:asciiTheme="minorHAnsi" w:hAnsiTheme="minorHAnsi" w:cstheme="minorHAnsi"/>
              </w:rPr>
              <w:t xml:space="preserve"> language</w:t>
            </w:r>
            <w:r w:rsidRPr="0061200F">
              <w:rPr>
                <w:rFonts w:asciiTheme="minorHAnsi" w:hAnsiTheme="minorHAnsi" w:cstheme="minorHAnsi"/>
              </w:rPr>
              <w:t>.</w:t>
            </w:r>
          </w:p>
        </w:tc>
      </w:tr>
      <w:tr w:rsidTr="00890044">
        <w:tblPrEx>
          <w:tblW w:w="10548" w:type="dxa"/>
          <w:jc w:val="center"/>
          <w:tblLook w:val="0000"/>
        </w:tblPrEx>
        <w:trPr>
          <w:jc w:val="center"/>
        </w:trPr>
        <w:tc>
          <w:tcPr>
            <w:tcW w:w="709" w:type="dxa"/>
          </w:tcPr>
          <w:p w:rsidR="006C68C8" w:rsidRPr="004D6356" w:rsidP="00D849C0">
            <w:pPr>
              <w:numPr>
                <w:ilvl w:val="1"/>
                <w:numId w:val="1"/>
              </w:numPr>
              <w:jc w:val="both"/>
              <w:rPr>
                <w:rFonts w:asciiTheme="minorHAnsi" w:hAnsiTheme="minorHAnsi" w:cstheme="minorHAnsi"/>
                <w:u w:val="single"/>
              </w:rPr>
            </w:pPr>
          </w:p>
        </w:tc>
        <w:tc>
          <w:tcPr>
            <w:tcW w:w="9839" w:type="dxa"/>
          </w:tcPr>
          <w:p w:rsidR="006C68C8" w:rsidRPr="004D6356" w:rsidP="00D849C0">
            <w:pPr>
              <w:jc w:val="both"/>
              <w:rPr>
                <w:rFonts w:asciiTheme="minorHAnsi" w:hAnsiTheme="minorHAnsi" w:cstheme="minorHAnsi"/>
                <w:u w:val="single"/>
              </w:rPr>
            </w:pPr>
            <w:r w:rsidRPr="004D6356">
              <w:rPr>
                <w:rFonts w:asciiTheme="minorHAnsi" w:hAnsiTheme="minorHAnsi" w:cstheme="minorHAnsi"/>
                <w:u w:val="single"/>
              </w:rPr>
              <w:t>Follower Notice penalties [2.100]</w:t>
            </w:r>
          </w:p>
        </w:tc>
      </w:tr>
      <w:tr w:rsidTr="00890044">
        <w:tblPrEx>
          <w:tblW w:w="10548" w:type="dxa"/>
          <w:jc w:val="center"/>
          <w:tblLook w:val="0000"/>
        </w:tblPrEx>
        <w:trPr>
          <w:jc w:val="center"/>
        </w:trPr>
        <w:tc>
          <w:tcPr>
            <w:tcW w:w="709" w:type="dxa"/>
          </w:tcPr>
          <w:p w:rsidR="00ED7F7F" w:rsidRPr="00D849C0" w:rsidP="00D849C0">
            <w:pPr>
              <w:numPr>
                <w:ilvl w:val="1"/>
                <w:numId w:val="1"/>
              </w:numPr>
              <w:jc w:val="both"/>
              <w:rPr>
                <w:rFonts w:asciiTheme="minorHAnsi" w:hAnsiTheme="minorHAnsi" w:cstheme="minorHAnsi"/>
              </w:rPr>
            </w:pPr>
          </w:p>
        </w:tc>
        <w:tc>
          <w:tcPr>
            <w:tcW w:w="9839" w:type="dxa"/>
          </w:tcPr>
          <w:p w:rsidR="00ED7F7F" w:rsidRPr="00D849C0" w:rsidP="007708AE">
            <w:pPr>
              <w:jc w:val="both"/>
              <w:rPr>
                <w:rFonts w:asciiTheme="minorHAnsi" w:hAnsiTheme="minorHAnsi" w:cstheme="minorHAnsi"/>
              </w:rPr>
            </w:pPr>
            <w:r w:rsidRPr="004008A5">
              <w:rPr>
                <w:rFonts w:asciiTheme="minorHAnsi" w:hAnsiTheme="minorHAnsi" w:cstheme="minorHAnsi"/>
              </w:rPr>
              <w:t>The penalties that may be charged to a person receiving a Follower Notice (FN) as a result of using a tax avoidance scheme are being reduced from 50% to 30% of the tax under dispute. A further penalty of 20% will be charged if the Tax Tribunal decides that</w:t>
            </w:r>
            <w:r w:rsidRPr="004008A5">
              <w:rPr>
                <w:rFonts w:asciiTheme="minorHAnsi" w:hAnsiTheme="minorHAnsi" w:cstheme="minorHAnsi"/>
              </w:rPr>
              <w:t xml:space="preserve"> the recipient’s continued litigation against HMRC is unreasonable. </w:t>
            </w:r>
          </w:p>
        </w:tc>
      </w:tr>
      <w:tr w:rsidTr="00890044">
        <w:tblPrEx>
          <w:tblW w:w="10548" w:type="dxa"/>
          <w:jc w:val="center"/>
          <w:tblLook w:val="0000"/>
        </w:tblPrEx>
        <w:trPr>
          <w:jc w:val="center"/>
        </w:trPr>
        <w:tc>
          <w:tcPr>
            <w:tcW w:w="709" w:type="dxa"/>
          </w:tcPr>
          <w:p w:rsidR="00ED7F7F" w:rsidRPr="00D849C0" w:rsidP="00D849C0">
            <w:pPr>
              <w:numPr>
                <w:ilvl w:val="1"/>
                <w:numId w:val="1"/>
              </w:numPr>
              <w:jc w:val="both"/>
              <w:rPr>
                <w:rFonts w:asciiTheme="minorHAnsi" w:hAnsiTheme="minorHAnsi" w:cstheme="minorHAnsi"/>
              </w:rPr>
            </w:pPr>
          </w:p>
        </w:tc>
        <w:tc>
          <w:tcPr>
            <w:tcW w:w="9839" w:type="dxa"/>
          </w:tcPr>
          <w:p w:rsidR="00ED7F7F" w:rsidRPr="00D849C0" w:rsidP="00267BCE">
            <w:pPr>
              <w:jc w:val="both"/>
              <w:rPr>
                <w:rFonts w:asciiTheme="minorHAnsi" w:hAnsiTheme="minorHAnsi" w:cstheme="minorHAnsi"/>
              </w:rPr>
            </w:pPr>
            <w:r w:rsidRPr="007708AE">
              <w:rPr>
                <w:rFonts w:asciiTheme="minorHAnsi" w:hAnsiTheme="minorHAnsi" w:cstheme="minorHAnsi"/>
              </w:rPr>
              <w:t xml:space="preserve">In general we agree with the proposals. The high level of the current FN penalty (50%) can act as a disincentive for a taxpayer to continue with their appeal even if they consider that </w:t>
            </w:r>
            <w:r w:rsidRPr="007708AE">
              <w:rPr>
                <w:rFonts w:asciiTheme="minorHAnsi" w:hAnsiTheme="minorHAnsi" w:cstheme="minorHAnsi"/>
              </w:rPr>
              <w:t xml:space="preserve">their case has a strong chance of success. </w:t>
            </w:r>
            <w:r>
              <w:rPr>
                <w:rFonts w:asciiTheme="minorHAnsi" w:hAnsiTheme="minorHAnsi" w:cstheme="minorHAnsi"/>
              </w:rPr>
              <w:t>To this extent the measure increases the fairness (or rather, reduces the unfairness) of the existing regime. H</w:t>
            </w:r>
            <w:r w:rsidRPr="007708AE">
              <w:rPr>
                <w:rFonts w:asciiTheme="minorHAnsi" w:hAnsiTheme="minorHAnsi" w:cstheme="minorHAnsi"/>
              </w:rPr>
              <w:t xml:space="preserve">owever, we would anticipate that this disincentive will remain even at a penalty level </w:t>
            </w:r>
            <w:r w:rsidRPr="007708AE">
              <w:rPr>
                <w:rFonts w:asciiTheme="minorHAnsi" w:hAnsiTheme="minorHAnsi" w:cstheme="minorHAnsi"/>
              </w:rPr>
              <w:t>of 30%. In othe</w:t>
            </w:r>
            <w:r w:rsidRPr="007708AE">
              <w:rPr>
                <w:rFonts w:asciiTheme="minorHAnsi" w:hAnsiTheme="minorHAnsi" w:cstheme="minorHAnsi"/>
              </w:rPr>
              <w:t>r words, it does not overcome the fundamental problem with the FN penalty regime</w:t>
            </w:r>
            <w:r>
              <w:rPr>
                <w:rFonts w:asciiTheme="minorHAnsi" w:hAnsiTheme="minorHAnsi" w:cstheme="minorHAnsi"/>
              </w:rPr>
              <w:t xml:space="preserve"> -</w:t>
            </w:r>
            <w:r w:rsidRPr="007708AE">
              <w:rPr>
                <w:rFonts w:asciiTheme="minorHAnsi" w:hAnsiTheme="minorHAnsi" w:cstheme="minorHAnsi"/>
              </w:rPr>
              <w:t xml:space="preserve"> which is that it puts pressure on a taxpayer not to exercise their legal rights.</w:t>
            </w:r>
          </w:p>
        </w:tc>
      </w:tr>
      <w:tr w:rsidTr="00890044">
        <w:tblPrEx>
          <w:tblW w:w="10548" w:type="dxa"/>
          <w:jc w:val="center"/>
          <w:tblLook w:val="0000"/>
        </w:tblPrEx>
        <w:trPr>
          <w:jc w:val="center"/>
        </w:trPr>
        <w:tc>
          <w:tcPr>
            <w:tcW w:w="709" w:type="dxa"/>
          </w:tcPr>
          <w:p w:rsidR="00ED7F7F" w:rsidRPr="004D6356" w:rsidP="00D849C0">
            <w:pPr>
              <w:numPr>
                <w:ilvl w:val="1"/>
                <w:numId w:val="1"/>
              </w:numPr>
              <w:jc w:val="both"/>
              <w:rPr>
                <w:rFonts w:asciiTheme="minorHAnsi" w:hAnsiTheme="minorHAnsi" w:cstheme="minorHAnsi"/>
                <w:u w:val="single"/>
              </w:rPr>
            </w:pPr>
          </w:p>
        </w:tc>
        <w:tc>
          <w:tcPr>
            <w:tcW w:w="9839" w:type="dxa"/>
          </w:tcPr>
          <w:p w:rsidR="00ED7F7F" w:rsidRPr="004D6356" w:rsidP="00D849C0">
            <w:pPr>
              <w:jc w:val="both"/>
              <w:rPr>
                <w:rFonts w:asciiTheme="minorHAnsi" w:hAnsiTheme="minorHAnsi" w:cstheme="minorHAnsi"/>
                <w:u w:val="single"/>
              </w:rPr>
            </w:pPr>
            <w:r w:rsidRPr="004D6356">
              <w:rPr>
                <w:rFonts w:asciiTheme="minorHAnsi" w:hAnsiTheme="minorHAnsi" w:cstheme="minorHAnsi"/>
                <w:u w:val="single"/>
              </w:rPr>
              <w:t>Tax Conditionality: Licensing in Scotland and Northern Ireland [2.101]</w:t>
            </w:r>
          </w:p>
        </w:tc>
      </w:tr>
      <w:tr w:rsidTr="00890044">
        <w:tblPrEx>
          <w:tblW w:w="10548" w:type="dxa"/>
          <w:jc w:val="center"/>
          <w:tblLook w:val="0000"/>
        </w:tblPrEx>
        <w:trPr>
          <w:jc w:val="center"/>
        </w:trPr>
        <w:tc>
          <w:tcPr>
            <w:tcW w:w="709" w:type="dxa"/>
          </w:tcPr>
          <w:p w:rsidR="00BA5F4B" w:rsidRPr="00D849C0" w:rsidP="00D849C0">
            <w:pPr>
              <w:numPr>
                <w:ilvl w:val="1"/>
                <w:numId w:val="1"/>
              </w:numPr>
              <w:jc w:val="both"/>
              <w:rPr>
                <w:rFonts w:asciiTheme="minorHAnsi" w:hAnsiTheme="minorHAnsi" w:cstheme="minorHAnsi"/>
              </w:rPr>
            </w:pPr>
          </w:p>
        </w:tc>
        <w:tc>
          <w:tcPr>
            <w:tcW w:w="9839" w:type="dxa"/>
          </w:tcPr>
          <w:p w:rsidR="00BA5F4B" w:rsidP="006E0AB0">
            <w:pPr>
              <w:jc w:val="both"/>
              <w:rPr>
                <w:rFonts w:asciiTheme="minorHAnsi" w:hAnsiTheme="minorHAnsi" w:cstheme="minorHAnsi"/>
              </w:rPr>
            </w:pPr>
            <w:r>
              <w:rPr>
                <w:rFonts w:asciiTheme="minorHAnsi" w:hAnsiTheme="minorHAnsi" w:cstheme="minorHAnsi"/>
              </w:rPr>
              <w:t xml:space="preserve">We welcome steps </w:t>
            </w:r>
            <w:r>
              <w:rPr>
                <w:rFonts w:asciiTheme="minorHAnsi" w:hAnsiTheme="minorHAnsi" w:cstheme="minorHAnsi"/>
              </w:rPr>
              <w:t>being taken by the government to reduce the illegal behaviour element of the tax gap. These have historically been the most ‘stubborn’ elements to tackle, and the hidden economy tax gap has remained broadly constant for a number of years, so innovative mea</w:t>
            </w:r>
            <w:r>
              <w:rPr>
                <w:rFonts w:asciiTheme="minorHAnsi" w:hAnsiTheme="minorHAnsi" w:cstheme="minorHAnsi"/>
              </w:rPr>
              <w:t xml:space="preserve">sures are necessary if that is to be reduced. </w:t>
            </w:r>
          </w:p>
        </w:tc>
      </w:tr>
      <w:tr w:rsidTr="00890044">
        <w:tblPrEx>
          <w:tblW w:w="10548" w:type="dxa"/>
          <w:jc w:val="center"/>
          <w:tblLook w:val="0000"/>
        </w:tblPrEx>
        <w:trPr>
          <w:jc w:val="center"/>
        </w:trPr>
        <w:tc>
          <w:tcPr>
            <w:tcW w:w="709" w:type="dxa"/>
          </w:tcPr>
          <w:p w:rsidR="00ED7F7F" w:rsidRPr="00D849C0" w:rsidP="00D849C0">
            <w:pPr>
              <w:numPr>
                <w:ilvl w:val="1"/>
                <w:numId w:val="1"/>
              </w:numPr>
              <w:jc w:val="both"/>
              <w:rPr>
                <w:rFonts w:asciiTheme="minorHAnsi" w:hAnsiTheme="minorHAnsi" w:cstheme="minorHAnsi"/>
              </w:rPr>
            </w:pPr>
          </w:p>
        </w:tc>
        <w:tc>
          <w:tcPr>
            <w:tcW w:w="9839" w:type="dxa"/>
          </w:tcPr>
          <w:p w:rsidR="00ED7F7F" w:rsidRPr="00D849C0" w:rsidP="00D849C0">
            <w:pPr>
              <w:jc w:val="both"/>
              <w:rPr>
                <w:rFonts w:asciiTheme="minorHAnsi" w:hAnsiTheme="minorHAnsi" w:cstheme="minorHAnsi"/>
              </w:rPr>
            </w:pPr>
            <w:r>
              <w:rPr>
                <w:rFonts w:asciiTheme="minorHAnsi" w:hAnsiTheme="minorHAnsi" w:cstheme="minorHAnsi"/>
              </w:rPr>
              <w:t xml:space="preserve">The extension </w:t>
            </w:r>
            <w:r>
              <w:rPr>
                <w:rFonts w:asciiTheme="minorHAnsi" w:hAnsiTheme="minorHAnsi" w:cstheme="minorHAnsi"/>
              </w:rPr>
              <w:t xml:space="preserve">of tax conditionality </w:t>
            </w:r>
            <w:r>
              <w:rPr>
                <w:rFonts w:asciiTheme="minorHAnsi" w:hAnsiTheme="minorHAnsi" w:cstheme="minorHAnsi"/>
              </w:rPr>
              <w:t xml:space="preserve">to Scotland and Northern Ireland </w:t>
            </w:r>
            <w:r>
              <w:rPr>
                <w:rFonts w:asciiTheme="minorHAnsi" w:hAnsiTheme="minorHAnsi" w:cstheme="minorHAnsi"/>
              </w:rPr>
              <w:t xml:space="preserve">from April 2023 </w:t>
            </w:r>
            <w:r>
              <w:rPr>
                <w:rFonts w:asciiTheme="minorHAnsi" w:hAnsiTheme="minorHAnsi" w:cstheme="minorHAnsi"/>
              </w:rPr>
              <w:t>builds on the existing proposal to implement similar obligations in England and Wales from April 2022.</w:t>
            </w:r>
            <w:r>
              <w:rPr>
                <w:rStyle w:val="FootnoteReference"/>
                <w:rFonts w:asciiTheme="minorHAnsi" w:hAnsiTheme="minorHAnsi" w:cstheme="minorHAnsi"/>
              </w:rPr>
              <w:footnoteReference w:id="19"/>
            </w:r>
          </w:p>
        </w:tc>
      </w:tr>
      <w:tr w:rsidTr="00890044">
        <w:tblPrEx>
          <w:tblW w:w="10548" w:type="dxa"/>
          <w:jc w:val="center"/>
          <w:tblLook w:val="0000"/>
        </w:tblPrEx>
        <w:trPr>
          <w:jc w:val="center"/>
        </w:trPr>
        <w:tc>
          <w:tcPr>
            <w:tcW w:w="709" w:type="dxa"/>
          </w:tcPr>
          <w:p w:rsidR="00ED7F7F" w:rsidRPr="00D849C0" w:rsidP="00D849C0">
            <w:pPr>
              <w:numPr>
                <w:ilvl w:val="1"/>
                <w:numId w:val="1"/>
              </w:numPr>
              <w:jc w:val="both"/>
              <w:rPr>
                <w:rFonts w:asciiTheme="minorHAnsi" w:hAnsiTheme="minorHAnsi" w:cstheme="minorHAnsi"/>
              </w:rPr>
            </w:pPr>
          </w:p>
        </w:tc>
        <w:tc>
          <w:tcPr>
            <w:tcW w:w="9839" w:type="dxa"/>
          </w:tcPr>
          <w:p w:rsidR="00ED7F7F" w:rsidRPr="00D849C0" w:rsidP="00504741">
            <w:pPr>
              <w:jc w:val="both"/>
              <w:rPr>
                <w:rFonts w:asciiTheme="minorHAnsi" w:hAnsiTheme="minorHAnsi" w:cstheme="minorHAnsi"/>
              </w:rPr>
            </w:pPr>
            <w:r>
              <w:rPr>
                <w:rFonts w:asciiTheme="minorHAnsi" w:hAnsiTheme="minorHAnsi" w:cstheme="minorHAnsi"/>
              </w:rPr>
              <w:t xml:space="preserve">Whilst we </w:t>
            </w:r>
            <w:r>
              <w:rPr>
                <w:rFonts w:asciiTheme="minorHAnsi" w:hAnsiTheme="minorHAnsi" w:cstheme="minorHAnsi"/>
              </w:rPr>
              <w:t>are generall</w:t>
            </w:r>
            <w:r>
              <w:rPr>
                <w:rFonts w:asciiTheme="minorHAnsi" w:hAnsiTheme="minorHAnsi" w:cstheme="minorHAnsi"/>
              </w:rPr>
              <w:t>y supportive of the measure, it is important that the system is fully tested and operational before it goes live – it could be devastating for individuals if they are prevented from trading because of a glitch in HMRC or the licensing authority</w:t>
            </w:r>
            <w:r>
              <w:rPr>
                <w:rFonts w:asciiTheme="minorHAnsi" w:hAnsiTheme="minorHAnsi" w:cstheme="minorHAnsi"/>
              </w:rPr>
              <w:t xml:space="preserve">’s systems. In this regard we recommend that the April 2022 and 2023 dates are kept under review, and extended if necessary, if there is a danger that the systems </w:t>
            </w:r>
            <w:r>
              <w:rPr>
                <w:rFonts w:asciiTheme="minorHAnsi" w:hAnsiTheme="minorHAnsi" w:cstheme="minorHAnsi"/>
              </w:rPr>
              <w:t xml:space="preserve">will </w:t>
            </w:r>
            <w:r>
              <w:rPr>
                <w:rFonts w:asciiTheme="minorHAnsi" w:hAnsiTheme="minorHAnsi" w:cstheme="minorHAnsi"/>
              </w:rPr>
              <w:t xml:space="preserve">not </w:t>
            </w:r>
            <w:r>
              <w:rPr>
                <w:rFonts w:asciiTheme="minorHAnsi" w:hAnsiTheme="minorHAnsi" w:cstheme="minorHAnsi"/>
              </w:rPr>
              <w:t xml:space="preserve">be </w:t>
            </w:r>
            <w:r>
              <w:rPr>
                <w:rFonts w:asciiTheme="minorHAnsi" w:hAnsiTheme="minorHAnsi" w:cstheme="minorHAnsi"/>
              </w:rPr>
              <w:t xml:space="preserve">ready. </w:t>
            </w:r>
            <w:r w:rsidRPr="00A651AD">
              <w:rPr>
                <w:rFonts w:asciiTheme="minorHAnsi" w:hAnsiTheme="minorHAnsi" w:cstheme="minorHAnsi"/>
              </w:rPr>
              <w:t>The legislation should also include time limits on HMRC for them to comple</w:t>
            </w:r>
            <w:r w:rsidRPr="00A651AD">
              <w:rPr>
                <w:rFonts w:asciiTheme="minorHAnsi" w:hAnsiTheme="minorHAnsi" w:cstheme="minorHAnsi"/>
              </w:rPr>
              <w:t xml:space="preserve">te their stages in the process – that is, to complete the tax check required of the business once it has received the information from the taxpayer, and to confirm to the licensing authority that a tax check has been completed. </w:t>
            </w:r>
          </w:p>
        </w:tc>
      </w:tr>
      <w:tr w:rsidTr="00890044">
        <w:tblPrEx>
          <w:tblW w:w="10548" w:type="dxa"/>
          <w:jc w:val="center"/>
          <w:tblLook w:val="0000"/>
        </w:tblPrEx>
        <w:trPr>
          <w:jc w:val="center"/>
        </w:trPr>
        <w:tc>
          <w:tcPr>
            <w:tcW w:w="709" w:type="dxa"/>
          </w:tcPr>
          <w:p w:rsidR="00A651AD" w:rsidRPr="00D849C0" w:rsidP="00D849C0">
            <w:pPr>
              <w:numPr>
                <w:ilvl w:val="1"/>
                <w:numId w:val="1"/>
              </w:numPr>
              <w:jc w:val="both"/>
              <w:rPr>
                <w:rFonts w:asciiTheme="minorHAnsi" w:hAnsiTheme="minorHAnsi" w:cstheme="minorHAnsi"/>
              </w:rPr>
            </w:pPr>
          </w:p>
        </w:tc>
        <w:tc>
          <w:tcPr>
            <w:tcW w:w="9839" w:type="dxa"/>
          </w:tcPr>
          <w:p w:rsidR="00A651AD" w:rsidP="00514031">
            <w:pPr>
              <w:jc w:val="both"/>
              <w:rPr>
                <w:rFonts w:asciiTheme="minorHAnsi" w:hAnsiTheme="minorHAnsi" w:cstheme="minorHAnsi"/>
              </w:rPr>
            </w:pPr>
            <w:r w:rsidRPr="00A651AD">
              <w:rPr>
                <w:rFonts w:asciiTheme="minorHAnsi" w:hAnsiTheme="minorHAnsi" w:cstheme="minorHAnsi"/>
              </w:rPr>
              <w:t xml:space="preserve">In addition, whilst this </w:t>
            </w:r>
            <w:r w:rsidRPr="00A651AD">
              <w:rPr>
                <w:rFonts w:asciiTheme="minorHAnsi" w:hAnsiTheme="minorHAnsi" w:cstheme="minorHAnsi"/>
              </w:rPr>
              <w:t>is expected to be ‘a simple online service’ there will need to be adequate provision for the digitally excluded / challenged.</w:t>
            </w:r>
            <w:r>
              <w:t xml:space="preserve"> </w:t>
            </w:r>
            <w:r w:rsidRPr="00A651AD">
              <w:rPr>
                <w:rFonts w:asciiTheme="minorHAnsi" w:hAnsiTheme="minorHAnsi" w:cstheme="minorHAnsi"/>
              </w:rPr>
              <w:t>At present, the Finance Bill includes no obligation on HMRC to cater for this group.</w:t>
            </w:r>
          </w:p>
        </w:tc>
      </w:tr>
      <w:tr w:rsidTr="00890044">
        <w:tblPrEx>
          <w:tblW w:w="10548" w:type="dxa"/>
          <w:jc w:val="center"/>
          <w:tblLook w:val="0000"/>
        </w:tblPrEx>
        <w:trPr>
          <w:jc w:val="center"/>
        </w:trPr>
        <w:tc>
          <w:tcPr>
            <w:tcW w:w="709" w:type="dxa"/>
          </w:tcPr>
          <w:p w:rsidR="00ED7F7F" w:rsidRPr="00D849C0" w:rsidP="00D849C0">
            <w:pPr>
              <w:numPr>
                <w:ilvl w:val="1"/>
                <w:numId w:val="1"/>
              </w:numPr>
              <w:jc w:val="both"/>
              <w:rPr>
                <w:rFonts w:asciiTheme="minorHAnsi" w:hAnsiTheme="minorHAnsi" w:cstheme="minorHAnsi"/>
              </w:rPr>
            </w:pPr>
          </w:p>
        </w:tc>
        <w:tc>
          <w:tcPr>
            <w:tcW w:w="9839" w:type="dxa"/>
          </w:tcPr>
          <w:p w:rsidR="00ED7F7F" w:rsidP="00A651AD">
            <w:pPr>
              <w:jc w:val="both"/>
              <w:rPr>
                <w:rFonts w:asciiTheme="minorHAnsi" w:hAnsiTheme="minorHAnsi" w:cstheme="minorHAnsi"/>
              </w:rPr>
            </w:pPr>
            <w:r>
              <w:rPr>
                <w:rFonts w:asciiTheme="minorHAnsi" w:hAnsiTheme="minorHAnsi" w:cstheme="minorHAnsi"/>
              </w:rPr>
              <w:t>We are also concerned that</w:t>
            </w:r>
            <w:r w:rsidRPr="00514031">
              <w:rPr>
                <w:rFonts w:asciiTheme="minorHAnsi" w:hAnsiTheme="minorHAnsi" w:cstheme="minorHAnsi"/>
              </w:rPr>
              <w:t xml:space="preserve"> </w:t>
            </w:r>
            <w:r>
              <w:rPr>
                <w:rFonts w:asciiTheme="minorHAnsi" w:hAnsiTheme="minorHAnsi" w:cstheme="minorHAnsi"/>
              </w:rPr>
              <w:t>this could promp</w:t>
            </w:r>
            <w:r>
              <w:rPr>
                <w:rFonts w:asciiTheme="minorHAnsi" w:hAnsiTheme="minorHAnsi" w:cstheme="minorHAnsi"/>
              </w:rPr>
              <w:t xml:space="preserve">t a behavioural response </w:t>
            </w:r>
            <w:r w:rsidRPr="00514031">
              <w:rPr>
                <w:rFonts w:asciiTheme="minorHAnsi" w:hAnsiTheme="minorHAnsi" w:cstheme="minorHAnsi"/>
              </w:rPr>
              <w:t xml:space="preserve">of driving businesses even further into the hidden economy by operating on an unlicensed basis. This measure should be accompanied by education of the public about the importance of using licensed businesses in the first place, as </w:t>
            </w:r>
            <w:r w:rsidRPr="00514031">
              <w:rPr>
                <w:rFonts w:asciiTheme="minorHAnsi" w:hAnsiTheme="minorHAnsi" w:cstheme="minorHAnsi"/>
              </w:rPr>
              <w:t>well as ensuring that licensing bodies step up their enforcement activities.</w:t>
            </w:r>
          </w:p>
          <w:p w:rsidR="00F37D3C" w:rsidRPr="00D849C0" w:rsidP="00A651AD">
            <w:pPr>
              <w:jc w:val="both"/>
              <w:rPr>
                <w:rFonts w:asciiTheme="minorHAnsi" w:hAnsiTheme="minorHAnsi" w:cstheme="minorHAnsi"/>
              </w:rPr>
            </w:pPr>
          </w:p>
        </w:tc>
      </w:tr>
      <w:tr w:rsidTr="00890044">
        <w:tblPrEx>
          <w:tblW w:w="10548" w:type="dxa"/>
          <w:jc w:val="center"/>
          <w:tblLook w:val="0000"/>
        </w:tblPrEx>
        <w:trPr>
          <w:jc w:val="center"/>
        </w:trPr>
        <w:tc>
          <w:tcPr>
            <w:tcW w:w="709" w:type="dxa"/>
          </w:tcPr>
          <w:p w:rsidR="0081225F" w:rsidRPr="0081225F" w:rsidP="0081225F">
            <w:pPr>
              <w:numPr>
                <w:ilvl w:val="0"/>
                <w:numId w:val="1"/>
              </w:numPr>
              <w:jc w:val="both"/>
              <w:rPr>
                <w:rFonts w:asciiTheme="minorHAnsi" w:hAnsiTheme="minorHAnsi" w:cstheme="minorHAnsi"/>
                <w:b/>
              </w:rPr>
            </w:pPr>
          </w:p>
        </w:tc>
        <w:tc>
          <w:tcPr>
            <w:tcW w:w="9839" w:type="dxa"/>
          </w:tcPr>
          <w:p w:rsidR="0081225F" w:rsidRPr="0081225F" w:rsidP="00514031">
            <w:pPr>
              <w:jc w:val="both"/>
              <w:rPr>
                <w:rFonts w:asciiTheme="minorHAnsi" w:hAnsiTheme="minorHAnsi" w:cstheme="minorHAnsi"/>
                <w:b/>
              </w:rPr>
            </w:pPr>
            <w:r w:rsidRPr="0081225F">
              <w:rPr>
                <w:rFonts w:asciiTheme="minorHAnsi" w:hAnsiTheme="minorHAnsi" w:cstheme="minorHAnsi"/>
                <w:b/>
              </w:rPr>
              <w:t>Freeports</w:t>
            </w:r>
            <w:r>
              <w:rPr>
                <w:rFonts w:asciiTheme="minorHAnsi" w:hAnsiTheme="minorHAnsi" w:cstheme="minorHAnsi"/>
                <w:b/>
              </w:rPr>
              <w:t xml:space="preserve"> [2.113 to 2.115]</w:t>
            </w:r>
          </w:p>
        </w:tc>
      </w:tr>
      <w:tr w:rsidTr="00890044">
        <w:tblPrEx>
          <w:tblW w:w="10548" w:type="dxa"/>
          <w:jc w:val="center"/>
          <w:tblLook w:val="0000"/>
        </w:tblPrEx>
        <w:trPr>
          <w:jc w:val="center"/>
        </w:trPr>
        <w:tc>
          <w:tcPr>
            <w:tcW w:w="709" w:type="dxa"/>
          </w:tcPr>
          <w:p w:rsidR="0081225F" w:rsidRPr="00D849C0" w:rsidP="00D849C0">
            <w:pPr>
              <w:numPr>
                <w:ilvl w:val="1"/>
                <w:numId w:val="1"/>
              </w:numPr>
              <w:jc w:val="both"/>
              <w:rPr>
                <w:rFonts w:asciiTheme="minorHAnsi" w:hAnsiTheme="minorHAnsi" w:cstheme="minorHAnsi"/>
              </w:rPr>
            </w:pPr>
          </w:p>
        </w:tc>
        <w:tc>
          <w:tcPr>
            <w:tcW w:w="9839" w:type="dxa"/>
          </w:tcPr>
          <w:p w:rsidR="0081225F" w:rsidP="00504741">
            <w:pPr>
              <w:jc w:val="both"/>
              <w:rPr>
                <w:rFonts w:asciiTheme="minorHAnsi" w:hAnsiTheme="minorHAnsi" w:cstheme="minorHAnsi"/>
              </w:rPr>
            </w:pPr>
            <w:r>
              <w:rPr>
                <w:rFonts w:asciiTheme="minorHAnsi" w:hAnsiTheme="minorHAnsi" w:cstheme="minorHAnsi"/>
              </w:rPr>
              <w:t xml:space="preserve">We have limited our comments to some of the practicalities of the tax incentives to be offered within the allocated freeports; although </w:t>
            </w:r>
            <w:r>
              <w:rPr>
                <w:rFonts w:asciiTheme="minorHAnsi" w:hAnsiTheme="minorHAnsi" w:cstheme="minorHAnsi"/>
              </w:rPr>
              <w:t xml:space="preserve">like the impact of the SDLT holiday </w:t>
            </w:r>
            <w:r>
              <w:rPr>
                <w:rFonts w:asciiTheme="minorHAnsi" w:hAnsiTheme="minorHAnsi" w:cstheme="minorHAnsi"/>
              </w:rPr>
              <w:t xml:space="preserve">we are </w:t>
            </w:r>
            <w:r>
              <w:rPr>
                <w:rFonts w:asciiTheme="minorHAnsi" w:hAnsiTheme="minorHAnsi" w:cstheme="minorHAnsi"/>
              </w:rPr>
              <w:t xml:space="preserve">concerned about the impact on </w:t>
            </w:r>
            <w:r w:rsidRPr="005D4FFA">
              <w:rPr>
                <w:rFonts w:asciiTheme="minorHAnsi" w:hAnsiTheme="minorHAnsi" w:cstheme="minorHAnsi"/>
              </w:rPr>
              <w:t xml:space="preserve">prices in the </w:t>
            </w:r>
            <w:r>
              <w:rPr>
                <w:rFonts w:asciiTheme="minorHAnsi" w:hAnsiTheme="minorHAnsi" w:cstheme="minorHAnsi"/>
              </w:rPr>
              <w:t>areas</w:t>
            </w:r>
            <w:r w:rsidRPr="005D4FFA">
              <w:rPr>
                <w:rFonts w:asciiTheme="minorHAnsi" w:hAnsiTheme="minorHAnsi" w:cstheme="minorHAnsi"/>
              </w:rPr>
              <w:t xml:space="preserve"> concerned</w:t>
            </w:r>
            <w:r>
              <w:rPr>
                <w:rFonts w:asciiTheme="minorHAnsi" w:hAnsiTheme="minorHAnsi" w:cstheme="minorHAnsi"/>
              </w:rPr>
              <w:t xml:space="preserve">, </w:t>
            </w:r>
            <w:r>
              <w:rPr>
                <w:rFonts w:asciiTheme="minorHAnsi" w:hAnsiTheme="minorHAnsi" w:cstheme="minorHAnsi"/>
              </w:rPr>
              <w:t xml:space="preserve">as well as </w:t>
            </w:r>
            <w:r w:rsidRPr="005D4FFA">
              <w:rPr>
                <w:rFonts w:asciiTheme="minorHAnsi" w:hAnsiTheme="minorHAnsi" w:cstheme="minorHAnsi"/>
              </w:rPr>
              <w:t>diver</w:t>
            </w:r>
            <w:r w:rsidRPr="005D4FFA">
              <w:rPr>
                <w:rFonts w:asciiTheme="minorHAnsi" w:hAnsiTheme="minorHAnsi" w:cstheme="minorHAnsi"/>
              </w:rPr>
              <w:t>t</w:t>
            </w:r>
            <w:r>
              <w:rPr>
                <w:rFonts w:asciiTheme="minorHAnsi" w:hAnsiTheme="minorHAnsi" w:cstheme="minorHAnsi"/>
              </w:rPr>
              <w:t>ing</w:t>
            </w:r>
            <w:r w:rsidRPr="005D4FFA">
              <w:rPr>
                <w:rFonts w:asciiTheme="minorHAnsi" w:hAnsiTheme="minorHAnsi" w:cstheme="minorHAnsi"/>
              </w:rPr>
              <w:t xml:space="preserve"> activity </w:t>
            </w:r>
            <w:r>
              <w:rPr>
                <w:rFonts w:asciiTheme="minorHAnsi" w:hAnsiTheme="minorHAnsi" w:cstheme="minorHAnsi"/>
              </w:rPr>
              <w:t xml:space="preserve">away </w:t>
            </w:r>
            <w:r w:rsidRPr="005D4FFA">
              <w:rPr>
                <w:rFonts w:asciiTheme="minorHAnsi" w:hAnsiTheme="minorHAnsi" w:cstheme="minorHAnsi"/>
              </w:rPr>
              <w:t>from other fully taxpaying areas</w:t>
            </w:r>
            <w:r>
              <w:rPr>
                <w:rFonts w:asciiTheme="minorHAnsi" w:hAnsiTheme="minorHAnsi" w:cstheme="minorHAnsi"/>
              </w:rPr>
              <w:t>. We encourage the government to publish its evidence that freeports will deliver the intended benefits</w:t>
            </w:r>
            <w:r>
              <w:rPr>
                <w:rFonts w:asciiTheme="minorHAnsi" w:hAnsiTheme="minorHAnsi" w:cstheme="minorHAnsi"/>
              </w:rPr>
              <w:t xml:space="preserve">. </w:t>
            </w:r>
          </w:p>
        </w:tc>
      </w:tr>
      <w:tr w:rsidTr="00890044">
        <w:tblPrEx>
          <w:tblW w:w="10548" w:type="dxa"/>
          <w:jc w:val="center"/>
          <w:tblLook w:val="0000"/>
        </w:tblPrEx>
        <w:trPr>
          <w:jc w:val="center"/>
        </w:trPr>
        <w:tc>
          <w:tcPr>
            <w:tcW w:w="709" w:type="dxa"/>
          </w:tcPr>
          <w:p w:rsidR="0081225F" w:rsidRPr="00D849C0" w:rsidP="00D849C0">
            <w:pPr>
              <w:numPr>
                <w:ilvl w:val="1"/>
                <w:numId w:val="1"/>
              </w:numPr>
              <w:jc w:val="both"/>
              <w:rPr>
                <w:rFonts w:asciiTheme="minorHAnsi" w:hAnsiTheme="minorHAnsi" w:cstheme="minorHAnsi"/>
              </w:rPr>
            </w:pPr>
          </w:p>
        </w:tc>
        <w:tc>
          <w:tcPr>
            <w:tcW w:w="9839" w:type="dxa"/>
          </w:tcPr>
          <w:p w:rsidR="0081225F" w:rsidRPr="00C773A8" w:rsidP="00514031">
            <w:pPr>
              <w:jc w:val="both"/>
              <w:rPr>
                <w:rFonts w:asciiTheme="minorHAnsi" w:hAnsiTheme="minorHAnsi" w:cstheme="minorHAnsi"/>
                <w:u w:val="single"/>
              </w:rPr>
            </w:pPr>
            <w:r w:rsidRPr="00C773A8">
              <w:rPr>
                <w:rFonts w:asciiTheme="minorHAnsi" w:hAnsiTheme="minorHAnsi" w:cstheme="minorHAnsi"/>
                <w:u w:val="single"/>
              </w:rPr>
              <w:t>SDLT</w:t>
            </w:r>
          </w:p>
        </w:tc>
      </w:tr>
      <w:tr w:rsidTr="00890044">
        <w:tblPrEx>
          <w:tblW w:w="10548" w:type="dxa"/>
          <w:jc w:val="center"/>
          <w:tblLook w:val="0000"/>
        </w:tblPrEx>
        <w:trPr>
          <w:jc w:val="center"/>
        </w:trPr>
        <w:tc>
          <w:tcPr>
            <w:tcW w:w="709" w:type="dxa"/>
          </w:tcPr>
          <w:p w:rsidR="0081225F" w:rsidRPr="00D849C0" w:rsidP="00D849C0">
            <w:pPr>
              <w:numPr>
                <w:ilvl w:val="1"/>
                <w:numId w:val="1"/>
              </w:numPr>
              <w:jc w:val="both"/>
              <w:rPr>
                <w:rFonts w:asciiTheme="minorHAnsi" w:hAnsiTheme="minorHAnsi" w:cstheme="minorHAnsi"/>
              </w:rPr>
            </w:pPr>
          </w:p>
        </w:tc>
        <w:tc>
          <w:tcPr>
            <w:tcW w:w="9839" w:type="dxa"/>
          </w:tcPr>
          <w:p w:rsidR="0081225F" w:rsidP="00514031">
            <w:pPr>
              <w:jc w:val="both"/>
              <w:rPr>
                <w:rFonts w:asciiTheme="minorHAnsi" w:hAnsiTheme="minorHAnsi" w:cstheme="minorHAnsi"/>
              </w:rPr>
            </w:pPr>
            <w:r w:rsidRPr="00C773A8">
              <w:rPr>
                <w:rFonts w:asciiTheme="minorHAnsi" w:hAnsiTheme="minorHAnsi" w:cstheme="minorHAnsi"/>
              </w:rPr>
              <w:t xml:space="preserve">Clause 111 </w:t>
            </w:r>
            <w:r>
              <w:rPr>
                <w:rFonts w:asciiTheme="minorHAnsi" w:hAnsiTheme="minorHAnsi" w:cstheme="minorHAnsi"/>
              </w:rPr>
              <w:t xml:space="preserve">of the Finance Bill </w:t>
            </w:r>
            <w:r w:rsidRPr="00C773A8">
              <w:rPr>
                <w:rFonts w:asciiTheme="minorHAnsi" w:hAnsiTheme="minorHAnsi" w:cstheme="minorHAnsi"/>
              </w:rPr>
              <w:t>provides for a new relief from SDLT for acquisitions of lan</w:t>
            </w:r>
            <w:r w:rsidRPr="00C773A8">
              <w:rPr>
                <w:rFonts w:asciiTheme="minorHAnsi" w:hAnsiTheme="minorHAnsi" w:cstheme="minorHAnsi"/>
              </w:rPr>
              <w:t>d and buildings in freeport tax sites</w:t>
            </w:r>
            <w:r>
              <w:rPr>
                <w:rFonts w:asciiTheme="minorHAnsi" w:hAnsiTheme="minorHAnsi" w:cstheme="minorHAnsi"/>
              </w:rPr>
              <w:t>.</w:t>
            </w:r>
          </w:p>
        </w:tc>
      </w:tr>
      <w:tr w:rsidTr="00890044">
        <w:tblPrEx>
          <w:tblW w:w="10548" w:type="dxa"/>
          <w:jc w:val="center"/>
          <w:tblLook w:val="0000"/>
        </w:tblPrEx>
        <w:trPr>
          <w:jc w:val="center"/>
        </w:trPr>
        <w:tc>
          <w:tcPr>
            <w:tcW w:w="709" w:type="dxa"/>
          </w:tcPr>
          <w:p w:rsidR="0081225F" w:rsidRPr="00D849C0" w:rsidP="00D849C0">
            <w:pPr>
              <w:numPr>
                <w:ilvl w:val="1"/>
                <w:numId w:val="1"/>
              </w:numPr>
              <w:jc w:val="both"/>
              <w:rPr>
                <w:rFonts w:asciiTheme="minorHAnsi" w:hAnsiTheme="minorHAnsi" w:cstheme="minorHAnsi"/>
              </w:rPr>
            </w:pPr>
          </w:p>
        </w:tc>
        <w:tc>
          <w:tcPr>
            <w:tcW w:w="9839" w:type="dxa"/>
          </w:tcPr>
          <w:p w:rsidR="0081225F" w:rsidP="00C773A8">
            <w:pPr>
              <w:jc w:val="both"/>
              <w:rPr>
                <w:rFonts w:asciiTheme="minorHAnsi" w:hAnsiTheme="minorHAnsi" w:cstheme="minorHAnsi"/>
              </w:rPr>
            </w:pPr>
            <w:r>
              <w:rPr>
                <w:rFonts w:asciiTheme="minorHAnsi" w:hAnsiTheme="minorHAnsi" w:cstheme="minorHAnsi"/>
              </w:rPr>
              <w:t>There are a number of areas of uncertainty, which will require clarification, such as:</w:t>
            </w:r>
          </w:p>
          <w:p w:rsidR="00C773A8" w:rsidP="0071121D">
            <w:pPr>
              <w:pStyle w:val="ListParagraph"/>
              <w:numPr>
                <w:ilvl w:val="0"/>
                <w:numId w:val="10"/>
              </w:numPr>
              <w:jc w:val="both"/>
              <w:rPr>
                <w:rFonts w:asciiTheme="minorHAnsi" w:hAnsiTheme="minorHAnsi" w:cstheme="minorHAnsi"/>
              </w:rPr>
            </w:pPr>
            <w:r>
              <w:rPr>
                <w:rFonts w:asciiTheme="minorHAnsi" w:hAnsiTheme="minorHAnsi" w:cstheme="minorHAnsi"/>
              </w:rPr>
              <w:t>How will the area of freeports be designated</w:t>
            </w:r>
            <w:r>
              <w:rPr>
                <w:rFonts w:asciiTheme="minorHAnsi" w:hAnsiTheme="minorHAnsi" w:cstheme="minorHAnsi"/>
              </w:rPr>
              <w:t xml:space="preserve">? It will be necessary to ensure that </w:t>
            </w:r>
            <w:r w:rsidRPr="0071121D">
              <w:rPr>
                <w:rFonts w:asciiTheme="minorHAnsi" w:hAnsiTheme="minorHAnsi" w:cstheme="minorHAnsi"/>
              </w:rPr>
              <w:t xml:space="preserve">particular buildings or plots </w:t>
            </w:r>
            <w:r>
              <w:rPr>
                <w:rFonts w:asciiTheme="minorHAnsi" w:hAnsiTheme="minorHAnsi" w:cstheme="minorHAnsi"/>
              </w:rPr>
              <w:t>can</w:t>
            </w:r>
            <w:r w:rsidRPr="0071121D">
              <w:rPr>
                <w:rFonts w:asciiTheme="minorHAnsi" w:hAnsiTheme="minorHAnsi" w:cstheme="minorHAnsi"/>
              </w:rPr>
              <w:t xml:space="preserve"> be identified as either in or out of the boundary of the tax site</w:t>
            </w:r>
            <w:r>
              <w:rPr>
                <w:rFonts w:asciiTheme="minorHAnsi" w:hAnsiTheme="minorHAnsi" w:cstheme="minorHAnsi"/>
              </w:rPr>
              <w:t>.</w:t>
            </w:r>
          </w:p>
          <w:p w:rsidR="0071121D" w:rsidP="0071121D">
            <w:pPr>
              <w:pStyle w:val="ListParagraph"/>
              <w:numPr>
                <w:ilvl w:val="0"/>
                <w:numId w:val="10"/>
              </w:numPr>
              <w:jc w:val="both"/>
              <w:rPr>
                <w:rFonts w:asciiTheme="minorHAnsi" w:hAnsiTheme="minorHAnsi" w:cstheme="minorHAnsi"/>
              </w:rPr>
            </w:pPr>
            <w:r>
              <w:rPr>
                <w:rFonts w:asciiTheme="minorHAnsi" w:hAnsiTheme="minorHAnsi" w:cstheme="minorHAnsi"/>
              </w:rPr>
              <w:t xml:space="preserve">The treatment of joint ventures which might typically involve </w:t>
            </w:r>
            <w:r w:rsidRPr="0071121D">
              <w:rPr>
                <w:rFonts w:asciiTheme="minorHAnsi" w:hAnsiTheme="minorHAnsi" w:cstheme="minorHAnsi"/>
              </w:rPr>
              <w:t>one partner</w:t>
            </w:r>
            <w:r>
              <w:rPr>
                <w:rFonts w:asciiTheme="minorHAnsi" w:hAnsiTheme="minorHAnsi" w:cstheme="minorHAnsi"/>
              </w:rPr>
              <w:t xml:space="preserve"> developing </w:t>
            </w:r>
            <w:r w:rsidRPr="0071121D">
              <w:rPr>
                <w:rFonts w:asciiTheme="minorHAnsi" w:hAnsiTheme="minorHAnsi" w:cstheme="minorHAnsi"/>
              </w:rPr>
              <w:t>commercial areas (qualifying)</w:t>
            </w:r>
            <w:r>
              <w:rPr>
                <w:rFonts w:asciiTheme="minorHAnsi" w:hAnsiTheme="minorHAnsi" w:cstheme="minorHAnsi"/>
              </w:rPr>
              <w:t xml:space="preserve"> </w:t>
            </w:r>
            <w:r w:rsidRPr="0071121D">
              <w:rPr>
                <w:rFonts w:asciiTheme="minorHAnsi" w:hAnsiTheme="minorHAnsi" w:cstheme="minorHAnsi"/>
              </w:rPr>
              <w:t>and one developing residential areas (non-qualifying)</w:t>
            </w:r>
            <w:r>
              <w:rPr>
                <w:rFonts w:asciiTheme="minorHAnsi" w:hAnsiTheme="minorHAnsi" w:cstheme="minorHAnsi"/>
              </w:rPr>
              <w:t>.</w:t>
            </w:r>
          </w:p>
          <w:p w:rsidR="0071121D" w:rsidP="0071121D">
            <w:pPr>
              <w:pStyle w:val="ListParagraph"/>
              <w:numPr>
                <w:ilvl w:val="0"/>
                <w:numId w:val="10"/>
              </w:numPr>
              <w:jc w:val="both"/>
              <w:rPr>
                <w:rFonts w:asciiTheme="minorHAnsi" w:hAnsiTheme="minorHAnsi" w:cstheme="minorHAnsi"/>
              </w:rPr>
            </w:pPr>
            <w:r>
              <w:rPr>
                <w:rFonts w:asciiTheme="minorHAnsi" w:hAnsiTheme="minorHAnsi" w:cstheme="minorHAnsi"/>
              </w:rPr>
              <w:t>Withdrawal of relief for subsequent non-qualifying activity.</w:t>
            </w:r>
          </w:p>
          <w:p w:rsidR="0071121D" w:rsidRPr="00C773A8" w:rsidP="0071121D">
            <w:pPr>
              <w:pStyle w:val="ListParagraph"/>
              <w:numPr>
                <w:ilvl w:val="0"/>
                <w:numId w:val="10"/>
              </w:numPr>
              <w:jc w:val="both"/>
              <w:rPr>
                <w:rFonts w:asciiTheme="minorHAnsi" w:hAnsiTheme="minorHAnsi" w:cstheme="minorHAnsi"/>
              </w:rPr>
            </w:pPr>
            <w:r>
              <w:rPr>
                <w:rFonts w:asciiTheme="minorHAnsi" w:hAnsiTheme="minorHAnsi" w:cstheme="minorHAnsi"/>
              </w:rPr>
              <w:t xml:space="preserve">Whether relief is available </w:t>
            </w:r>
            <w:r w:rsidRPr="0071121D">
              <w:rPr>
                <w:rFonts w:asciiTheme="minorHAnsi" w:hAnsiTheme="minorHAnsi" w:cstheme="minorHAnsi"/>
              </w:rPr>
              <w:t>where the land and buildings are acquired using Shari'a-compliant financing arrangements</w:t>
            </w:r>
            <w:r>
              <w:rPr>
                <w:rFonts w:asciiTheme="minorHAnsi" w:hAnsiTheme="minorHAnsi" w:cstheme="minorHAnsi"/>
              </w:rPr>
              <w:t>.</w:t>
            </w:r>
          </w:p>
        </w:tc>
      </w:tr>
      <w:tr w:rsidTr="00890044">
        <w:tblPrEx>
          <w:tblW w:w="10548" w:type="dxa"/>
          <w:jc w:val="center"/>
          <w:tblLook w:val="0000"/>
        </w:tblPrEx>
        <w:trPr>
          <w:jc w:val="center"/>
        </w:trPr>
        <w:tc>
          <w:tcPr>
            <w:tcW w:w="709" w:type="dxa"/>
          </w:tcPr>
          <w:p w:rsidR="00C773A8" w:rsidRPr="00D849C0" w:rsidP="00D849C0">
            <w:pPr>
              <w:numPr>
                <w:ilvl w:val="1"/>
                <w:numId w:val="1"/>
              </w:numPr>
              <w:jc w:val="both"/>
              <w:rPr>
                <w:rFonts w:asciiTheme="minorHAnsi" w:hAnsiTheme="minorHAnsi" w:cstheme="minorHAnsi"/>
              </w:rPr>
            </w:pPr>
          </w:p>
        </w:tc>
        <w:tc>
          <w:tcPr>
            <w:tcW w:w="9839" w:type="dxa"/>
          </w:tcPr>
          <w:p w:rsidR="00C773A8" w:rsidP="0085665F">
            <w:pPr>
              <w:jc w:val="both"/>
              <w:rPr>
                <w:rFonts w:asciiTheme="minorHAnsi" w:hAnsiTheme="minorHAnsi" w:cstheme="minorHAnsi"/>
              </w:rPr>
            </w:pPr>
            <w:r w:rsidRPr="0085665F">
              <w:rPr>
                <w:rFonts w:asciiTheme="minorHAnsi" w:hAnsiTheme="minorHAnsi" w:cstheme="minorHAnsi"/>
              </w:rPr>
              <w:t>We are concerned that some of th</w:t>
            </w:r>
            <w:r>
              <w:rPr>
                <w:rFonts w:asciiTheme="minorHAnsi" w:hAnsiTheme="minorHAnsi" w:cstheme="minorHAnsi"/>
              </w:rPr>
              <w:t>ese uncertainties might hinder investment i</w:t>
            </w:r>
            <w:r>
              <w:rPr>
                <w:rFonts w:asciiTheme="minorHAnsi" w:hAnsiTheme="minorHAnsi" w:cstheme="minorHAnsi"/>
              </w:rPr>
              <w:t>n these areas, and clarification needs to be provided in the near future.</w:t>
            </w:r>
          </w:p>
        </w:tc>
      </w:tr>
      <w:tr w:rsidTr="00890044">
        <w:tblPrEx>
          <w:tblW w:w="10548" w:type="dxa"/>
          <w:jc w:val="center"/>
          <w:tblLook w:val="0000"/>
        </w:tblPrEx>
        <w:trPr>
          <w:jc w:val="center"/>
        </w:trPr>
        <w:tc>
          <w:tcPr>
            <w:tcW w:w="709" w:type="dxa"/>
          </w:tcPr>
          <w:p w:rsidR="00C773A8" w:rsidRPr="00D849C0" w:rsidP="00D849C0">
            <w:pPr>
              <w:numPr>
                <w:ilvl w:val="1"/>
                <w:numId w:val="1"/>
              </w:numPr>
              <w:jc w:val="both"/>
              <w:rPr>
                <w:rFonts w:asciiTheme="minorHAnsi" w:hAnsiTheme="minorHAnsi" w:cstheme="minorHAnsi"/>
              </w:rPr>
            </w:pPr>
          </w:p>
        </w:tc>
        <w:tc>
          <w:tcPr>
            <w:tcW w:w="9839" w:type="dxa"/>
          </w:tcPr>
          <w:p w:rsidR="00C773A8" w:rsidRPr="0085665F" w:rsidP="00514031">
            <w:pPr>
              <w:jc w:val="both"/>
              <w:rPr>
                <w:rFonts w:asciiTheme="minorHAnsi" w:hAnsiTheme="minorHAnsi" w:cstheme="minorHAnsi"/>
                <w:u w:val="single"/>
              </w:rPr>
            </w:pPr>
            <w:r w:rsidRPr="0085665F">
              <w:rPr>
                <w:rFonts w:asciiTheme="minorHAnsi" w:hAnsiTheme="minorHAnsi" w:cstheme="minorHAnsi"/>
                <w:u w:val="single"/>
              </w:rPr>
              <w:t>Employer NICs</w:t>
            </w:r>
          </w:p>
        </w:tc>
      </w:tr>
      <w:tr w:rsidTr="00890044">
        <w:tblPrEx>
          <w:tblW w:w="10548" w:type="dxa"/>
          <w:jc w:val="center"/>
          <w:tblLook w:val="0000"/>
        </w:tblPrEx>
        <w:trPr>
          <w:jc w:val="center"/>
        </w:trPr>
        <w:tc>
          <w:tcPr>
            <w:tcW w:w="709" w:type="dxa"/>
          </w:tcPr>
          <w:p w:rsidR="0085665F" w:rsidRPr="00D849C0" w:rsidP="0085665F">
            <w:pPr>
              <w:numPr>
                <w:ilvl w:val="1"/>
                <w:numId w:val="1"/>
              </w:numPr>
              <w:jc w:val="both"/>
              <w:rPr>
                <w:rFonts w:asciiTheme="minorHAnsi" w:hAnsiTheme="minorHAnsi" w:cstheme="minorHAnsi"/>
              </w:rPr>
            </w:pPr>
          </w:p>
        </w:tc>
        <w:tc>
          <w:tcPr>
            <w:tcW w:w="9839" w:type="dxa"/>
          </w:tcPr>
          <w:p w:rsidR="0085665F" w:rsidP="006B5674">
            <w:pPr>
              <w:jc w:val="both"/>
              <w:rPr>
                <w:rFonts w:asciiTheme="minorHAnsi" w:hAnsiTheme="minorHAnsi" w:cstheme="minorHAnsi"/>
              </w:rPr>
            </w:pPr>
            <w:r w:rsidRPr="007F31FA">
              <w:t xml:space="preserve">We note the proposal to introduce a temporary employer NICs relief for eligible employees in all </w:t>
            </w:r>
            <w:r>
              <w:t>f</w:t>
            </w:r>
            <w:r w:rsidRPr="007F31FA">
              <w:t xml:space="preserve">reeport sites from April 2022. </w:t>
            </w:r>
          </w:p>
        </w:tc>
      </w:tr>
      <w:tr w:rsidTr="00890044">
        <w:tblPrEx>
          <w:tblW w:w="10548" w:type="dxa"/>
          <w:jc w:val="center"/>
          <w:tblLook w:val="0000"/>
        </w:tblPrEx>
        <w:trPr>
          <w:jc w:val="center"/>
        </w:trPr>
        <w:tc>
          <w:tcPr>
            <w:tcW w:w="709" w:type="dxa"/>
          </w:tcPr>
          <w:p w:rsidR="0085665F" w:rsidRPr="00D849C0" w:rsidP="0085665F">
            <w:pPr>
              <w:numPr>
                <w:ilvl w:val="1"/>
                <w:numId w:val="1"/>
              </w:numPr>
              <w:jc w:val="both"/>
              <w:rPr>
                <w:rFonts w:asciiTheme="minorHAnsi" w:hAnsiTheme="minorHAnsi" w:cstheme="minorHAnsi"/>
              </w:rPr>
            </w:pPr>
          </w:p>
        </w:tc>
        <w:tc>
          <w:tcPr>
            <w:tcW w:w="9839" w:type="dxa"/>
          </w:tcPr>
          <w:p w:rsidR="0085665F" w:rsidP="008233F4">
            <w:pPr>
              <w:jc w:val="both"/>
              <w:rPr>
                <w:rFonts w:asciiTheme="minorHAnsi" w:hAnsiTheme="minorHAnsi" w:cstheme="minorHAnsi"/>
              </w:rPr>
            </w:pPr>
            <w:r w:rsidRPr="007F31FA">
              <w:t>We would welcome consultation on the detail of the relief. While, in its most basic form, the relief can be applied easily t</w:t>
            </w:r>
            <w:r w:rsidRPr="007F31FA">
              <w:t>hrough payroll via a simple indicator, in reality the relief will not be that simple to administer as the ‘hard’ part is likely to be identifying which employees can qualify</w:t>
            </w:r>
            <w:r>
              <w:t xml:space="preserve"> (new and / or existing, nature of role etc)</w:t>
            </w:r>
            <w:r w:rsidRPr="007F31FA">
              <w:t>, how long for, whether in respect of a</w:t>
            </w:r>
            <w:r w:rsidRPr="007F31FA">
              <w:t>ll or some of their work</w:t>
            </w:r>
            <w:r>
              <w:t xml:space="preserve"> (eg if time is spent at a </w:t>
            </w:r>
            <w:r>
              <w:t>f</w:t>
            </w:r>
            <w:r>
              <w:t>reeport site and elsewhere)</w:t>
            </w:r>
            <w:r w:rsidRPr="007F31FA">
              <w:t xml:space="preserve"> etc. Also, it would be necessary to determine how the relief sits beside, and interacts with, existing reliefs for employees under 21, apprentices under 25, and the newly intro</w:t>
            </w:r>
            <w:r w:rsidRPr="007F31FA">
              <w:t xml:space="preserve">duced relief for armed forces veterans. </w:t>
            </w:r>
          </w:p>
        </w:tc>
      </w:tr>
      <w:tr w:rsidTr="00890044">
        <w:tblPrEx>
          <w:tblW w:w="10548" w:type="dxa"/>
          <w:jc w:val="center"/>
          <w:tblLook w:val="0000"/>
        </w:tblPrEx>
        <w:trPr>
          <w:jc w:val="center"/>
        </w:trPr>
        <w:tc>
          <w:tcPr>
            <w:tcW w:w="709" w:type="dxa"/>
          </w:tcPr>
          <w:p w:rsidR="0085665F" w:rsidRPr="00D849C0" w:rsidP="0085665F">
            <w:pPr>
              <w:numPr>
                <w:ilvl w:val="1"/>
                <w:numId w:val="1"/>
              </w:numPr>
              <w:jc w:val="both"/>
              <w:rPr>
                <w:rFonts w:asciiTheme="minorHAnsi" w:hAnsiTheme="minorHAnsi" w:cstheme="minorHAnsi"/>
              </w:rPr>
            </w:pPr>
          </w:p>
        </w:tc>
        <w:tc>
          <w:tcPr>
            <w:tcW w:w="9839" w:type="dxa"/>
          </w:tcPr>
          <w:p w:rsidR="0085665F" w:rsidP="008233F4">
            <w:pPr>
              <w:jc w:val="both"/>
              <w:rPr>
                <w:rFonts w:asciiTheme="minorHAnsi" w:hAnsiTheme="minorHAnsi" w:cstheme="minorHAnsi"/>
              </w:rPr>
            </w:pPr>
            <w:r w:rsidRPr="007F31FA">
              <w:t xml:space="preserve">A previous government introduced a time limited regional NICs holiday for new businesses which was </w:t>
            </w:r>
            <w:r>
              <w:t>un</w:t>
            </w:r>
            <w:r w:rsidRPr="007F31FA">
              <w:t>successful in encouraging new hires.</w:t>
            </w:r>
            <w:r>
              <w:rPr>
                <w:rStyle w:val="FootnoteReference"/>
              </w:rPr>
              <w:footnoteReference w:id="20"/>
            </w:r>
            <w:r w:rsidRPr="007F31FA">
              <w:t xml:space="preserve"> A relief for freeport sites needs to be targeted to ensure it encourages hiring new employees</w:t>
            </w:r>
            <w:r>
              <w:t>,</w:t>
            </w:r>
            <w:r w:rsidRPr="007F31FA">
              <w:t xml:space="preserve"> rather than simpl</w:t>
            </w:r>
            <w:r>
              <w:t>y relocating existing employees</w:t>
            </w:r>
            <w:r w:rsidRPr="007F31FA">
              <w:t xml:space="preserve"> </w:t>
            </w:r>
            <w:r>
              <w:t>(</w:t>
            </w:r>
            <w:r w:rsidRPr="007F31FA">
              <w:t>who would in any event continue to be employed</w:t>
            </w:r>
            <w:r>
              <w:t>)</w:t>
            </w:r>
            <w:r w:rsidRPr="007F31FA">
              <w:t xml:space="preserve"> in order to reduce NI contributions. For example, if a company</w:t>
            </w:r>
            <w:r w:rsidRPr="007F31FA">
              <w:t xml:space="preserve"> relocated its head office onto a Freeport site, would all the employees at the head office then qualify for the NIC relief?</w:t>
            </w:r>
          </w:p>
        </w:tc>
      </w:tr>
      <w:tr w:rsidTr="00890044">
        <w:tblPrEx>
          <w:tblW w:w="10548" w:type="dxa"/>
          <w:jc w:val="center"/>
          <w:tblLook w:val="0000"/>
        </w:tblPrEx>
        <w:trPr>
          <w:jc w:val="center"/>
        </w:trPr>
        <w:tc>
          <w:tcPr>
            <w:tcW w:w="709" w:type="dxa"/>
          </w:tcPr>
          <w:p w:rsidR="0085665F" w:rsidRPr="00D849C0" w:rsidP="0085665F">
            <w:pPr>
              <w:numPr>
                <w:ilvl w:val="1"/>
                <w:numId w:val="1"/>
              </w:numPr>
              <w:jc w:val="both"/>
              <w:rPr>
                <w:rFonts w:asciiTheme="minorHAnsi" w:hAnsiTheme="minorHAnsi" w:cstheme="minorHAnsi"/>
              </w:rPr>
            </w:pPr>
          </w:p>
        </w:tc>
        <w:tc>
          <w:tcPr>
            <w:tcW w:w="9839" w:type="dxa"/>
          </w:tcPr>
          <w:p w:rsidR="0085665F" w:rsidP="0085665F">
            <w:pPr>
              <w:jc w:val="both"/>
            </w:pPr>
            <w:r w:rsidRPr="007F31FA">
              <w:t xml:space="preserve">Assuming that the detail is fully consulted on then this relief should be practicable and targeted. Whether the relief proves to </w:t>
            </w:r>
            <w:r w:rsidRPr="007F31FA">
              <w:t xml:space="preserve">be simple to operate will, however, lie in the detail but, hopefully, with appropriate consultation the legislation can provide the necessary clarity. </w:t>
            </w:r>
          </w:p>
          <w:p w:rsidR="00F37D3C" w:rsidP="0085665F">
            <w:pPr>
              <w:jc w:val="both"/>
              <w:rPr>
                <w:rFonts w:asciiTheme="minorHAnsi" w:hAnsiTheme="minorHAnsi" w:cstheme="minorHAnsi"/>
              </w:rPr>
            </w:pPr>
          </w:p>
        </w:tc>
      </w:tr>
      <w:tr w:rsidTr="00890044">
        <w:tblPrEx>
          <w:tblW w:w="10548" w:type="dxa"/>
          <w:jc w:val="center"/>
          <w:tblLook w:val="0000"/>
        </w:tblPrEx>
        <w:trPr>
          <w:jc w:val="center"/>
        </w:trPr>
        <w:tc>
          <w:tcPr>
            <w:tcW w:w="709" w:type="dxa"/>
          </w:tcPr>
          <w:p w:rsidR="0085665F" w:rsidRPr="00D849C0" w:rsidP="0085665F">
            <w:pPr>
              <w:numPr>
                <w:ilvl w:val="0"/>
                <w:numId w:val="1"/>
              </w:numPr>
              <w:jc w:val="both"/>
              <w:rPr>
                <w:rFonts w:asciiTheme="minorHAnsi" w:hAnsiTheme="minorHAnsi" w:cstheme="minorHAnsi"/>
              </w:rPr>
            </w:pPr>
          </w:p>
        </w:tc>
        <w:tc>
          <w:tcPr>
            <w:tcW w:w="9839" w:type="dxa"/>
          </w:tcPr>
          <w:p w:rsidR="0085665F" w:rsidRPr="001F6F2B" w:rsidP="0085665F">
            <w:pPr>
              <w:jc w:val="both"/>
              <w:rPr>
                <w:rFonts w:asciiTheme="minorHAnsi" w:hAnsiTheme="minorHAnsi" w:cstheme="minorHAnsi"/>
                <w:b/>
              </w:rPr>
            </w:pPr>
            <w:r>
              <w:rPr>
                <w:rFonts w:asciiTheme="minorHAnsi" w:hAnsiTheme="minorHAnsi" w:cstheme="minorHAnsi"/>
                <w:b/>
              </w:rPr>
              <w:t xml:space="preserve">Tax administration </w:t>
            </w:r>
          </w:p>
        </w:tc>
      </w:tr>
      <w:tr w:rsidTr="00890044">
        <w:tblPrEx>
          <w:tblW w:w="10548" w:type="dxa"/>
          <w:jc w:val="center"/>
          <w:tblLook w:val="0000"/>
        </w:tblPrEx>
        <w:trPr>
          <w:jc w:val="center"/>
        </w:trPr>
        <w:tc>
          <w:tcPr>
            <w:tcW w:w="709" w:type="dxa"/>
          </w:tcPr>
          <w:p w:rsidR="0085665F" w:rsidRPr="00D849C0" w:rsidP="0085665F">
            <w:pPr>
              <w:numPr>
                <w:ilvl w:val="1"/>
                <w:numId w:val="1"/>
              </w:numPr>
              <w:jc w:val="both"/>
              <w:rPr>
                <w:rFonts w:asciiTheme="minorHAnsi" w:hAnsiTheme="minorHAnsi" w:cstheme="minorHAnsi"/>
              </w:rPr>
            </w:pPr>
          </w:p>
        </w:tc>
        <w:tc>
          <w:tcPr>
            <w:tcW w:w="9839" w:type="dxa"/>
          </w:tcPr>
          <w:p w:rsidR="0085665F" w:rsidRPr="00D849C0" w:rsidP="007002E0">
            <w:pPr>
              <w:jc w:val="both"/>
              <w:rPr>
                <w:rFonts w:asciiTheme="minorHAnsi" w:hAnsiTheme="minorHAnsi" w:cstheme="minorHAnsi"/>
              </w:rPr>
            </w:pPr>
            <w:r>
              <w:rPr>
                <w:rFonts w:asciiTheme="minorHAnsi" w:hAnsiTheme="minorHAnsi" w:cstheme="minorHAnsi"/>
              </w:rPr>
              <w:t>A large proportion of the consultations launched on ‘Tax Day’ were in relation to administrative rather than policy matters. However, we welcome that these are starting an early stage in the consultation process, or are a continuation of previous consultat</w:t>
            </w:r>
            <w:r>
              <w:rPr>
                <w:rFonts w:asciiTheme="minorHAnsi" w:hAnsiTheme="minorHAnsi" w:cstheme="minorHAnsi"/>
              </w:rPr>
              <w:t>ion.</w:t>
            </w:r>
          </w:p>
        </w:tc>
      </w:tr>
      <w:tr w:rsidTr="00890044">
        <w:tblPrEx>
          <w:tblW w:w="10548" w:type="dxa"/>
          <w:jc w:val="center"/>
          <w:tblLook w:val="0000"/>
        </w:tblPrEx>
        <w:trPr>
          <w:jc w:val="center"/>
        </w:trPr>
        <w:tc>
          <w:tcPr>
            <w:tcW w:w="709" w:type="dxa"/>
          </w:tcPr>
          <w:p w:rsidR="007002E0" w:rsidRPr="00D849C0" w:rsidP="0085665F">
            <w:pPr>
              <w:numPr>
                <w:ilvl w:val="1"/>
                <w:numId w:val="1"/>
              </w:numPr>
              <w:jc w:val="both"/>
              <w:rPr>
                <w:rFonts w:asciiTheme="minorHAnsi" w:hAnsiTheme="minorHAnsi" w:cstheme="minorHAnsi"/>
              </w:rPr>
            </w:pPr>
          </w:p>
        </w:tc>
        <w:tc>
          <w:tcPr>
            <w:tcW w:w="9839" w:type="dxa"/>
          </w:tcPr>
          <w:p w:rsidR="007002E0" w:rsidRPr="007002E0" w:rsidP="007002E0">
            <w:pPr>
              <w:jc w:val="both"/>
              <w:rPr>
                <w:rFonts w:asciiTheme="minorHAnsi" w:hAnsiTheme="minorHAnsi" w:cstheme="minorHAnsi"/>
                <w:u w:val="single"/>
              </w:rPr>
            </w:pPr>
            <w:r w:rsidRPr="007002E0">
              <w:rPr>
                <w:rFonts w:asciiTheme="minorHAnsi" w:hAnsiTheme="minorHAnsi" w:cstheme="minorHAnsi"/>
                <w:u w:val="single"/>
              </w:rPr>
              <w:t>Call for evidence: the tax administration framework: supporting a 21st century tax system</w:t>
            </w:r>
          </w:p>
        </w:tc>
      </w:tr>
      <w:tr w:rsidTr="00890044">
        <w:tblPrEx>
          <w:tblW w:w="10548" w:type="dxa"/>
          <w:jc w:val="center"/>
          <w:tblLook w:val="0000"/>
        </w:tblPrEx>
        <w:trPr>
          <w:jc w:val="center"/>
        </w:trPr>
        <w:tc>
          <w:tcPr>
            <w:tcW w:w="709" w:type="dxa"/>
          </w:tcPr>
          <w:p w:rsidR="007002E0" w:rsidRPr="00D849C0" w:rsidP="0085665F">
            <w:pPr>
              <w:numPr>
                <w:ilvl w:val="1"/>
                <w:numId w:val="1"/>
              </w:numPr>
              <w:jc w:val="both"/>
              <w:rPr>
                <w:rFonts w:asciiTheme="minorHAnsi" w:hAnsiTheme="minorHAnsi" w:cstheme="minorHAnsi"/>
              </w:rPr>
            </w:pPr>
          </w:p>
        </w:tc>
        <w:tc>
          <w:tcPr>
            <w:tcW w:w="9839" w:type="dxa"/>
          </w:tcPr>
          <w:p w:rsidR="007002E0" w:rsidP="005F641F">
            <w:pPr>
              <w:jc w:val="both"/>
              <w:rPr>
                <w:rFonts w:asciiTheme="minorHAnsi" w:hAnsiTheme="minorHAnsi" w:cstheme="minorHAnsi"/>
              </w:rPr>
            </w:pPr>
            <w:r>
              <w:rPr>
                <w:rFonts w:asciiTheme="minorHAnsi" w:hAnsiTheme="minorHAnsi" w:cstheme="minorHAnsi"/>
              </w:rPr>
              <w:t xml:space="preserve">This call for evidence is the </w:t>
            </w:r>
            <w:r>
              <w:rPr>
                <w:rFonts w:asciiTheme="minorHAnsi" w:hAnsiTheme="minorHAnsi" w:cstheme="minorHAnsi"/>
              </w:rPr>
              <w:t>most</w:t>
            </w:r>
            <w:r>
              <w:rPr>
                <w:rFonts w:asciiTheme="minorHAnsi" w:hAnsiTheme="minorHAnsi" w:cstheme="minorHAnsi"/>
              </w:rPr>
              <w:t xml:space="preserve"> substantive consultation following last July’s announcement of HMRC and HMT’s tax administration strategy.</w:t>
            </w:r>
            <w:r>
              <w:rPr>
                <w:rStyle w:val="FootnoteReference"/>
                <w:rFonts w:asciiTheme="minorHAnsi" w:hAnsiTheme="minorHAnsi" w:cstheme="minorHAnsi"/>
              </w:rPr>
              <w:footnoteReference w:id="21"/>
            </w:r>
          </w:p>
        </w:tc>
      </w:tr>
      <w:tr w:rsidTr="00890044">
        <w:tblPrEx>
          <w:tblW w:w="10548" w:type="dxa"/>
          <w:jc w:val="center"/>
          <w:tblLook w:val="0000"/>
        </w:tblPrEx>
        <w:trPr>
          <w:jc w:val="center"/>
        </w:trPr>
        <w:tc>
          <w:tcPr>
            <w:tcW w:w="709" w:type="dxa"/>
          </w:tcPr>
          <w:p w:rsidR="007002E0" w:rsidRPr="00D849C0" w:rsidP="0085665F">
            <w:pPr>
              <w:numPr>
                <w:ilvl w:val="1"/>
                <w:numId w:val="1"/>
              </w:numPr>
              <w:jc w:val="both"/>
              <w:rPr>
                <w:rFonts w:asciiTheme="minorHAnsi" w:hAnsiTheme="minorHAnsi" w:cstheme="minorHAnsi"/>
              </w:rPr>
            </w:pPr>
          </w:p>
        </w:tc>
        <w:tc>
          <w:tcPr>
            <w:tcW w:w="9839" w:type="dxa"/>
          </w:tcPr>
          <w:p w:rsidR="007002E0" w:rsidP="007002E0">
            <w:pPr>
              <w:jc w:val="both"/>
              <w:rPr>
                <w:rFonts w:asciiTheme="minorHAnsi" w:hAnsiTheme="minorHAnsi" w:cstheme="minorHAnsi"/>
              </w:rPr>
            </w:pPr>
            <w:r>
              <w:rPr>
                <w:rFonts w:asciiTheme="minorHAnsi" w:hAnsiTheme="minorHAnsi" w:cstheme="minorHAnsi"/>
              </w:rPr>
              <w:t xml:space="preserve">We are </w:t>
            </w:r>
            <w:r>
              <w:rPr>
                <w:rFonts w:asciiTheme="minorHAnsi" w:hAnsiTheme="minorHAnsi" w:cstheme="minorHAnsi"/>
              </w:rPr>
              <w:t>pleased that the consultation seems to put ‘everything on the table’, and will consider a wide range of aspects such as registration and deregistration for taxes, how taxes are calculated and assessed</w:t>
            </w:r>
            <w:r>
              <w:rPr>
                <w:rFonts w:asciiTheme="minorHAnsi" w:hAnsiTheme="minorHAnsi" w:cstheme="minorHAnsi"/>
              </w:rPr>
              <w:t xml:space="preserve">, sources </w:t>
            </w:r>
            <w:r>
              <w:rPr>
                <w:rFonts w:asciiTheme="minorHAnsi" w:hAnsiTheme="minorHAnsi" w:cstheme="minorHAnsi"/>
              </w:rPr>
              <w:t>and uses of data, and modernising compliance a</w:t>
            </w:r>
            <w:r>
              <w:rPr>
                <w:rFonts w:asciiTheme="minorHAnsi" w:hAnsiTheme="minorHAnsi" w:cstheme="minorHAnsi"/>
              </w:rPr>
              <w:t>pproaches. We look forward to continuing our previous engagement with HMRC throughout this review.</w:t>
            </w:r>
          </w:p>
        </w:tc>
      </w:tr>
      <w:tr w:rsidTr="00890044">
        <w:tblPrEx>
          <w:tblW w:w="10548" w:type="dxa"/>
          <w:jc w:val="center"/>
          <w:tblLook w:val="0000"/>
        </w:tblPrEx>
        <w:trPr>
          <w:jc w:val="center"/>
        </w:trPr>
        <w:tc>
          <w:tcPr>
            <w:tcW w:w="709" w:type="dxa"/>
          </w:tcPr>
          <w:p w:rsidR="007002E0" w:rsidRPr="00D849C0" w:rsidP="0085665F">
            <w:pPr>
              <w:numPr>
                <w:ilvl w:val="1"/>
                <w:numId w:val="1"/>
              </w:numPr>
              <w:jc w:val="both"/>
              <w:rPr>
                <w:rFonts w:asciiTheme="minorHAnsi" w:hAnsiTheme="minorHAnsi" w:cstheme="minorHAnsi"/>
              </w:rPr>
            </w:pPr>
          </w:p>
        </w:tc>
        <w:tc>
          <w:tcPr>
            <w:tcW w:w="9839" w:type="dxa"/>
          </w:tcPr>
          <w:p w:rsidR="007002E0">
            <w:pPr>
              <w:jc w:val="both"/>
              <w:rPr>
                <w:rFonts w:asciiTheme="minorHAnsi" w:hAnsiTheme="minorHAnsi" w:cstheme="minorHAnsi"/>
              </w:rPr>
            </w:pPr>
            <w:r>
              <w:rPr>
                <w:rFonts w:asciiTheme="minorHAnsi" w:hAnsiTheme="minorHAnsi" w:cstheme="minorHAnsi"/>
              </w:rPr>
              <w:t xml:space="preserve">Making Tax Digital (MTD) is a key part of the government’s tax administration strategy, and </w:t>
            </w:r>
            <w:r>
              <w:rPr>
                <w:rFonts w:asciiTheme="minorHAnsi" w:hAnsiTheme="minorHAnsi" w:cstheme="minorHAnsi"/>
              </w:rPr>
              <w:t>they have</w:t>
            </w:r>
            <w:r>
              <w:rPr>
                <w:rFonts w:asciiTheme="minorHAnsi" w:hAnsiTheme="minorHAnsi" w:cstheme="minorHAnsi"/>
              </w:rPr>
              <w:t xml:space="preserve"> already announced the extension of MTD for VAT from April 2022, and the introduction of MTD for </w:t>
            </w:r>
            <w:r>
              <w:rPr>
                <w:rFonts w:asciiTheme="minorHAnsi" w:hAnsiTheme="minorHAnsi" w:cstheme="minorHAnsi"/>
              </w:rPr>
              <w:t>Income Tax Self Assessment (</w:t>
            </w:r>
            <w:r>
              <w:rPr>
                <w:rFonts w:asciiTheme="minorHAnsi" w:hAnsiTheme="minorHAnsi" w:cstheme="minorHAnsi"/>
              </w:rPr>
              <w:t>ITSA</w:t>
            </w:r>
            <w:r>
              <w:rPr>
                <w:rFonts w:asciiTheme="minorHAnsi" w:hAnsiTheme="minorHAnsi" w:cstheme="minorHAnsi"/>
              </w:rPr>
              <w:t>)</w:t>
            </w:r>
            <w:r>
              <w:rPr>
                <w:rFonts w:asciiTheme="minorHAnsi" w:hAnsiTheme="minorHAnsi" w:cstheme="minorHAnsi"/>
              </w:rPr>
              <w:t xml:space="preserve"> from April 2023. As far </w:t>
            </w:r>
            <w:r>
              <w:rPr>
                <w:rFonts w:asciiTheme="minorHAnsi" w:hAnsiTheme="minorHAnsi" w:cstheme="minorHAnsi"/>
              </w:rPr>
              <w:t>back as 2016 we encouraged the government to consider real simplification of the tax system before implementing MTD for ITSA.</w:t>
            </w:r>
            <w:r>
              <w:rPr>
                <w:rStyle w:val="FootnoteReference"/>
                <w:rFonts w:asciiTheme="minorHAnsi" w:hAnsiTheme="minorHAnsi" w:cstheme="minorHAnsi"/>
              </w:rPr>
              <w:footnoteReference w:id="22"/>
            </w:r>
            <w:r>
              <w:rPr>
                <w:rFonts w:asciiTheme="minorHAnsi" w:hAnsiTheme="minorHAnsi" w:cstheme="minorHAnsi"/>
              </w:rPr>
              <w:t xml:space="preserve"> Other than some minor changes, no such simplification has taken place, and we remain concerned that some software will fail to d</w:t>
            </w:r>
            <w:r>
              <w:rPr>
                <w:rFonts w:asciiTheme="minorHAnsi" w:hAnsiTheme="minorHAnsi" w:cstheme="minorHAnsi"/>
              </w:rPr>
              <w:t>eal with the complexities of the tax system</w:t>
            </w:r>
            <w:r>
              <w:rPr>
                <w:rFonts w:asciiTheme="minorHAnsi" w:hAnsiTheme="minorHAnsi" w:cstheme="minorHAnsi"/>
              </w:rPr>
              <w:t>,</w:t>
            </w:r>
            <w:r>
              <w:rPr>
                <w:rFonts w:asciiTheme="minorHAnsi" w:hAnsiTheme="minorHAnsi" w:cstheme="minorHAnsi"/>
              </w:rPr>
              <w:t xml:space="preserve"> increasing the risk of errors and non-compliance, rather than improving it. Further, it is not clear what</w:t>
            </w:r>
            <w:r>
              <w:rPr>
                <w:rFonts w:asciiTheme="minorHAnsi" w:hAnsiTheme="minorHAnsi" w:cstheme="minorHAnsi"/>
              </w:rPr>
              <w:t xml:space="preserve"> will take priority if responses to the tax administration framework suggests a different direction or set</w:t>
            </w:r>
            <w:r>
              <w:rPr>
                <w:rFonts w:asciiTheme="minorHAnsi" w:hAnsiTheme="minorHAnsi" w:cstheme="minorHAnsi"/>
              </w:rPr>
              <w:t xml:space="preserve"> of obligations than those for MTD.</w:t>
            </w:r>
            <w:r>
              <w:rPr>
                <w:rFonts w:asciiTheme="minorHAnsi" w:hAnsiTheme="minorHAnsi" w:cstheme="minorHAnsi"/>
              </w:rPr>
              <w:t xml:space="preserve"> </w:t>
            </w:r>
          </w:p>
        </w:tc>
      </w:tr>
      <w:tr w:rsidTr="00890044">
        <w:tblPrEx>
          <w:tblW w:w="10548" w:type="dxa"/>
          <w:jc w:val="center"/>
          <w:tblLook w:val="0000"/>
        </w:tblPrEx>
        <w:trPr>
          <w:jc w:val="center"/>
        </w:trPr>
        <w:tc>
          <w:tcPr>
            <w:tcW w:w="709" w:type="dxa"/>
          </w:tcPr>
          <w:p w:rsidR="007002E0" w:rsidRPr="00D849C0" w:rsidP="0085665F">
            <w:pPr>
              <w:numPr>
                <w:ilvl w:val="1"/>
                <w:numId w:val="1"/>
              </w:numPr>
              <w:jc w:val="both"/>
              <w:rPr>
                <w:rFonts w:asciiTheme="minorHAnsi" w:hAnsiTheme="minorHAnsi" w:cstheme="minorHAnsi"/>
              </w:rPr>
            </w:pPr>
          </w:p>
        </w:tc>
        <w:tc>
          <w:tcPr>
            <w:tcW w:w="9839" w:type="dxa"/>
          </w:tcPr>
          <w:p w:rsidR="007002E0" w:rsidP="005F641F">
            <w:pPr>
              <w:jc w:val="both"/>
              <w:rPr>
                <w:rFonts w:asciiTheme="minorHAnsi" w:hAnsiTheme="minorHAnsi" w:cstheme="minorHAnsi"/>
              </w:rPr>
            </w:pPr>
            <w:r>
              <w:rPr>
                <w:rFonts w:asciiTheme="minorHAnsi" w:hAnsiTheme="minorHAnsi" w:cstheme="minorHAnsi"/>
              </w:rPr>
              <w:t>A fundamental part of the 10-year strategy will be to set out milestones for deliverables, balancing short-term ‘wins’ with longer term structural changes. As a long-term government project we would not wish the strat</w:t>
            </w:r>
            <w:r>
              <w:rPr>
                <w:rFonts w:asciiTheme="minorHAnsi" w:hAnsiTheme="minorHAnsi" w:cstheme="minorHAnsi"/>
              </w:rPr>
              <w:t xml:space="preserve">egy to be de-prioritised because of a lack of apparent progress, especially considering the consultative approach being adopted. </w:t>
            </w:r>
          </w:p>
        </w:tc>
      </w:tr>
      <w:tr w:rsidTr="00890044">
        <w:tblPrEx>
          <w:tblW w:w="10548" w:type="dxa"/>
          <w:jc w:val="center"/>
          <w:tblLook w:val="0000"/>
        </w:tblPrEx>
        <w:trPr>
          <w:jc w:val="center"/>
        </w:trPr>
        <w:tc>
          <w:tcPr>
            <w:tcW w:w="709" w:type="dxa"/>
          </w:tcPr>
          <w:p w:rsidR="007002E0" w:rsidRPr="00D849C0" w:rsidP="0085665F">
            <w:pPr>
              <w:numPr>
                <w:ilvl w:val="1"/>
                <w:numId w:val="1"/>
              </w:numPr>
              <w:jc w:val="both"/>
              <w:rPr>
                <w:rFonts w:asciiTheme="minorHAnsi" w:hAnsiTheme="minorHAnsi" w:cstheme="minorHAnsi"/>
              </w:rPr>
            </w:pPr>
          </w:p>
        </w:tc>
        <w:tc>
          <w:tcPr>
            <w:tcW w:w="9839" w:type="dxa"/>
          </w:tcPr>
          <w:p w:rsidR="007002E0" w:rsidRPr="005F641F" w:rsidP="007002E0">
            <w:pPr>
              <w:jc w:val="both"/>
              <w:rPr>
                <w:rFonts w:asciiTheme="minorHAnsi" w:hAnsiTheme="minorHAnsi" w:cstheme="minorHAnsi"/>
                <w:u w:val="single"/>
              </w:rPr>
            </w:pPr>
            <w:r w:rsidRPr="005F641F">
              <w:rPr>
                <w:rFonts w:asciiTheme="minorHAnsi" w:hAnsiTheme="minorHAnsi" w:cstheme="minorHAnsi"/>
                <w:u w:val="single"/>
              </w:rPr>
              <w:t>Timely payment</w:t>
            </w:r>
          </w:p>
        </w:tc>
      </w:tr>
      <w:tr w:rsidTr="00890044">
        <w:tblPrEx>
          <w:tblW w:w="10548" w:type="dxa"/>
          <w:jc w:val="center"/>
          <w:tblLook w:val="0000"/>
        </w:tblPrEx>
        <w:trPr>
          <w:jc w:val="center"/>
        </w:trPr>
        <w:tc>
          <w:tcPr>
            <w:tcW w:w="709" w:type="dxa"/>
          </w:tcPr>
          <w:p w:rsidR="007002E0" w:rsidRPr="00D849C0" w:rsidP="0085665F">
            <w:pPr>
              <w:numPr>
                <w:ilvl w:val="1"/>
                <w:numId w:val="1"/>
              </w:numPr>
              <w:jc w:val="both"/>
              <w:rPr>
                <w:rFonts w:asciiTheme="minorHAnsi" w:hAnsiTheme="minorHAnsi" w:cstheme="minorHAnsi"/>
              </w:rPr>
            </w:pPr>
          </w:p>
        </w:tc>
        <w:tc>
          <w:tcPr>
            <w:tcW w:w="9839" w:type="dxa"/>
          </w:tcPr>
          <w:p w:rsidR="007002E0" w:rsidRPr="00AD1C7A">
            <w:pPr>
              <w:jc w:val="both"/>
              <w:rPr>
                <w:rFonts w:asciiTheme="minorHAnsi" w:hAnsiTheme="minorHAnsi" w:cstheme="minorHAnsi"/>
              </w:rPr>
            </w:pPr>
            <w:r w:rsidRPr="00AD1C7A">
              <w:rPr>
                <w:rFonts w:asciiTheme="minorHAnsi" w:hAnsiTheme="minorHAnsi" w:cstheme="minorHAnsi"/>
              </w:rPr>
              <w:t>Also part of the government’s tax administration strategy is this review of when tax should be calculated a</w:t>
            </w:r>
            <w:r w:rsidRPr="00AD1C7A">
              <w:rPr>
                <w:rFonts w:asciiTheme="minorHAnsi" w:hAnsiTheme="minorHAnsi" w:cstheme="minorHAnsi"/>
              </w:rPr>
              <w:t>nd paid.</w:t>
            </w:r>
            <w:r w:rsidRPr="00AD1C7A">
              <w:rPr>
                <w:rFonts w:asciiTheme="minorHAnsi" w:hAnsiTheme="minorHAnsi" w:cstheme="minorHAnsi"/>
              </w:rPr>
              <w:t xml:space="preserve"> The government consulted on encourag</w:t>
            </w:r>
            <w:r>
              <w:rPr>
                <w:rFonts w:asciiTheme="minorHAnsi" w:hAnsiTheme="minorHAnsi" w:cstheme="minorHAnsi"/>
              </w:rPr>
              <w:t>ing</w:t>
            </w:r>
            <w:r w:rsidRPr="00AD1C7A">
              <w:rPr>
                <w:rFonts w:asciiTheme="minorHAnsi" w:hAnsiTheme="minorHAnsi" w:cstheme="minorHAnsi"/>
              </w:rPr>
              <w:t xml:space="preserve"> voluntary / timely tax payments back in 2016</w:t>
            </w:r>
            <w:r>
              <w:rPr>
                <w:rFonts w:asciiTheme="minorHAnsi" w:hAnsiTheme="minorHAnsi" w:cstheme="minorHAnsi"/>
              </w:rPr>
              <w:t>,</w:t>
            </w:r>
            <w:r w:rsidRPr="00AD1C7A">
              <w:rPr>
                <w:rFonts w:asciiTheme="minorHAnsi" w:hAnsiTheme="minorHAnsi" w:cstheme="minorHAnsi"/>
              </w:rPr>
              <w:t xml:space="preserve"> although little progress seems to have been made subsequently.</w:t>
            </w:r>
            <w:r>
              <w:rPr>
                <w:rStyle w:val="FootnoteReference"/>
                <w:rFonts w:asciiTheme="minorHAnsi" w:hAnsiTheme="minorHAnsi" w:cstheme="minorHAnsi"/>
              </w:rPr>
              <w:footnoteReference w:id="23"/>
            </w:r>
          </w:p>
        </w:tc>
      </w:tr>
      <w:tr w:rsidTr="00890044">
        <w:tblPrEx>
          <w:tblW w:w="10548" w:type="dxa"/>
          <w:jc w:val="center"/>
          <w:tblLook w:val="0000"/>
        </w:tblPrEx>
        <w:trPr>
          <w:jc w:val="center"/>
        </w:trPr>
        <w:tc>
          <w:tcPr>
            <w:tcW w:w="709" w:type="dxa"/>
          </w:tcPr>
          <w:p w:rsidR="005F641F" w:rsidRPr="0037187C" w:rsidP="0085665F">
            <w:pPr>
              <w:numPr>
                <w:ilvl w:val="1"/>
                <w:numId w:val="1"/>
              </w:numPr>
              <w:jc w:val="both"/>
              <w:rPr>
                <w:rFonts w:asciiTheme="minorHAnsi" w:hAnsiTheme="minorHAnsi" w:cstheme="minorHAnsi"/>
                <w:u w:val="single"/>
              </w:rPr>
            </w:pPr>
          </w:p>
        </w:tc>
        <w:tc>
          <w:tcPr>
            <w:tcW w:w="9839" w:type="dxa"/>
          </w:tcPr>
          <w:p w:rsidR="005F641F" w:rsidRPr="00AD1C7A" w:rsidP="00FB2908">
            <w:pPr>
              <w:jc w:val="both"/>
              <w:rPr>
                <w:rFonts w:asciiTheme="minorHAnsi" w:hAnsiTheme="minorHAnsi" w:cstheme="minorHAnsi"/>
              </w:rPr>
            </w:pPr>
            <w:r w:rsidRPr="004036E4">
              <w:rPr>
                <w:rFonts w:asciiTheme="minorHAnsi" w:hAnsiTheme="minorHAnsi" w:cstheme="minorHAnsi"/>
              </w:rPr>
              <w:t xml:space="preserve">Again we welcome </w:t>
            </w:r>
            <w:r w:rsidRPr="00AD1C7A">
              <w:rPr>
                <w:rFonts w:asciiTheme="minorHAnsi" w:hAnsiTheme="minorHAnsi" w:cstheme="minorHAnsi"/>
              </w:rPr>
              <w:t xml:space="preserve">the early stage consultation, and the commitment to introduce any </w:t>
            </w:r>
            <w:r w:rsidRPr="00AD1C7A">
              <w:rPr>
                <w:rFonts w:asciiTheme="minorHAnsi" w:hAnsiTheme="minorHAnsi" w:cstheme="minorHAnsi"/>
              </w:rPr>
              <w:t>changes gradually and not within this parliament. Whilst some self-employed individuals might welcome paying their taxes closer to ‘real-time’ the difficulties should not be underestimated, and include:</w:t>
            </w:r>
          </w:p>
          <w:p w:rsidR="00FB2908" w:rsidRPr="00AD1C7A" w:rsidP="00AD1C7A">
            <w:pPr>
              <w:pStyle w:val="ListParagraph"/>
              <w:numPr>
                <w:ilvl w:val="0"/>
                <w:numId w:val="13"/>
              </w:numPr>
              <w:jc w:val="both"/>
              <w:rPr>
                <w:rFonts w:asciiTheme="minorHAnsi" w:hAnsiTheme="minorHAnsi" w:cstheme="minorHAnsi"/>
              </w:rPr>
            </w:pPr>
            <w:r w:rsidRPr="00AD1C7A">
              <w:rPr>
                <w:rFonts w:asciiTheme="minorHAnsi" w:hAnsiTheme="minorHAnsi" w:cstheme="minorHAnsi"/>
              </w:rPr>
              <w:t xml:space="preserve">Transitioning from the existing </w:t>
            </w:r>
            <w:r w:rsidRPr="00AD1C7A">
              <w:rPr>
                <w:rFonts w:asciiTheme="minorHAnsi" w:hAnsiTheme="minorHAnsi" w:cstheme="minorHAnsi"/>
              </w:rPr>
              <w:t xml:space="preserve">(largely in arrears) </w:t>
            </w:r>
            <w:r w:rsidRPr="00AD1C7A">
              <w:rPr>
                <w:rFonts w:asciiTheme="minorHAnsi" w:hAnsiTheme="minorHAnsi" w:cstheme="minorHAnsi"/>
              </w:rPr>
              <w:t>regime, to a real-time one – will taxpayers have to pay two lots of tax in one year, or will the exchequer miss out on a year’s tax (or something in between)?</w:t>
            </w:r>
          </w:p>
          <w:p w:rsidR="00AD1C7A" w:rsidRPr="00AD1C7A" w:rsidP="00FB2908">
            <w:pPr>
              <w:pStyle w:val="ListParagraph"/>
              <w:numPr>
                <w:ilvl w:val="0"/>
                <w:numId w:val="13"/>
              </w:numPr>
              <w:jc w:val="both"/>
              <w:rPr>
                <w:rFonts w:asciiTheme="minorHAnsi" w:hAnsiTheme="minorHAnsi" w:cstheme="minorHAnsi"/>
              </w:rPr>
            </w:pPr>
            <w:r w:rsidRPr="00AD1C7A">
              <w:rPr>
                <w:rFonts w:asciiTheme="minorHAnsi" w:hAnsiTheme="minorHAnsi" w:cstheme="minorHAnsi"/>
              </w:rPr>
              <w:t>How to deal with short-term fluctuations in income and profits, which are largely ironed out by t</w:t>
            </w:r>
            <w:r w:rsidRPr="00AD1C7A">
              <w:rPr>
                <w:rFonts w:asciiTheme="minorHAnsi" w:hAnsiTheme="minorHAnsi" w:cstheme="minorHAnsi"/>
              </w:rPr>
              <w:t>he current regime.</w:t>
            </w:r>
          </w:p>
          <w:p w:rsidR="00AD1C7A" w:rsidRPr="00AD1C7A" w:rsidP="00AD1C7A">
            <w:pPr>
              <w:pStyle w:val="ListParagraph"/>
              <w:numPr>
                <w:ilvl w:val="0"/>
                <w:numId w:val="13"/>
              </w:numPr>
              <w:jc w:val="both"/>
              <w:rPr>
                <w:rFonts w:asciiTheme="minorHAnsi" w:hAnsiTheme="minorHAnsi" w:cstheme="minorHAnsi"/>
              </w:rPr>
            </w:pPr>
            <w:r w:rsidRPr="00AD1C7A">
              <w:rPr>
                <w:rFonts w:asciiTheme="minorHAnsi" w:hAnsiTheme="minorHAnsi" w:cstheme="minorHAnsi"/>
              </w:rPr>
              <w:t>The availability of other information which can affect a tax liability, such as income from investments.</w:t>
            </w:r>
          </w:p>
        </w:tc>
      </w:tr>
      <w:tr w:rsidTr="00890044">
        <w:tblPrEx>
          <w:tblW w:w="10548" w:type="dxa"/>
          <w:jc w:val="center"/>
          <w:tblLook w:val="0000"/>
        </w:tblPrEx>
        <w:trPr>
          <w:jc w:val="center"/>
        </w:trPr>
        <w:tc>
          <w:tcPr>
            <w:tcW w:w="709" w:type="dxa"/>
          </w:tcPr>
          <w:p w:rsidR="00FA1BB5" w:rsidRPr="0037187C" w:rsidP="0085665F">
            <w:pPr>
              <w:numPr>
                <w:ilvl w:val="1"/>
                <w:numId w:val="1"/>
              </w:numPr>
              <w:jc w:val="both"/>
              <w:rPr>
                <w:rFonts w:asciiTheme="minorHAnsi" w:hAnsiTheme="minorHAnsi" w:cstheme="minorHAnsi"/>
                <w:u w:val="single"/>
              </w:rPr>
            </w:pPr>
          </w:p>
        </w:tc>
        <w:tc>
          <w:tcPr>
            <w:tcW w:w="9839" w:type="dxa"/>
          </w:tcPr>
          <w:p w:rsidR="00FA1BB5" w:rsidRPr="00FA1BB5" w:rsidP="00FB2908">
            <w:pPr>
              <w:jc w:val="both"/>
              <w:rPr>
                <w:rFonts w:asciiTheme="minorHAnsi" w:hAnsiTheme="minorHAnsi" w:cstheme="minorHAnsi"/>
              </w:rPr>
            </w:pPr>
            <w:r w:rsidRPr="00FA1BB5">
              <w:rPr>
                <w:rFonts w:asciiTheme="minorHAnsi" w:hAnsiTheme="minorHAnsi" w:cstheme="minorHAnsi"/>
                <w:u w:val="single"/>
              </w:rPr>
              <w:t>The government will invest a further £180 million in 2021-22 in additional resources and new technology for HMRC [2.104]</w:t>
            </w:r>
          </w:p>
        </w:tc>
      </w:tr>
      <w:tr w:rsidTr="00890044">
        <w:tblPrEx>
          <w:tblW w:w="10548" w:type="dxa"/>
          <w:jc w:val="center"/>
          <w:tblLook w:val="0000"/>
        </w:tblPrEx>
        <w:trPr>
          <w:jc w:val="center"/>
        </w:trPr>
        <w:tc>
          <w:tcPr>
            <w:tcW w:w="709" w:type="dxa"/>
          </w:tcPr>
          <w:p w:rsidR="00FA1BB5" w:rsidRPr="0037187C" w:rsidP="0085665F">
            <w:pPr>
              <w:numPr>
                <w:ilvl w:val="1"/>
                <w:numId w:val="1"/>
              </w:numPr>
              <w:jc w:val="both"/>
              <w:rPr>
                <w:rFonts w:asciiTheme="minorHAnsi" w:hAnsiTheme="minorHAnsi" w:cstheme="minorHAnsi"/>
                <w:u w:val="single"/>
              </w:rPr>
            </w:pPr>
          </w:p>
        </w:tc>
        <w:tc>
          <w:tcPr>
            <w:tcW w:w="9839" w:type="dxa"/>
          </w:tcPr>
          <w:p w:rsidR="00FA1BB5" w:rsidRPr="00FA1BB5">
            <w:pPr>
              <w:jc w:val="both"/>
              <w:rPr>
                <w:rFonts w:asciiTheme="minorHAnsi" w:hAnsiTheme="minorHAnsi" w:cstheme="minorHAnsi"/>
              </w:rPr>
            </w:pPr>
            <w:r>
              <w:rPr>
                <w:rFonts w:asciiTheme="minorHAnsi" w:hAnsiTheme="minorHAnsi" w:cstheme="minorHAnsi"/>
              </w:rPr>
              <w:t xml:space="preserve">We are </w:t>
            </w:r>
            <w:r>
              <w:rPr>
                <w:rFonts w:asciiTheme="minorHAnsi" w:hAnsiTheme="minorHAnsi" w:cstheme="minorHAnsi"/>
              </w:rPr>
              <w:t xml:space="preserve">pleased to see additional investment </w:t>
            </w:r>
            <w:r>
              <w:rPr>
                <w:rFonts w:asciiTheme="minorHAnsi" w:hAnsiTheme="minorHAnsi" w:cstheme="minorHAnsi"/>
              </w:rPr>
              <w:t>in</w:t>
            </w:r>
            <w:r>
              <w:rPr>
                <w:rFonts w:asciiTheme="minorHAnsi" w:hAnsiTheme="minorHAnsi" w:cstheme="minorHAnsi"/>
              </w:rPr>
              <w:t xml:space="preserve"> HMRC. Whilst it is not specified how this funding is to be spent, we welcome that part of </w:t>
            </w:r>
            <w:r>
              <w:rPr>
                <w:rFonts w:asciiTheme="minorHAnsi" w:hAnsiTheme="minorHAnsi" w:cstheme="minorHAnsi"/>
              </w:rPr>
              <w:t>it</w:t>
            </w:r>
            <w:r>
              <w:rPr>
                <w:rFonts w:asciiTheme="minorHAnsi" w:hAnsiTheme="minorHAnsi" w:cstheme="minorHAnsi"/>
              </w:rPr>
              <w:t xml:space="preserve"> appears to be for development of the single digital account, which will enable taxpayers to more easily understand their ta</w:t>
            </w:r>
            <w:r>
              <w:rPr>
                <w:rFonts w:asciiTheme="minorHAnsi" w:hAnsiTheme="minorHAnsi" w:cstheme="minorHAnsi"/>
              </w:rPr>
              <w:t xml:space="preserve">x obligations. </w:t>
            </w:r>
            <w:r>
              <w:rPr>
                <w:rFonts w:asciiTheme="minorHAnsi" w:hAnsiTheme="minorHAnsi" w:cstheme="minorHAnsi"/>
              </w:rPr>
              <w:t xml:space="preserve">This is important as recent measures such as the </w:t>
            </w:r>
            <w:r w:rsidRPr="00244290">
              <w:rPr>
                <w:rFonts w:asciiTheme="minorHAnsi" w:hAnsiTheme="minorHAnsi" w:cstheme="minorHAnsi"/>
              </w:rPr>
              <w:t>Trust Registration Service and the 30-day CGT reporting service</w:t>
            </w:r>
            <w:r>
              <w:rPr>
                <w:rFonts w:asciiTheme="minorHAnsi" w:hAnsiTheme="minorHAnsi" w:cstheme="minorHAnsi"/>
              </w:rPr>
              <w:t xml:space="preserve"> have operated </w:t>
            </w:r>
            <w:r w:rsidRPr="00244290">
              <w:rPr>
                <w:rFonts w:asciiTheme="minorHAnsi" w:hAnsiTheme="minorHAnsi" w:cstheme="minorHAnsi"/>
              </w:rPr>
              <w:t>independently of mainstream systems such as the personal tax account</w:t>
            </w:r>
            <w:r>
              <w:rPr>
                <w:rFonts w:asciiTheme="minorHAnsi" w:hAnsiTheme="minorHAnsi" w:cstheme="minorHAnsi"/>
              </w:rPr>
              <w:t>, thus creating confusion and practical diffic</w:t>
            </w:r>
            <w:r>
              <w:rPr>
                <w:rFonts w:asciiTheme="minorHAnsi" w:hAnsiTheme="minorHAnsi" w:cstheme="minorHAnsi"/>
              </w:rPr>
              <w:t>ulties for taxpayers, their agents, and HMRC.</w:t>
            </w:r>
          </w:p>
        </w:tc>
      </w:tr>
      <w:tr w:rsidTr="00890044">
        <w:tblPrEx>
          <w:tblW w:w="10548" w:type="dxa"/>
          <w:jc w:val="center"/>
          <w:tblLook w:val="0000"/>
        </w:tblPrEx>
        <w:trPr>
          <w:jc w:val="center"/>
        </w:trPr>
        <w:tc>
          <w:tcPr>
            <w:tcW w:w="709" w:type="dxa"/>
          </w:tcPr>
          <w:p w:rsidR="005F641F" w:rsidRPr="0037187C" w:rsidP="0085665F">
            <w:pPr>
              <w:numPr>
                <w:ilvl w:val="1"/>
                <w:numId w:val="1"/>
              </w:numPr>
              <w:jc w:val="both"/>
              <w:rPr>
                <w:rFonts w:asciiTheme="minorHAnsi" w:hAnsiTheme="minorHAnsi" w:cstheme="minorHAnsi"/>
                <w:u w:val="single"/>
              </w:rPr>
            </w:pPr>
          </w:p>
        </w:tc>
        <w:tc>
          <w:tcPr>
            <w:tcW w:w="9839" w:type="dxa"/>
          </w:tcPr>
          <w:p w:rsidR="005F641F" w:rsidRPr="0037187C" w:rsidP="0085665F">
            <w:pPr>
              <w:jc w:val="both"/>
              <w:rPr>
                <w:rFonts w:asciiTheme="minorHAnsi" w:hAnsiTheme="minorHAnsi" w:cstheme="minorHAnsi"/>
                <w:u w:val="single"/>
              </w:rPr>
            </w:pPr>
            <w:r w:rsidRPr="00AD1C7A">
              <w:rPr>
                <w:rFonts w:asciiTheme="minorHAnsi" w:hAnsiTheme="minorHAnsi" w:cstheme="minorHAnsi"/>
                <w:u w:val="single"/>
              </w:rPr>
              <w:t>Notification of uncertain tax treatment by large businesses</w:t>
            </w:r>
          </w:p>
        </w:tc>
      </w:tr>
      <w:tr w:rsidTr="00890044">
        <w:tblPrEx>
          <w:tblW w:w="10548" w:type="dxa"/>
          <w:jc w:val="center"/>
          <w:tblLook w:val="0000"/>
        </w:tblPrEx>
        <w:trPr>
          <w:jc w:val="center"/>
        </w:trPr>
        <w:tc>
          <w:tcPr>
            <w:tcW w:w="709" w:type="dxa"/>
          </w:tcPr>
          <w:p w:rsidR="005F641F" w:rsidRPr="0037187C" w:rsidP="0085665F">
            <w:pPr>
              <w:numPr>
                <w:ilvl w:val="1"/>
                <w:numId w:val="1"/>
              </w:numPr>
              <w:jc w:val="both"/>
              <w:rPr>
                <w:rFonts w:asciiTheme="minorHAnsi" w:hAnsiTheme="minorHAnsi" w:cstheme="minorHAnsi"/>
                <w:u w:val="single"/>
              </w:rPr>
            </w:pPr>
          </w:p>
        </w:tc>
        <w:tc>
          <w:tcPr>
            <w:tcW w:w="9839" w:type="dxa"/>
          </w:tcPr>
          <w:p w:rsidR="005F641F" w:rsidRPr="00FA1BB5" w:rsidP="00FA1BB5">
            <w:pPr>
              <w:jc w:val="both"/>
              <w:rPr>
                <w:rFonts w:asciiTheme="minorHAnsi" w:hAnsiTheme="minorHAnsi" w:cstheme="minorHAnsi"/>
              </w:rPr>
            </w:pPr>
            <w:r w:rsidRPr="00FA1BB5">
              <w:rPr>
                <w:rFonts w:asciiTheme="minorHAnsi" w:hAnsiTheme="minorHAnsi" w:cstheme="minorHAnsi"/>
              </w:rPr>
              <w:t>We are pleased that the government has acted upon many of the concerns expressed by respondents to the initial consultation in March 2020.</w:t>
            </w:r>
            <w:r>
              <w:rPr>
                <w:rStyle w:val="FootnoteReference"/>
                <w:rFonts w:asciiTheme="minorHAnsi" w:hAnsiTheme="minorHAnsi" w:cstheme="minorHAnsi"/>
              </w:rPr>
              <w:footnoteReference w:id="24"/>
            </w:r>
            <w:r w:rsidRPr="00FA1BB5">
              <w:rPr>
                <w:rFonts w:asciiTheme="minorHAnsi" w:hAnsiTheme="minorHAnsi" w:cstheme="minorHAnsi"/>
              </w:rPr>
              <w:t xml:space="preserve"> In particular, the definition of uncertain tax treatment has been substantially revised and is now based on ‘triggers’ (discussed in Chapter 3 of the consultation), which are intended to be objective. There is </w:t>
            </w:r>
            <w:r w:rsidRPr="00FA1BB5">
              <w:rPr>
                <w:rFonts w:asciiTheme="minorHAnsi" w:hAnsiTheme="minorHAnsi" w:cstheme="minorHAnsi"/>
              </w:rPr>
              <w:t xml:space="preserve">also now </w:t>
            </w:r>
            <w:r w:rsidRPr="00FA1BB5">
              <w:rPr>
                <w:rFonts w:asciiTheme="minorHAnsi" w:hAnsiTheme="minorHAnsi" w:cstheme="minorHAnsi"/>
              </w:rPr>
              <w:t>a general exception proposed for mat</w:t>
            </w:r>
            <w:r w:rsidRPr="00FA1BB5">
              <w:rPr>
                <w:rFonts w:asciiTheme="minorHAnsi" w:hAnsiTheme="minorHAnsi" w:cstheme="minorHAnsi"/>
              </w:rPr>
              <w:t xml:space="preserve">ters that have already been discussed with HMRC </w:t>
            </w:r>
            <w:r w:rsidRPr="00FA1BB5">
              <w:rPr>
                <w:rFonts w:asciiTheme="minorHAnsi" w:hAnsiTheme="minorHAnsi" w:cstheme="minorHAnsi"/>
              </w:rPr>
              <w:t>(</w:t>
            </w:r>
            <w:r w:rsidRPr="00FA1BB5">
              <w:rPr>
                <w:rFonts w:asciiTheme="minorHAnsi" w:hAnsiTheme="minorHAnsi" w:cstheme="minorHAnsi"/>
              </w:rPr>
              <w:t>although it is not clear how this will work in practice or be legislated for</w:t>
            </w:r>
            <w:r w:rsidRPr="00FA1BB5">
              <w:rPr>
                <w:rFonts w:asciiTheme="minorHAnsi" w:hAnsiTheme="minorHAnsi" w:cstheme="minorHAnsi"/>
              </w:rPr>
              <w:t xml:space="preserve">). </w:t>
            </w:r>
            <w:r w:rsidRPr="00FA1BB5">
              <w:rPr>
                <w:rFonts w:asciiTheme="minorHAnsi" w:hAnsiTheme="minorHAnsi" w:cstheme="minorHAnsi"/>
              </w:rPr>
              <w:t xml:space="preserve">However, there is much that remains unclear and further input is sought in questions posed by the </w:t>
            </w:r>
            <w:r w:rsidRPr="00FA1BB5">
              <w:rPr>
                <w:rFonts w:asciiTheme="minorHAnsi" w:hAnsiTheme="minorHAnsi" w:cstheme="minorHAnsi"/>
              </w:rPr>
              <w:t xml:space="preserve">second </w:t>
            </w:r>
            <w:r w:rsidRPr="00FA1BB5">
              <w:rPr>
                <w:rFonts w:asciiTheme="minorHAnsi" w:hAnsiTheme="minorHAnsi" w:cstheme="minorHAnsi"/>
              </w:rPr>
              <w:t>consultation.</w:t>
            </w:r>
          </w:p>
        </w:tc>
      </w:tr>
      <w:tr w:rsidTr="00890044">
        <w:tblPrEx>
          <w:tblW w:w="10548" w:type="dxa"/>
          <w:jc w:val="center"/>
          <w:tblLook w:val="0000"/>
        </w:tblPrEx>
        <w:trPr>
          <w:jc w:val="center"/>
        </w:trPr>
        <w:tc>
          <w:tcPr>
            <w:tcW w:w="709" w:type="dxa"/>
          </w:tcPr>
          <w:p w:rsidR="005F641F" w:rsidRPr="0037187C" w:rsidP="0085665F">
            <w:pPr>
              <w:numPr>
                <w:ilvl w:val="1"/>
                <w:numId w:val="1"/>
              </w:numPr>
              <w:jc w:val="both"/>
              <w:rPr>
                <w:rFonts w:asciiTheme="minorHAnsi" w:hAnsiTheme="minorHAnsi" w:cstheme="minorHAnsi"/>
                <w:u w:val="single"/>
              </w:rPr>
            </w:pPr>
          </w:p>
        </w:tc>
        <w:tc>
          <w:tcPr>
            <w:tcW w:w="9839" w:type="dxa"/>
          </w:tcPr>
          <w:p w:rsidR="005F641F" w:rsidRPr="00FA1BB5" w:rsidP="00FA1BB5">
            <w:pPr>
              <w:jc w:val="both"/>
              <w:rPr>
                <w:rFonts w:asciiTheme="minorHAnsi" w:hAnsiTheme="minorHAnsi" w:cstheme="minorHAnsi"/>
              </w:rPr>
            </w:pPr>
            <w:r w:rsidRPr="00FA1BB5">
              <w:rPr>
                <w:rFonts w:asciiTheme="minorHAnsi" w:hAnsiTheme="minorHAnsi" w:cstheme="minorHAnsi"/>
              </w:rPr>
              <w:t>It is r</w:t>
            </w:r>
            <w:r w:rsidRPr="00FA1BB5">
              <w:rPr>
                <w:rFonts w:asciiTheme="minorHAnsi" w:hAnsiTheme="minorHAnsi" w:cstheme="minorHAnsi"/>
              </w:rPr>
              <w:t>egrettable that, without explanation, the original consultation bypassed stage 1 of the consultation process and moved straight to stage 2 instead. As a result, the policy objectives of the proposal were not clearly articulated or explained, making it diff</w:t>
            </w:r>
            <w:r w:rsidRPr="00FA1BB5">
              <w:rPr>
                <w:rFonts w:asciiTheme="minorHAnsi" w:hAnsiTheme="minorHAnsi" w:cstheme="minorHAnsi"/>
              </w:rPr>
              <w:t>icult to discern from the consultation exactly what the measure is intended to achieve or, more particularly, a coherent and practical proposal for achieving it. This is precisely why, in the absence of avoidance or abuse, the proper consultation process s</w:t>
            </w:r>
            <w:r w:rsidRPr="00FA1BB5">
              <w:rPr>
                <w:rFonts w:asciiTheme="minorHAnsi" w:hAnsiTheme="minorHAnsi" w:cstheme="minorHAnsi"/>
              </w:rPr>
              <w:t>hould be respected</w:t>
            </w:r>
            <w:r>
              <w:rPr>
                <w:rFonts w:asciiTheme="minorHAnsi" w:hAnsiTheme="minorHAnsi" w:cstheme="minorHAnsi"/>
              </w:rPr>
              <w:t xml:space="preserve">. </w:t>
            </w:r>
          </w:p>
        </w:tc>
      </w:tr>
    </w:tbl>
    <w:p w:rsidR="00D849C0" w:rsidRPr="00D849C0" w:rsidP="00D849C0">
      <w:pPr>
        <w:jc w:val="both"/>
        <w:rPr>
          <w:rFonts w:asciiTheme="minorHAnsi" w:hAnsiTheme="minorHAnsi" w:cstheme="minorHAnsi"/>
        </w:rPr>
      </w:pPr>
    </w:p>
    <w:tbl>
      <w:tblPr>
        <w:tblW w:w="10548" w:type="dxa"/>
        <w:jc w:val="center"/>
        <w:tblLook w:val="0000"/>
      </w:tblPr>
      <w:tblGrid>
        <w:gridCol w:w="567"/>
        <w:gridCol w:w="9981"/>
      </w:tblGrid>
      <w:tr w:rsidTr="007B5737">
        <w:tblPrEx>
          <w:tblW w:w="10548" w:type="dxa"/>
          <w:jc w:val="center"/>
          <w:tblLook w:val="0000"/>
        </w:tblPrEx>
        <w:trPr>
          <w:jc w:val="center"/>
        </w:trPr>
        <w:tc>
          <w:tcPr>
            <w:tcW w:w="567" w:type="dxa"/>
          </w:tcPr>
          <w:p w:rsidR="00D849C0" w:rsidRPr="00D849C0" w:rsidP="00D849C0">
            <w:pPr>
              <w:numPr>
                <w:ilvl w:val="0"/>
                <w:numId w:val="1"/>
              </w:numPr>
              <w:jc w:val="both"/>
              <w:rPr>
                <w:rFonts w:asciiTheme="minorHAnsi" w:hAnsiTheme="minorHAnsi" w:cstheme="minorHAnsi"/>
              </w:rPr>
            </w:pPr>
          </w:p>
        </w:tc>
        <w:tc>
          <w:tcPr>
            <w:tcW w:w="9981" w:type="dxa"/>
          </w:tcPr>
          <w:p w:rsidR="00D849C0" w:rsidRPr="00530CD2" w:rsidP="00D849C0">
            <w:pPr>
              <w:jc w:val="both"/>
              <w:rPr>
                <w:rFonts w:asciiTheme="minorHAnsi" w:hAnsiTheme="minorHAnsi" w:cstheme="minorHAnsi"/>
                <w:b/>
                <w:bCs/>
              </w:rPr>
            </w:pPr>
            <w:r w:rsidRPr="00D849C0">
              <w:rPr>
                <w:rFonts w:asciiTheme="minorHAnsi" w:hAnsiTheme="minorHAnsi" w:cstheme="minorHAnsi"/>
                <w:b/>
                <w:bCs/>
              </w:rPr>
              <w:t>Acknowledgement of submission</w:t>
            </w:r>
          </w:p>
        </w:tc>
      </w:tr>
      <w:tr w:rsidTr="007B5737">
        <w:tblPrEx>
          <w:tblW w:w="10548" w:type="dxa"/>
          <w:jc w:val="center"/>
          <w:tblLook w:val="0000"/>
        </w:tblPrEx>
        <w:trPr>
          <w:jc w:val="center"/>
        </w:trPr>
        <w:tc>
          <w:tcPr>
            <w:tcW w:w="567" w:type="dxa"/>
          </w:tcPr>
          <w:p w:rsidR="00D849C0" w:rsidRPr="00D849C0" w:rsidP="00D849C0">
            <w:pPr>
              <w:numPr>
                <w:ilvl w:val="1"/>
                <w:numId w:val="1"/>
              </w:numPr>
              <w:jc w:val="both"/>
              <w:rPr>
                <w:rFonts w:asciiTheme="minorHAnsi" w:hAnsiTheme="minorHAnsi" w:cstheme="minorHAnsi"/>
              </w:rPr>
            </w:pPr>
          </w:p>
        </w:tc>
        <w:tc>
          <w:tcPr>
            <w:tcW w:w="9981" w:type="dxa"/>
          </w:tcPr>
          <w:p w:rsidR="00D849C0" w:rsidRPr="00D849C0" w:rsidP="00D849C0">
            <w:pPr>
              <w:jc w:val="both"/>
              <w:rPr>
                <w:rFonts w:asciiTheme="minorHAnsi" w:hAnsiTheme="minorHAnsi" w:cstheme="minorHAnsi"/>
              </w:rPr>
            </w:pPr>
            <w:r w:rsidRPr="00D849C0">
              <w:rPr>
                <w:rFonts w:asciiTheme="minorHAnsi" w:hAnsiTheme="minorHAnsi" w:cstheme="minorHAnsi"/>
              </w:rPr>
              <w:t>We would be grateful if you could acknowledge safe receipt of this submission, and</w:t>
            </w:r>
            <w:r w:rsidRPr="00D849C0">
              <w:rPr>
                <w:rFonts w:asciiTheme="minorHAnsi" w:hAnsiTheme="minorHAnsi" w:cstheme="minorHAnsi"/>
              </w:rPr>
              <w:t xml:space="preserve"> ensure that the Chartered Institute of Taxation is included in the List of Respondents when any outcome of</w:t>
            </w:r>
            <w:r>
              <w:rPr>
                <w:rFonts w:asciiTheme="minorHAnsi" w:hAnsiTheme="minorHAnsi" w:cstheme="minorHAnsi"/>
              </w:rPr>
              <w:t xml:space="preserve"> the consultation is published.</w:t>
            </w:r>
          </w:p>
        </w:tc>
      </w:tr>
    </w:tbl>
    <w:p w:rsidR="00DF429B" w:rsidP="00890044">
      <w:pPr>
        <w:rPr>
          <w:rFonts w:asciiTheme="minorHAnsi" w:hAnsiTheme="minorHAnsi" w:cstheme="minorHAnsi"/>
        </w:rPr>
      </w:pPr>
      <w:r w:rsidRPr="00D849C0">
        <w:rPr>
          <w:rFonts w:asciiTheme="minorHAnsi" w:hAnsiTheme="minorHAnsi" w:cstheme="minorHAnsi"/>
        </w:rPr>
        <w:t>The Chartered Institute of Taxation</w:t>
      </w:r>
      <w:r>
        <w:rPr>
          <w:rFonts w:asciiTheme="minorHAnsi" w:hAnsiTheme="minorHAnsi" w:cstheme="minorHAnsi"/>
        </w:rPr>
        <w:br/>
      </w:r>
      <w:r w:rsidRPr="00D849C0">
        <w:rPr>
          <w:rFonts w:asciiTheme="minorHAnsi" w:hAnsiTheme="minorHAnsi" w:cstheme="minorHAnsi"/>
        </w:rPr>
        <w:fldChar w:fldCharType="begin"/>
      </w:r>
      <w:r w:rsidRPr="00D849C0">
        <w:rPr>
          <w:rFonts w:asciiTheme="minorHAnsi" w:hAnsiTheme="minorHAnsi" w:cstheme="minorHAnsi"/>
        </w:rPr>
        <w:instrText xml:space="preserve"> DATE  \@ "d MMMM yyyy"  \* MERGEFORMAT </w:instrText>
      </w:r>
      <w:r w:rsidRPr="00D849C0">
        <w:rPr>
          <w:rFonts w:asciiTheme="minorHAnsi" w:hAnsiTheme="minorHAnsi" w:cstheme="minorHAnsi"/>
        </w:rPr>
        <w:fldChar w:fldCharType="separate"/>
      </w:r>
      <w:r w:rsidR="00B216D4">
        <w:rPr>
          <w:rFonts w:asciiTheme="minorHAnsi" w:hAnsiTheme="minorHAnsi" w:cstheme="minorHAnsi"/>
          <w:noProof/>
        </w:rPr>
        <w:t>22 April 2021</w:t>
      </w:r>
      <w:r w:rsidRPr="00D849C0">
        <w:rPr>
          <w:rFonts w:asciiTheme="minorHAnsi" w:hAnsiTheme="minorHAnsi" w:cstheme="minorHAnsi"/>
        </w:rPr>
        <w:fldChar w:fldCharType="end"/>
      </w:r>
    </w:p>
    <w:p w:rsidR="00BB7EE5">
      <w:pPr>
        <w:spacing w:after="0" w:line="240" w:lineRule="auto"/>
        <w:rPr>
          <w:rFonts w:asciiTheme="minorHAnsi" w:hAnsiTheme="minorHAnsi" w:cstheme="minorHAnsi"/>
        </w:rPr>
      </w:pPr>
      <w:r>
        <w:rPr>
          <w:rFonts w:asciiTheme="minorHAnsi" w:hAnsiTheme="minorHAnsi" w:cstheme="minorHAnsi"/>
        </w:rPr>
        <w:br w:type="page"/>
      </w:r>
    </w:p>
    <w:p w:rsidR="00BB7EE5" w:rsidRPr="00A44CD2" w:rsidP="00BB7EE5">
      <w:pPr>
        <w:ind w:left="720"/>
        <w:jc w:val="right"/>
        <w:rPr>
          <w:rFonts w:asciiTheme="minorHAnsi" w:hAnsiTheme="minorHAnsi" w:cstheme="minorHAnsi"/>
          <w:b/>
        </w:rPr>
      </w:pPr>
      <w:r w:rsidRPr="00A44CD2">
        <w:rPr>
          <w:rFonts w:asciiTheme="minorHAnsi" w:hAnsiTheme="minorHAnsi" w:cstheme="minorHAnsi"/>
          <w:b/>
        </w:rPr>
        <w:t>Appendix One</w:t>
      </w:r>
    </w:p>
    <w:p w:rsidR="00E408EF" w:rsidRPr="00A44CD2" w:rsidP="00E408EF">
      <w:pPr>
        <w:pStyle w:val="Default"/>
        <w:rPr>
          <w:rFonts w:asciiTheme="minorHAnsi" w:hAnsiTheme="minorHAnsi" w:cstheme="minorHAnsi"/>
          <w:b/>
          <w:sz w:val="22"/>
          <w:szCs w:val="22"/>
        </w:rPr>
      </w:pPr>
      <w:r w:rsidRPr="00A44CD2">
        <w:rPr>
          <w:rFonts w:asciiTheme="minorHAnsi" w:hAnsiTheme="minorHAnsi" w:cstheme="minorHAnsi"/>
          <w:b/>
          <w:sz w:val="22"/>
          <w:szCs w:val="22"/>
        </w:rPr>
        <w:t>Principles of tax policy</w:t>
      </w:r>
    </w:p>
    <w:p w:rsidR="00E408EF" w:rsidP="00BB7EE5">
      <w:pPr>
        <w:jc w:val="both"/>
        <w:rPr>
          <w:b/>
        </w:rPr>
      </w:pPr>
    </w:p>
    <w:p w:rsidR="00E408EF" w:rsidRPr="00A44CD2" w:rsidP="00E408EF">
      <w:pPr>
        <w:pStyle w:val="Default"/>
        <w:rPr>
          <w:rFonts w:asciiTheme="minorHAnsi" w:hAnsiTheme="minorHAnsi" w:cstheme="minorHAnsi"/>
          <w:b/>
          <w:sz w:val="22"/>
          <w:szCs w:val="22"/>
        </w:rPr>
      </w:pPr>
      <w:r w:rsidRPr="00A44CD2">
        <w:rPr>
          <w:rFonts w:asciiTheme="minorHAnsi" w:hAnsiTheme="minorHAnsi" w:cstheme="minorHAnsi"/>
          <w:b/>
          <w:sz w:val="22"/>
          <w:szCs w:val="22"/>
        </w:rPr>
        <w:t>Principles of tax policy</w:t>
      </w:r>
      <w:r>
        <w:rPr>
          <w:rFonts w:asciiTheme="minorHAnsi" w:hAnsiTheme="minorHAnsi" w:cstheme="minorHAnsi"/>
          <w:b/>
          <w:sz w:val="22"/>
          <w:szCs w:val="22"/>
        </w:rPr>
        <w:t xml:space="preserve"> – 2011 report</w:t>
      </w:r>
    </w:p>
    <w:p w:rsidR="00E408EF" w:rsidP="00E408EF">
      <w:pPr>
        <w:pStyle w:val="Default"/>
        <w:rPr>
          <w:rFonts w:asciiTheme="minorHAnsi" w:hAnsiTheme="minorHAnsi" w:cstheme="minorHAnsi"/>
          <w:sz w:val="22"/>
          <w:szCs w:val="22"/>
        </w:rPr>
      </w:pPr>
    </w:p>
    <w:p w:rsidR="00E408EF" w:rsidRPr="006D038C" w:rsidP="00E408EF">
      <w:pPr>
        <w:pStyle w:val="Default"/>
        <w:rPr>
          <w:rFonts w:asciiTheme="minorHAnsi" w:hAnsiTheme="minorHAnsi" w:cstheme="minorHAnsi"/>
          <w:sz w:val="22"/>
          <w:szCs w:val="22"/>
        </w:rPr>
      </w:pPr>
      <w:r w:rsidRPr="006D038C">
        <w:rPr>
          <w:rFonts w:asciiTheme="minorHAnsi" w:hAnsiTheme="minorHAnsi" w:cstheme="minorHAnsi"/>
          <w:sz w:val="22"/>
          <w:szCs w:val="22"/>
        </w:rPr>
        <w:t xml:space="preserve">The Committee’s </w:t>
      </w:r>
      <w:r>
        <w:rPr>
          <w:rFonts w:asciiTheme="minorHAnsi" w:hAnsiTheme="minorHAnsi" w:cstheme="minorHAnsi"/>
          <w:sz w:val="22"/>
          <w:szCs w:val="22"/>
        </w:rPr>
        <w:t xml:space="preserve">2011 </w:t>
      </w:r>
      <w:r w:rsidRPr="006D038C">
        <w:rPr>
          <w:rFonts w:asciiTheme="minorHAnsi" w:hAnsiTheme="minorHAnsi" w:cstheme="minorHAnsi"/>
          <w:sz w:val="22"/>
          <w:szCs w:val="22"/>
        </w:rPr>
        <w:t xml:space="preserve">report recommended that tax policy should be measured by reference to the following principles. Tax policy should: </w:t>
      </w:r>
    </w:p>
    <w:p w:rsidR="00E408EF" w:rsidRPr="006D038C" w:rsidP="00E408EF">
      <w:pPr>
        <w:pStyle w:val="Default"/>
        <w:rPr>
          <w:rFonts w:asciiTheme="minorHAnsi" w:hAnsiTheme="minorHAnsi" w:cstheme="minorHAnsi"/>
          <w:sz w:val="22"/>
          <w:szCs w:val="22"/>
        </w:rPr>
      </w:pPr>
    </w:p>
    <w:p w:rsidR="00E408EF" w:rsidRPr="006D038C" w:rsidP="00E408EF">
      <w:pPr>
        <w:pStyle w:val="Default"/>
        <w:numPr>
          <w:ilvl w:val="0"/>
          <w:numId w:val="14"/>
        </w:numPr>
        <w:rPr>
          <w:rFonts w:asciiTheme="minorHAnsi" w:hAnsiTheme="minorHAnsi" w:cstheme="minorHAnsi"/>
          <w:i/>
          <w:sz w:val="22"/>
          <w:szCs w:val="22"/>
        </w:rPr>
      </w:pPr>
      <w:r w:rsidRPr="006D038C">
        <w:rPr>
          <w:rFonts w:asciiTheme="minorHAnsi" w:hAnsiTheme="minorHAnsi" w:cstheme="minorHAnsi"/>
          <w:b/>
          <w:bCs/>
          <w:i/>
          <w:sz w:val="22"/>
          <w:szCs w:val="22"/>
        </w:rPr>
        <w:t>be fair</w:t>
      </w:r>
      <w:r w:rsidRPr="006D038C">
        <w:rPr>
          <w:rFonts w:asciiTheme="minorHAnsi" w:hAnsiTheme="minorHAnsi" w:cstheme="minorHAnsi"/>
          <w:i/>
          <w:sz w:val="22"/>
          <w:szCs w:val="22"/>
        </w:rPr>
        <w:t>. We accept that not all commentators will ag</w:t>
      </w:r>
      <w:r w:rsidRPr="006D038C">
        <w:rPr>
          <w:rFonts w:asciiTheme="minorHAnsi" w:hAnsiTheme="minorHAnsi" w:cstheme="minorHAnsi"/>
          <w:i/>
          <w:sz w:val="22"/>
          <w:szCs w:val="22"/>
        </w:rPr>
        <w:t xml:space="preserve">ree on the detail of what constitutes a fair tax, but a tax system which is considered to be fundamentally unfair will ultimately fail to command consent. </w:t>
      </w:r>
    </w:p>
    <w:p w:rsidR="00E408EF" w:rsidRPr="006D038C" w:rsidP="00E408EF">
      <w:pPr>
        <w:pStyle w:val="Default"/>
        <w:numPr>
          <w:ilvl w:val="0"/>
          <w:numId w:val="14"/>
        </w:numPr>
        <w:rPr>
          <w:rFonts w:asciiTheme="minorHAnsi" w:hAnsiTheme="minorHAnsi" w:cstheme="minorHAnsi"/>
          <w:i/>
          <w:sz w:val="22"/>
          <w:szCs w:val="22"/>
        </w:rPr>
      </w:pPr>
      <w:r w:rsidRPr="006D038C">
        <w:rPr>
          <w:rFonts w:asciiTheme="minorHAnsi" w:hAnsiTheme="minorHAnsi" w:cstheme="minorHAnsi"/>
          <w:b/>
          <w:bCs/>
          <w:i/>
          <w:sz w:val="22"/>
          <w:szCs w:val="22"/>
        </w:rPr>
        <w:t>support growth and encourage competition</w:t>
      </w:r>
      <w:r w:rsidRPr="006D038C">
        <w:rPr>
          <w:rFonts w:asciiTheme="minorHAnsi" w:hAnsiTheme="minorHAnsi" w:cstheme="minorHAnsi"/>
          <w:i/>
          <w:sz w:val="22"/>
          <w:szCs w:val="22"/>
        </w:rPr>
        <w:t xml:space="preserve">. </w:t>
      </w:r>
    </w:p>
    <w:p w:rsidR="00E408EF" w:rsidRPr="006D038C" w:rsidP="00E408EF">
      <w:pPr>
        <w:pStyle w:val="Default"/>
        <w:numPr>
          <w:ilvl w:val="0"/>
          <w:numId w:val="14"/>
        </w:numPr>
        <w:rPr>
          <w:rFonts w:asciiTheme="minorHAnsi" w:hAnsiTheme="minorHAnsi" w:cstheme="minorHAnsi"/>
          <w:i/>
          <w:sz w:val="22"/>
          <w:szCs w:val="22"/>
        </w:rPr>
      </w:pPr>
      <w:r w:rsidRPr="006D038C">
        <w:rPr>
          <w:rFonts w:asciiTheme="minorHAnsi" w:hAnsiTheme="minorHAnsi" w:cstheme="minorHAnsi"/>
          <w:b/>
          <w:bCs/>
          <w:i/>
          <w:sz w:val="22"/>
          <w:szCs w:val="22"/>
        </w:rPr>
        <w:t>provide certainty</w:t>
      </w:r>
      <w:r w:rsidRPr="006D038C">
        <w:rPr>
          <w:rFonts w:asciiTheme="minorHAnsi" w:hAnsiTheme="minorHAnsi" w:cstheme="minorHAnsi"/>
          <w:i/>
          <w:sz w:val="22"/>
          <w:szCs w:val="22"/>
        </w:rPr>
        <w:t xml:space="preserve">. In virtually all circumstances the application of the tax rules should be certain. It should not normally be necessary for anyone to resort to the courts in order to resolve how the rules operate in relation to his or her tax affairs. </w:t>
      </w:r>
      <w:r w:rsidRPr="006D038C">
        <w:rPr>
          <w:rFonts w:asciiTheme="minorHAnsi" w:hAnsiTheme="minorHAnsi" w:cstheme="minorHAnsi"/>
          <w:b/>
          <w:bCs/>
          <w:i/>
          <w:sz w:val="22"/>
          <w:szCs w:val="22"/>
        </w:rPr>
        <w:t>Certainty about tax</w:t>
      </w:r>
      <w:r w:rsidRPr="006D038C">
        <w:rPr>
          <w:rFonts w:asciiTheme="minorHAnsi" w:hAnsiTheme="minorHAnsi" w:cstheme="minorHAnsi"/>
          <w:b/>
          <w:bCs/>
          <w:i/>
          <w:sz w:val="22"/>
          <w:szCs w:val="22"/>
        </w:rPr>
        <w:t xml:space="preserve"> requires</w:t>
      </w:r>
      <w:r w:rsidRPr="006D038C">
        <w:rPr>
          <w:rFonts w:asciiTheme="minorHAnsi" w:hAnsiTheme="minorHAnsi" w:cstheme="minorHAnsi"/>
          <w:i/>
          <w:sz w:val="22"/>
          <w:szCs w:val="22"/>
        </w:rPr>
        <w:t xml:space="preserve"> </w:t>
      </w:r>
    </w:p>
    <w:p w:rsidR="00E408EF" w:rsidRPr="006D038C" w:rsidP="00E408EF">
      <w:pPr>
        <w:pStyle w:val="Default"/>
        <w:numPr>
          <w:ilvl w:val="1"/>
          <w:numId w:val="14"/>
        </w:numPr>
        <w:rPr>
          <w:rFonts w:asciiTheme="minorHAnsi" w:hAnsiTheme="minorHAnsi" w:cstheme="minorHAnsi"/>
          <w:i/>
          <w:sz w:val="22"/>
          <w:szCs w:val="22"/>
        </w:rPr>
      </w:pPr>
      <w:r w:rsidRPr="006D038C">
        <w:rPr>
          <w:rFonts w:asciiTheme="minorHAnsi" w:hAnsiTheme="minorHAnsi" w:cstheme="minorHAnsi"/>
          <w:b/>
          <w:bCs/>
          <w:i/>
          <w:sz w:val="22"/>
          <w:szCs w:val="22"/>
        </w:rPr>
        <w:t>legal clarity:</w:t>
      </w:r>
      <w:r w:rsidRPr="006D038C">
        <w:rPr>
          <w:rFonts w:asciiTheme="minorHAnsi" w:hAnsiTheme="minorHAnsi" w:cstheme="minorHAnsi"/>
          <w:i/>
          <w:sz w:val="22"/>
          <w:szCs w:val="22"/>
        </w:rPr>
        <w:t xml:space="preserve"> Tax legislation should be based on statute and subject to proper democratic scrutiny by Parliament. </w:t>
      </w:r>
    </w:p>
    <w:p w:rsidR="00E408EF" w:rsidRPr="006D038C" w:rsidP="00E408EF">
      <w:pPr>
        <w:pStyle w:val="Default"/>
        <w:numPr>
          <w:ilvl w:val="1"/>
          <w:numId w:val="14"/>
        </w:numPr>
        <w:rPr>
          <w:rFonts w:asciiTheme="minorHAnsi" w:hAnsiTheme="minorHAnsi" w:cstheme="minorHAnsi"/>
          <w:i/>
          <w:sz w:val="22"/>
          <w:szCs w:val="22"/>
        </w:rPr>
      </w:pPr>
      <w:r w:rsidRPr="006D038C">
        <w:rPr>
          <w:rFonts w:asciiTheme="minorHAnsi" w:hAnsiTheme="minorHAnsi" w:cstheme="minorHAnsi"/>
          <w:b/>
          <w:bCs/>
          <w:i/>
          <w:sz w:val="22"/>
          <w:szCs w:val="22"/>
        </w:rPr>
        <w:t>Simplicity:</w:t>
      </w:r>
      <w:r w:rsidRPr="006D038C">
        <w:rPr>
          <w:rFonts w:asciiTheme="minorHAnsi" w:hAnsiTheme="minorHAnsi" w:cstheme="minorHAnsi"/>
          <w:i/>
          <w:sz w:val="22"/>
          <w:szCs w:val="22"/>
        </w:rPr>
        <w:t xml:space="preserve"> The tax rules should aim to be simple, understandable and clear in their objectives. </w:t>
      </w:r>
    </w:p>
    <w:p w:rsidR="00E408EF" w:rsidRPr="006D038C" w:rsidP="00E408EF">
      <w:pPr>
        <w:pStyle w:val="Default"/>
        <w:numPr>
          <w:ilvl w:val="1"/>
          <w:numId w:val="14"/>
        </w:numPr>
        <w:rPr>
          <w:rFonts w:asciiTheme="minorHAnsi" w:hAnsiTheme="minorHAnsi" w:cstheme="minorHAnsi"/>
          <w:i/>
          <w:sz w:val="22"/>
          <w:szCs w:val="22"/>
        </w:rPr>
      </w:pPr>
      <w:r w:rsidRPr="006D038C">
        <w:rPr>
          <w:rFonts w:asciiTheme="minorHAnsi" w:hAnsiTheme="minorHAnsi" w:cstheme="minorHAnsi"/>
          <w:b/>
          <w:bCs/>
          <w:i/>
          <w:sz w:val="22"/>
          <w:szCs w:val="22"/>
        </w:rPr>
        <w:t>Targeting:</w:t>
      </w:r>
      <w:r w:rsidRPr="006D038C">
        <w:rPr>
          <w:rFonts w:asciiTheme="minorHAnsi" w:hAnsiTheme="minorHAnsi" w:cstheme="minorHAnsi"/>
          <w:i/>
          <w:sz w:val="22"/>
          <w:szCs w:val="22"/>
        </w:rPr>
        <w:t xml:space="preserve"> It should be clear t</w:t>
      </w:r>
      <w:r w:rsidRPr="006D038C">
        <w:rPr>
          <w:rFonts w:asciiTheme="minorHAnsi" w:hAnsiTheme="minorHAnsi" w:cstheme="minorHAnsi"/>
          <w:i/>
          <w:sz w:val="22"/>
          <w:szCs w:val="22"/>
        </w:rPr>
        <w:t xml:space="preserve">o taxpayers whether or not they are liable for particular types of charges to tax. When anti-avoidance legislation is passed, due regard should be had to maintaining the simplicity and certainty of the tax system. </w:t>
      </w:r>
    </w:p>
    <w:p w:rsidR="00E408EF" w:rsidRPr="006D038C" w:rsidP="00E408EF">
      <w:pPr>
        <w:pStyle w:val="Default"/>
        <w:numPr>
          <w:ilvl w:val="0"/>
          <w:numId w:val="14"/>
        </w:numPr>
        <w:rPr>
          <w:rFonts w:asciiTheme="minorHAnsi" w:hAnsiTheme="minorHAnsi" w:cstheme="minorHAnsi"/>
          <w:i/>
          <w:sz w:val="22"/>
          <w:szCs w:val="22"/>
        </w:rPr>
      </w:pPr>
      <w:r w:rsidRPr="006D038C">
        <w:rPr>
          <w:rFonts w:asciiTheme="minorHAnsi" w:hAnsiTheme="minorHAnsi" w:cstheme="minorHAnsi"/>
          <w:b/>
          <w:bCs/>
          <w:i/>
          <w:sz w:val="22"/>
          <w:szCs w:val="22"/>
        </w:rPr>
        <w:t>provide stability</w:t>
      </w:r>
      <w:r w:rsidRPr="006D038C">
        <w:rPr>
          <w:rFonts w:asciiTheme="minorHAnsi" w:hAnsiTheme="minorHAnsi" w:cstheme="minorHAnsi"/>
          <w:i/>
          <w:sz w:val="22"/>
          <w:szCs w:val="22"/>
        </w:rPr>
        <w:t>. Changes to the underly</w:t>
      </w:r>
      <w:r w:rsidRPr="006D038C">
        <w:rPr>
          <w:rFonts w:asciiTheme="minorHAnsi" w:hAnsiTheme="minorHAnsi" w:cstheme="minorHAnsi"/>
          <w:i/>
          <w:sz w:val="22"/>
          <w:szCs w:val="22"/>
        </w:rPr>
        <w:t xml:space="preserve">ing rules should be kept to a minimum and policy shocks should both be avoided. There should be a justifiable economic and/or social basis for any change to the tax rules and this justification should be made public and the underlying policy made clear. </w:t>
      </w:r>
    </w:p>
    <w:p w:rsidR="00E408EF" w:rsidRPr="006D038C" w:rsidP="00E408EF">
      <w:pPr>
        <w:pStyle w:val="Default"/>
        <w:numPr>
          <w:ilvl w:val="0"/>
          <w:numId w:val="14"/>
        </w:numPr>
        <w:rPr>
          <w:rFonts w:asciiTheme="minorHAnsi" w:hAnsiTheme="minorHAnsi" w:cstheme="minorHAnsi"/>
          <w:szCs w:val="22"/>
        </w:rPr>
      </w:pPr>
      <w:r w:rsidRPr="006D038C">
        <w:rPr>
          <w:rFonts w:asciiTheme="minorHAnsi" w:hAnsiTheme="minorHAnsi" w:cstheme="minorHAnsi"/>
          <w:i/>
          <w:sz w:val="22"/>
          <w:szCs w:val="22"/>
        </w:rPr>
        <w:t>T</w:t>
      </w:r>
      <w:r w:rsidRPr="006D038C">
        <w:rPr>
          <w:rFonts w:asciiTheme="minorHAnsi" w:hAnsiTheme="minorHAnsi" w:cstheme="minorHAnsi"/>
          <w:i/>
          <w:sz w:val="22"/>
          <w:szCs w:val="22"/>
        </w:rPr>
        <w:t xml:space="preserve">he Committee also considers that it is important that a person's tax liability should be easy to calculate and straightforward and cheap to collect. To this end, tax policy should be </w:t>
      </w:r>
      <w:r w:rsidRPr="006D038C">
        <w:rPr>
          <w:rFonts w:asciiTheme="minorHAnsi" w:hAnsiTheme="minorHAnsi" w:cstheme="minorHAnsi"/>
          <w:b/>
          <w:bCs/>
          <w:i/>
          <w:sz w:val="22"/>
          <w:szCs w:val="22"/>
        </w:rPr>
        <w:t>practicable</w:t>
      </w:r>
      <w:r w:rsidRPr="006D038C">
        <w:rPr>
          <w:rFonts w:asciiTheme="minorHAnsi" w:hAnsiTheme="minorHAnsi" w:cstheme="minorHAnsi"/>
          <w:i/>
          <w:sz w:val="22"/>
          <w:szCs w:val="22"/>
        </w:rPr>
        <w:t xml:space="preserve">. </w:t>
      </w:r>
    </w:p>
    <w:p w:rsidR="00E408EF" w:rsidRPr="00080B96" w:rsidP="00E408EF">
      <w:pPr>
        <w:pStyle w:val="Default"/>
        <w:numPr>
          <w:ilvl w:val="0"/>
          <w:numId w:val="14"/>
        </w:numPr>
        <w:jc w:val="both"/>
        <w:rPr>
          <w:rFonts w:asciiTheme="minorHAnsi" w:hAnsiTheme="minorHAnsi" w:cstheme="minorHAnsi"/>
          <w:szCs w:val="22"/>
        </w:rPr>
      </w:pPr>
      <w:r w:rsidRPr="006D038C">
        <w:rPr>
          <w:rFonts w:asciiTheme="minorHAnsi" w:hAnsiTheme="minorHAnsi" w:cstheme="minorHAnsi"/>
          <w:i/>
          <w:sz w:val="22"/>
          <w:szCs w:val="22"/>
        </w:rPr>
        <w:t xml:space="preserve">The tax system as a whole must be </w:t>
      </w:r>
      <w:r w:rsidRPr="006D038C">
        <w:rPr>
          <w:rFonts w:asciiTheme="minorHAnsi" w:hAnsiTheme="minorHAnsi" w:cstheme="minorHAnsi"/>
          <w:b/>
          <w:bCs/>
          <w:i/>
          <w:sz w:val="22"/>
          <w:szCs w:val="22"/>
        </w:rPr>
        <w:t>coherent</w:t>
      </w:r>
      <w:r w:rsidRPr="006D038C">
        <w:rPr>
          <w:rFonts w:asciiTheme="minorHAnsi" w:hAnsiTheme="minorHAnsi" w:cstheme="minorHAnsi"/>
          <w:i/>
          <w:sz w:val="22"/>
          <w:szCs w:val="22"/>
        </w:rPr>
        <w:t xml:space="preserve">. New provisions </w:t>
      </w:r>
      <w:r w:rsidRPr="006D038C">
        <w:rPr>
          <w:rFonts w:asciiTheme="minorHAnsi" w:hAnsiTheme="minorHAnsi" w:cstheme="minorHAnsi"/>
          <w:i/>
          <w:sz w:val="22"/>
          <w:szCs w:val="22"/>
        </w:rPr>
        <w:t>should complement the existing tax system, not conflict with it.</w:t>
      </w:r>
    </w:p>
    <w:p w:rsidR="00E408EF" w:rsidP="00BB7EE5">
      <w:pPr>
        <w:jc w:val="both"/>
        <w:rPr>
          <w:b/>
        </w:rPr>
      </w:pPr>
    </w:p>
    <w:p w:rsidR="00BB7EE5" w:rsidRPr="00A44CD2" w:rsidP="00BB7EE5">
      <w:pPr>
        <w:jc w:val="both"/>
        <w:rPr>
          <w:b/>
        </w:rPr>
      </w:pPr>
      <w:r w:rsidRPr="00A44CD2">
        <w:rPr>
          <w:b/>
        </w:rPr>
        <w:t>Tax after coronavirus</w:t>
      </w:r>
      <w:r>
        <w:rPr>
          <w:b/>
        </w:rPr>
        <w:t xml:space="preserve"> report</w:t>
      </w:r>
    </w:p>
    <w:p w:rsidR="00BB7EE5" w:rsidRPr="00742636" w:rsidP="00BB7EE5">
      <w:pPr>
        <w:jc w:val="both"/>
        <w:rPr>
          <w:rFonts w:asciiTheme="minorHAnsi" w:hAnsiTheme="minorHAnsi" w:cstheme="minorHAnsi"/>
        </w:rPr>
      </w:pPr>
      <w:r>
        <w:t xml:space="preserve">The Committee’s 2021 report ‘Tax after coronavirus’ builds on some of the above principles both in general and </w:t>
      </w:r>
      <w:r w:rsidRPr="00742636">
        <w:rPr>
          <w:rFonts w:asciiTheme="minorHAnsi" w:hAnsiTheme="minorHAnsi" w:cstheme="minorHAnsi"/>
        </w:rPr>
        <w:t xml:space="preserve">specific ways, </w:t>
      </w:r>
      <w:r w:rsidRPr="00BB7EE5">
        <w:rPr>
          <w:rFonts w:asciiTheme="minorHAnsi" w:hAnsiTheme="minorHAnsi" w:cstheme="minorHAnsi"/>
        </w:rPr>
        <w:t>which can be summarised as</w:t>
      </w:r>
      <w:r w:rsidRPr="00742636">
        <w:rPr>
          <w:rFonts w:asciiTheme="minorHAnsi" w:hAnsiTheme="minorHAnsi" w:cstheme="minorHAnsi"/>
        </w:rPr>
        <w:t>:</w:t>
      </w:r>
    </w:p>
    <w:p w:rsidR="00BB7EE5" w:rsidRPr="00742636" w:rsidP="00BB7EE5">
      <w:pPr>
        <w:pStyle w:val="ListParagraph"/>
        <w:numPr>
          <w:ilvl w:val="0"/>
          <w:numId w:val="11"/>
        </w:numPr>
        <w:spacing w:after="0" w:line="240" w:lineRule="auto"/>
        <w:jc w:val="both"/>
        <w:rPr>
          <w:rFonts w:asciiTheme="minorHAnsi" w:hAnsiTheme="minorHAnsi" w:cstheme="minorHAnsi"/>
        </w:rPr>
      </w:pPr>
      <w:r w:rsidRPr="00742636">
        <w:rPr>
          <w:rFonts w:asciiTheme="minorHAnsi" w:hAnsiTheme="minorHAnsi" w:cstheme="minorHAnsi"/>
        </w:rPr>
        <w:t>The nee</w:t>
      </w:r>
      <w:r w:rsidRPr="00742636">
        <w:rPr>
          <w:rFonts w:asciiTheme="minorHAnsi" w:hAnsiTheme="minorHAnsi" w:cstheme="minorHAnsi"/>
        </w:rPr>
        <w:t xml:space="preserve">d for </w:t>
      </w:r>
      <w:r>
        <w:rPr>
          <w:rFonts w:asciiTheme="minorHAnsi" w:hAnsiTheme="minorHAnsi" w:cstheme="minorHAnsi"/>
        </w:rPr>
        <w:t xml:space="preserve">reform, but through a </w:t>
      </w:r>
      <w:r w:rsidRPr="00742636">
        <w:rPr>
          <w:rFonts w:asciiTheme="minorHAnsi" w:hAnsiTheme="minorHAnsi" w:cstheme="minorHAnsi"/>
        </w:rPr>
        <w:t>consul</w:t>
      </w:r>
      <w:r>
        <w:rPr>
          <w:rFonts w:asciiTheme="minorHAnsi" w:hAnsiTheme="minorHAnsi" w:cstheme="minorHAnsi"/>
        </w:rPr>
        <w:t xml:space="preserve">tative approach. </w:t>
      </w:r>
    </w:p>
    <w:p w:rsidR="00BB7EE5" w:rsidP="00BB7EE5">
      <w:pPr>
        <w:pStyle w:val="ListParagraph"/>
        <w:numPr>
          <w:ilvl w:val="0"/>
          <w:numId w:val="11"/>
        </w:numPr>
        <w:spacing w:after="0" w:line="240" w:lineRule="auto"/>
        <w:jc w:val="both"/>
      </w:pPr>
      <w:r>
        <w:t xml:space="preserve">Removing distortions which can add complexity or promote particular behaviours. </w:t>
      </w:r>
    </w:p>
    <w:p w:rsidR="00BB7EE5" w:rsidP="00BB7EE5">
      <w:pPr>
        <w:pStyle w:val="ListParagraph"/>
        <w:numPr>
          <w:ilvl w:val="0"/>
          <w:numId w:val="11"/>
        </w:numPr>
        <w:spacing w:after="0" w:line="240" w:lineRule="auto"/>
        <w:jc w:val="both"/>
      </w:pPr>
      <w:r>
        <w:t>The benefits of setting out principles, objectives and strategies.</w:t>
      </w:r>
    </w:p>
    <w:p w:rsidR="00BB7EE5" w:rsidP="00BB7EE5">
      <w:pPr>
        <w:pStyle w:val="ListParagraph"/>
        <w:numPr>
          <w:ilvl w:val="0"/>
          <w:numId w:val="11"/>
        </w:numPr>
        <w:spacing w:after="0" w:line="240" w:lineRule="auto"/>
        <w:jc w:val="both"/>
      </w:pPr>
      <w:r>
        <w:t xml:space="preserve">The need to raise revenues, but without damaging </w:t>
      </w:r>
      <w:r>
        <w:t>growth.</w:t>
      </w:r>
    </w:p>
    <w:p w:rsidR="00BB7EE5" w:rsidP="00BB7EE5">
      <w:pPr>
        <w:pStyle w:val="ListParagraph"/>
        <w:numPr>
          <w:ilvl w:val="0"/>
          <w:numId w:val="11"/>
        </w:numPr>
        <w:spacing w:after="0" w:line="240" w:lineRule="auto"/>
        <w:jc w:val="both"/>
      </w:pPr>
      <w:r>
        <w:t>Supporting businesses.</w:t>
      </w:r>
    </w:p>
    <w:p w:rsidR="00BB7EE5" w:rsidP="00BB7EE5">
      <w:pPr>
        <w:pStyle w:val="ListParagraph"/>
        <w:numPr>
          <w:ilvl w:val="0"/>
          <w:numId w:val="11"/>
        </w:numPr>
        <w:spacing w:after="0" w:line="240" w:lineRule="auto"/>
        <w:jc w:val="both"/>
      </w:pPr>
      <w:r>
        <w:t>The need for certainty / long-term decisions.</w:t>
      </w:r>
    </w:p>
    <w:p w:rsidR="00BB7EE5" w:rsidP="00BB7EE5">
      <w:pPr>
        <w:pStyle w:val="ListParagraph"/>
        <w:numPr>
          <w:ilvl w:val="0"/>
          <w:numId w:val="11"/>
        </w:numPr>
        <w:spacing w:after="0" w:line="240" w:lineRule="auto"/>
        <w:jc w:val="both"/>
      </w:pPr>
      <w:r>
        <w:t>Ongoing monitoring of measures.</w:t>
      </w:r>
    </w:p>
    <w:p w:rsidR="00BB7EE5" w:rsidP="00BB7EE5">
      <w:pPr>
        <w:pStyle w:val="ListParagraph"/>
        <w:numPr>
          <w:ilvl w:val="0"/>
          <w:numId w:val="11"/>
        </w:numPr>
        <w:spacing w:after="0" w:line="240" w:lineRule="auto"/>
        <w:jc w:val="both"/>
      </w:pPr>
      <w:r>
        <w:t>Adherence to the tax policy-making process.</w:t>
      </w:r>
    </w:p>
    <w:p w:rsidR="00BB7EE5" w:rsidP="00BB7EE5">
      <w:pPr>
        <w:jc w:val="both"/>
        <w:rPr>
          <w:rFonts w:asciiTheme="minorHAnsi" w:hAnsiTheme="minorHAnsi" w:cstheme="minorHAnsi"/>
        </w:rPr>
      </w:pPr>
    </w:p>
    <w:p w:rsidR="00BB7EE5" w:rsidRPr="00A44CD2" w:rsidP="00BB7EE5">
      <w:pPr>
        <w:jc w:val="both"/>
        <w:rPr>
          <w:rFonts w:asciiTheme="minorHAnsi" w:hAnsiTheme="minorHAnsi" w:cstheme="minorHAnsi"/>
          <w:b/>
          <w:iCs/>
        </w:rPr>
      </w:pPr>
      <w:r w:rsidRPr="00A44CD2">
        <w:rPr>
          <w:rFonts w:asciiTheme="minorHAnsi" w:hAnsiTheme="minorHAnsi" w:cstheme="minorHAnsi"/>
          <w:b/>
          <w:iCs/>
        </w:rPr>
        <w:t>CIOT objectives for the tax system</w:t>
      </w:r>
    </w:p>
    <w:p w:rsidR="00BB7EE5" w:rsidRPr="00A44CD2" w:rsidP="00BB7EE5">
      <w:pPr>
        <w:jc w:val="both"/>
        <w:rPr>
          <w:rFonts w:asciiTheme="minorHAnsi" w:hAnsiTheme="minorHAnsi" w:cstheme="minorHAnsi"/>
          <w:iCs/>
        </w:rPr>
      </w:pPr>
      <w:r w:rsidRPr="00A44CD2">
        <w:rPr>
          <w:rFonts w:asciiTheme="minorHAnsi" w:hAnsiTheme="minorHAnsi" w:cstheme="minorHAnsi"/>
          <w:iCs/>
        </w:rPr>
        <w:t>Our stated objectives for the tax system have much in common with t</w:t>
      </w:r>
      <w:r w:rsidRPr="00A44CD2">
        <w:rPr>
          <w:rFonts w:asciiTheme="minorHAnsi" w:hAnsiTheme="minorHAnsi" w:cstheme="minorHAnsi"/>
          <w:iCs/>
        </w:rPr>
        <w:t>he Committee’s tax policy principles, and include:</w:t>
      </w:r>
    </w:p>
    <w:p w:rsidR="00BB7EE5" w:rsidRPr="00A44CD2" w:rsidP="00BB7EE5">
      <w:pPr>
        <w:numPr>
          <w:ilvl w:val="0"/>
          <w:numId w:val="5"/>
        </w:numPr>
        <w:spacing w:after="0"/>
        <w:ind w:left="714" w:hanging="357"/>
        <w:jc w:val="both"/>
        <w:rPr>
          <w:rFonts w:asciiTheme="minorHAnsi" w:hAnsiTheme="minorHAnsi" w:cstheme="minorHAnsi"/>
          <w:iCs/>
        </w:rPr>
      </w:pPr>
      <w:r w:rsidRPr="00A44CD2">
        <w:rPr>
          <w:rFonts w:asciiTheme="minorHAnsi" w:hAnsiTheme="minorHAnsi" w:cstheme="minorHAnsi"/>
          <w:iCs/>
        </w:rPr>
        <w:t>A legislative process which translates policy intentions into statute accurately and effectively, without unintended consequences.</w:t>
      </w:r>
    </w:p>
    <w:p w:rsidR="00BB7EE5" w:rsidRPr="00A44CD2" w:rsidP="00BB7EE5">
      <w:pPr>
        <w:numPr>
          <w:ilvl w:val="0"/>
          <w:numId w:val="5"/>
        </w:numPr>
        <w:spacing w:after="0"/>
        <w:ind w:left="714" w:hanging="357"/>
        <w:jc w:val="both"/>
        <w:rPr>
          <w:rFonts w:asciiTheme="minorHAnsi" w:hAnsiTheme="minorHAnsi" w:cstheme="minorHAnsi"/>
          <w:iCs/>
        </w:rPr>
      </w:pPr>
      <w:r w:rsidRPr="00A44CD2">
        <w:rPr>
          <w:rFonts w:asciiTheme="minorHAnsi" w:hAnsiTheme="minorHAnsi" w:cstheme="minorHAnsi"/>
          <w:iCs/>
        </w:rPr>
        <w:t xml:space="preserve">Greater simplicity and clarity, so people can understand how much tax they should be paying and why. </w:t>
      </w:r>
    </w:p>
    <w:p w:rsidR="00BB7EE5" w:rsidRPr="00A44CD2" w:rsidP="00BB7EE5">
      <w:pPr>
        <w:numPr>
          <w:ilvl w:val="0"/>
          <w:numId w:val="5"/>
        </w:numPr>
        <w:spacing w:after="0"/>
        <w:ind w:left="714" w:hanging="357"/>
        <w:jc w:val="both"/>
        <w:rPr>
          <w:rFonts w:asciiTheme="minorHAnsi" w:hAnsiTheme="minorHAnsi" w:cstheme="minorHAnsi"/>
          <w:iCs/>
        </w:rPr>
      </w:pPr>
      <w:r w:rsidRPr="00A44CD2">
        <w:rPr>
          <w:rFonts w:asciiTheme="minorHAnsi" w:hAnsiTheme="minorHAnsi" w:cstheme="minorHAnsi"/>
          <w:iCs/>
        </w:rPr>
        <w:t>Greater certainty, so businesses and individuals can plan ahead with confidence.</w:t>
      </w:r>
    </w:p>
    <w:p w:rsidR="00BB7EE5" w:rsidRPr="00A44CD2" w:rsidP="00BB7EE5">
      <w:pPr>
        <w:numPr>
          <w:ilvl w:val="0"/>
          <w:numId w:val="5"/>
        </w:numPr>
        <w:spacing w:after="0"/>
        <w:ind w:left="714" w:hanging="357"/>
        <w:jc w:val="both"/>
        <w:rPr>
          <w:rFonts w:asciiTheme="minorHAnsi" w:hAnsiTheme="minorHAnsi" w:cstheme="minorHAnsi"/>
          <w:iCs/>
        </w:rPr>
      </w:pPr>
      <w:r w:rsidRPr="00A44CD2">
        <w:rPr>
          <w:rFonts w:asciiTheme="minorHAnsi" w:hAnsiTheme="minorHAnsi" w:cstheme="minorHAnsi"/>
          <w:iCs/>
        </w:rPr>
        <w:t>A fair balance between the powers of tax collectors and the rights of tax</w:t>
      </w:r>
      <w:r w:rsidRPr="00A44CD2">
        <w:rPr>
          <w:rFonts w:asciiTheme="minorHAnsi" w:hAnsiTheme="minorHAnsi" w:cstheme="minorHAnsi"/>
          <w:iCs/>
        </w:rPr>
        <w:t xml:space="preserve">payers (both represented and unrepresented). </w:t>
      </w:r>
    </w:p>
    <w:p w:rsidR="00BB7EE5" w:rsidRPr="00A44CD2" w:rsidP="00BB7EE5">
      <w:pPr>
        <w:numPr>
          <w:ilvl w:val="0"/>
          <w:numId w:val="5"/>
        </w:numPr>
        <w:spacing w:after="0"/>
        <w:ind w:left="714" w:hanging="357"/>
        <w:jc w:val="both"/>
        <w:rPr>
          <w:rFonts w:asciiTheme="minorHAnsi" w:hAnsiTheme="minorHAnsi" w:cstheme="minorHAnsi"/>
          <w:iCs/>
        </w:rPr>
      </w:pPr>
      <w:r w:rsidRPr="00A44CD2">
        <w:rPr>
          <w:rFonts w:asciiTheme="minorHAnsi" w:hAnsiTheme="minorHAnsi" w:cstheme="minorHAnsi"/>
          <w:iCs/>
        </w:rPr>
        <w:t>Responsive and competent tax administration, with a minimum of bureaucracy.</w:t>
      </w:r>
    </w:p>
    <w:p w:rsidR="00D849C0" w:rsidP="00F67FCA">
      <w:pPr>
        <w:jc w:val="both"/>
        <w:rPr>
          <w:rFonts w:asciiTheme="minorHAnsi" w:hAnsiTheme="minorHAnsi" w:cstheme="minorHAnsi"/>
        </w:rPr>
      </w:pPr>
    </w:p>
    <w:p w:rsidR="00574F51" w:rsidRPr="00574F51" w:rsidP="00F67FCA">
      <w:pPr>
        <w:jc w:val="both"/>
        <w:rPr>
          <w:rFonts w:asciiTheme="minorHAnsi" w:hAnsiTheme="minorHAnsi" w:cstheme="minorHAnsi"/>
          <w:i/>
          <w:iCs/>
        </w:rPr>
      </w:pPr>
      <w:r>
        <w:rPr>
          <w:rFonts w:asciiTheme="minorHAnsi" w:hAnsiTheme="minorHAnsi" w:cstheme="minorHAnsi"/>
          <w:i/>
          <w:iCs/>
        </w:rPr>
        <w:t>April 2021</w:t>
      </w:r>
    </w:p>
    <w:sectPr w:rsidSect="00574F51">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576"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6D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45463331"/>
      <w:docPartObj>
        <w:docPartGallery w:val="Page Numbers (Bottom of Page)"/>
        <w:docPartUnique/>
      </w:docPartObj>
    </w:sdtPr>
    <w:sdtEndPr>
      <w:rPr>
        <w:noProof/>
      </w:rPr>
    </w:sdtEndPr>
    <w:sdtContent>
      <w:p w:rsidR="00C70F94" w:rsidP="00D849C0">
        <w:pPr>
          <w:pStyle w:val="Footer"/>
          <w:tabs>
            <w:tab w:val="clear" w:pos="9026"/>
            <w:tab w:val="right" w:pos="10440"/>
          </w:tabs>
        </w:pPr>
      </w:p>
      <w:p w:rsidR="00C70F94" w:rsidP="00D849C0">
        <w:pPr>
          <w:pStyle w:val="Footer"/>
          <w:tabs>
            <w:tab w:val="clear" w:pos="9026"/>
            <w:tab w:val="right" w:pos="10440"/>
          </w:tabs>
        </w:pPr>
        <w:r w:rsidRPr="00D849C0">
          <w:rPr>
            <w:sz w:val="20"/>
            <w:szCs w:val="20"/>
          </w:rPr>
          <w:tab/>
        </w:r>
        <w:r w:rsidRPr="00D849C0">
          <w:rPr>
            <w:sz w:val="20"/>
            <w:szCs w:val="20"/>
          </w:rPr>
          <w:tab/>
        </w:r>
        <w:r w:rsidRPr="00D849C0">
          <w:rPr>
            <w:sz w:val="20"/>
            <w:szCs w:val="20"/>
          </w:rPr>
          <w:fldChar w:fldCharType="begin"/>
        </w:r>
        <w:r w:rsidRPr="00D849C0">
          <w:rPr>
            <w:sz w:val="20"/>
            <w:szCs w:val="20"/>
          </w:rPr>
          <w:instrText xml:space="preserve"> PAGE   \* MERGEFORMAT </w:instrText>
        </w:r>
        <w:r w:rsidRPr="00D849C0">
          <w:rPr>
            <w:sz w:val="20"/>
            <w:szCs w:val="20"/>
          </w:rPr>
          <w:fldChar w:fldCharType="separate"/>
        </w:r>
        <w:r>
          <w:rPr>
            <w:noProof/>
            <w:sz w:val="20"/>
            <w:szCs w:val="20"/>
          </w:rPr>
          <w:t>7</w:t>
        </w:r>
        <w:r w:rsidRPr="00D849C0">
          <w:rPr>
            <w:noProof/>
            <w:sz w:val="20"/>
            <w:szCs w:val="20"/>
          </w:rPr>
          <w:fldChar w:fldCharType="end"/>
        </w:r>
      </w:p>
    </w:sdtContent>
  </w:sdt>
  <w:p w:rsidR="00C70F9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0F94">
    <w:pPr>
      <w:pStyle w:val="Footer"/>
    </w:pPr>
  </w:p>
  <w:p w:rsidR="00C70F94" w:rsidRPr="005D55AD" w:rsidP="00574F51">
    <w:pPr>
      <w:pStyle w:val="Footer"/>
      <w:rPr>
        <w:sz w:val="18"/>
        <w:szCs w:val="18"/>
      </w:rPr>
    </w:pPr>
    <w:r>
      <w:rPr>
        <w:sz w:val="18"/>
        <w:szCs w:val="18"/>
      </w:rPr>
      <w:b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70F94" w:rsidP="00076570">
      <w:pPr>
        <w:spacing w:after="0" w:line="240" w:lineRule="auto"/>
      </w:pPr>
      <w:r>
        <w:separator/>
      </w:r>
    </w:p>
  </w:footnote>
  <w:footnote w:type="continuationSeparator" w:id="1">
    <w:p w:rsidR="00C70F94" w:rsidP="00076570">
      <w:pPr>
        <w:spacing w:after="0" w:line="240" w:lineRule="auto"/>
      </w:pPr>
      <w:r>
        <w:continuationSeparator/>
      </w:r>
    </w:p>
  </w:footnote>
  <w:footnote w:id="2">
    <w:p w:rsidR="00C70F94">
      <w:pPr>
        <w:pStyle w:val="FootnoteText"/>
      </w:pPr>
      <w:r>
        <w:rPr>
          <w:rStyle w:val="FootnoteReference"/>
        </w:rPr>
        <w:footnoteRef/>
      </w:r>
      <w:r>
        <w:t xml:space="preserve"> See </w:t>
      </w:r>
      <w:r>
        <w:fldChar w:fldCharType="begin"/>
      </w:r>
      <w:r>
        <w:instrText xml:space="preserve"> HYPERLINK "https://www.gov.uk/guidance/check-which-expenses-are-taxable-if-your-employee-works-from-home-due-to-coronavirus-covid-19" \l "taxable-benefit-charge---returning-office-equipment" </w:instrText>
      </w:r>
      <w:r>
        <w:fldChar w:fldCharType="separate"/>
      </w:r>
      <w:r w:rsidRPr="009459C8">
        <w:rPr>
          <w:rStyle w:val="Hyperlink"/>
        </w:rPr>
        <w:t>Check which expenses are taxable if your employee works from hom</w:t>
      </w:r>
      <w:r w:rsidRPr="009459C8">
        <w:rPr>
          <w:rStyle w:val="Hyperlink"/>
        </w:rPr>
        <w:t>e due to coronavirus (COVID-19) - GOV.UK (www.gov.uk)</w:t>
      </w:r>
      <w:r>
        <w:fldChar w:fldCharType="end"/>
      </w:r>
      <w:r>
        <w:t xml:space="preserve"> </w:t>
      </w:r>
    </w:p>
  </w:footnote>
  <w:footnote w:id="3">
    <w:p w:rsidR="00C70F94">
      <w:pPr>
        <w:pStyle w:val="FootnoteText"/>
      </w:pPr>
      <w:r>
        <w:rPr>
          <w:rStyle w:val="FootnoteReference"/>
        </w:rPr>
        <w:footnoteRef/>
      </w:r>
      <w:r>
        <w:t xml:space="preserve"> The MIF policy means that where a self-employed person has self-employed earnings below their MIF threshold (usually 35 hours a week x NMW less notional tax and NI) their actual earnings will be i</w:t>
      </w:r>
      <w:r>
        <w:t xml:space="preserve">gnored and their UC will be calculated using the MIF amount instead. There is a 12 month grace period before the MIF applies when a person starts in self-employment or moves to UC from legacy benefits. </w:t>
      </w:r>
    </w:p>
  </w:footnote>
  <w:footnote w:id="4">
    <w:p w:rsidR="00C70F94">
      <w:pPr>
        <w:pStyle w:val="FootnoteText"/>
      </w:pPr>
      <w:r>
        <w:rPr>
          <w:rStyle w:val="FootnoteReference"/>
        </w:rPr>
        <w:footnoteRef/>
      </w:r>
      <w:r>
        <w:t xml:space="preserve"> See </w:t>
      </w:r>
      <w:r>
        <w:fldChar w:fldCharType="begin"/>
      </w:r>
      <w:r>
        <w:instrText xml:space="preserve"> HYPERLINK "https://assets.publishing.service.gov.uk/government/uploads/system/uploads/attachment_data/file/972148/The_tax_administration_framework_Supporting_a_21st_century_tax_system_-_call_for_evidence.pdf" </w:instrText>
      </w:r>
      <w:r>
        <w:fldChar w:fldCharType="separate"/>
      </w:r>
      <w:r w:rsidRPr="00A72813">
        <w:rPr>
          <w:rStyle w:val="Hyperlink"/>
        </w:rPr>
        <w:t>https://assets.publishing.service.gov.uk/government/uploads/system/uploads/attachment_data/fi</w:t>
      </w:r>
      <w:r w:rsidRPr="00A72813">
        <w:rPr>
          <w:rStyle w:val="Hyperlink"/>
        </w:rPr>
        <w:t>le/972148/The_tax_administration_framework_Supporting_a_21st_century_tax_system_-_call_for_evidence.pdf</w:t>
      </w:r>
      <w:r>
        <w:fldChar w:fldCharType="end"/>
      </w:r>
      <w:r>
        <w:t xml:space="preserve"> </w:t>
      </w:r>
    </w:p>
  </w:footnote>
  <w:footnote w:id="5">
    <w:p w:rsidR="00C70F94">
      <w:pPr>
        <w:pStyle w:val="FootnoteText"/>
      </w:pPr>
      <w:r>
        <w:rPr>
          <w:rStyle w:val="FootnoteReference"/>
        </w:rPr>
        <w:footnoteRef/>
      </w:r>
      <w:r>
        <w:t xml:space="preserve"> See </w:t>
      </w:r>
      <w:r>
        <w:fldChar w:fldCharType="begin"/>
      </w:r>
      <w:r>
        <w:instrText xml:space="preserve"> HYPERLINK "https://www.litrg.org.uk/sites/default/files/files/140121-LITRG-submission-Budget-Representation-High-Income-Child-Benefit-Charge.pdf" </w:instrText>
      </w:r>
      <w:r>
        <w:fldChar w:fldCharType="separate"/>
      </w:r>
      <w:r w:rsidRPr="00A72813">
        <w:rPr>
          <w:rStyle w:val="Hyperlink"/>
        </w:rPr>
        <w:t>https://www.litrg.org.uk/sites/default/files/files/140121-LITRG-submission-Budget-Representation-High-Income-Child-Benefit-Charge.pdf</w:t>
      </w:r>
      <w:r>
        <w:fldChar w:fldCharType="end"/>
      </w:r>
      <w:r>
        <w:t xml:space="preserve"> </w:t>
      </w:r>
    </w:p>
  </w:footnote>
  <w:footnote w:id="6">
    <w:p w:rsidR="00C70F94">
      <w:pPr>
        <w:pStyle w:val="FootnoteText"/>
      </w:pPr>
      <w:r>
        <w:rPr>
          <w:rStyle w:val="FootnoteReference"/>
        </w:rPr>
        <w:footnoteRef/>
      </w:r>
      <w:r>
        <w:t xml:space="preserve"> </w:t>
      </w:r>
      <w:r w:rsidRPr="004036E4">
        <w:t xml:space="preserve">The manifesto says: </w:t>
      </w:r>
      <w:r>
        <w:t>‘</w:t>
      </w:r>
      <w:r w:rsidRPr="004036E4">
        <w:t>A number of workers, disproportionately women, who earn between £10,000 and £12,500 have b</w:t>
      </w:r>
      <w:r w:rsidRPr="004036E4">
        <w:t>een missing out on pension benefits because of a loophole affecting people with net pay pension schemes. We will conduct a comprehensive review to look at how to fix this issue.</w:t>
      </w:r>
      <w:r>
        <w:t>’</w:t>
      </w:r>
    </w:p>
  </w:footnote>
  <w:footnote w:id="7">
    <w:p w:rsidR="00C70F94">
      <w:pPr>
        <w:pStyle w:val="FootnoteText"/>
      </w:pPr>
      <w:r>
        <w:rPr>
          <w:rStyle w:val="FootnoteReference"/>
        </w:rPr>
        <w:footnoteRef/>
      </w:r>
      <w:r>
        <w:t xml:space="preserve"> See </w:t>
      </w:r>
      <w:r>
        <w:fldChar w:fldCharType="begin"/>
      </w:r>
      <w:r>
        <w:instrText xml:space="preserve"> HYPERLINK "https://www.tax.org.uk/sites/default/files/210113%20Chartered%20Institute%20Of%20Taxation%20Budget%20representation%20on%20changes%20to%20the%20tax%20rules%20affecting%20companies.pdf" </w:instrText>
      </w:r>
      <w:r>
        <w:fldChar w:fldCharType="separate"/>
      </w:r>
      <w:r w:rsidRPr="006463F3">
        <w:rPr>
          <w:rStyle w:val="Hyperlink"/>
        </w:rPr>
        <w:t>https://www.tax.org.uk/sites/default/files/210113%20Chartered%20Institute%20Of%20Taxation%20Budget%20representation%20on%20changes</w:t>
      </w:r>
      <w:r w:rsidRPr="006463F3">
        <w:rPr>
          <w:rStyle w:val="Hyperlink"/>
        </w:rPr>
        <w:t>%20to%20the%20tax%20rules%20affecting%20companies.pdf</w:t>
      </w:r>
      <w:r>
        <w:fldChar w:fldCharType="end"/>
      </w:r>
      <w:r>
        <w:t xml:space="preserve"> </w:t>
      </w:r>
    </w:p>
  </w:footnote>
  <w:footnote w:id="8">
    <w:p w:rsidR="00C70F94">
      <w:pPr>
        <w:pStyle w:val="FootnoteText"/>
      </w:pPr>
      <w:r>
        <w:rPr>
          <w:rStyle w:val="FootnoteReference"/>
        </w:rPr>
        <w:footnoteRef/>
      </w:r>
      <w:r>
        <w:t xml:space="preserve"> See </w:t>
      </w:r>
      <w:r>
        <w:fldChar w:fldCharType="begin"/>
      </w:r>
      <w:r>
        <w:instrText xml:space="preserve"> HYPERLINK "https://www.tax.org.uk/professional-standards/professional-rules/professional-conduct-relation-taxation" </w:instrText>
      </w:r>
      <w:r>
        <w:fldChar w:fldCharType="separate"/>
      </w:r>
      <w:r w:rsidRPr="006463F3">
        <w:rPr>
          <w:rStyle w:val="Hyperlink"/>
        </w:rPr>
        <w:t>https://www.tax.org.uk/professional-standards/professional-rules/profession</w:t>
      </w:r>
      <w:r w:rsidRPr="006463F3">
        <w:rPr>
          <w:rStyle w:val="Hyperlink"/>
        </w:rPr>
        <w:t>al-conduct-relation-taxation</w:t>
      </w:r>
      <w:r>
        <w:fldChar w:fldCharType="end"/>
      </w:r>
      <w:r>
        <w:t xml:space="preserve"> </w:t>
      </w:r>
    </w:p>
  </w:footnote>
  <w:footnote w:id="9">
    <w:p w:rsidR="00C70F94">
      <w:pPr>
        <w:pStyle w:val="FootnoteText"/>
      </w:pPr>
      <w:r>
        <w:rPr>
          <w:rStyle w:val="FootnoteReference"/>
        </w:rPr>
        <w:footnoteRef/>
      </w:r>
      <w:r>
        <w:t xml:space="preserve"> </w:t>
      </w:r>
      <w:r w:rsidRPr="00C84C21">
        <w:t>First-time buyer relief continues to be disapplied during the initial temporary relief period. However, it will cease to be disapplied during the further temporary relief period.</w:t>
      </w:r>
    </w:p>
  </w:footnote>
  <w:footnote w:id="10">
    <w:p w:rsidR="00C70F94" w:rsidP="00C84C21">
      <w:pPr>
        <w:pStyle w:val="FootnoteText"/>
      </w:pPr>
      <w:r>
        <w:rPr>
          <w:rStyle w:val="FootnoteReference"/>
        </w:rPr>
        <w:footnoteRef/>
      </w:r>
      <w:r>
        <w:t xml:space="preserve"> See </w:t>
      </w:r>
      <w:r>
        <w:fldChar w:fldCharType="begin"/>
      </w:r>
      <w:r>
        <w:instrText xml:space="preserve"> HYPERLINK "https://www.gov.uk/government/publications/evaluating-the-impact-of-stamp-duty-land-tax-first-time-buyers-relief" </w:instrText>
      </w:r>
      <w:r>
        <w:fldChar w:fldCharType="separate"/>
      </w:r>
      <w:r w:rsidRPr="00CF0F6C">
        <w:rPr>
          <w:rStyle w:val="Hyperlink"/>
        </w:rPr>
        <w:t>https://www.gov.uk/government/publications/evaluating-the-impact-of-stamp-duty-land-tax-first-time-buyers-relief</w:t>
      </w:r>
      <w:r>
        <w:fldChar w:fldCharType="end"/>
      </w:r>
      <w:r>
        <w:t xml:space="preserve"> </w:t>
      </w:r>
    </w:p>
  </w:footnote>
  <w:footnote w:id="11">
    <w:p w:rsidR="00C70F94" w:rsidP="002F2E6B">
      <w:pPr>
        <w:pStyle w:val="FootnoteText"/>
      </w:pPr>
      <w:r>
        <w:rPr>
          <w:rStyle w:val="FootnoteReference"/>
        </w:rPr>
        <w:footnoteRef/>
      </w:r>
      <w:r>
        <w:t xml:space="preserve"> See also th</w:t>
      </w:r>
      <w:r>
        <w:t>e increased rates for non-resident transactions being introduced from 1 April 2021 by c</w:t>
      </w:r>
      <w:r w:rsidRPr="00C84C21">
        <w:t xml:space="preserve">lause 88 and </w:t>
      </w:r>
      <w:r>
        <w:t>s</w:t>
      </w:r>
      <w:r w:rsidRPr="00C84C21">
        <w:t>chedule 16</w:t>
      </w:r>
      <w:r>
        <w:t xml:space="preserve"> to the Finance Bill.</w:t>
      </w:r>
    </w:p>
  </w:footnote>
  <w:footnote w:id="12">
    <w:p w:rsidR="00C70F94" w:rsidP="009232C6">
      <w:pPr>
        <w:pStyle w:val="FootnoteText"/>
      </w:pPr>
      <w:r>
        <w:rPr>
          <w:rStyle w:val="FootnoteReference"/>
        </w:rPr>
        <w:footnoteRef/>
      </w:r>
      <w:r>
        <w:t xml:space="preserve"> See </w:t>
      </w:r>
      <w:r>
        <w:fldChar w:fldCharType="begin"/>
      </w:r>
      <w:r>
        <w:instrText xml:space="preserve"> HYPERLINK "https://www.gov.uk/government/publications/ots-report-on-routes-to-simplification-for-vat-is-published" </w:instrText>
      </w:r>
      <w:r>
        <w:fldChar w:fldCharType="separate"/>
      </w:r>
      <w:r w:rsidRPr="00A72813">
        <w:rPr>
          <w:rStyle w:val="Hyperlink"/>
        </w:rPr>
        <w:t>h</w:t>
      </w:r>
      <w:r w:rsidRPr="00A72813">
        <w:rPr>
          <w:rStyle w:val="Hyperlink"/>
        </w:rPr>
        <w:t>ttps://www.gov.uk/government/publications/ots-report-on-routes-to-simplification-for-vat-is-published</w:t>
      </w:r>
      <w:r>
        <w:fldChar w:fldCharType="end"/>
      </w:r>
      <w:r>
        <w:rPr>
          <w:rStyle w:val="Hyperlink"/>
        </w:rPr>
        <w:t xml:space="preserve">, </w:t>
      </w:r>
      <w:r>
        <w:t xml:space="preserve"> Chancellor’s response at </w:t>
      </w:r>
      <w:r>
        <w:fldChar w:fldCharType="begin"/>
      </w:r>
      <w:r>
        <w:instrText xml:space="preserve"> HYPERLINK "https://www.gov.uk/government/publications/letter-from-the-chancellor-to-the-office-of-tax-simplification-ots" </w:instrText>
      </w:r>
      <w:r>
        <w:fldChar w:fldCharType="separate"/>
      </w:r>
      <w:r w:rsidRPr="00A72813">
        <w:rPr>
          <w:rStyle w:val="Hyperlink"/>
        </w:rPr>
        <w:t>h</w:t>
      </w:r>
      <w:r w:rsidRPr="00A72813">
        <w:rPr>
          <w:rStyle w:val="Hyperlink"/>
        </w:rPr>
        <w:t>ttps://www.gov.uk/government/publications/letter-from-the-chancellor-to-the-office-of-tax-simplification-ots</w:t>
      </w:r>
      <w:r>
        <w:fldChar w:fldCharType="end"/>
      </w:r>
      <w:r>
        <w:t xml:space="preserve"> </w:t>
      </w:r>
      <w:r>
        <w:t xml:space="preserve">and the evaluation update at </w:t>
      </w:r>
      <w:r>
        <w:fldChar w:fldCharType="begin"/>
      </w:r>
      <w:r>
        <w:instrText xml:space="preserve"> HYPERLINK "https://assets.publishing.service.gov.uk/government/uploads/system/uploads/attachment_data/file/835709/OTS_Paper_-_VAT_Evaluation_update.pdf" </w:instrText>
      </w:r>
      <w:r>
        <w:fldChar w:fldCharType="separate"/>
      </w:r>
      <w:r w:rsidRPr="00A72813">
        <w:rPr>
          <w:rStyle w:val="Hyperlink"/>
        </w:rPr>
        <w:t>https://assets.publishing.service.gov.uk/government/uploads/system/uploads/attachment_data/file/835709/OTS_Paper_-_VAT_Evaluation_update.pdf</w:t>
      </w:r>
      <w:r>
        <w:fldChar w:fldCharType="end"/>
      </w:r>
      <w:r>
        <w:t xml:space="preserve"> </w:t>
      </w:r>
    </w:p>
  </w:footnote>
  <w:footnote w:id="13">
    <w:p w:rsidR="00C70F94">
      <w:pPr>
        <w:pStyle w:val="FootnoteText"/>
      </w:pPr>
      <w:r>
        <w:rPr>
          <w:rStyle w:val="FootnoteReference"/>
        </w:rPr>
        <w:footnoteRef/>
      </w:r>
      <w:r>
        <w:t xml:space="preserve"> See </w:t>
      </w:r>
      <w:r>
        <w:fldChar w:fldCharType="begin"/>
      </w:r>
      <w:r>
        <w:instrText xml:space="preserve"> HYPERLINK "https://www.gov.uk/government/consultations/vat-and-value-shifting?utm_source=5bc832da-0514-4a77-845f-c19edfa38e9e&amp;utm_medium=email&amp;utm_campaign=govuk-notifications&amp;utm_content=immediate" </w:instrText>
      </w:r>
      <w:r>
        <w:fldChar w:fldCharType="separate"/>
      </w:r>
      <w:r w:rsidRPr="00A72813">
        <w:rPr>
          <w:rStyle w:val="Hyperlink"/>
        </w:rPr>
        <w:t>https://www.gov.uk/government/consultations/vat-and-value-shifting?utm_source=5bc832da-0514-4a77-845f-c19edfa38e9e&amp;utm_med</w:t>
      </w:r>
      <w:r w:rsidRPr="00A72813">
        <w:rPr>
          <w:rStyle w:val="Hyperlink"/>
        </w:rPr>
        <w:t>ium=email&amp;utm_campaign=govuk-notifications&amp;utm_content=immediate</w:t>
      </w:r>
      <w:r>
        <w:fldChar w:fldCharType="end"/>
      </w:r>
      <w:r>
        <w:t xml:space="preserve"> </w:t>
      </w:r>
    </w:p>
  </w:footnote>
  <w:footnote w:id="14">
    <w:p w:rsidR="00C70F94">
      <w:pPr>
        <w:pStyle w:val="FootnoteText"/>
      </w:pPr>
      <w:r>
        <w:rPr>
          <w:rStyle w:val="FootnoteReference"/>
        </w:rPr>
        <w:footnoteRef/>
      </w:r>
      <w:r>
        <w:t xml:space="preserve"> The new penalty regime will apply to VAT from April 2022, when businesses who are voluntarily registered for VAT must start to comply with MTD for VAT. It will then apply to ITSA from A</w:t>
      </w:r>
      <w:r>
        <w:t xml:space="preserve">pril 2023, when most unincorporated businesses must start to comply with MTD for ITSA. </w:t>
      </w:r>
    </w:p>
  </w:footnote>
  <w:footnote w:id="15">
    <w:p w:rsidR="00C70F94">
      <w:pPr>
        <w:pStyle w:val="FootnoteText"/>
      </w:pPr>
      <w:r>
        <w:rPr>
          <w:rStyle w:val="FootnoteReference"/>
        </w:rPr>
        <w:footnoteRef/>
      </w:r>
      <w:r>
        <w:t xml:space="preserve"> Paragraph 3.4 of </w:t>
      </w:r>
      <w:r>
        <w:fldChar w:fldCharType="begin"/>
      </w:r>
      <w:r>
        <w:instrText xml:space="preserve"> HYPERLINK "https://assets.publishing.service.gov.uk/government/uploads/system/uploads/attachment_data/file/587432/Making_Tax_Digital_-_Tax_administration_-_Summary_of_responses.pdf" </w:instrText>
      </w:r>
      <w:r>
        <w:fldChar w:fldCharType="separate"/>
      </w:r>
      <w:r w:rsidRPr="006463F3">
        <w:rPr>
          <w:rStyle w:val="Hyperlink"/>
        </w:rPr>
        <w:t>https://assets.publishing.service.gov.uk/government/uploads/system/uploads/attachment_data/file/587432/Making_Tax_Digital_-_Tax_administration_-_Summary_of_responses.pdf</w:t>
      </w:r>
      <w:r>
        <w:fldChar w:fldCharType="end"/>
      </w:r>
      <w:r>
        <w:t xml:space="preserve"> </w:t>
      </w:r>
    </w:p>
  </w:footnote>
  <w:footnote w:id="16">
    <w:p w:rsidR="00C70F94">
      <w:pPr>
        <w:pStyle w:val="FootnoteText"/>
      </w:pPr>
      <w:r>
        <w:rPr>
          <w:rStyle w:val="FootnoteReference"/>
        </w:rPr>
        <w:footnoteRef/>
      </w:r>
      <w:r>
        <w:t xml:space="preserve"> Repayment Supplement of the greater of £50 or 5% of the VAT repayment is paid by HMRC, broadly, if HMRC do not authorise the VAT repayment within 30 days (excluding reasonable time taken to inquire into the return).</w:t>
      </w:r>
    </w:p>
  </w:footnote>
  <w:footnote w:id="17">
    <w:p w:rsidR="00C70F94">
      <w:pPr>
        <w:pStyle w:val="FootnoteText"/>
      </w:pPr>
      <w:r>
        <w:rPr>
          <w:rStyle w:val="FootnoteReference"/>
        </w:rPr>
        <w:footnoteRef/>
      </w:r>
      <w:r>
        <w:t xml:space="preserve"> See </w:t>
      </w:r>
      <w:r>
        <w:fldChar w:fldCharType="begin"/>
      </w:r>
      <w:r>
        <w:instrText xml:space="preserve"> HYPERLINK "https://www.gov.uk/government/publications/interest-harmonisation-and-penalties-for-late-submission-and-late-payment-of-tax/interest-harmonisation-and-penalties-for-late-payment-and-late-submission" </w:instrText>
      </w:r>
      <w:r>
        <w:fldChar w:fldCharType="separate"/>
      </w:r>
      <w:r w:rsidRPr="006463F3">
        <w:rPr>
          <w:rStyle w:val="Hyperlink"/>
        </w:rPr>
        <w:t>https://www.gov.uk/government/publications/interest-harmonisation-and-penaltie</w:t>
      </w:r>
      <w:r w:rsidRPr="006463F3">
        <w:rPr>
          <w:rStyle w:val="Hyperlink"/>
        </w:rPr>
        <w:t>s-for-late-submission-and-late-payment-of-tax/interest-harmonisation-and-penalties-for-late-payment-and-late-submission</w:t>
      </w:r>
      <w:r>
        <w:fldChar w:fldCharType="end"/>
      </w:r>
      <w:r>
        <w:t xml:space="preserve"> </w:t>
      </w:r>
    </w:p>
  </w:footnote>
  <w:footnote w:id="18">
    <w:p w:rsidR="00C70F94">
      <w:pPr>
        <w:pStyle w:val="FootnoteText"/>
      </w:pPr>
      <w:r>
        <w:rPr>
          <w:rStyle w:val="FootnoteReference"/>
        </w:rPr>
        <w:footnoteRef/>
      </w:r>
      <w:r>
        <w:t xml:space="preserve"> See HMRC’s strategy ‘</w:t>
      </w:r>
      <w:r w:rsidRPr="0044190A">
        <w:t>Tackling promoters of mass-marketed tax avoidance schemes</w:t>
      </w:r>
      <w:r>
        <w:t xml:space="preserve">’ at </w:t>
      </w:r>
      <w:r>
        <w:fldChar w:fldCharType="begin"/>
      </w:r>
      <w:r>
        <w:instrText xml:space="preserve"> HYPERLINK "https://www.gov.uk/government/publications/tackling-promoters-of-mass-marketed-tax-avoidance-schemes" </w:instrText>
      </w:r>
      <w:r>
        <w:fldChar w:fldCharType="separate"/>
      </w:r>
      <w:r w:rsidRPr="00A72813">
        <w:rPr>
          <w:rStyle w:val="Hyperlink"/>
        </w:rPr>
        <w:t>https://www.gov.uk/government/publications/tackling-promoters-of-mass-marketed-tax-avoidance-schemes</w:t>
      </w:r>
      <w:r>
        <w:fldChar w:fldCharType="end"/>
      </w:r>
      <w:r>
        <w:t xml:space="preserve"> </w:t>
      </w:r>
    </w:p>
  </w:footnote>
  <w:footnote w:id="19">
    <w:p w:rsidR="00C70F94">
      <w:pPr>
        <w:pStyle w:val="FootnoteText"/>
      </w:pPr>
      <w:r>
        <w:rPr>
          <w:rStyle w:val="FootnoteReference"/>
        </w:rPr>
        <w:footnoteRef/>
      </w:r>
      <w:r>
        <w:t xml:space="preserve"> See clause 121 and schedule 32 of the Final Bill.</w:t>
      </w:r>
    </w:p>
  </w:footnote>
  <w:footnote w:id="20">
    <w:p w:rsidR="00C70F94">
      <w:pPr>
        <w:pStyle w:val="FootnoteText"/>
      </w:pPr>
      <w:r>
        <w:rPr>
          <w:rStyle w:val="FootnoteReference"/>
        </w:rPr>
        <w:footnoteRef/>
      </w:r>
      <w:r>
        <w:t xml:space="preserve"> See </w:t>
      </w:r>
      <w:r>
        <w:fldChar w:fldCharType="begin"/>
      </w:r>
      <w:r>
        <w:instrText xml:space="preserve"> HYPERLINK "https://www.gov.uk/guidance/regional-employer-nics-holiday-making-a-retrospective-claim" </w:instrText>
      </w:r>
      <w:r>
        <w:fldChar w:fldCharType="separate"/>
      </w:r>
      <w:r w:rsidRPr="00A72813">
        <w:rPr>
          <w:rStyle w:val="Hyperlink"/>
        </w:rPr>
        <w:t>https://www.gov.uk/guidance/regional-employer-nics-holiday-making-a-retrospective-claim</w:t>
      </w:r>
      <w:r>
        <w:fldChar w:fldCharType="end"/>
      </w:r>
      <w:r>
        <w:t xml:space="preserve"> </w:t>
      </w:r>
    </w:p>
  </w:footnote>
  <w:footnote w:id="21">
    <w:p w:rsidR="00C70F94">
      <w:pPr>
        <w:pStyle w:val="FootnoteText"/>
      </w:pPr>
      <w:r>
        <w:rPr>
          <w:rStyle w:val="FootnoteReference"/>
        </w:rPr>
        <w:footnoteRef/>
      </w:r>
      <w:r>
        <w:t xml:space="preserve"> See </w:t>
      </w:r>
      <w:r w:rsidRPr="007002E0">
        <w:t>https://www.gov.uk/government/publications/tax-administration-strategy/building-a-t</w:t>
      </w:r>
      <w:r w:rsidRPr="007002E0">
        <w:t>rusted-modern-tax-administration-system</w:t>
      </w:r>
    </w:p>
  </w:footnote>
  <w:footnote w:id="22">
    <w:p w:rsidR="00C70F94">
      <w:pPr>
        <w:pStyle w:val="FootnoteText"/>
      </w:pPr>
      <w:r>
        <w:rPr>
          <w:rStyle w:val="FootnoteReference"/>
        </w:rPr>
        <w:footnoteRef/>
      </w:r>
      <w:r>
        <w:t xml:space="preserve"> See our response to HMRC’s consultation </w:t>
      </w:r>
      <w:r w:rsidRPr="008A5EB4">
        <w:t>Making Tax Digital: Bringing business tax into the digital age</w:t>
      </w:r>
      <w:r>
        <w:t xml:space="preserve"> at </w:t>
      </w:r>
      <w:r>
        <w:fldChar w:fldCharType="begin"/>
      </w:r>
      <w:r>
        <w:instrText xml:space="preserve"> HYPERLINK "https://www.tax.org.uk/policy-technical/submissions/making-tax-digital-ciot-comments" </w:instrText>
      </w:r>
      <w:r>
        <w:fldChar w:fldCharType="separate"/>
      </w:r>
      <w:r w:rsidRPr="00A72813">
        <w:rPr>
          <w:rStyle w:val="Hyperlink"/>
        </w:rPr>
        <w:t>https://www.tax.org.uk/policy-technical/submissions/making-tax-digital-ciot-comments</w:t>
      </w:r>
      <w:r>
        <w:fldChar w:fldCharType="end"/>
      </w:r>
      <w:r>
        <w:t xml:space="preserve"> </w:t>
      </w:r>
    </w:p>
  </w:footnote>
  <w:footnote w:id="23">
    <w:p w:rsidR="00C70F94">
      <w:pPr>
        <w:pStyle w:val="FootnoteText"/>
      </w:pPr>
      <w:r>
        <w:rPr>
          <w:rStyle w:val="FootnoteReference"/>
        </w:rPr>
        <w:footnoteRef/>
      </w:r>
      <w:r>
        <w:t xml:space="preserve"> See our response to HMRC’s consultation </w:t>
      </w:r>
      <w:r w:rsidRPr="00FB2908">
        <w:t>Making Tax Digital: Volunta</w:t>
      </w:r>
      <w:r w:rsidRPr="00FB2908">
        <w:t>ry pay as you go</w:t>
      </w:r>
      <w:r>
        <w:t xml:space="preserve"> at </w:t>
      </w:r>
      <w:r>
        <w:fldChar w:fldCharType="begin"/>
      </w:r>
      <w:r>
        <w:instrText xml:space="preserve"> HYPERLINK "https://www.tax.org.uk/policy-technical/submissions/making-tax-digital-ciot-comments" </w:instrText>
      </w:r>
      <w:r>
        <w:fldChar w:fldCharType="separate"/>
      </w:r>
      <w:r w:rsidRPr="00A72813">
        <w:rPr>
          <w:rStyle w:val="Hyperlink"/>
        </w:rPr>
        <w:t>https://www.tax.org.uk/policy-technical/submissions/making-tax-digital-ciot-comments</w:t>
      </w:r>
      <w:r>
        <w:fldChar w:fldCharType="end"/>
      </w:r>
      <w:r>
        <w:t xml:space="preserve"> </w:t>
      </w:r>
    </w:p>
  </w:footnote>
  <w:footnote w:id="24">
    <w:p w:rsidR="00C70F94">
      <w:pPr>
        <w:pStyle w:val="FootnoteText"/>
      </w:pPr>
      <w:r>
        <w:rPr>
          <w:rStyle w:val="FootnoteReference"/>
        </w:rPr>
        <w:footnoteRef/>
      </w:r>
      <w:r>
        <w:t xml:space="preserve"> See our response to the original consultation a</w:t>
      </w:r>
      <w:r>
        <w:t xml:space="preserve">t </w:t>
      </w:r>
      <w:r>
        <w:fldChar w:fldCharType="begin"/>
      </w:r>
      <w:r>
        <w:instrText xml:space="preserve"> HYPERLINK "https://www.tax.org.uk/policy-technical/submissions/notification-uncertain-tax-treatment-large-businesses" </w:instrText>
      </w:r>
      <w:r>
        <w:fldChar w:fldCharType="separate"/>
      </w:r>
      <w:r w:rsidRPr="00A72813">
        <w:rPr>
          <w:rStyle w:val="Hyperlink"/>
        </w:rPr>
        <w:t>https://www.tax.org.uk/policy-technical/submissions/notification-uncertain-tax-treatment-large-businesses</w:t>
      </w:r>
      <w:r>
        <w:fldChar w:fldCharType="end"/>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6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0F94" w:rsidRPr="00D849C0" w:rsidP="00890044">
    <w:pPr>
      <w:pStyle w:val="Header"/>
      <w:tabs>
        <w:tab w:val="clear" w:pos="9026"/>
        <w:tab w:val="right" w:pos="10440"/>
      </w:tabs>
      <w:rPr>
        <w:sz w:val="20"/>
        <w:szCs w:val="20"/>
      </w:rPr>
    </w:pPr>
    <w:r>
      <w:rPr>
        <w:sz w:val="20"/>
        <w:szCs w:val="20"/>
      </w:rPr>
      <w:t>BGT000</w:t>
    </w:r>
    <w:r w:rsidR="00B216D4">
      <w:rPr>
        <w:sz w:val="20"/>
        <w:szCs w:val="20"/>
      </w:rPr>
      <w:t>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0F94">
    <w:pPr>
      <w:pStyle w:val="Header"/>
    </w:pPr>
    <w:r>
      <w:rPr>
        <w:color w:val="404040" w:themeColor="text1" w:themeTint="BF"/>
        <w:sz w:val="20"/>
        <w:szCs w:val="20"/>
      </w:rPr>
      <w:t>BGT0004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27246"/>
    <w:multiLevelType w:val="hybridMultilevel"/>
    <w:tmpl w:val="7D2EB65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1396417"/>
    <w:multiLevelType w:val="hybridMultilevel"/>
    <w:tmpl w:val="33907E4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A893977"/>
    <w:multiLevelType w:val="hybridMultilevel"/>
    <w:tmpl w:val="7F149B0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ADE6981"/>
    <w:multiLevelType w:val="hybridMultilevel"/>
    <w:tmpl w:val="9C5CE3E0"/>
    <w:lvl w:ilvl="0">
      <w:start w:val="1"/>
      <w:numFmt w:val="decimal"/>
      <w:lvlText w:val="%1."/>
      <w:lvlJc w:val="left"/>
      <w:pPr>
        <w:ind w:left="720" w:hanging="360"/>
      </w:pPr>
      <w:rPr>
        <w:rFonts w:hint="default"/>
        <w:sz w:val="22"/>
      </w:rPr>
    </w:lvl>
    <w:lvl w:ilvl="1">
      <w:start w:val="1"/>
      <w:numFmt w:val="lowerRoman"/>
      <w:lvlText w:val="%2."/>
      <w:lvlJc w:val="left"/>
      <w:pPr>
        <w:ind w:left="1800" w:hanging="72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E9D349F"/>
    <w:multiLevelType w:val="hybridMultilevel"/>
    <w:tmpl w:val="394A5C0C"/>
    <w:lvl w:ilvl="0">
      <w:start w:val="1"/>
      <w:numFmt w:val="decimal"/>
      <w:lvlText w:val="%1."/>
      <w:lvlJc w:val="left"/>
      <w:pPr>
        <w:ind w:left="720" w:hanging="360"/>
      </w:pPr>
      <w:rPr>
        <w:rFonts w:asciiTheme="minorHAnsi" w:hAnsiTheme="minorHAnsi" w:cstheme="minorHAnsi"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131011D"/>
    <w:multiLevelType w:val="hybridMultilevel"/>
    <w:tmpl w:val="76DEBE9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27DD73AB"/>
    <w:multiLevelType w:val="hybridMultilevel"/>
    <w:tmpl w:val="83EC6AF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369E1409"/>
    <w:multiLevelType w:val="hybridMultilevel"/>
    <w:tmpl w:val="9C5CE3E0"/>
    <w:lvl w:ilvl="0">
      <w:start w:val="1"/>
      <w:numFmt w:val="decimal"/>
      <w:lvlText w:val="%1."/>
      <w:lvlJc w:val="left"/>
      <w:pPr>
        <w:ind w:left="720" w:hanging="360"/>
      </w:pPr>
      <w:rPr>
        <w:rFonts w:hint="default"/>
        <w:sz w:val="22"/>
      </w:rPr>
    </w:lvl>
    <w:lvl w:ilvl="1">
      <w:start w:val="1"/>
      <w:numFmt w:val="lowerRoman"/>
      <w:lvlText w:val="%2."/>
      <w:lvlJc w:val="left"/>
      <w:pPr>
        <w:ind w:left="1800" w:hanging="72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C857462"/>
    <w:multiLevelType w:val="multilevel"/>
    <w:tmpl w:val="28861104"/>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57"/>
        </w:tabs>
        <w:ind w:left="357" w:hanging="357"/>
      </w:pPr>
      <w:rPr>
        <w:rFonts w:hint="default"/>
        <w:i w:val="0"/>
      </w:rPr>
    </w:lvl>
    <w:lvl w:ilvl="2">
      <w:start w:val="1"/>
      <w:numFmt w:val="decimal"/>
      <w:lvlText w:val="%1.%2.%3"/>
      <w:lvlJc w:val="left"/>
      <w:pPr>
        <w:tabs>
          <w:tab w:val="num" w:pos="357"/>
        </w:tabs>
        <w:ind w:left="357" w:hanging="357"/>
      </w:pPr>
      <w:rPr>
        <w:rFonts w:hint="default"/>
      </w:rPr>
    </w:lvl>
    <w:lvl w:ilvl="3">
      <w:start w:val="1"/>
      <w:numFmt w:val="decimal"/>
      <w:lvlText w:val="%1.%2.%3.%4."/>
      <w:lvlJc w:val="left"/>
      <w:pPr>
        <w:tabs>
          <w:tab w:val="num" w:pos="357"/>
        </w:tabs>
        <w:ind w:left="357" w:hanging="357"/>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
    <w:nsid w:val="3C9A26B2"/>
    <w:multiLevelType w:val="hybridMultilevel"/>
    <w:tmpl w:val="D4F4142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436D6D7A"/>
    <w:multiLevelType w:val="hybridMultilevel"/>
    <w:tmpl w:val="445293B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465E3A5A"/>
    <w:multiLevelType w:val="hybridMultilevel"/>
    <w:tmpl w:val="9C5CE3E0"/>
    <w:lvl w:ilvl="0">
      <w:start w:val="1"/>
      <w:numFmt w:val="decimal"/>
      <w:lvlText w:val="%1."/>
      <w:lvlJc w:val="left"/>
      <w:pPr>
        <w:ind w:left="720" w:hanging="360"/>
      </w:pPr>
      <w:rPr>
        <w:rFonts w:hint="default"/>
        <w:sz w:val="22"/>
      </w:rPr>
    </w:lvl>
    <w:lvl w:ilvl="1">
      <w:start w:val="1"/>
      <w:numFmt w:val="lowerRoman"/>
      <w:lvlText w:val="%2."/>
      <w:lvlJc w:val="left"/>
      <w:pPr>
        <w:ind w:left="1800" w:hanging="72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46FB506D"/>
    <w:multiLevelType w:val="hybridMultilevel"/>
    <w:tmpl w:val="3208BC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61066ECD"/>
    <w:multiLevelType w:val="hybridMultilevel"/>
    <w:tmpl w:val="394A5C0C"/>
    <w:lvl w:ilvl="0">
      <w:start w:val="1"/>
      <w:numFmt w:val="decimal"/>
      <w:lvlText w:val="%1."/>
      <w:lvlJc w:val="left"/>
      <w:pPr>
        <w:ind w:left="720" w:hanging="360"/>
      </w:pPr>
      <w:rPr>
        <w:rFonts w:asciiTheme="minorHAnsi" w:hAnsiTheme="minorHAnsi" w:cstheme="minorHAnsi"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8"/>
  </w:num>
  <w:num w:numId="2">
    <w:abstractNumId w:val="9"/>
  </w:num>
  <w:num w:numId="3">
    <w:abstractNumId w:val="11"/>
  </w:num>
  <w:num w:numId="4">
    <w:abstractNumId w:val="4"/>
  </w:num>
  <w:num w:numId="5">
    <w:abstractNumId w:val="10"/>
  </w:num>
  <w:num w:numId="6">
    <w:abstractNumId w:val="5"/>
  </w:num>
  <w:num w:numId="7">
    <w:abstractNumId w:val="2"/>
  </w:num>
  <w:num w:numId="8">
    <w:abstractNumId w:val="6"/>
  </w:num>
  <w:num w:numId="9">
    <w:abstractNumId w:val="12"/>
  </w:num>
  <w:num w:numId="10">
    <w:abstractNumId w:val="1"/>
  </w:num>
  <w:num w:numId="11">
    <w:abstractNumId w:val="13"/>
  </w:num>
  <w:num w:numId="12">
    <w:abstractNumId w:val="7"/>
  </w:num>
  <w:num w:numId="13">
    <w:abstractNumId w:val="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mailMerge>
    <w:mainDocumentType w:val="formLetters"/>
    <w:dataType w:val="textFile"/>
    <w:connectString w:val=""/>
    <w:activeRecord w:val="-1"/>
    <w:odso/>
  </w:mailMerge>
  <w:doNotTrackMoves/>
  <w:defaultTabStop w:val="720"/>
  <w:drawingGridHorizontalSpacing w:val="110"/>
  <w:displayHorizontalDrawingGridEvery w:val="2"/>
  <w:displayVerticalDrawingGridEvery w:val="2"/>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F429B"/>
    <w:pPr>
      <w:spacing w:after="200" w:line="276" w:lineRule="auto"/>
    </w:pPr>
    <w:rPr>
      <w:sz w:val="22"/>
      <w:szCs w:val="22"/>
      <w:lang w:eastAsia="en-US"/>
    </w:rPr>
  </w:style>
  <w:style w:type="paragraph" w:styleId="Heading1">
    <w:name w:val="heading 1"/>
    <w:basedOn w:val="Normal"/>
    <w:next w:val="Normal"/>
    <w:link w:val="Heading1Char"/>
    <w:uiPriority w:val="9"/>
    <w:qFormat/>
    <w:rsid w:val="00D849C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D849C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F67FCA"/>
    <w:pPr>
      <w:spacing w:after="0" w:line="240" w:lineRule="auto"/>
      <w:outlineLvl w:val="2"/>
    </w:pPr>
    <w:rPr>
      <w:rFonts w:ascii="Arial" w:eastAsia="Times New Roman" w:hAnsi="Arial" w:cs="Arial"/>
      <w:i/>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5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6570"/>
  </w:style>
  <w:style w:type="paragraph" w:styleId="Footer">
    <w:name w:val="footer"/>
    <w:basedOn w:val="Normal"/>
    <w:link w:val="FooterChar"/>
    <w:uiPriority w:val="99"/>
    <w:unhideWhenUsed/>
    <w:rsid w:val="000765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6570"/>
  </w:style>
  <w:style w:type="paragraph" w:styleId="BalloonText">
    <w:name w:val="Balloon Text"/>
    <w:basedOn w:val="Normal"/>
    <w:link w:val="BalloonTextChar"/>
    <w:uiPriority w:val="99"/>
    <w:semiHidden/>
    <w:unhideWhenUsed/>
    <w:rsid w:val="000765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70"/>
    <w:rPr>
      <w:rFonts w:ascii="Tahoma" w:hAnsi="Tahoma" w:cs="Tahoma"/>
      <w:sz w:val="16"/>
      <w:szCs w:val="16"/>
    </w:rPr>
  </w:style>
  <w:style w:type="character" w:styleId="Hyperlink">
    <w:name w:val="Hyperlink"/>
    <w:basedOn w:val="DefaultParagraphFont"/>
    <w:uiPriority w:val="99"/>
    <w:unhideWhenUsed/>
    <w:rsid w:val="00AF3A32"/>
    <w:rPr>
      <w:color w:val="0000FF" w:themeColor="hyperlink"/>
      <w:u w:val="single"/>
    </w:rPr>
  </w:style>
  <w:style w:type="paragraph" w:styleId="NoSpacing">
    <w:name w:val="No Spacing"/>
    <w:uiPriority w:val="1"/>
    <w:qFormat/>
    <w:rsid w:val="00AF3A32"/>
    <w:rPr>
      <w:sz w:val="22"/>
      <w:szCs w:val="22"/>
      <w:lang w:eastAsia="en-US"/>
    </w:rPr>
  </w:style>
  <w:style w:type="character" w:customStyle="1" w:styleId="Heading3Char">
    <w:name w:val="Heading 3 Char"/>
    <w:basedOn w:val="DefaultParagraphFont"/>
    <w:link w:val="Heading3"/>
    <w:rsid w:val="00F67FCA"/>
    <w:rPr>
      <w:rFonts w:ascii="Arial" w:eastAsia="Times New Roman" w:hAnsi="Arial" w:cs="Arial"/>
      <w:i/>
      <w:szCs w:val="24"/>
      <w:lang w:eastAsia="en-US"/>
    </w:rPr>
  </w:style>
  <w:style w:type="table" w:styleId="TableGrid">
    <w:name w:val="Table Grid"/>
    <w:basedOn w:val="TableNormal"/>
    <w:rsid w:val="00F67FC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link w:val="DefaultChar"/>
    <w:rsid w:val="00F67FCA"/>
    <w:pPr>
      <w:autoSpaceDE w:val="0"/>
      <w:autoSpaceDN w:val="0"/>
      <w:adjustRightInd w:val="0"/>
    </w:pPr>
    <w:rPr>
      <w:rFonts w:ascii="Arial" w:eastAsia="Times New Roman" w:hAnsi="Arial" w:cs="Arial"/>
      <w:color w:val="000000"/>
      <w:sz w:val="24"/>
      <w:szCs w:val="24"/>
    </w:rPr>
  </w:style>
  <w:style w:type="character" w:customStyle="1" w:styleId="DefaultChar">
    <w:name w:val="Default Char"/>
    <w:basedOn w:val="DefaultParagraphFont"/>
    <w:link w:val="Default"/>
    <w:rsid w:val="00F67FCA"/>
    <w:rPr>
      <w:rFonts w:ascii="Arial" w:eastAsia="Times New Roman" w:hAnsi="Arial" w:cs="Arial"/>
      <w:color w:val="000000"/>
      <w:sz w:val="24"/>
      <w:szCs w:val="24"/>
    </w:rPr>
  </w:style>
  <w:style w:type="paragraph" w:customStyle="1" w:styleId="Hyper">
    <w:name w:val="Hyper"/>
    <w:basedOn w:val="Normal"/>
    <w:qFormat/>
    <w:rsid w:val="00F67FCA"/>
    <w:pPr>
      <w:spacing w:after="0" w:line="240" w:lineRule="auto"/>
    </w:pPr>
    <w:rPr>
      <w:rFonts w:ascii="Arial" w:eastAsia="Times New Roman" w:hAnsi="Arial" w:cs="Arial"/>
      <w:color w:val="0000FF"/>
    </w:rPr>
  </w:style>
  <w:style w:type="character" w:customStyle="1" w:styleId="Heading1Char">
    <w:name w:val="Heading 1 Char"/>
    <w:basedOn w:val="DefaultParagraphFont"/>
    <w:link w:val="Heading1"/>
    <w:uiPriority w:val="9"/>
    <w:rsid w:val="00D849C0"/>
    <w:rPr>
      <w:rFonts w:asciiTheme="majorHAnsi" w:eastAsiaTheme="majorEastAsia" w:hAnsiTheme="majorHAnsi" w:cstheme="majorBidi"/>
      <w:color w:val="365F91" w:themeColor="accent1" w:themeShade="BF"/>
      <w:sz w:val="32"/>
      <w:szCs w:val="32"/>
      <w:lang w:eastAsia="en-US"/>
    </w:rPr>
  </w:style>
  <w:style w:type="character" w:customStyle="1" w:styleId="Heading2Char">
    <w:name w:val="Heading 2 Char"/>
    <w:basedOn w:val="DefaultParagraphFont"/>
    <w:link w:val="Heading2"/>
    <w:uiPriority w:val="9"/>
    <w:semiHidden/>
    <w:rsid w:val="00D849C0"/>
    <w:rPr>
      <w:rFonts w:asciiTheme="majorHAnsi" w:eastAsiaTheme="majorEastAsia" w:hAnsiTheme="majorHAnsi" w:cstheme="majorBidi"/>
      <w:color w:val="365F91" w:themeColor="accent1" w:themeShade="BF"/>
      <w:sz w:val="26"/>
      <w:szCs w:val="26"/>
      <w:lang w:eastAsia="en-US"/>
    </w:rPr>
  </w:style>
  <w:style w:type="character" w:styleId="CommentReference">
    <w:name w:val="annotation reference"/>
    <w:basedOn w:val="DefaultParagraphFont"/>
    <w:uiPriority w:val="99"/>
    <w:semiHidden/>
    <w:unhideWhenUsed/>
    <w:rsid w:val="000E685C"/>
    <w:rPr>
      <w:sz w:val="16"/>
      <w:szCs w:val="16"/>
    </w:rPr>
  </w:style>
  <w:style w:type="paragraph" w:styleId="CommentText">
    <w:name w:val="annotation text"/>
    <w:basedOn w:val="Normal"/>
    <w:link w:val="CommentTextChar"/>
    <w:uiPriority w:val="99"/>
    <w:semiHidden/>
    <w:unhideWhenUsed/>
    <w:rsid w:val="000E685C"/>
    <w:pPr>
      <w:spacing w:line="240" w:lineRule="auto"/>
    </w:pPr>
    <w:rPr>
      <w:sz w:val="20"/>
      <w:szCs w:val="20"/>
    </w:rPr>
  </w:style>
  <w:style w:type="character" w:customStyle="1" w:styleId="CommentTextChar">
    <w:name w:val="Comment Text Char"/>
    <w:basedOn w:val="DefaultParagraphFont"/>
    <w:link w:val="CommentText"/>
    <w:uiPriority w:val="99"/>
    <w:semiHidden/>
    <w:rsid w:val="000E685C"/>
    <w:rPr>
      <w:lang w:eastAsia="en-US"/>
    </w:rPr>
  </w:style>
  <w:style w:type="paragraph" w:styleId="CommentSubject">
    <w:name w:val="annotation subject"/>
    <w:basedOn w:val="CommentText"/>
    <w:next w:val="CommentText"/>
    <w:link w:val="CommentSubjectChar"/>
    <w:uiPriority w:val="99"/>
    <w:semiHidden/>
    <w:unhideWhenUsed/>
    <w:rsid w:val="000E685C"/>
    <w:rPr>
      <w:b/>
      <w:bCs/>
    </w:rPr>
  </w:style>
  <w:style w:type="character" w:customStyle="1" w:styleId="CommentSubjectChar">
    <w:name w:val="Comment Subject Char"/>
    <w:basedOn w:val="CommentTextChar"/>
    <w:link w:val="CommentSubject"/>
    <w:uiPriority w:val="99"/>
    <w:semiHidden/>
    <w:rsid w:val="000E685C"/>
    <w:rPr>
      <w:b/>
      <w:bCs/>
      <w:lang w:eastAsia="en-US"/>
    </w:rPr>
  </w:style>
  <w:style w:type="paragraph" w:styleId="ListParagraph">
    <w:name w:val="List Paragraph"/>
    <w:basedOn w:val="Normal"/>
    <w:uiPriority w:val="34"/>
    <w:qFormat/>
    <w:rsid w:val="003E764E"/>
    <w:pPr>
      <w:ind w:left="720"/>
      <w:contextualSpacing/>
    </w:pPr>
  </w:style>
  <w:style w:type="paragraph" w:styleId="FootnoteText">
    <w:name w:val="footnote text"/>
    <w:basedOn w:val="Normal"/>
    <w:link w:val="FootnoteTextChar"/>
    <w:uiPriority w:val="99"/>
    <w:semiHidden/>
    <w:unhideWhenUsed/>
    <w:rsid w:val="00EF3FC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F3FCB"/>
    <w:rPr>
      <w:lang w:eastAsia="en-US"/>
    </w:rPr>
  </w:style>
  <w:style w:type="character" w:styleId="FootnoteReference">
    <w:name w:val="footnote reference"/>
    <w:basedOn w:val="DefaultParagraphFont"/>
    <w:uiPriority w:val="99"/>
    <w:semiHidden/>
    <w:unhideWhenUsed/>
    <w:rsid w:val="00EF3FCB"/>
    <w:rPr>
      <w:vertAlign w:val="superscript"/>
    </w:rPr>
  </w:style>
  <w:style w:type="character" w:styleId="FollowedHyperlink">
    <w:name w:val="FollowedHyperlink"/>
    <w:basedOn w:val="DefaultParagraphFont"/>
    <w:uiPriority w:val="99"/>
    <w:semiHidden/>
    <w:unhideWhenUsed/>
    <w:rsid w:val="00A022C4"/>
    <w:rPr>
      <w:color w:val="800080" w:themeColor="followedHyperlink"/>
      <w:u w:val="single"/>
    </w:rPr>
  </w:style>
  <w:style w:type="paragraph" w:styleId="Revision">
    <w:name w:val="Revision"/>
    <w:hidden/>
    <w:uiPriority w:val="99"/>
    <w:semiHidden/>
    <w:rsid w:val="00817D13"/>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5E9429C1D76B14E8D65B9302521ED62" ma:contentTypeVersion="11" ma:contentTypeDescription="Create a new document." ma:contentTypeScope="" ma:versionID="ac3bd6daf5ca2185b5383a3b2b3a2335">
  <xsd:schema xmlns:xsd="http://www.w3.org/2001/XMLSchema" xmlns:xs="http://www.w3.org/2001/XMLSchema" xmlns:p="http://schemas.microsoft.com/office/2006/metadata/properties" xmlns:ns3="4e294244-239f-4a39-bb9f-17ee8ba037d6" xmlns:ns4="efc9b285-2836-4850-a399-f4895561bff5" targetNamespace="http://schemas.microsoft.com/office/2006/metadata/properties" ma:root="true" ma:fieldsID="874c8d79efd144c6a4fde1ce3d04e675" ns3:_="" ns4:_="">
    <xsd:import namespace="4e294244-239f-4a39-bb9f-17ee8ba037d6"/>
    <xsd:import namespace="efc9b285-2836-4850-a399-f4895561bff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294244-239f-4a39-bb9f-17ee8ba037d6"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fc9b285-2836-4850-a399-f4895561bff5"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SharingHintHash" ma:index="12"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7B9742-1A37-4303-9833-A93CE28CD591}">
  <ds:schemaRefs>
    <ds:schemaRef ds:uri="http://schemas.openxmlformats.org/officeDocument/2006/bibliography"/>
  </ds:schemaRefs>
</ds:datastoreItem>
</file>

<file path=customXml/itemProps2.xml><?xml version="1.0" encoding="utf-8"?>
<ds:datastoreItem xmlns:ds="http://schemas.openxmlformats.org/officeDocument/2006/customXml" ds:itemID="{73CF1C25-5B75-4922-ABD1-26E1936E55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294244-239f-4a39-bb9f-17ee8ba037d6"/>
    <ds:schemaRef ds:uri="efc9b285-2836-4850-a399-f4895561b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B4AC8B-7243-46DD-A76B-E20346724E34}">
  <ds:schemaRefs>
    <ds:schemaRef ds:uri="http://schemas.openxmlformats.org/package/2006/metadata/core-properties"/>
    <ds:schemaRef ds:uri="http://purl.org/dc/elements/1.1/"/>
    <ds:schemaRef ds:uri="4e294244-239f-4a39-bb9f-17ee8ba037d6"/>
    <ds:schemaRef ds:uri="http://purl.org/dc/terms/"/>
    <ds:schemaRef ds:uri="http://schemas.microsoft.com/office/infopath/2007/PartnerControls"/>
    <ds:schemaRef ds:uri="efc9b285-2836-4850-a399-f4895561bff5"/>
    <ds:schemaRef ds:uri="http://schemas.microsoft.com/office/2006/documentManagement/types"/>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54C64BEC-D162-4745-BF2A-43B00568B8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