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7754F">
      <w:pPr>
        <w:spacing w:before="196" w:line="207" w:lineRule="exact"/>
        <w:ind w:left="7373"/>
        <w:rPr>
          <w:b/>
          <w:sz w:val="18"/>
        </w:rPr>
      </w:pPr>
      <w:r>
        <w:rPr>
          <w:b/>
          <w:noProof/>
          <w:sz w:val="18"/>
        </w:rPr>
        <w:drawing>
          <wp:anchor distT="0" distB="0" distL="0" distR="0" simplePos="0" relativeHeight="251658240" behindDoc="0" locked="0" layoutInCell="1" allowOverlap="1">
            <wp:simplePos x="0" y="0"/>
            <wp:positionH relativeFrom="page">
              <wp:posOffset>738252</wp:posOffset>
            </wp:positionH>
            <wp:positionV relativeFrom="paragraph">
              <wp:posOffset>501</wp:posOffset>
            </wp:positionV>
            <wp:extent cx="1121915" cy="49937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1121915" cy="499370"/>
                    </a:xfrm>
                    <a:prstGeom prst="rect">
                      <a:avLst/>
                    </a:prstGeom>
                  </pic:spPr>
                </pic:pic>
              </a:graphicData>
            </a:graphic>
          </wp:anchor>
        </w:drawing>
      </w:r>
      <w:r>
        <w:rPr>
          <w:b/>
          <w:color w:val="8063A1"/>
          <w:sz w:val="18"/>
        </w:rPr>
        <w:t>Mike</w:t>
      </w:r>
      <w:r>
        <w:rPr>
          <w:b/>
          <w:color w:val="8063A1"/>
          <w:spacing w:val="-5"/>
          <w:sz w:val="18"/>
        </w:rPr>
        <w:t xml:space="preserve"> </w:t>
      </w:r>
      <w:r>
        <w:rPr>
          <w:b/>
          <w:color w:val="8063A1"/>
          <w:sz w:val="18"/>
        </w:rPr>
        <w:t xml:space="preserve">Tapp </w:t>
      </w:r>
      <w:r>
        <w:rPr>
          <w:b/>
          <w:color w:val="8063A1"/>
          <w:spacing w:val="-5"/>
          <w:sz w:val="18"/>
        </w:rPr>
        <w:t>MP</w:t>
      </w:r>
    </w:p>
    <w:p w:rsidR="0057754F">
      <w:pPr>
        <w:ind w:left="7373"/>
        <w:rPr>
          <w:b/>
          <w:sz w:val="18"/>
        </w:rPr>
      </w:pPr>
      <w:r>
        <w:rPr>
          <w:b/>
          <w:color w:val="8063A1"/>
          <w:sz w:val="18"/>
        </w:rPr>
        <w:t>Minister</w:t>
      </w:r>
      <w:r>
        <w:rPr>
          <w:b/>
          <w:color w:val="8063A1"/>
          <w:spacing w:val="-11"/>
          <w:sz w:val="18"/>
        </w:rPr>
        <w:t xml:space="preserve"> </w:t>
      </w:r>
      <w:r>
        <w:rPr>
          <w:b/>
          <w:color w:val="8063A1"/>
          <w:sz w:val="18"/>
        </w:rPr>
        <w:t>for</w:t>
      </w:r>
      <w:r>
        <w:rPr>
          <w:b/>
          <w:color w:val="8063A1"/>
          <w:spacing w:val="-10"/>
          <w:sz w:val="18"/>
        </w:rPr>
        <w:t xml:space="preserve"> </w:t>
      </w:r>
      <w:r>
        <w:rPr>
          <w:b/>
          <w:color w:val="8063A1"/>
          <w:sz w:val="18"/>
        </w:rPr>
        <w:t>Migration</w:t>
      </w:r>
      <w:r>
        <w:rPr>
          <w:b/>
          <w:color w:val="8063A1"/>
          <w:spacing w:val="-11"/>
          <w:sz w:val="18"/>
        </w:rPr>
        <w:t xml:space="preserve"> </w:t>
      </w:r>
      <w:r>
        <w:rPr>
          <w:b/>
          <w:color w:val="8063A1"/>
          <w:sz w:val="18"/>
        </w:rPr>
        <w:t xml:space="preserve">&amp; </w:t>
      </w:r>
      <w:r>
        <w:rPr>
          <w:b/>
          <w:color w:val="8063A1"/>
          <w:spacing w:val="-2"/>
          <w:sz w:val="18"/>
        </w:rPr>
        <w:t>Citizenship</w:t>
      </w:r>
    </w:p>
    <w:p w:rsidR="0057754F">
      <w:pPr>
        <w:spacing w:before="28"/>
        <w:ind w:left="7373" w:right="541"/>
        <w:rPr>
          <w:sz w:val="18"/>
        </w:rPr>
      </w:pPr>
      <w:r>
        <w:rPr>
          <w:sz w:val="18"/>
        </w:rPr>
        <w:t xml:space="preserve">2 </w:t>
      </w:r>
      <w:r>
        <w:rPr>
          <w:sz w:val="18"/>
        </w:rPr>
        <w:t>Marsham</w:t>
      </w:r>
      <w:r>
        <w:rPr>
          <w:sz w:val="18"/>
        </w:rPr>
        <w:t xml:space="preserve"> Street London</w:t>
      </w:r>
      <w:r>
        <w:rPr>
          <w:spacing w:val="-15"/>
          <w:sz w:val="18"/>
        </w:rPr>
        <w:t xml:space="preserve"> </w:t>
      </w:r>
      <w:r>
        <w:rPr>
          <w:sz w:val="18"/>
        </w:rPr>
        <w:t>SW1P</w:t>
      </w:r>
      <w:r>
        <w:rPr>
          <w:spacing w:val="-12"/>
          <w:sz w:val="18"/>
        </w:rPr>
        <w:t xml:space="preserve"> </w:t>
      </w:r>
      <w:r>
        <w:rPr>
          <w:sz w:val="18"/>
        </w:rPr>
        <w:t>4DF</w:t>
      </w:r>
    </w:p>
    <w:p w:rsidR="0057754F">
      <w:pPr>
        <w:spacing w:line="206" w:lineRule="exact"/>
        <w:ind w:left="7373"/>
        <w:rPr>
          <w:b/>
          <w:sz w:val="18"/>
        </w:rPr>
      </w:pPr>
      <w:r>
        <w:fldChar w:fldCharType="begin"/>
      </w:r>
      <w:r>
        <w:instrText xml:space="preserve"> HYPERLINK "http://www.gov.uk/home-office" </w:instrText>
      </w:r>
      <w:r>
        <w:fldChar w:fldCharType="separate"/>
      </w:r>
      <w:r>
        <w:rPr>
          <w:b/>
          <w:color w:val="8063A1"/>
          <w:spacing w:val="-2"/>
          <w:sz w:val="18"/>
        </w:rPr>
        <w:t>www.gov.uk/home-office</w:t>
      </w:r>
      <w:r>
        <w:fldChar w:fldCharType="end"/>
      </w:r>
    </w:p>
    <w:p w:rsidR="0057754F">
      <w:pPr>
        <w:pStyle w:val="BodyText"/>
        <w:rPr>
          <w:b/>
        </w:rPr>
      </w:pPr>
    </w:p>
    <w:p w:rsidR="0057754F">
      <w:pPr>
        <w:pStyle w:val="BodyText"/>
        <w:rPr>
          <w:b/>
        </w:rPr>
      </w:pPr>
    </w:p>
    <w:p w:rsidR="0057754F">
      <w:pPr>
        <w:pStyle w:val="BodyText"/>
        <w:spacing w:before="92"/>
        <w:rPr>
          <w:b/>
        </w:rPr>
      </w:pPr>
    </w:p>
    <w:p w:rsidR="0057754F">
      <w:pPr>
        <w:pStyle w:val="BodyText"/>
        <w:ind w:left="140"/>
      </w:pPr>
      <w:r>
        <w:t>Lord</w:t>
      </w:r>
      <w:r>
        <w:rPr>
          <w:spacing w:val="-16"/>
        </w:rPr>
        <w:t xml:space="preserve"> </w:t>
      </w:r>
      <w:r>
        <w:t>Alton</w:t>
      </w:r>
      <w:r>
        <w:rPr>
          <w:spacing w:val="-1"/>
        </w:rPr>
        <w:t xml:space="preserve"> </w:t>
      </w:r>
      <w:r>
        <w:t>of</w:t>
      </w:r>
      <w:r>
        <w:rPr>
          <w:spacing w:val="-3"/>
        </w:rPr>
        <w:t xml:space="preserve"> </w:t>
      </w:r>
      <w:r>
        <w:rPr>
          <w:spacing w:val="-2"/>
        </w:rPr>
        <w:t>Liverpool</w:t>
      </w:r>
    </w:p>
    <w:p w:rsidR="0057754F">
      <w:pPr>
        <w:pStyle w:val="BodyText"/>
        <w:ind w:left="140" w:right="4801"/>
      </w:pPr>
      <w:r>
        <w:t>Chair,</w:t>
      </w:r>
      <w:r>
        <w:rPr>
          <w:spacing w:val="-10"/>
        </w:rPr>
        <w:t xml:space="preserve"> </w:t>
      </w:r>
      <w:r>
        <w:t>Joint</w:t>
      </w:r>
      <w:r>
        <w:rPr>
          <w:spacing w:val="-10"/>
        </w:rPr>
        <w:t xml:space="preserve"> </w:t>
      </w:r>
      <w:r>
        <w:t>Committee</w:t>
      </w:r>
      <w:r>
        <w:rPr>
          <w:spacing w:val="-11"/>
        </w:rPr>
        <w:t xml:space="preserve"> </w:t>
      </w:r>
      <w:r>
        <w:t>on</w:t>
      </w:r>
      <w:r>
        <w:rPr>
          <w:spacing w:val="-10"/>
        </w:rPr>
        <w:t xml:space="preserve"> </w:t>
      </w:r>
      <w:r>
        <w:t>Human</w:t>
      </w:r>
      <w:r>
        <w:rPr>
          <w:spacing w:val="-10"/>
        </w:rPr>
        <w:t xml:space="preserve"> </w:t>
      </w:r>
      <w:r>
        <w:t>Rights House of Commons</w:t>
      </w:r>
    </w:p>
    <w:p w:rsidR="0057754F">
      <w:pPr>
        <w:pStyle w:val="BodyText"/>
        <w:ind w:left="140" w:right="6127"/>
      </w:pPr>
      <w:r>
        <w:t>Palace</w:t>
      </w:r>
      <w:r>
        <w:rPr>
          <w:spacing w:val="-17"/>
        </w:rPr>
        <w:t xml:space="preserve"> </w:t>
      </w:r>
      <w:r>
        <w:t>of</w:t>
      </w:r>
      <w:r>
        <w:rPr>
          <w:spacing w:val="-17"/>
        </w:rPr>
        <w:t xml:space="preserve"> </w:t>
      </w:r>
      <w:r>
        <w:t xml:space="preserve">Westminster </w:t>
      </w:r>
      <w:r>
        <w:rPr>
          <w:spacing w:val="-2"/>
        </w:rPr>
        <w:t>Westminster</w:t>
      </w:r>
    </w:p>
    <w:p w:rsidR="0057754F">
      <w:pPr>
        <w:pStyle w:val="BodyText"/>
        <w:ind w:left="140"/>
      </w:pPr>
      <w:r>
        <w:t>SW1A</w:t>
      </w:r>
      <w:r>
        <w:rPr>
          <w:spacing w:val="-15"/>
        </w:rPr>
        <w:t xml:space="preserve"> </w:t>
      </w:r>
      <w:r>
        <w:rPr>
          <w:spacing w:val="-5"/>
        </w:rPr>
        <w:t>0AA</w:t>
      </w:r>
    </w:p>
    <w:p w:rsidR="0057754F">
      <w:pPr>
        <w:pStyle w:val="BodyText"/>
      </w:pPr>
    </w:p>
    <w:p w:rsidR="0057754F">
      <w:pPr>
        <w:pStyle w:val="BodyText"/>
        <w:spacing w:before="1"/>
      </w:pPr>
    </w:p>
    <w:p w:rsidR="0057754F">
      <w:pPr>
        <w:pStyle w:val="BodyText"/>
        <w:ind w:right="138"/>
        <w:jc w:val="right"/>
      </w:pPr>
      <w:r>
        <w:t>7</w:t>
      </w:r>
      <w:r>
        <w:rPr>
          <w:spacing w:val="-2"/>
        </w:rPr>
        <w:t xml:space="preserve"> </w:t>
      </w:r>
      <w:r>
        <w:t xml:space="preserve">May </w:t>
      </w:r>
      <w:r>
        <w:rPr>
          <w:spacing w:val="-4"/>
        </w:rPr>
        <w:t>2026</w:t>
      </w:r>
    </w:p>
    <w:p w:rsidR="0057754F">
      <w:pPr>
        <w:pStyle w:val="BodyText"/>
      </w:pPr>
    </w:p>
    <w:p w:rsidR="0057754F">
      <w:pPr>
        <w:pStyle w:val="BodyText"/>
      </w:pPr>
    </w:p>
    <w:p w:rsidR="0057754F">
      <w:pPr>
        <w:pStyle w:val="BodyText"/>
        <w:ind w:left="140"/>
      </w:pPr>
      <w:r>
        <w:t>Dear</w:t>
      </w:r>
      <w:r>
        <w:rPr>
          <w:spacing w:val="-2"/>
        </w:rPr>
        <w:t xml:space="preserve"> </w:t>
      </w:r>
      <w:r>
        <w:t>Lord</w:t>
      </w:r>
      <w:r>
        <w:rPr>
          <w:spacing w:val="-14"/>
        </w:rPr>
        <w:t xml:space="preserve"> </w:t>
      </w:r>
      <w:r>
        <w:rPr>
          <w:spacing w:val="-2"/>
        </w:rPr>
        <w:t>Alton,</w:t>
      </w:r>
    </w:p>
    <w:p w:rsidR="0057754F">
      <w:pPr>
        <w:pStyle w:val="BodyText"/>
      </w:pPr>
    </w:p>
    <w:p w:rsidR="0057754F">
      <w:pPr>
        <w:pStyle w:val="BodyText"/>
      </w:pPr>
    </w:p>
    <w:p w:rsidR="0057754F">
      <w:pPr>
        <w:pStyle w:val="BodyText"/>
        <w:ind w:left="140" w:right="209"/>
      </w:pPr>
      <w:r>
        <w:t>Thank you for your letter of 16</w:t>
      </w:r>
      <w:r>
        <w:rPr>
          <w:spacing w:val="-9"/>
        </w:rPr>
        <w:t xml:space="preserve"> </w:t>
      </w:r>
      <w:r>
        <w:t>April 2026 to the Home Secretary on the visa brake that was implemented on 26 March for nationals of</w:t>
      </w:r>
      <w:r>
        <w:rPr>
          <w:spacing w:val="-6"/>
        </w:rPr>
        <w:t xml:space="preserve"> </w:t>
      </w:r>
      <w:r>
        <w:t>Afghanistan, Cameroon, Myanmar and Sudan. I am responding as the Minister responsible for legal migration on behalf of the Home</w:t>
      </w:r>
      <w:r>
        <w:rPr>
          <w:spacing w:val="-5"/>
        </w:rPr>
        <w:t xml:space="preserve"> </w:t>
      </w:r>
      <w:r>
        <w:t>Secretary.</w:t>
      </w:r>
      <w:r>
        <w:rPr>
          <w:spacing w:val="-10"/>
        </w:rPr>
        <w:t xml:space="preserve"> </w:t>
      </w:r>
      <w:r>
        <w:t>You</w:t>
      </w:r>
      <w:r>
        <w:rPr>
          <w:spacing w:val="-7"/>
        </w:rPr>
        <w:t xml:space="preserve"> </w:t>
      </w:r>
      <w:r>
        <w:t>asked</w:t>
      </w:r>
      <w:r>
        <w:rPr>
          <w:spacing w:val="-5"/>
        </w:rPr>
        <w:t xml:space="preserve"> </w:t>
      </w:r>
      <w:r>
        <w:t>a</w:t>
      </w:r>
      <w:r>
        <w:rPr>
          <w:spacing w:val="-6"/>
        </w:rPr>
        <w:t xml:space="preserve"> </w:t>
      </w:r>
      <w:r>
        <w:t>number</w:t>
      </w:r>
      <w:r>
        <w:rPr>
          <w:spacing w:val="-5"/>
        </w:rPr>
        <w:t xml:space="preserve"> </w:t>
      </w:r>
      <w:r>
        <w:t>of</w:t>
      </w:r>
      <w:r>
        <w:rPr>
          <w:spacing w:val="-7"/>
        </w:rPr>
        <w:t xml:space="preserve"> </w:t>
      </w:r>
      <w:r>
        <w:t>questions</w:t>
      </w:r>
      <w:r>
        <w:rPr>
          <w:spacing w:val="-5"/>
        </w:rPr>
        <w:t xml:space="preserve"> </w:t>
      </w:r>
      <w:r>
        <w:t>about</w:t>
      </w:r>
      <w:r>
        <w:rPr>
          <w:spacing w:val="-5"/>
        </w:rPr>
        <w:t xml:space="preserve"> </w:t>
      </w:r>
      <w:r>
        <w:t>how</w:t>
      </w:r>
      <w:r>
        <w:rPr>
          <w:spacing w:val="-5"/>
        </w:rPr>
        <w:t xml:space="preserve"> </w:t>
      </w:r>
      <w:r>
        <w:t>this</w:t>
      </w:r>
      <w:r>
        <w:rPr>
          <w:spacing w:val="-8"/>
        </w:rPr>
        <w:t xml:space="preserve"> </w:t>
      </w:r>
      <w:r>
        <w:t>policy</w:t>
      </w:r>
      <w:r>
        <w:rPr>
          <w:spacing w:val="-5"/>
        </w:rPr>
        <w:t xml:space="preserve"> </w:t>
      </w:r>
      <w:r>
        <w:t>was</w:t>
      </w:r>
      <w:r>
        <w:rPr>
          <w:spacing w:val="-5"/>
        </w:rPr>
        <w:t xml:space="preserve"> </w:t>
      </w:r>
      <w:r>
        <w:t>developed.</w:t>
      </w:r>
      <w:r>
        <w:rPr>
          <w:spacing w:val="-5"/>
        </w:rPr>
        <w:t xml:space="preserve"> </w:t>
      </w:r>
      <w:r>
        <w:t xml:space="preserve">I will set out the overall rationale for the policy and then address each of your questions in </w:t>
      </w:r>
      <w:r>
        <w:rPr>
          <w:spacing w:val="-2"/>
        </w:rPr>
        <w:t>turn.</w:t>
      </w:r>
    </w:p>
    <w:p w:rsidR="0057754F">
      <w:pPr>
        <w:pStyle w:val="BodyText"/>
        <w:spacing w:before="274"/>
        <w:ind w:left="140" w:right="187"/>
      </w:pPr>
      <w:r>
        <w:t xml:space="preserve">The number of </w:t>
      </w:r>
      <w:r>
        <w:t>asylum</w:t>
      </w:r>
      <w:r>
        <w:t xml:space="preserve"> claims from people who arrived in the UK on a visa or other documented leave has nearly tripled over the last three years.</w:t>
      </w:r>
      <w:r>
        <w:rPr>
          <w:spacing w:val="-1"/>
        </w:rPr>
        <w:t xml:space="preserve"> </w:t>
      </w:r>
      <w:r>
        <w:t>The Government takes this trend very seriously, both because of the pressure it places on the asylum system and because of the need to maintain confidence in the integrity of our immigration routes. The evidence</w:t>
      </w:r>
      <w:r>
        <w:rPr>
          <w:spacing w:val="-4"/>
        </w:rPr>
        <w:t xml:space="preserve"> </w:t>
      </w:r>
      <w:r>
        <w:t>demonstrates</w:t>
      </w:r>
      <w:r>
        <w:rPr>
          <w:spacing w:val="-4"/>
        </w:rPr>
        <w:t xml:space="preserve"> </w:t>
      </w:r>
      <w:r>
        <w:t>that</w:t>
      </w:r>
      <w:r>
        <w:rPr>
          <w:spacing w:val="-5"/>
        </w:rPr>
        <w:t xml:space="preserve"> </w:t>
      </w:r>
      <w:r>
        <w:t>the</w:t>
      </w:r>
      <w:r>
        <w:rPr>
          <w:spacing w:val="-4"/>
        </w:rPr>
        <w:t xml:space="preserve"> </w:t>
      </w:r>
      <w:r>
        <w:t>proportion</w:t>
      </w:r>
      <w:r>
        <w:rPr>
          <w:spacing w:val="-5"/>
        </w:rPr>
        <w:t xml:space="preserve"> </w:t>
      </w:r>
      <w:r>
        <w:t>of</w:t>
      </w:r>
      <w:r>
        <w:rPr>
          <w:spacing w:val="-5"/>
        </w:rPr>
        <w:t xml:space="preserve"> </w:t>
      </w:r>
      <w:r>
        <w:t>visa</w:t>
      </w:r>
      <w:r>
        <w:rPr>
          <w:spacing w:val="-4"/>
        </w:rPr>
        <w:t xml:space="preserve"> </w:t>
      </w:r>
      <w:r>
        <w:t>holders</w:t>
      </w:r>
      <w:r>
        <w:rPr>
          <w:spacing w:val="-4"/>
        </w:rPr>
        <w:t xml:space="preserve"> </w:t>
      </w:r>
      <w:r>
        <w:t>subsequently</w:t>
      </w:r>
      <w:r>
        <w:rPr>
          <w:spacing w:val="-4"/>
        </w:rPr>
        <w:t xml:space="preserve"> </w:t>
      </w:r>
      <w:r>
        <w:t>claiming</w:t>
      </w:r>
      <w:r>
        <w:rPr>
          <w:spacing w:val="-3"/>
        </w:rPr>
        <w:t xml:space="preserve"> </w:t>
      </w:r>
      <w:r>
        <w:t>asylum</w:t>
      </w:r>
      <w:r>
        <w:rPr>
          <w:spacing w:val="-5"/>
        </w:rPr>
        <w:t xml:space="preserve"> </w:t>
      </w:r>
      <w:r>
        <w:t>is high when set against overall visa volumes, making these routes unsustainable without int</w:t>
      </w:r>
      <w:r>
        <w:t xml:space="preserve">ervention. While most people who come to study in the UK do so for genuine reasons, the evidence is that the </w:t>
      </w:r>
      <w:r>
        <w:t>Student</w:t>
      </w:r>
      <w:r>
        <w:t xml:space="preserve"> route for these four nationalities has been a sustained source of a particularly high number and high proportion of visa-linked asylum claims relative to the number of visas issued. By year ending September 2025, asylum claims along the affected routes by nationals of</w:t>
      </w:r>
      <w:r>
        <w:rPr>
          <w:spacing w:val="-1"/>
        </w:rPr>
        <w:t xml:space="preserve"> </w:t>
      </w:r>
      <w:r>
        <w:t>Afghanistan, Cameroon, Myanmar, and Sudan had risen to over 470% of their 2021 level. Introducing these brakes, therefore, was</w:t>
      </w:r>
      <w:r>
        <w:t xml:space="preserve"> a</w:t>
      </w:r>
    </w:p>
    <w:p w:rsidR="0057754F">
      <w:pPr>
        <w:pStyle w:val="BodyText"/>
        <w:spacing w:before="1"/>
        <w:ind w:left="140"/>
      </w:pPr>
      <w:r>
        <w:t>data-driven</w:t>
      </w:r>
      <w:r>
        <w:rPr>
          <w:spacing w:val="-3"/>
        </w:rPr>
        <w:t xml:space="preserve"> </w:t>
      </w:r>
      <w:r>
        <w:t>and</w:t>
      </w:r>
      <w:r>
        <w:rPr>
          <w:spacing w:val="-5"/>
        </w:rPr>
        <w:t xml:space="preserve"> </w:t>
      </w:r>
      <w:r>
        <w:t>evidence-based</w:t>
      </w:r>
      <w:r>
        <w:rPr>
          <w:spacing w:val="-3"/>
        </w:rPr>
        <w:t xml:space="preserve"> </w:t>
      </w:r>
      <w:r>
        <w:t>decision,</w:t>
      </w:r>
      <w:r>
        <w:rPr>
          <w:spacing w:val="-5"/>
        </w:rPr>
        <w:t xml:space="preserve"> </w:t>
      </w:r>
      <w:r>
        <w:t>taken</w:t>
      </w:r>
      <w:r>
        <w:rPr>
          <w:spacing w:val="-3"/>
        </w:rPr>
        <w:t xml:space="preserve"> </w:t>
      </w:r>
      <w:r>
        <w:t>to</w:t>
      </w:r>
      <w:r>
        <w:rPr>
          <w:spacing w:val="-3"/>
        </w:rPr>
        <w:t xml:space="preserve"> </w:t>
      </w:r>
      <w:r>
        <w:t>safeguard</w:t>
      </w:r>
      <w:r>
        <w:rPr>
          <w:spacing w:val="-3"/>
        </w:rPr>
        <w:t xml:space="preserve"> </w:t>
      </w:r>
      <w:r>
        <w:t>the</w:t>
      </w:r>
      <w:r>
        <w:rPr>
          <w:spacing w:val="-5"/>
        </w:rPr>
        <w:t xml:space="preserve"> </w:t>
      </w:r>
      <w:r>
        <w:t>fairness,</w:t>
      </w:r>
      <w:r>
        <w:rPr>
          <w:spacing w:val="-3"/>
        </w:rPr>
        <w:t xml:space="preserve"> </w:t>
      </w:r>
      <w:r>
        <w:t>credibility</w:t>
      </w:r>
      <w:r>
        <w:rPr>
          <w:spacing w:val="-5"/>
        </w:rPr>
        <w:t xml:space="preserve"> </w:t>
      </w:r>
      <w:r>
        <w:t>and sustainability of the immigration system as a whole and to reduce further strain on our asylum system.</w:t>
      </w:r>
    </w:p>
    <w:p w:rsidR="0057754F">
      <w:pPr>
        <w:pStyle w:val="BodyText"/>
      </w:pPr>
    </w:p>
    <w:p w:rsidR="0057754F">
      <w:pPr>
        <w:pStyle w:val="BodyText"/>
        <w:ind w:left="140" w:right="147"/>
      </w:pPr>
      <w:r>
        <w:t>You</w:t>
      </w:r>
      <w:r>
        <w:rPr>
          <w:spacing w:val="-1"/>
        </w:rPr>
        <w:t xml:space="preserve"> </w:t>
      </w:r>
      <w:r>
        <w:t>ask for the evidence base underpinning the visa</w:t>
      </w:r>
      <w:r>
        <w:rPr>
          <w:spacing w:val="-1"/>
        </w:rPr>
        <w:t xml:space="preserve"> </w:t>
      </w:r>
      <w:r>
        <w:t>brake,</w:t>
      </w:r>
      <w:r>
        <w:rPr>
          <w:spacing w:val="-1"/>
        </w:rPr>
        <w:t xml:space="preserve"> </w:t>
      </w:r>
      <w:r>
        <w:t>and the</w:t>
      </w:r>
      <w:r>
        <w:rPr>
          <w:spacing w:val="-1"/>
        </w:rPr>
        <w:t xml:space="preserve"> </w:t>
      </w:r>
      <w:r>
        <w:t>rationale</w:t>
      </w:r>
      <w:r>
        <w:rPr>
          <w:spacing w:val="-1"/>
        </w:rPr>
        <w:t xml:space="preserve"> </w:t>
      </w:r>
      <w:r>
        <w:t>for choosing the countries in scope of the brake.</w:t>
      </w:r>
      <w:r>
        <w:rPr>
          <w:spacing w:val="-2"/>
        </w:rPr>
        <w:t xml:space="preserve"> </w:t>
      </w:r>
      <w:r>
        <w:t>As mentioned, our decision to introduce these brakes was</w:t>
      </w:r>
      <w:r>
        <w:rPr>
          <w:spacing w:val="-1"/>
        </w:rPr>
        <w:t xml:space="preserve"> </w:t>
      </w:r>
      <w:r>
        <w:t>evidence</w:t>
      </w:r>
      <w:r>
        <w:rPr>
          <w:spacing w:val="-4"/>
        </w:rPr>
        <w:t xml:space="preserve"> </w:t>
      </w:r>
      <w:r>
        <w:t>and</w:t>
      </w:r>
      <w:r>
        <w:rPr>
          <w:spacing w:val="-4"/>
        </w:rPr>
        <w:t xml:space="preserve"> </w:t>
      </w:r>
      <w:r>
        <w:t>data-driven,</w:t>
      </w:r>
      <w:r>
        <w:rPr>
          <w:spacing w:val="-2"/>
        </w:rPr>
        <w:t xml:space="preserve"> </w:t>
      </w:r>
      <w:r>
        <w:t>selecting</w:t>
      </w:r>
      <w:r>
        <w:rPr>
          <w:spacing w:val="-2"/>
        </w:rPr>
        <w:t xml:space="preserve"> </w:t>
      </w:r>
      <w:r>
        <w:t>the</w:t>
      </w:r>
      <w:r>
        <w:rPr>
          <w:spacing w:val="-4"/>
        </w:rPr>
        <w:t xml:space="preserve"> </w:t>
      </w:r>
      <w:r>
        <w:t>nationalities,</w:t>
      </w:r>
      <w:r>
        <w:rPr>
          <w:spacing w:val="-2"/>
        </w:rPr>
        <w:t xml:space="preserve"> </w:t>
      </w:r>
      <w:r>
        <w:t>where</w:t>
      </w:r>
      <w:r>
        <w:rPr>
          <w:spacing w:val="-5"/>
        </w:rPr>
        <w:t xml:space="preserve"> </w:t>
      </w:r>
      <w:r>
        <w:t>we</w:t>
      </w:r>
      <w:r>
        <w:rPr>
          <w:spacing w:val="-4"/>
        </w:rPr>
        <w:t xml:space="preserve"> </w:t>
      </w:r>
      <w:r>
        <w:t>have</w:t>
      </w:r>
      <w:r>
        <w:rPr>
          <w:spacing w:val="-2"/>
        </w:rPr>
        <w:t xml:space="preserve"> </w:t>
      </w:r>
      <w:r>
        <w:t>seen</w:t>
      </w:r>
      <w:r>
        <w:rPr>
          <w:spacing w:val="-4"/>
        </w:rPr>
        <w:t xml:space="preserve"> </w:t>
      </w:r>
      <w:r>
        <w:t>both</w:t>
      </w:r>
      <w:r>
        <w:rPr>
          <w:spacing w:val="-3"/>
        </w:rPr>
        <w:t xml:space="preserve"> </w:t>
      </w:r>
      <w:r>
        <w:t>a</w:t>
      </w:r>
      <w:r>
        <w:rPr>
          <w:spacing w:val="-2"/>
        </w:rPr>
        <w:t xml:space="preserve"> </w:t>
      </w:r>
      <w:r>
        <w:t xml:space="preserve">high number and high proportion of asylum claims along the routes in question. As part of the </w:t>
      </w:r>
      <w:r>
        <w:fldChar w:fldCharType="begin"/>
      </w:r>
      <w:r>
        <w:instrText xml:space="preserve"> HYPERLINK "https://assets.publishing.service.gov.uk/media/69a9a3301f59a04b996e77f3/HO1030_Visa_Brake_Impact_Assessment.pdf" </w:instrText>
      </w:r>
      <w:r>
        <w:fldChar w:fldCharType="separate"/>
      </w:r>
      <w:r>
        <w:rPr>
          <w:color w:val="0000FF"/>
          <w:u w:val="single" w:color="0000FF"/>
        </w:rPr>
        <w:t>Impact</w:t>
      </w:r>
      <w:r>
        <w:rPr>
          <w:color w:val="0000FF"/>
          <w:spacing w:val="-6"/>
          <w:u w:val="single" w:color="0000FF"/>
        </w:rPr>
        <w:t xml:space="preserve"> </w:t>
      </w:r>
      <w:r>
        <w:rPr>
          <w:color w:val="0000FF"/>
          <w:u w:val="single" w:color="0000FF"/>
        </w:rPr>
        <w:t>Assessment</w:t>
      </w:r>
      <w:r>
        <w:fldChar w:fldCharType="end"/>
      </w:r>
      <w:r>
        <w:rPr>
          <w:color w:val="0000FF"/>
        </w:rPr>
        <w:t xml:space="preserve"> </w:t>
      </w:r>
      <w:r>
        <w:t xml:space="preserve">published alongside the implementation of the brakes, we provided a detailed breakdown of the number of </w:t>
      </w:r>
      <w:r>
        <w:t>asylum</w:t>
      </w:r>
      <w:r>
        <w:t xml:space="preserve"> claims along these routes, set against the total number of visas issued over the past five years, showing an upward trend. I include this breakdown below:</w:t>
      </w:r>
    </w:p>
    <w:p w:rsidR="0057754F">
      <w:pPr>
        <w:pStyle w:val="BodyText"/>
        <w:sectPr>
          <w:type w:val="continuous"/>
          <w:pgSz w:w="11910" w:h="16850"/>
          <w:pgMar w:top="860" w:right="992" w:bottom="280" w:left="992" w:header="720" w:footer="72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35"/>
        <w:gridCol w:w="1638"/>
        <w:gridCol w:w="1988"/>
        <w:gridCol w:w="851"/>
        <w:gridCol w:w="851"/>
        <w:gridCol w:w="851"/>
        <w:gridCol w:w="854"/>
        <w:gridCol w:w="1137"/>
      </w:tblGrid>
      <w:tr>
        <w:tblPrEx>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90"/>
        </w:trPr>
        <w:tc>
          <w:tcPr>
            <w:tcW w:w="1335" w:type="dxa"/>
          </w:tcPr>
          <w:p w:rsidR="0057754F">
            <w:pPr>
              <w:pStyle w:val="TableParagraph"/>
              <w:spacing w:line="240" w:lineRule="auto"/>
              <w:ind w:right="0"/>
              <w:jc w:val="left"/>
              <w:rPr>
                <w:rFonts w:ascii="Times New Roman"/>
                <w:sz w:val="24"/>
              </w:rPr>
            </w:pPr>
          </w:p>
        </w:tc>
        <w:tc>
          <w:tcPr>
            <w:tcW w:w="1638" w:type="dxa"/>
          </w:tcPr>
          <w:p w:rsidR="0057754F">
            <w:pPr>
              <w:pStyle w:val="TableParagraph"/>
              <w:spacing w:line="240" w:lineRule="auto"/>
              <w:ind w:right="0"/>
              <w:jc w:val="left"/>
              <w:rPr>
                <w:rFonts w:ascii="Times New Roman"/>
                <w:sz w:val="24"/>
              </w:rPr>
            </w:pPr>
          </w:p>
        </w:tc>
        <w:tc>
          <w:tcPr>
            <w:tcW w:w="1988" w:type="dxa"/>
          </w:tcPr>
          <w:p w:rsidR="0057754F">
            <w:pPr>
              <w:pStyle w:val="TableParagraph"/>
              <w:spacing w:line="240" w:lineRule="auto"/>
              <w:ind w:right="0"/>
              <w:jc w:val="left"/>
              <w:rPr>
                <w:rFonts w:ascii="Times New Roman"/>
                <w:sz w:val="24"/>
              </w:rPr>
            </w:pPr>
          </w:p>
        </w:tc>
        <w:tc>
          <w:tcPr>
            <w:tcW w:w="851" w:type="dxa"/>
          </w:tcPr>
          <w:p w:rsidR="0057754F">
            <w:pPr>
              <w:pStyle w:val="TableParagraph"/>
              <w:spacing w:line="240" w:lineRule="auto"/>
              <w:ind w:right="97"/>
              <w:rPr>
                <w:b/>
                <w:sz w:val="24"/>
              </w:rPr>
            </w:pPr>
            <w:r>
              <w:rPr>
                <w:b/>
                <w:spacing w:val="-4"/>
                <w:sz w:val="24"/>
              </w:rPr>
              <w:t>2021</w:t>
            </w:r>
          </w:p>
        </w:tc>
        <w:tc>
          <w:tcPr>
            <w:tcW w:w="851" w:type="dxa"/>
          </w:tcPr>
          <w:p w:rsidR="0057754F">
            <w:pPr>
              <w:pStyle w:val="TableParagraph"/>
              <w:spacing w:line="240" w:lineRule="auto"/>
              <w:rPr>
                <w:b/>
                <w:sz w:val="24"/>
              </w:rPr>
            </w:pPr>
            <w:r>
              <w:rPr>
                <w:b/>
                <w:spacing w:val="-4"/>
                <w:sz w:val="24"/>
              </w:rPr>
              <w:t>2022</w:t>
            </w:r>
          </w:p>
        </w:tc>
        <w:tc>
          <w:tcPr>
            <w:tcW w:w="851" w:type="dxa"/>
          </w:tcPr>
          <w:p w:rsidR="0057754F">
            <w:pPr>
              <w:pStyle w:val="TableParagraph"/>
              <w:spacing w:line="240" w:lineRule="auto"/>
              <w:ind w:right="98"/>
              <w:rPr>
                <w:b/>
                <w:sz w:val="24"/>
              </w:rPr>
            </w:pPr>
            <w:r>
              <w:rPr>
                <w:b/>
                <w:spacing w:val="-4"/>
                <w:sz w:val="24"/>
              </w:rPr>
              <w:t>2023</w:t>
            </w:r>
          </w:p>
        </w:tc>
        <w:tc>
          <w:tcPr>
            <w:tcW w:w="854" w:type="dxa"/>
          </w:tcPr>
          <w:p w:rsidR="0057754F">
            <w:pPr>
              <w:pStyle w:val="TableParagraph"/>
              <w:spacing w:line="240" w:lineRule="auto"/>
              <w:ind w:right="99"/>
              <w:rPr>
                <w:b/>
                <w:sz w:val="24"/>
              </w:rPr>
            </w:pPr>
            <w:r>
              <w:rPr>
                <w:b/>
                <w:spacing w:val="-4"/>
                <w:sz w:val="24"/>
              </w:rPr>
              <w:t>2024</w:t>
            </w:r>
          </w:p>
        </w:tc>
        <w:tc>
          <w:tcPr>
            <w:tcW w:w="1137" w:type="dxa"/>
          </w:tcPr>
          <w:p w:rsidR="0057754F">
            <w:pPr>
              <w:pStyle w:val="TableParagraph"/>
              <w:spacing w:line="240" w:lineRule="auto"/>
              <w:ind w:left="108" w:right="0"/>
              <w:jc w:val="left"/>
              <w:rPr>
                <w:b/>
                <w:sz w:val="24"/>
              </w:rPr>
            </w:pPr>
            <w:r>
              <w:rPr>
                <w:b/>
                <w:sz w:val="24"/>
              </w:rPr>
              <w:t xml:space="preserve">YE </w:t>
            </w:r>
            <w:r>
              <w:rPr>
                <w:b/>
                <w:spacing w:val="-4"/>
                <w:sz w:val="24"/>
              </w:rPr>
              <w:t>Sept</w:t>
            </w:r>
          </w:p>
          <w:p w:rsidR="0057754F">
            <w:pPr>
              <w:pStyle w:val="TableParagraph"/>
              <w:spacing w:line="240" w:lineRule="auto"/>
              <w:ind w:left="484" w:right="0"/>
              <w:jc w:val="left"/>
              <w:rPr>
                <w:b/>
                <w:sz w:val="24"/>
              </w:rPr>
            </w:pPr>
            <w:r>
              <w:rPr>
                <w:b/>
                <w:spacing w:val="-4"/>
                <w:sz w:val="24"/>
              </w:rPr>
              <w:t>2025</w:t>
            </w:r>
          </w:p>
        </w:tc>
      </w:tr>
      <w:tr>
        <w:tblPrEx>
          <w:tblW w:w="0" w:type="auto"/>
          <w:tblInd w:w="150" w:type="dxa"/>
          <w:tblLayout w:type="fixed"/>
          <w:tblCellMar>
            <w:left w:w="0" w:type="dxa"/>
            <w:right w:w="0" w:type="dxa"/>
          </w:tblCellMar>
          <w:tblLook w:val="01E0"/>
        </w:tblPrEx>
        <w:trPr>
          <w:trHeight w:val="302"/>
        </w:trPr>
        <w:tc>
          <w:tcPr>
            <w:tcW w:w="1335" w:type="dxa"/>
            <w:vMerge w:val="restart"/>
          </w:tcPr>
          <w:p w:rsidR="0057754F">
            <w:pPr>
              <w:pStyle w:val="TableParagraph"/>
              <w:spacing w:line="240" w:lineRule="auto"/>
              <w:ind w:left="175" w:right="92" w:firstLine="278"/>
              <w:rPr>
                <w:b/>
                <w:sz w:val="24"/>
              </w:rPr>
            </w:pPr>
            <w:r>
              <w:rPr>
                <w:b/>
                <w:spacing w:val="-2"/>
                <w:sz w:val="24"/>
              </w:rPr>
              <w:t>Skilled Worker (General)</w:t>
            </w:r>
          </w:p>
        </w:tc>
        <w:tc>
          <w:tcPr>
            <w:tcW w:w="1638" w:type="dxa"/>
            <w:vMerge w:val="restart"/>
          </w:tcPr>
          <w:p w:rsidR="0057754F">
            <w:pPr>
              <w:pStyle w:val="TableParagraph"/>
              <w:spacing w:line="240" w:lineRule="auto"/>
              <w:ind w:left="143" w:right="0"/>
              <w:jc w:val="left"/>
              <w:rPr>
                <w:b/>
                <w:sz w:val="24"/>
              </w:rPr>
            </w:pPr>
            <w:r>
              <w:rPr>
                <w:b/>
                <w:spacing w:val="-2"/>
                <w:sz w:val="24"/>
              </w:rPr>
              <w:t>Afghanistan</w:t>
            </w:r>
          </w:p>
        </w:tc>
        <w:tc>
          <w:tcPr>
            <w:tcW w:w="1988" w:type="dxa"/>
          </w:tcPr>
          <w:p w:rsidR="0057754F">
            <w:pPr>
              <w:pStyle w:val="TableParagraph"/>
              <w:spacing w:line="240" w:lineRule="auto"/>
              <w:rPr>
                <w:sz w:val="24"/>
              </w:rPr>
            </w:pPr>
            <w:r>
              <w:rPr>
                <w:sz w:val="24"/>
              </w:rPr>
              <w:t>Visas</w:t>
            </w:r>
            <w:r>
              <w:rPr>
                <w:spacing w:val="-5"/>
                <w:sz w:val="24"/>
              </w:rPr>
              <w:t xml:space="preserve"> </w:t>
            </w:r>
            <w:r>
              <w:rPr>
                <w:spacing w:val="-2"/>
                <w:sz w:val="24"/>
              </w:rPr>
              <w:t>Issued</w:t>
            </w:r>
          </w:p>
        </w:tc>
        <w:tc>
          <w:tcPr>
            <w:tcW w:w="851" w:type="dxa"/>
          </w:tcPr>
          <w:p w:rsidR="0057754F">
            <w:pPr>
              <w:pStyle w:val="TableParagraph"/>
              <w:spacing w:line="240" w:lineRule="auto"/>
              <w:ind w:right="98"/>
              <w:rPr>
                <w:sz w:val="24"/>
              </w:rPr>
            </w:pPr>
            <w:r>
              <w:rPr>
                <w:spacing w:val="-5"/>
                <w:sz w:val="24"/>
              </w:rPr>
              <w:t>10</w:t>
            </w:r>
          </w:p>
        </w:tc>
        <w:tc>
          <w:tcPr>
            <w:tcW w:w="851" w:type="dxa"/>
          </w:tcPr>
          <w:p w:rsidR="0057754F">
            <w:pPr>
              <w:pStyle w:val="TableParagraph"/>
              <w:spacing w:line="240" w:lineRule="auto"/>
              <w:ind w:right="95"/>
              <w:rPr>
                <w:sz w:val="24"/>
              </w:rPr>
            </w:pPr>
            <w:r>
              <w:rPr>
                <w:spacing w:val="-5"/>
                <w:sz w:val="24"/>
              </w:rPr>
              <w:t>50</w:t>
            </w:r>
          </w:p>
        </w:tc>
        <w:tc>
          <w:tcPr>
            <w:tcW w:w="851" w:type="dxa"/>
          </w:tcPr>
          <w:p w:rsidR="0057754F">
            <w:pPr>
              <w:pStyle w:val="TableParagraph"/>
              <w:spacing w:line="240" w:lineRule="auto"/>
              <w:rPr>
                <w:sz w:val="24"/>
              </w:rPr>
            </w:pPr>
            <w:r>
              <w:rPr>
                <w:spacing w:val="-5"/>
                <w:sz w:val="24"/>
              </w:rPr>
              <w:t>80</w:t>
            </w:r>
          </w:p>
        </w:tc>
        <w:tc>
          <w:tcPr>
            <w:tcW w:w="854" w:type="dxa"/>
          </w:tcPr>
          <w:p w:rsidR="0057754F">
            <w:pPr>
              <w:pStyle w:val="TableParagraph"/>
              <w:spacing w:line="240" w:lineRule="auto"/>
              <w:ind w:right="98"/>
              <w:rPr>
                <w:sz w:val="24"/>
              </w:rPr>
            </w:pPr>
            <w:r>
              <w:rPr>
                <w:spacing w:val="-5"/>
                <w:sz w:val="24"/>
              </w:rPr>
              <w:t>210</w:t>
            </w:r>
          </w:p>
        </w:tc>
        <w:tc>
          <w:tcPr>
            <w:tcW w:w="1137" w:type="dxa"/>
          </w:tcPr>
          <w:p w:rsidR="0057754F">
            <w:pPr>
              <w:pStyle w:val="TableParagraph"/>
              <w:spacing w:line="240" w:lineRule="auto"/>
              <w:ind w:right="104"/>
              <w:rPr>
                <w:sz w:val="24"/>
              </w:rPr>
            </w:pPr>
            <w:r>
              <w:rPr>
                <w:spacing w:val="-5"/>
                <w:sz w:val="24"/>
              </w:rPr>
              <w:t>90</w:t>
            </w:r>
          </w:p>
        </w:tc>
      </w:tr>
      <w:tr>
        <w:tblPrEx>
          <w:tblW w:w="0" w:type="auto"/>
          <w:tblInd w:w="150" w:type="dxa"/>
          <w:tblLayout w:type="fixed"/>
          <w:tblCellMar>
            <w:left w:w="0" w:type="dxa"/>
            <w:right w:w="0" w:type="dxa"/>
          </w:tblCellMar>
          <w:tblLook w:val="01E0"/>
        </w:tblPrEx>
        <w:trPr>
          <w:trHeight w:val="275"/>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spacing w:line="255" w:lineRule="exact"/>
              <w:ind w:right="98"/>
              <w:rPr>
                <w:sz w:val="24"/>
              </w:rPr>
            </w:pPr>
            <w:r>
              <w:rPr>
                <w:sz w:val="24"/>
              </w:rPr>
              <w:t xml:space="preserve">Asylum </w:t>
            </w:r>
            <w:r>
              <w:rPr>
                <w:spacing w:val="-2"/>
                <w:sz w:val="24"/>
              </w:rPr>
              <w:t>Claims</w:t>
            </w:r>
          </w:p>
        </w:tc>
        <w:tc>
          <w:tcPr>
            <w:tcW w:w="851" w:type="dxa"/>
          </w:tcPr>
          <w:p w:rsidR="0057754F">
            <w:pPr>
              <w:pStyle w:val="TableParagraph"/>
              <w:spacing w:line="255" w:lineRule="exact"/>
              <w:ind w:right="99"/>
              <w:rPr>
                <w:sz w:val="24"/>
              </w:rPr>
            </w:pPr>
            <w:r>
              <w:rPr>
                <w:spacing w:val="-10"/>
                <w:sz w:val="24"/>
              </w:rPr>
              <w:t>0</w:t>
            </w:r>
          </w:p>
        </w:tc>
        <w:tc>
          <w:tcPr>
            <w:tcW w:w="851" w:type="dxa"/>
          </w:tcPr>
          <w:p w:rsidR="0057754F">
            <w:pPr>
              <w:pStyle w:val="TableParagraph"/>
              <w:spacing w:line="255" w:lineRule="exact"/>
              <w:ind w:right="98"/>
              <w:rPr>
                <w:sz w:val="24"/>
              </w:rPr>
            </w:pPr>
            <w:r>
              <w:rPr>
                <w:spacing w:val="-10"/>
                <w:sz w:val="24"/>
              </w:rPr>
              <w:t>0</w:t>
            </w:r>
          </w:p>
        </w:tc>
        <w:tc>
          <w:tcPr>
            <w:tcW w:w="851" w:type="dxa"/>
          </w:tcPr>
          <w:p w:rsidR="0057754F">
            <w:pPr>
              <w:pStyle w:val="TableParagraph"/>
              <w:spacing w:line="255" w:lineRule="exact"/>
              <w:rPr>
                <w:sz w:val="24"/>
              </w:rPr>
            </w:pPr>
            <w:r>
              <w:rPr>
                <w:spacing w:val="-5"/>
                <w:sz w:val="24"/>
              </w:rPr>
              <w:t>10</w:t>
            </w:r>
          </w:p>
        </w:tc>
        <w:tc>
          <w:tcPr>
            <w:tcW w:w="854" w:type="dxa"/>
          </w:tcPr>
          <w:p w:rsidR="0057754F">
            <w:pPr>
              <w:pStyle w:val="TableParagraph"/>
              <w:spacing w:line="255" w:lineRule="exact"/>
              <w:ind w:right="99"/>
              <w:rPr>
                <w:sz w:val="24"/>
              </w:rPr>
            </w:pPr>
            <w:r>
              <w:rPr>
                <w:spacing w:val="-5"/>
                <w:sz w:val="24"/>
              </w:rPr>
              <w:t>110</w:t>
            </w:r>
          </w:p>
        </w:tc>
        <w:tc>
          <w:tcPr>
            <w:tcW w:w="1137" w:type="dxa"/>
          </w:tcPr>
          <w:p w:rsidR="0057754F">
            <w:pPr>
              <w:pStyle w:val="TableParagraph"/>
              <w:spacing w:line="255" w:lineRule="exact"/>
              <w:ind w:right="105"/>
              <w:rPr>
                <w:sz w:val="24"/>
              </w:rPr>
            </w:pPr>
            <w:r>
              <w:rPr>
                <w:spacing w:val="-5"/>
                <w:sz w:val="24"/>
              </w:rPr>
              <w:t>110</w:t>
            </w:r>
          </w:p>
        </w:tc>
      </w:tr>
      <w:tr>
        <w:tblPrEx>
          <w:tblW w:w="0" w:type="auto"/>
          <w:tblInd w:w="150" w:type="dxa"/>
          <w:tblLayout w:type="fixed"/>
          <w:tblCellMar>
            <w:left w:w="0" w:type="dxa"/>
            <w:right w:w="0" w:type="dxa"/>
          </w:tblCellMar>
          <w:tblLook w:val="01E0"/>
        </w:tblPrEx>
        <w:trPr>
          <w:trHeight w:val="275"/>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spacing w:line="255" w:lineRule="exact"/>
              <w:ind w:right="97"/>
              <w:rPr>
                <w:sz w:val="24"/>
              </w:rPr>
            </w:pPr>
            <w:r>
              <w:rPr>
                <w:spacing w:val="-2"/>
                <w:sz w:val="24"/>
              </w:rPr>
              <w:t>Proportion</w:t>
            </w:r>
          </w:p>
        </w:tc>
        <w:tc>
          <w:tcPr>
            <w:tcW w:w="851" w:type="dxa"/>
          </w:tcPr>
          <w:p w:rsidR="0057754F">
            <w:pPr>
              <w:pStyle w:val="TableParagraph"/>
              <w:spacing w:line="255" w:lineRule="exact"/>
              <w:ind w:right="98"/>
              <w:rPr>
                <w:b/>
                <w:sz w:val="24"/>
              </w:rPr>
            </w:pPr>
            <w:r>
              <w:rPr>
                <w:b/>
                <w:spacing w:val="-5"/>
                <w:sz w:val="24"/>
              </w:rPr>
              <w:t>0%</w:t>
            </w:r>
          </w:p>
        </w:tc>
        <w:tc>
          <w:tcPr>
            <w:tcW w:w="851" w:type="dxa"/>
          </w:tcPr>
          <w:p w:rsidR="0057754F">
            <w:pPr>
              <w:pStyle w:val="TableParagraph"/>
              <w:spacing w:line="255" w:lineRule="exact"/>
              <w:ind w:right="97"/>
              <w:rPr>
                <w:b/>
                <w:sz w:val="24"/>
              </w:rPr>
            </w:pPr>
            <w:r>
              <w:rPr>
                <w:b/>
                <w:spacing w:val="-5"/>
                <w:sz w:val="24"/>
              </w:rPr>
              <w:t>0%</w:t>
            </w:r>
          </w:p>
        </w:tc>
        <w:tc>
          <w:tcPr>
            <w:tcW w:w="851" w:type="dxa"/>
          </w:tcPr>
          <w:p w:rsidR="0057754F">
            <w:pPr>
              <w:pStyle w:val="TableParagraph"/>
              <w:spacing w:line="255" w:lineRule="exact"/>
              <w:rPr>
                <w:b/>
                <w:sz w:val="24"/>
              </w:rPr>
            </w:pPr>
            <w:r>
              <w:rPr>
                <w:b/>
                <w:spacing w:val="-5"/>
                <w:sz w:val="24"/>
              </w:rPr>
              <w:t>13%</w:t>
            </w:r>
          </w:p>
        </w:tc>
        <w:tc>
          <w:tcPr>
            <w:tcW w:w="854" w:type="dxa"/>
          </w:tcPr>
          <w:p w:rsidR="0057754F">
            <w:pPr>
              <w:pStyle w:val="TableParagraph"/>
              <w:spacing w:line="255" w:lineRule="exact"/>
              <w:ind w:right="97"/>
              <w:rPr>
                <w:b/>
                <w:sz w:val="24"/>
              </w:rPr>
            </w:pPr>
            <w:r>
              <w:rPr>
                <w:b/>
                <w:spacing w:val="-5"/>
                <w:sz w:val="24"/>
              </w:rPr>
              <w:t>52%</w:t>
            </w:r>
          </w:p>
        </w:tc>
        <w:tc>
          <w:tcPr>
            <w:tcW w:w="1137" w:type="dxa"/>
          </w:tcPr>
          <w:p w:rsidR="0057754F">
            <w:pPr>
              <w:pStyle w:val="TableParagraph"/>
              <w:spacing w:line="255" w:lineRule="exact"/>
              <w:ind w:right="104"/>
              <w:rPr>
                <w:b/>
                <w:sz w:val="24"/>
              </w:rPr>
            </w:pPr>
            <w:r>
              <w:rPr>
                <w:b/>
                <w:spacing w:val="-4"/>
                <w:sz w:val="24"/>
              </w:rPr>
              <w:t>122%</w:t>
            </w:r>
          </w:p>
        </w:tc>
      </w:tr>
      <w:tr>
        <w:tblPrEx>
          <w:tblW w:w="0" w:type="auto"/>
          <w:tblInd w:w="150" w:type="dxa"/>
          <w:tblLayout w:type="fixed"/>
          <w:tblCellMar>
            <w:left w:w="0" w:type="dxa"/>
            <w:right w:w="0" w:type="dxa"/>
          </w:tblCellMar>
          <w:tblLook w:val="01E0"/>
        </w:tblPrEx>
        <w:trPr>
          <w:trHeight w:val="290"/>
        </w:trPr>
        <w:tc>
          <w:tcPr>
            <w:tcW w:w="1335" w:type="dxa"/>
            <w:vMerge w:val="restart"/>
          </w:tcPr>
          <w:p w:rsidR="0057754F">
            <w:pPr>
              <w:pStyle w:val="TableParagraph"/>
              <w:spacing w:line="240" w:lineRule="auto"/>
              <w:ind w:left="561" w:right="0"/>
              <w:jc w:val="left"/>
              <w:rPr>
                <w:b/>
                <w:sz w:val="24"/>
              </w:rPr>
            </w:pPr>
            <w:r>
              <w:rPr>
                <w:b/>
                <w:spacing w:val="-2"/>
                <w:sz w:val="24"/>
              </w:rPr>
              <w:t>Study</w:t>
            </w:r>
          </w:p>
        </w:tc>
        <w:tc>
          <w:tcPr>
            <w:tcW w:w="1638" w:type="dxa"/>
            <w:vMerge w:val="restart"/>
          </w:tcPr>
          <w:p w:rsidR="0057754F">
            <w:pPr>
              <w:pStyle w:val="TableParagraph"/>
              <w:spacing w:line="240" w:lineRule="auto"/>
              <w:ind w:left="143" w:right="0"/>
              <w:jc w:val="left"/>
              <w:rPr>
                <w:b/>
                <w:sz w:val="24"/>
              </w:rPr>
            </w:pPr>
            <w:r>
              <w:rPr>
                <w:b/>
                <w:spacing w:val="-2"/>
                <w:sz w:val="24"/>
              </w:rPr>
              <w:t>Afghanistan</w:t>
            </w:r>
          </w:p>
        </w:tc>
        <w:tc>
          <w:tcPr>
            <w:tcW w:w="1988" w:type="dxa"/>
          </w:tcPr>
          <w:p w:rsidR="0057754F">
            <w:pPr>
              <w:pStyle w:val="TableParagraph"/>
              <w:rPr>
                <w:sz w:val="24"/>
              </w:rPr>
            </w:pPr>
            <w:r>
              <w:rPr>
                <w:sz w:val="24"/>
              </w:rPr>
              <w:t>Visas</w:t>
            </w:r>
            <w:r>
              <w:rPr>
                <w:spacing w:val="-5"/>
                <w:sz w:val="24"/>
              </w:rPr>
              <w:t xml:space="preserve"> </w:t>
            </w:r>
            <w:r>
              <w:rPr>
                <w:spacing w:val="-2"/>
                <w:sz w:val="24"/>
              </w:rPr>
              <w:t>Issued</w:t>
            </w:r>
          </w:p>
        </w:tc>
        <w:tc>
          <w:tcPr>
            <w:tcW w:w="851" w:type="dxa"/>
          </w:tcPr>
          <w:p w:rsidR="0057754F">
            <w:pPr>
              <w:pStyle w:val="TableParagraph"/>
              <w:rPr>
                <w:sz w:val="24"/>
              </w:rPr>
            </w:pPr>
            <w:r>
              <w:rPr>
                <w:spacing w:val="-5"/>
                <w:sz w:val="24"/>
              </w:rPr>
              <w:t>330</w:t>
            </w:r>
          </w:p>
        </w:tc>
        <w:tc>
          <w:tcPr>
            <w:tcW w:w="851" w:type="dxa"/>
          </w:tcPr>
          <w:p w:rsidR="0057754F">
            <w:pPr>
              <w:pStyle w:val="TableParagraph"/>
              <w:ind w:right="95"/>
              <w:rPr>
                <w:sz w:val="24"/>
              </w:rPr>
            </w:pPr>
            <w:r>
              <w:rPr>
                <w:spacing w:val="-5"/>
                <w:sz w:val="24"/>
              </w:rPr>
              <w:t>820</w:t>
            </w:r>
          </w:p>
        </w:tc>
        <w:tc>
          <w:tcPr>
            <w:tcW w:w="851" w:type="dxa"/>
          </w:tcPr>
          <w:p w:rsidR="0057754F">
            <w:pPr>
              <w:pStyle w:val="TableParagraph"/>
              <w:ind w:right="98"/>
              <w:rPr>
                <w:sz w:val="24"/>
              </w:rPr>
            </w:pPr>
            <w:r>
              <w:rPr>
                <w:spacing w:val="-2"/>
                <w:sz w:val="24"/>
              </w:rPr>
              <w:t>1,860</w:t>
            </w:r>
          </w:p>
        </w:tc>
        <w:tc>
          <w:tcPr>
            <w:tcW w:w="854" w:type="dxa"/>
          </w:tcPr>
          <w:p w:rsidR="0057754F">
            <w:pPr>
              <w:pStyle w:val="TableParagraph"/>
              <w:ind w:right="98"/>
              <w:rPr>
                <w:sz w:val="24"/>
              </w:rPr>
            </w:pPr>
            <w:r>
              <w:rPr>
                <w:spacing w:val="-5"/>
                <w:sz w:val="24"/>
              </w:rPr>
              <w:t>470</w:t>
            </w:r>
          </w:p>
        </w:tc>
        <w:tc>
          <w:tcPr>
            <w:tcW w:w="1137" w:type="dxa"/>
          </w:tcPr>
          <w:p w:rsidR="0057754F">
            <w:pPr>
              <w:pStyle w:val="TableParagraph"/>
              <w:ind w:right="104"/>
              <w:rPr>
                <w:sz w:val="24"/>
              </w:rPr>
            </w:pPr>
            <w:r>
              <w:rPr>
                <w:spacing w:val="-5"/>
                <w:sz w:val="24"/>
              </w:rPr>
              <w:t>360</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ind w:right="98"/>
              <w:rPr>
                <w:sz w:val="24"/>
              </w:rPr>
            </w:pPr>
            <w:r>
              <w:rPr>
                <w:sz w:val="24"/>
              </w:rPr>
              <w:t xml:space="preserve">Asylum </w:t>
            </w:r>
            <w:r>
              <w:rPr>
                <w:spacing w:val="-2"/>
                <w:sz w:val="24"/>
              </w:rPr>
              <w:t>Claims</w:t>
            </w:r>
          </w:p>
        </w:tc>
        <w:tc>
          <w:tcPr>
            <w:tcW w:w="851" w:type="dxa"/>
          </w:tcPr>
          <w:p w:rsidR="0057754F">
            <w:pPr>
              <w:pStyle w:val="TableParagraph"/>
              <w:rPr>
                <w:sz w:val="24"/>
              </w:rPr>
            </w:pPr>
            <w:r>
              <w:rPr>
                <w:spacing w:val="-5"/>
                <w:sz w:val="24"/>
              </w:rPr>
              <w:t>120</w:t>
            </w:r>
          </w:p>
        </w:tc>
        <w:tc>
          <w:tcPr>
            <w:tcW w:w="851" w:type="dxa"/>
          </w:tcPr>
          <w:p w:rsidR="0057754F">
            <w:pPr>
              <w:pStyle w:val="TableParagraph"/>
              <w:ind w:right="95"/>
              <w:rPr>
                <w:sz w:val="24"/>
              </w:rPr>
            </w:pPr>
            <w:r>
              <w:rPr>
                <w:spacing w:val="-5"/>
                <w:sz w:val="24"/>
              </w:rPr>
              <w:t>490</w:t>
            </w:r>
          </w:p>
        </w:tc>
        <w:tc>
          <w:tcPr>
            <w:tcW w:w="851" w:type="dxa"/>
          </w:tcPr>
          <w:p w:rsidR="0057754F">
            <w:pPr>
              <w:pStyle w:val="TableParagraph"/>
              <w:ind w:right="98"/>
              <w:rPr>
                <w:sz w:val="24"/>
              </w:rPr>
            </w:pPr>
            <w:r>
              <w:rPr>
                <w:spacing w:val="-2"/>
                <w:sz w:val="24"/>
              </w:rPr>
              <w:t>2,000</w:t>
            </w:r>
          </w:p>
        </w:tc>
        <w:tc>
          <w:tcPr>
            <w:tcW w:w="854" w:type="dxa"/>
          </w:tcPr>
          <w:p w:rsidR="0057754F">
            <w:pPr>
              <w:pStyle w:val="TableParagraph"/>
              <w:ind w:right="98"/>
              <w:rPr>
                <w:sz w:val="24"/>
              </w:rPr>
            </w:pPr>
            <w:r>
              <w:rPr>
                <w:spacing w:val="-5"/>
                <w:sz w:val="24"/>
              </w:rPr>
              <w:t>550</w:t>
            </w:r>
          </w:p>
        </w:tc>
        <w:tc>
          <w:tcPr>
            <w:tcW w:w="1137" w:type="dxa"/>
          </w:tcPr>
          <w:p w:rsidR="0057754F">
            <w:pPr>
              <w:pStyle w:val="TableParagraph"/>
              <w:ind w:right="104"/>
              <w:rPr>
                <w:sz w:val="24"/>
              </w:rPr>
            </w:pPr>
            <w:r>
              <w:rPr>
                <w:spacing w:val="-5"/>
                <w:sz w:val="24"/>
              </w:rPr>
              <w:t>470</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ind w:right="97"/>
              <w:rPr>
                <w:sz w:val="24"/>
              </w:rPr>
            </w:pPr>
            <w:r>
              <w:rPr>
                <w:spacing w:val="-2"/>
                <w:sz w:val="24"/>
              </w:rPr>
              <w:t>Proportion</w:t>
            </w:r>
          </w:p>
        </w:tc>
        <w:tc>
          <w:tcPr>
            <w:tcW w:w="851" w:type="dxa"/>
          </w:tcPr>
          <w:p w:rsidR="0057754F">
            <w:pPr>
              <w:pStyle w:val="TableParagraph"/>
              <w:ind w:right="95"/>
              <w:rPr>
                <w:b/>
                <w:sz w:val="24"/>
              </w:rPr>
            </w:pPr>
            <w:r>
              <w:rPr>
                <w:b/>
                <w:spacing w:val="-5"/>
                <w:sz w:val="24"/>
              </w:rPr>
              <w:t>36%</w:t>
            </w:r>
          </w:p>
        </w:tc>
        <w:tc>
          <w:tcPr>
            <w:tcW w:w="851" w:type="dxa"/>
          </w:tcPr>
          <w:p w:rsidR="0057754F">
            <w:pPr>
              <w:pStyle w:val="TableParagraph"/>
              <w:ind w:right="94"/>
              <w:rPr>
                <w:b/>
                <w:sz w:val="24"/>
              </w:rPr>
            </w:pPr>
            <w:r>
              <w:rPr>
                <w:b/>
                <w:spacing w:val="-5"/>
                <w:sz w:val="24"/>
              </w:rPr>
              <w:t>60%</w:t>
            </w:r>
          </w:p>
        </w:tc>
        <w:tc>
          <w:tcPr>
            <w:tcW w:w="851" w:type="dxa"/>
          </w:tcPr>
          <w:p w:rsidR="0057754F">
            <w:pPr>
              <w:pStyle w:val="TableParagraph"/>
              <w:rPr>
                <w:b/>
                <w:sz w:val="24"/>
              </w:rPr>
            </w:pPr>
            <w:r>
              <w:rPr>
                <w:b/>
                <w:spacing w:val="-4"/>
                <w:sz w:val="24"/>
              </w:rPr>
              <w:t>108%</w:t>
            </w:r>
          </w:p>
        </w:tc>
        <w:tc>
          <w:tcPr>
            <w:tcW w:w="854" w:type="dxa"/>
          </w:tcPr>
          <w:p w:rsidR="0057754F">
            <w:pPr>
              <w:pStyle w:val="TableParagraph"/>
              <w:ind w:right="98"/>
              <w:rPr>
                <w:b/>
                <w:sz w:val="24"/>
              </w:rPr>
            </w:pPr>
            <w:r>
              <w:rPr>
                <w:b/>
                <w:spacing w:val="-4"/>
                <w:sz w:val="24"/>
              </w:rPr>
              <w:t>117%</w:t>
            </w:r>
          </w:p>
        </w:tc>
        <w:tc>
          <w:tcPr>
            <w:tcW w:w="1137" w:type="dxa"/>
          </w:tcPr>
          <w:p w:rsidR="0057754F">
            <w:pPr>
              <w:pStyle w:val="TableParagraph"/>
              <w:ind w:right="104"/>
              <w:rPr>
                <w:b/>
                <w:sz w:val="24"/>
              </w:rPr>
            </w:pPr>
            <w:r>
              <w:rPr>
                <w:b/>
                <w:spacing w:val="-4"/>
                <w:sz w:val="24"/>
              </w:rPr>
              <w:t>131%</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val="restart"/>
          </w:tcPr>
          <w:p w:rsidR="0057754F">
            <w:pPr>
              <w:pStyle w:val="TableParagraph"/>
              <w:spacing w:line="240" w:lineRule="auto"/>
              <w:ind w:left="342" w:right="0"/>
              <w:jc w:val="left"/>
              <w:rPr>
                <w:b/>
                <w:sz w:val="24"/>
              </w:rPr>
            </w:pPr>
            <w:r>
              <w:rPr>
                <w:b/>
                <w:spacing w:val="-2"/>
                <w:sz w:val="24"/>
              </w:rPr>
              <w:t>Cameroon</w:t>
            </w:r>
          </w:p>
        </w:tc>
        <w:tc>
          <w:tcPr>
            <w:tcW w:w="1988" w:type="dxa"/>
          </w:tcPr>
          <w:p w:rsidR="0057754F">
            <w:pPr>
              <w:pStyle w:val="TableParagraph"/>
              <w:rPr>
                <w:sz w:val="24"/>
              </w:rPr>
            </w:pPr>
            <w:r>
              <w:rPr>
                <w:sz w:val="24"/>
              </w:rPr>
              <w:t>Visas</w:t>
            </w:r>
            <w:r>
              <w:rPr>
                <w:spacing w:val="-5"/>
                <w:sz w:val="24"/>
              </w:rPr>
              <w:t xml:space="preserve"> </w:t>
            </w:r>
            <w:r>
              <w:rPr>
                <w:spacing w:val="-2"/>
                <w:sz w:val="24"/>
              </w:rPr>
              <w:t>Issued</w:t>
            </w:r>
          </w:p>
        </w:tc>
        <w:tc>
          <w:tcPr>
            <w:tcW w:w="851" w:type="dxa"/>
          </w:tcPr>
          <w:p w:rsidR="0057754F">
            <w:pPr>
              <w:pStyle w:val="TableParagraph"/>
              <w:rPr>
                <w:sz w:val="24"/>
              </w:rPr>
            </w:pPr>
            <w:r>
              <w:rPr>
                <w:spacing w:val="-5"/>
                <w:sz w:val="24"/>
              </w:rPr>
              <w:t>420</w:t>
            </w:r>
          </w:p>
        </w:tc>
        <w:tc>
          <w:tcPr>
            <w:tcW w:w="851" w:type="dxa"/>
          </w:tcPr>
          <w:p w:rsidR="0057754F">
            <w:pPr>
              <w:pStyle w:val="TableParagraph"/>
              <w:ind w:right="95"/>
              <w:rPr>
                <w:sz w:val="24"/>
              </w:rPr>
            </w:pPr>
            <w:r>
              <w:rPr>
                <w:spacing w:val="-5"/>
                <w:sz w:val="24"/>
              </w:rPr>
              <w:t>540</w:t>
            </w:r>
          </w:p>
        </w:tc>
        <w:tc>
          <w:tcPr>
            <w:tcW w:w="851" w:type="dxa"/>
          </w:tcPr>
          <w:p w:rsidR="0057754F">
            <w:pPr>
              <w:pStyle w:val="TableParagraph"/>
              <w:rPr>
                <w:sz w:val="24"/>
              </w:rPr>
            </w:pPr>
            <w:r>
              <w:rPr>
                <w:spacing w:val="-5"/>
                <w:sz w:val="24"/>
              </w:rPr>
              <w:t>570</w:t>
            </w:r>
          </w:p>
        </w:tc>
        <w:tc>
          <w:tcPr>
            <w:tcW w:w="854" w:type="dxa"/>
          </w:tcPr>
          <w:p w:rsidR="0057754F">
            <w:pPr>
              <w:pStyle w:val="TableParagraph"/>
              <w:ind w:right="98"/>
              <w:rPr>
                <w:sz w:val="24"/>
              </w:rPr>
            </w:pPr>
            <w:r>
              <w:rPr>
                <w:spacing w:val="-5"/>
                <w:sz w:val="24"/>
              </w:rPr>
              <w:t>390</w:t>
            </w:r>
          </w:p>
        </w:tc>
        <w:tc>
          <w:tcPr>
            <w:tcW w:w="1137" w:type="dxa"/>
          </w:tcPr>
          <w:p w:rsidR="0057754F">
            <w:pPr>
              <w:pStyle w:val="TableParagraph"/>
              <w:ind w:right="104"/>
              <w:rPr>
                <w:sz w:val="24"/>
              </w:rPr>
            </w:pPr>
            <w:r>
              <w:rPr>
                <w:spacing w:val="-5"/>
                <w:sz w:val="24"/>
              </w:rPr>
              <w:t>570</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ind w:right="98"/>
              <w:rPr>
                <w:sz w:val="24"/>
              </w:rPr>
            </w:pPr>
            <w:r>
              <w:rPr>
                <w:sz w:val="24"/>
              </w:rPr>
              <w:t xml:space="preserve">Asylum </w:t>
            </w:r>
            <w:r>
              <w:rPr>
                <w:spacing w:val="-2"/>
                <w:sz w:val="24"/>
              </w:rPr>
              <w:t>Claims</w:t>
            </w:r>
          </w:p>
        </w:tc>
        <w:tc>
          <w:tcPr>
            <w:tcW w:w="851" w:type="dxa"/>
          </w:tcPr>
          <w:p w:rsidR="0057754F">
            <w:pPr>
              <w:pStyle w:val="TableParagraph"/>
              <w:rPr>
                <w:sz w:val="24"/>
              </w:rPr>
            </w:pPr>
            <w:r>
              <w:rPr>
                <w:spacing w:val="-5"/>
                <w:sz w:val="24"/>
              </w:rPr>
              <w:t>60</w:t>
            </w:r>
          </w:p>
        </w:tc>
        <w:tc>
          <w:tcPr>
            <w:tcW w:w="851" w:type="dxa"/>
          </w:tcPr>
          <w:p w:rsidR="0057754F">
            <w:pPr>
              <w:pStyle w:val="TableParagraph"/>
              <w:ind w:right="95"/>
              <w:rPr>
                <w:sz w:val="24"/>
              </w:rPr>
            </w:pPr>
            <w:r>
              <w:rPr>
                <w:spacing w:val="-5"/>
                <w:sz w:val="24"/>
              </w:rPr>
              <w:t>150</w:t>
            </w:r>
          </w:p>
        </w:tc>
        <w:tc>
          <w:tcPr>
            <w:tcW w:w="851" w:type="dxa"/>
          </w:tcPr>
          <w:p w:rsidR="0057754F">
            <w:pPr>
              <w:pStyle w:val="TableParagraph"/>
              <w:rPr>
                <w:sz w:val="24"/>
              </w:rPr>
            </w:pPr>
            <w:r>
              <w:rPr>
                <w:spacing w:val="-5"/>
                <w:sz w:val="24"/>
              </w:rPr>
              <w:t>130</w:t>
            </w:r>
          </w:p>
        </w:tc>
        <w:tc>
          <w:tcPr>
            <w:tcW w:w="854" w:type="dxa"/>
          </w:tcPr>
          <w:p w:rsidR="0057754F">
            <w:pPr>
              <w:pStyle w:val="TableParagraph"/>
              <w:ind w:right="98"/>
              <w:rPr>
                <w:sz w:val="24"/>
              </w:rPr>
            </w:pPr>
            <w:r>
              <w:rPr>
                <w:spacing w:val="-5"/>
                <w:sz w:val="24"/>
              </w:rPr>
              <w:t>150</w:t>
            </w:r>
          </w:p>
        </w:tc>
        <w:tc>
          <w:tcPr>
            <w:tcW w:w="1137" w:type="dxa"/>
          </w:tcPr>
          <w:p w:rsidR="0057754F">
            <w:pPr>
              <w:pStyle w:val="TableParagraph"/>
              <w:ind w:right="104"/>
              <w:rPr>
                <w:sz w:val="24"/>
              </w:rPr>
            </w:pPr>
            <w:r>
              <w:rPr>
                <w:spacing w:val="-5"/>
                <w:sz w:val="24"/>
              </w:rPr>
              <w:t>180</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ind w:right="97"/>
              <w:rPr>
                <w:sz w:val="24"/>
              </w:rPr>
            </w:pPr>
            <w:r>
              <w:rPr>
                <w:spacing w:val="-2"/>
                <w:sz w:val="24"/>
              </w:rPr>
              <w:t>Proportion</w:t>
            </w:r>
          </w:p>
        </w:tc>
        <w:tc>
          <w:tcPr>
            <w:tcW w:w="851" w:type="dxa"/>
          </w:tcPr>
          <w:p w:rsidR="0057754F">
            <w:pPr>
              <w:pStyle w:val="TableParagraph"/>
              <w:ind w:right="95"/>
              <w:rPr>
                <w:b/>
                <w:sz w:val="24"/>
              </w:rPr>
            </w:pPr>
            <w:r>
              <w:rPr>
                <w:b/>
                <w:spacing w:val="-5"/>
                <w:sz w:val="24"/>
              </w:rPr>
              <w:t>14%</w:t>
            </w:r>
          </w:p>
        </w:tc>
        <w:tc>
          <w:tcPr>
            <w:tcW w:w="851" w:type="dxa"/>
          </w:tcPr>
          <w:p w:rsidR="0057754F">
            <w:pPr>
              <w:pStyle w:val="TableParagraph"/>
              <w:ind w:right="94"/>
              <w:rPr>
                <w:b/>
                <w:sz w:val="24"/>
              </w:rPr>
            </w:pPr>
            <w:r>
              <w:rPr>
                <w:b/>
                <w:spacing w:val="-5"/>
                <w:sz w:val="24"/>
              </w:rPr>
              <w:t>28%</w:t>
            </w:r>
          </w:p>
        </w:tc>
        <w:tc>
          <w:tcPr>
            <w:tcW w:w="851" w:type="dxa"/>
          </w:tcPr>
          <w:p w:rsidR="0057754F">
            <w:pPr>
              <w:pStyle w:val="TableParagraph"/>
              <w:rPr>
                <w:b/>
                <w:sz w:val="24"/>
              </w:rPr>
            </w:pPr>
            <w:r>
              <w:rPr>
                <w:b/>
                <w:spacing w:val="-5"/>
                <w:sz w:val="24"/>
              </w:rPr>
              <w:t>23%</w:t>
            </w:r>
          </w:p>
        </w:tc>
        <w:tc>
          <w:tcPr>
            <w:tcW w:w="854" w:type="dxa"/>
          </w:tcPr>
          <w:p w:rsidR="0057754F">
            <w:pPr>
              <w:pStyle w:val="TableParagraph"/>
              <w:ind w:right="97"/>
              <w:rPr>
                <w:b/>
                <w:sz w:val="24"/>
              </w:rPr>
            </w:pPr>
            <w:r>
              <w:rPr>
                <w:b/>
                <w:spacing w:val="-5"/>
                <w:sz w:val="24"/>
              </w:rPr>
              <w:t>38%</w:t>
            </w:r>
          </w:p>
        </w:tc>
        <w:tc>
          <w:tcPr>
            <w:tcW w:w="1137" w:type="dxa"/>
          </w:tcPr>
          <w:p w:rsidR="0057754F">
            <w:pPr>
              <w:pStyle w:val="TableParagraph"/>
              <w:ind w:right="104"/>
              <w:rPr>
                <w:b/>
                <w:sz w:val="24"/>
              </w:rPr>
            </w:pPr>
            <w:r>
              <w:rPr>
                <w:b/>
                <w:spacing w:val="-5"/>
                <w:sz w:val="24"/>
              </w:rPr>
              <w:t>32%</w:t>
            </w:r>
          </w:p>
        </w:tc>
      </w:tr>
      <w:tr>
        <w:tblPrEx>
          <w:tblW w:w="0" w:type="auto"/>
          <w:tblInd w:w="150" w:type="dxa"/>
          <w:tblLayout w:type="fixed"/>
          <w:tblCellMar>
            <w:left w:w="0" w:type="dxa"/>
            <w:right w:w="0" w:type="dxa"/>
          </w:tblCellMar>
          <w:tblLook w:val="01E0"/>
        </w:tblPrEx>
        <w:trPr>
          <w:trHeight w:val="289"/>
        </w:trPr>
        <w:tc>
          <w:tcPr>
            <w:tcW w:w="1335" w:type="dxa"/>
            <w:vMerge/>
            <w:tcBorders>
              <w:top w:val="nil"/>
            </w:tcBorders>
          </w:tcPr>
          <w:p w:rsidR="0057754F">
            <w:pPr>
              <w:rPr>
                <w:sz w:val="2"/>
                <w:szCs w:val="2"/>
              </w:rPr>
            </w:pPr>
          </w:p>
        </w:tc>
        <w:tc>
          <w:tcPr>
            <w:tcW w:w="1638" w:type="dxa"/>
            <w:vMerge w:val="restart"/>
          </w:tcPr>
          <w:p w:rsidR="0057754F">
            <w:pPr>
              <w:pStyle w:val="TableParagraph"/>
              <w:spacing w:line="240" w:lineRule="auto"/>
              <w:ind w:left="477" w:right="0"/>
              <w:jc w:val="left"/>
              <w:rPr>
                <w:b/>
                <w:sz w:val="24"/>
              </w:rPr>
            </w:pPr>
            <w:r>
              <w:rPr>
                <w:b/>
                <w:spacing w:val="-2"/>
                <w:sz w:val="24"/>
              </w:rPr>
              <w:t>Myanmar</w:t>
            </w:r>
          </w:p>
        </w:tc>
        <w:tc>
          <w:tcPr>
            <w:tcW w:w="1988" w:type="dxa"/>
          </w:tcPr>
          <w:p w:rsidR="0057754F">
            <w:pPr>
              <w:pStyle w:val="TableParagraph"/>
              <w:rPr>
                <w:sz w:val="24"/>
              </w:rPr>
            </w:pPr>
            <w:r>
              <w:rPr>
                <w:sz w:val="24"/>
              </w:rPr>
              <w:t>Visas</w:t>
            </w:r>
            <w:r>
              <w:rPr>
                <w:spacing w:val="-5"/>
                <w:sz w:val="24"/>
              </w:rPr>
              <w:t xml:space="preserve"> </w:t>
            </w:r>
            <w:r>
              <w:rPr>
                <w:spacing w:val="-2"/>
                <w:sz w:val="24"/>
              </w:rPr>
              <w:t>Issued</w:t>
            </w:r>
          </w:p>
        </w:tc>
        <w:tc>
          <w:tcPr>
            <w:tcW w:w="851" w:type="dxa"/>
          </w:tcPr>
          <w:p w:rsidR="0057754F">
            <w:pPr>
              <w:pStyle w:val="TableParagraph"/>
              <w:rPr>
                <w:sz w:val="24"/>
              </w:rPr>
            </w:pPr>
            <w:r>
              <w:rPr>
                <w:spacing w:val="-5"/>
                <w:sz w:val="24"/>
              </w:rPr>
              <w:t>490</w:t>
            </w:r>
          </w:p>
        </w:tc>
        <w:tc>
          <w:tcPr>
            <w:tcW w:w="851" w:type="dxa"/>
          </w:tcPr>
          <w:p w:rsidR="0057754F">
            <w:pPr>
              <w:pStyle w:val="TableParagraph"/>
              <w:rPr>
                <w:sz w:val="24"/>
              </w:rPr>
            </w:pPr>
            <w:r>
              <w:rPr>
                <w:spacing w:val="-2"/>
                <w:sz w:val="24"/>
              </w:rPr>
              <w:t>1,130</w:t>
            </w:r>
          </w:p>
        </w:tc>
        <w:tc>
          <w:tcPr>
            <w:tcW w:w="851" w:type="dxa"/>
          </w:tcPr>
          <w:p w:rsidR="0057754F">
            <w:pPr>
              <w:pStyle w:val="TableParagraph"/>
              <w:ind w:right="98"/>
              <w:rPr>
                <w:sz w:val="24"/>
              </w:rPr>
            </w:pPr>
            <w:r>
              <w:rPr>
                <w:spacing w:val="-2"/>
                <w:sz w:val="24"/>
              </w:rPr>
              <w:t>1,580</w:t>
            </w:r>
          </w:p>
        </w:tc>
        <w:tc>
          <w:tcPr>
            <w:tcW w:w="854" w:type="dxa"/>
          </w:tcPr>
          <w:p w:rsidR="0057754F">
            <w:pPr>
              <w:pStyle w:val="TableParagraph"/>
              <w:ind w:right="99"/>
              <w:rPr>
                <w:sz w:val="24"/>
              </w:rPr>
            </w:pPr>
            <w:r>
              <w:rPr>
                <w:spacing w:val="-2"/>
                <w:sz w:val="24"/>
              </w:rPr>
              <w:t>1,780</w:t>
            </w:r>
          </w:p>
        </w:tc>
        <w:tc>
          <w:tcPr>
            <w:tcW w:w="1137" w:type="dxa"/>
          </w:tcPr>
          <w:p w:rsidR="0057754F">
            <w:pPr>
              <w:pStyle w:val="TableParagraph"/>
              <w:ind w:right="106"/>
              <w:rPr>
                <w:sz w:val="24"/>
              </w:rPr>
            </w:pPr>
            <w:r>
              <w:rPr>
                <w:spacing w:val="-2"/>
                <w:sz w:val="24"/>
              </w:rPr>
              <w:t>2,080</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ind w:right="98"/>
              <w:rPr>
                <w:sz w:val="24"/>
              </w:rPr>
            </w:pPr>
            <w:r>
              <w:rPr>
                <w:sz w:val="24"/>
              </w:rPr>
              <w:t xml:space="preserve">Asylum </w:t>
            </w:r>
            <w:r>
              <w:rPr>
                <w:spacing w:val="-2"/>
                <w:sz w:val="24"/>
              </w:rPr>
              <w:t>Claims</w:t>
            </w:r>
          </w:p>
        </w:tc>
        <w:tc>
          <w:tcPr>
            <w:tcW w:w="851" w:type="dxa"/>
          </w:tcPr>
          <w:p w:rsidR="0057754F">
            <w:pPr>
              <w:pStyle w:val="TableParagraph"/>
              <w:rPr>
                <w:sz w:val="24"/>
              </w:rPr>
            </w:pPr>
            <w:r>
              <w:rPr>
                <w:spacing w:val="-5"/>
                <w:sz w:val="24"/>
              </w:rPr>
              <w:t>20</w:t>
            </w:r>
          </w:p>
        </w:tc>
        <w:tc>
          <w:tcPr>
            <w:tcW w:w="851" w:type="dxa"/>
          </w:tcPr>
          <w:p w:rsidR="0057754F">
            <w:pPr>
              <w:pStyle w:val="TableParagraph"/>
              <w:ind w:right="95"/>
              <w:rPr>
                <w:sz w:val="24"/>
              </w:rPr>
            </w:pPr>
            <w:r>
              <w:rPr>
                <w:spacing w:val="-5"/>
                <w:sz w:val="24"/>
              </w:rPr>
              <w:t>40</w:t>
            </w:r>
          </w:p>
        </w:tc>
        <w:tc>
          <w:tcPr>
            <w:tcW w:w="851" w:type="dxa"/>
          </w:tcPr>
          <w:p w:rsidR="0057754F">
            <w:pPr>
              <w:pStyle w:val="TableParagraph"/>
              <w:rPr>
                <w:sz w:val="24"/>
              </w:rPr>
            </w:pPr>
            <w:r>
              <w:rPr>
                <w:spacing w:val="-5"/>
                <w:sz w:val="24"/>
              </w:rPr>
              <w:t>70</w:t>
            </w:r>
          </w:p>
        </w:tc>
        <w:tc>
          <w:tcPr>
            <w:tcW w:w="854" w:type="dxa"/>
          </w:tcPr>
          <w:p w:rsidR="0057754F">
            <w:pPr>
              <w:pStyle w:val="TableParagraph"/>
              <w:ind w:right="98"/>
              <w:rPr>
                <w:sz w:val="24"/>
              </w:rPr>
            </w:pPr>
            <w:r>
              <w:rPr>
                <w:spacing w:val="-5"/>
                <w:sz w:val="24"/>
              </w:rPr>
              <w:t>250</w:t>
            </w:r>
          </w:p>
        </w:tc>
        <w:tc>
          <w:tcPr>
            <w:tcW w:w="1137" w:type="dxa"/>
          </w:tcPr>
          <w:p w:rsidR="0057754F">
            <w:pPr>
              <w:pStyle w:val="TableParagraph"/>
              <w:ind w:right="104"/>
              <w:rPr>
                <w:sz w:val="24"/>
              </w:rPr>
            </w:pPr>
            <w:r>
              <w:rPr>
                <w:spacing w:val="-5"/>
                <w:sz w:val="24"/>
              </w:rPr>
              <w:t>330</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ind w:right="97"/>
              <w:rPr>
                <w:sz w:val="24"/>
              </w:rPr>
            </w:pPr>
            <w:r>
              <w:rPr>
                <w:spacing w:val="-2"/>
                <w:sz w:val="24"/>
              </w:rPr>
              <w:t>Proportion</w:t>
            </w:r>
          </w:p>
        </w:tc>
        <w:tc>
          <w:tcPr>
            <w:tcW w:w="851" w:type="dxa"/>
          </w:tcPr>
          <w:p w:rsidR="0057754F">
            <w:pPr>
              <w:pStyle w:val="TableParagraph"/>
              <w:ind w:right="98"/>
              <w:rPr>
                <w:b/>
                <w:sz w:val="24"/>
              </w:rPr>
            </w:pPr>
            <w:r>
              <w:rPr>
                <w:b/>
                <w:spacing w:val="-5"/>
                <w:sz w:val="24"/>
              </w:rPr>
              <w:t>4%</w:t>
            </w:r>
          </w:p>
        </w:tc>
        <w:tc>
          <w:tcPr>
            <w:tcW w:w="851" w:type="dxa"/>
          </w:tcPr>
          <w:p w:rsidR="0057754F">
            <w:pPr>
              <w:pStyle w:val="TableParagraph"/>
              <w:ind w:right="97"/>
              <w:rPr>
                <w:b/>
                <w:sz w:val="24"/>
              </w:rPr>
            </w:pPr>
            <w:r>
              <w:rPr>
                <w:b/>
                <w:spacing w:val="-5"/>
                <w:sz w:val="24"/>
              </w:rPr>
              <w:t>4%</w:t>
            </w:r>
          </w:p>
        </w:tc>
        <w:tc>
          <w:tcPr>
            <w:tcW w:w="851" w:type="dxa"/>
          </w:tcPr>
          <w:p w:rsidR="0057754F">
            <w:pPr>
              <w:pStyle w:val="TableParagraph"/>
              <w:ind w:right="98"/>
              <w:rPr>
                <w:b/>
                <w:sz w:val="24"/>
              </w:rPr>
            </w:pPr>
            <w:r>
              <w:rPr>
                <w:b/>
                <w:spacing w:val="-5"/>
                <w:sz w:val="24"/>
              </w:rPr>
              <w:t>4%</w:t>
            </w:r>
          </w:p>
        </w:tc>
        <w:tc>
          <w:tcPr>
            <w:tcW w:w="854" w:type="dxa"/>
          </w:tcPr>
          <w:p w:rsidR="0057754F">
            <w:pPr>
              <w:pStyle w:val="TableParagraph"/>
              <w:ind w:right="97"/>
              <w:rPr>
                <w:b/>
                <w:sz w:val="24"/>
              </w:rPr>
            </w:pPr>
            <w:r>
              <w:rPr>
                <w:b/>
                <w:spacing w:val="-5"/>
                <w:sz w:val="24"/>
              </w:rPr>
              <w:t>14%</w:t>
            </w:r>
          </w:p>
        </w:tc>
        <w:tc>
          <w:tcPr>
            <w:tcW w:w="1137" w:type="dxa"/>
          </w:tcPr>
          <w:p w:rsidR="0057754F">
            <w:pPr>
              <w:pStyle w:val="TableParagraph"/>
              <w:ind w:right="104"/>
              <w:rPr>
                <w:b/>
                <w:sz w:val="24"/>
              </w:rPr>
            </w:pPr>
            <w:r>
              <w:rPr>
                <w:b/>
                <w:spacing w:val="-5"/>
                <w:sz w:val="24"/>
              </w:rPr>
              <w:t>16%</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val="restart"/>
          </w:tcPr>
          <w:p w:rsidR="0057754F">
            <w:pPr>
              <w:pStyle w:val="TableParagraph"/>
              <w:spacing w:line="240" w:lineRule="auto"/>
              <w:ind w:left="796" w:right="0"/>
              <w:jc w:val="left"/>
              <w:rPr>
                <w:b/>
                <w:sz w:val="24"/>
              </w:rPr>
            </w:pPr>
            <w:r>
              <w:rPr>
                <w:b/>
                <w:spacing w:val="-2"/>
                <w:sz w:val="24"/>
              </w:rPr>
              <w:t>Sudan</w:t>
            </w:r>
          </w:p>
        </w:tc>
        <w:tc>
          <w:tcPr>
            <w:tcW w:w="1988" w:type="dxa"/>
          </w:tcPr>
          <w:p w:rsidR="0057754F">
            <w:pPr>
              <w:pStyle w:val="TableParagraph"/>
              <w:rPr>
                <w:sz w:val="24"/>
              </w:rPr>
            </w:pPr>
            <w:r>
              <w:rPr>
                <w:sz w:val="24"/>
              </w:rPr>
              <w:t>Visas</w:t>
            </w:r>
            <w:r>
              <w:rPr>
                <w:spacing w:val="-5"/>
                <w:sz w:val="24"/>
              </w:rPr>
              <w:t xml:space="preserve"> </w:t>
            </w:r>
            <w:r>
              <w:rPr>
                <w:spacing w:val="-2"/>
                <w:sz w:val="24"/>
              </w:rPr>
              <w:t>Issued</w:t>
            </w:r>
          </w:p>
        </w:tc>
        <w:tc>
          <w:tcPr>
            <w:tcW w:w="851" w:type="dxa"/>
          </w:tcPr>
          <w:p w:rsidR="0057754F">
            <w:pPr>
              <w:pStyle w:val="TableParagraph"/>
              <w:rPr>
                <w:sz w:val="24"/>
              </w:rPr>
            </w:pPr>
            <w:r>
              <w:rPr>
                <w:spacing w:val="-5"/>
                <w:sz w:val="24"/>
              </w:rPr>
              <w:t>320</w:t>
            </w:r>
          </w:p>
        </w:tc>
        <w:tc>
          <w:tcPr>
            <w:tcW w:w="851" w:type="dxa"/>
          </w:tcPr>
          <w:p w:rsidR="0057754F">
            <w:pPr>
              <w:pStyle w:val="TableParagraph"/>
              <w:ind w:right="95"/>
              <w:rPr>
                <w:sz w:val="24"/>
              </w:rPr>
            </w:pPr>
            <w:r>
              <w:rPr>
                <w:spacing w:val="-5"/>
                <w:sz w:val="24"/>
              </w:rPr>
              <w:t>350</w:t>
            </w:r>
          </w:p>
        </w:tc>
        <w:tc>
          <w:tcPr>
            <w:tcW w:w="851" w:type="dxa"/>
          </w:tcPr>
          <w:p w:rsidR="0057754F">
            <w:pPr>
              <w:pStyle w:val="TableParagraph"/>
              <w:rPr>
                <w:sz w:val="24"/>
              </w:rPr>
            </w:pPr>
            <w:r>
              <w:rPr>
                <w:spacing w:val="-5"/>
                <w:sz w:val="24"/>
              </w:rPr>
              <w:t>290</w:t>
            </w:r>
          </w:p>
        </w:tc>
        <w:tc>
          <w:tcPr>
            <w:tcW w:w="854" w:type="dxa"/>
          </w:tcPr>
          <w:p w:rsidR="0057754F">
            <w:pPr>
              <w:pStyle w:val="TableParagraph"/>
              <w:ind w:right="98"/>
              <w:rPr>
                <w:sz w:val="24"/>
              </w:rPr>
            </w:pPr>
            <w:r>
              <w:rPr>
                <w:spacing w:val="-5"/>
                <w:sz w:val="24"/>
              </w:rPr>
              <w:t>260</w:t>
            </w:r>
          </w:p>
        </w:tc>
        <w:tc>
          <w:tcPr>
            <w:tcW w:w="1137" w:type="dxa"/>
          </w:tcPr>
          <w:p w:rsidR="0057754F">
            <w:pPr>
              <w:pStyle w:val="TableParagraph"/>
              <w:ind w:right="104"/>
              <w:rPr>
                <w:sz w:val="24"/>
              </w:rPr>
            </w:pPr>
            <w:r>
              <w:rPr>
                <w:spacing w:val="-5"/>
                <w:sz w:val="24"/>
              </w:rPr>
              <w:t>260</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ind w:right="98"/>
              <w:rPr>
                <w:sz w:val="24"/>
              </w:rPr>
            </w:pPr>
            <w:r>
              <w:rPr>
                <w:sz w:val="24"/>
              </w:rPr>
              <w:t xml:space="preserve">Asylum </w:t>
            </w:r>
            <w:r>
              <w:rPr>
                <w:spacing w:val="-2"/>
                <w:sz w:val="24"/>
              </w:rPr>
              <w:t>Claims</w:t>
            </w:r>
          </w:p>
        </w:tc>
        <w:tc>
          <w:tcPr>
            <w:tcW w:w="851" w:type="dxa"/>
          </w:tcPr>
          <w:p w:rsidR="0057754F">
            <w:pPr>
              <w:pStyle w:val="TableParagraph"/>
              <w:rPr>
                <w:sz w:val="24"/>
              </w:rPr>
            </w:pPr>
            <w:r>
              <w:rPr>
                <w:spacing w:val="-5"/>
                <w:sz w:val="24"/>
              </w:rPr>
              <w:t>30</w:t>
            </w:r>
          </w:p>
        </w:tc>
        <w:tc>
          <w:tcPr>
            <w:tcW w:w="851" w:type="dxa"/>
          </w:tcPr>
          <w:p w:rsidR="0057754F">
            <w:pPr>
              <w:pStyle w:val="TableParagraph"/>
              <w:ind w:right="95"/>
              <w:rPr>
                <w:sz w:val="24"/>
              </w:rPr>
            </w:pPr>
            <w:r>
              <w:rPr>
                <w:spacing w:val="-5"/>
                <w:sz w:val="24"/>
              </w:rPr>
              <w:t>40</w:t>
            </w:r>
          </w:p>
        </w:tc>
        <w:tc>
          <w:tcPr>
            <w:tcW w:w="851" w:type="dxa"/>
          </w:tcPr>
          <w:p w:rsidR="0057754F">
            <w:pPr>
              <w:pStyle w:val="TableParagraph"/>
              <w:rPr>
                <w:sz w:val="24"/>
              </w:rPr>
            </w:pPr>
            <w:r>
              <w:rPr>
                <w:spacing w:val="-5"/>
                <w:sz w:val="24"/>
              </w:rPr>
              <w:t>90</w:t>
            </w:r>
          </w:p>
        </w:tc>
        <w:tc>
          <w:tcPr>
            <w:tcW w:w="854" w:type="dxa"/>
          </w:tcPr>
          <w:p w:rsidR="0057754F">
            <w:pPr>
              <w:pStyle w:val="TableParagraph"/>
              <w:ind w:right="98"/>
              <w:rPr>
                <w:sz w:val="24"/>
              </w:rPr>
            </w:pPr>
            <w:r>
              <w:rPr>
                <w:spacing w:val="-5"/>
                <w:sz w:val="24"/>
              </w:rPr>
              <w:t>100</w:t>
            </w:r>
          </w:p>
        </w:tc>
        <w:tc>
          <w:tcPr>
            <w:tcW w:w="1137" w:type="dxa"/>
          </w:tcPr>
          <w:p w:rsidR="0057754F">
            <w:pPr>
              <w:pStyle w:val="TableParagraph"/>
              <w:ind w:right="104"/>
              <w:rPr>
                <w:sz w:val="24"/>
              </w:rPr>
            </w:pPr>
            <w:r>
              <w:rPr>
                <w:spacing w:val="-5"/>
                <w:sz w:val="24"/>
              </w:rPr>
              <w:t>120</w:t>
            </w:r>
          </w:p>
        </w:tc>
      </w:tr>
      <w:tr>
        <w:tblPrEx>
          <w:tblW w:w="0" w:type="auto"/>
          <w:tblInd w:w="150" w:type="dxa"/>
          <w:tblLayout w:type="fixed"/>
          <w:tblCellMar>
            <w:left w:w="0" w:type="dxa"/>
            <w:right w:w="0" w:type="dxa"/>
          </w:tblCellMar>
          <w:tblLook w:val="01E0"/>
        </w:tblPrEx>
        <w:trPr>
          <w:trHeight w:val="290"/>
        </w:trPr>
        <w:tc>
          <w:tcPr>
            <w:tcW w:w="1335" w:type="dxa"/>
            <w:vMerge/>
            <w:tcBorders>
              <w:top w:val="nil"/>
            </w:tcBorders>
          </w:tcPr>
          <w:p w:rsidR="0057754F">
            <w:pPr>
              <w:rPr>
                <w:sz w:val="2"/>
                <w:szCs w:val="2"/>
              </w:rPr>
            </w:pPr>
          </w:p>
        </w:tc>
        <w:tc>
          <w:tcPr>
            <w:tcW w:w="1638" w:type="dxa"/>
            <w:vMerge/>
            <w:tcBorders>
              <w:top w:val="nil"/>
            </w:tcBorders>
          </w:tcPr>
          <w:p w:rsidR="0057754F">
            <w:pPr>
              <w:rPr>
                <w:sz w:val="2"/>
                <w:szCs w:val="2"/>
              </w:rPr>
            </w:pPr>
          </w:p>
        </w:tc>
        <w:tc>
          <w:tcPr>
            <w:tcW w:w="1988" w:type="dxa"/>
          </w:tcPr>
          <w:p w:rsidR="0057754F">
            <w:pPr>
              <w:pStyle w:val="TableParagraph"/>
              <w:ind w:right="97"/>
              <w:rPr>
                <w:sz w:val="24"/>
              </w:rPr>
            </w:pPr>
            <w:r>
              <w:rPr>
                <w:spacing w:val="-2"/>
                <w:sz w:val="24"/>
              </w:rPr>
              <w:t>Proportion</w:t>
            </w:r>
          </w:p>
        </w:tc>
        <w:tc>
          <w:tcPr>
            <w:tcW w:w="851" w:type="dxa"/>
          </w:tcPr>
          <w:p w:rsidR="0057754F">
            <w:pPr>
              <w:pStyle w:val="TableParagraph"/>
              <w:ind w:right="98"/>
              <w:rPr>
                <w:b/>
                <w:sz w:val="24"/>
              </w:rPr>
            </w:pPr>
            <w:r>
              <w:rPr>
                <w:b/>
                <w:spacing w:val="-5"/>
                <w:sz w:val="24"/>
              </w:rPr>
              <w:t>9%</w:t>
            </w:r>
          </w:p>
        </w:tc>
        <w:tc>
          <w:tcPr>
            <w:tcW w:w="851" w:type="dxa"/>
          </w:tcPr>
          <w:p w:rsidR="0057754F">
            <w:pPr>
              <w:pStyle w:val="TableParagraph"/>
              <w:ind w:right="98"/>
              <w:rPr>
                <w:b/>
                <w:sz w:val="24"/>
              </w:rPr>
            </w:pPr>
            <w:r>
              <w:rPr>
                <w:b/>
                <w:spacing w:val="-5"/>
                <w:sz w:val="24"/>
              </w:rPr>
              <w:t>11%</w:t>
            </w:r>
          </w:p>
        </w:tc>
        <w:tc>
          <w:tcPr>
            <w:tcW w:w="851" w:type="dxa"/>
          </w:tcPr>
          <w:p w:rsidR="0057754F">
            <w:pPr>
              <w:pStyle w:val="TableParagraph"/>
              <w:rPr>
                <w:b/>
                <w:sz w:val="24"/>
              </w:rPr>
            </w:pPr>
            <w:r>
              <w:rPr>
                <w:b/>
                <w:spacing w:val="-5"/>
                <w:sz w:val="24"/>
              </w:rPr>
              <w:t>31%</w:t>
            </w:r>
          </w:p>
        </w:tc>
        <w:tc>
          <w:tcPr>
            <w:tcW w:w="854" w:type="dxa"/>
          </w:tcPr>
          <w:p w:rsidR="0057754F">
            <w:pPr>
              <w:pStyle w:val="TableParagraph"/>
              <w:ind w:right="97"/>
              <w:rPr>
                <w:b/>
                <w:sz w:val="24"/>
              </w:rPr>
            </w:pPr>
            <w:r>
              <w:rPr>
                <w:b/>
                <w:spacing w:val="-5"/>
                <w:sz w:val="24"/>
              </w:rPr>
              <w:t>38%</w:t>
            </w:r>
          </w:p>
        </w:tc>
        <w:tc>
          <w:tcPr>
            <w:tcW w:w="1137" w:type="dxa"/>
          </w:tcPr>
          <w:p w:rsidR="0057754F">
            <w:pPr>
              <w:pStyle w:val="TableParagraph"/>
              <w:ind w:right="107"/>
              <w:rPr>
                <w:b/>
                <w:sz w:val="24"/>
              </w:rPr>
            </w:pPr>
            <w:r>
              <w:rPr>
                <w:b/>
                <w:spacing w:val="-5"/>
                <w:sz w:val="24"/>
              </w:rPr>
              <w:t>46%</w:t>
            </w:r>
          </w:p>
        </w:tc>
      </w:tr>
    </w:tbl>
    <w:p w:rsidR="0057754F">
      <w:pPr>
        <w:pStyle w:val="BodyText"/>
      </w:pPr>
    </w:p>
    <w:p w:rsidR="0057754F">
      <w:pPr>
        <w:pStyle w:val="BodyText"/>
        <w:spacing w:before="26"/>
      </w:pPr>
    </w:p>
    <w:p w:rsidR="0057754F">
      <w:pPr>
        <w:pStyle w:val="BodyText"/>
        <w:ind w:left="140" w:right="187"/>
      </w:pPr>
      <w:r>
        <w:t>You asked why no exceptions have been implemented for specific cohorts such as Chevening scholars and female students from</w:t>
      </w:r>
      <w:r>
        <w:rPr>
          <w:spacing w:val="-8"/>
        </w:rPr>
        <w:t xml:space="preserve"> </w:t>
      </w:r>
      <w:r>
        <w:t xml:space="preserve">Afghanistan. We </w:t>
      </w:r>
      <w:r>
        <w:t>recognise</w:t>
      </w:r>
      <w:r>
        <w:t xml:space="preserve"> the acute challenges faced by </w:t>
      </w:r>
      <w:r>
        <w:t>particular cohorts</w:t>
      </w:r>
      <w:r>
        <w:t>, including women and girls in</w:t>
      </w:r>
      <w:r>
        <w:rPr>
          <w:spacing w:val="-5"/>
        </w:rPr>
        <w:t xml:space="preserve"> </w:t>
      </w:r>
      <w:r>
        <w:t xml:space="preserve">Afghanistan, and these were carefully considered during policy development. The Government continues to place significant value on the Chevening Scholarship </w:t>
      </w:r>
      <w:r>
        <w:t>programme</w:t>
      </w:r>
      <w:r>
        <w:t>. However, while the terms and conditions of the Chevening Scholarship require scholars to return home for at least two years following the completion of courses, there have been instances of asylum claims made by Chevening scholars for eac</w:t>
      </w:r>
      <w:r>
        <w:t xml:space="preserve">h of the affected nationalities in recent years. Given this continued asylum risk, introducing exceptions from the visa </w:t>
      </w:r>
      <w:r>
        <w:t>brakes</w:t>
      </w:r>
      <w:r>
        <w:t xml:space="preserve"> for Chevening</w:t>
      </w:r>
      <w:r>
        <w:rPr>
          <w:spacing w:val="-4"/>
        </w:rPr>
        <w:t xml:space="preserve"> </w:t>
      </w:r>
      <w:r>
        <w:t>scholars</w:t>
      </w:r>
      <w:r>
        <w:rPr>
          <w:spacing w:val="-4"/>
        </w:rPr>
        <w:t xml:space="preserve"> </w:t>
      </w:r>
      <w:r>
        <w:t>of</w:t>
      </w:r>
      <w:r>
        <w:rPr>
          <w:spacing w:val="-8"/>
        </w:rPr>
        <w:t xml:space="preserve"> </w:t>
      </w:r>
      <w:r>
        <w:t>these</w:t>
      </w:r>
      <w:r>
        <w:rPr>
          <w:spacing w:val="-6"/>
        </w:rPr>
        <w:t xml:space="preserve"> </w:t>
      </w:r>
      <w:r>
        <w:t>nationalities</w:t>
      </w:r>
      <w:r>
        <w:rPr>
          <w:spacing w:val="-7"/>
        </w:rPr>
        <w:t xml:space="preserve"> </w:t>
      </w:r>
      <w:r>
        <w:t>would</w:t>
      </w:r>
      <w:r>
        <w:rPr>
          <w:spacing w:val="-4"/>
        </w:rPr>
        <w:t xml:space="preserve"> </w:t>
      </w:r>
      <w:r>
        <w:t>be</w:t>
      </w:r>
      <w:r>
        <w:rPr>
          <w:spacing w:val="-6"/>
        </w:rPr>
        <w:t xml:space="preserve"> </w:t>
      </w:r>
      <w:r>
        <w:t>unfair.</w:t>
      </w:r>
      <w:r>
        <w:rPr>
          <w:spacing w:val="-17"/>
        </w:rPr>
        <w:t xml:space="preserve"> </w:t>
      </w:r>
      <w:r>
        <w:t>Additionally,</w:t>
      </w:r>
      <w:r>
        <w:rPr>
          <w:spacing w:val="-4"/>
        </w:rPr>
        <w:t xml:space="preserve"> </w:t>
      </w:r>
      <w:r>
        <w:t>any</w:t>
      </w:r>
      <w:r>
        <w:rPr>
          <w:spacing w:val="-4"/>
        </w:rPr>
        <w:t xml:space="preserve"> </w:t>
      </w:r>
      <w:r>
        <w:t>such</w:t>
      </w:r>
      <w:r>
        <w:rPr>
          <w:spacing w:val="-4"/>
        </w:rPr>
        <w:t xml:space="preserve"> </w:t>
      </w:r>
      <w:r>
        <w:t>exception would</w:t>
      </w:r>
      <w:r>
        <w:rPr>
          <w:spacing w:val="-3"/>
        </w:rPr>
        <w:t xml:space="preserve"> </w:t>
      </w:r>
      <w:r>
        <w:t>leave</w:t>
      </w:r>
      <w:r>
        <w:rPr>
          <w:spacing w:val="-3"/>
        </w:rPr>
        <w:t xml:space="preserve"> </w:t>
      </w:r>
      <w:r>
        <w:t>the</w:t>
      </w:r>
      <w:r>
        <w:rPr>
          <w:spacing w:val="-3"/>
        </w:rPr>
        <w:t xml:space="preserve"> </w:t>
      </w:r>
      <w:r>
        <w:t>Chevening</w:t>
      </w:r>
      <w:r>
        <w:rPr>
          <w:spacing w:val="-4"/>
        </w:rPr>
        <w:t xml:space="preserve"> </w:t>
      </w:r>
      <w:r>
        <w:t>programme</w:t>
      </w:r>
      <w:r>
        <w:rPr>
          <w:spacing w:val="-3"/>
        </w:rPr>
        <w:t xml:space="preserve"> </w:t>
      </w:r>
      <w:r>
        <w:t>as</w:t>
      </w:r>
      <w:r>
        <w:rPr>
          <w:spacing w:val="-6"/>
        </w:rPr>
        <w:t xml:space="preserve"> </w:t>
      </w:r>
      <w:r>
        <w:t>the</w:t>
      </w:r>
      <w:r>
        <w:rPr>
          <w:spacing w:val="-3"/>
        </w:rPr>
        <w:t xml:space="preserve"> </w:t>
      </w:r>
      <w:r>
        <w:t>only</w:t>
      </w:r>
      <w:r>
        <w:rPr>
          <w:spacing w:val="-3"/>
        </w:rPr>
        <w:t xml:space="preserve"> </w:t>
      </w:r>
      <w:r>
        <w:t>UK</w:t>
      </w:r>
      <w:r>
        <w:rPr>
          <w:spacing w:val="-6"/>
        </w:rPr>
        <w:t xml:space="preserve"> </w:t>
      </w:r>
      <w:r>
        <w:t>student</w:t>
      </w:r>
      <w:r>
        <w:rPr>
          <w:spacing w:val="-3"/>
        </w:rPr>
        <w:t xml:space="preserve"> </w:t>
      </w:r>
      <w:r>
        <w:t>route</w:t>
      </w:r>
      <w:r>
        <w:rPr>
          <w:spacing w:val="-3"/>
        </w:rPr>
        <w:t xml:space="preserve"> </w:t>
      </w:r>
      <w:r>
        <w:t>available</w:t>
      </w:r>
      <w:r>
        <w:rPr>
          <w:spacing w:val="-3"/>
        </w:rPr>
        <w:t xml:space="preserve"> </w:t>
      </w:r>
      <w:r>
        <w:t>to</w:t>
      </w:r>
      <w:r>
        <w:rPr>
          <w:spacing w:val="-3"/>
        </w:rPr>
        <w:t xml:space="preserve"> </w:t>
      </w:r>
      <w:r>
        <w:t>nationals of the affected countries and therefore could serve to further increase the asylum risk among these cohorts. Similar considerations apply in relation to female</w:t>
      </w:r>
      <w:r>
        <w:rPr>
          <w:spacing w:val="-4"/>
        </w:rPr>
        <w:t xml:space="preserve"> </w:t>
      </w:r>
      <w:r>
        <w:t>Afghans.</w:t>
      </w:r>
    </w:p>
    <w:p w:rsidR="0057754F">
      <w:pPr>
        <w:pStyle w:val="BodyText"/>
        <w:spacing w:before="1"/>
      </w:pPr>
    </w:p>
    <w:p w:rsidR="0057754F">
      <w:pPr>
        <w:pStyle w:val="BodyText"/>
        <w:ind w:left="140" w:right="207"/>
      </w:pPr>
      <w:r>
        <w:t>Notwithstanding the decision to introduce these visa brakes, the Government remains alive to the wider humanitarian context that nationals of these countries are facing, including the restrictions placed on education for women and girls, especially in Afghanistan. In recognition of this, we recently announced the development of new safe and legal routes to offer sanctuary to those fleeing war and persecution from around the world.</w:t>
      </w:r>
      <w:r>
        <w:rPr>
          <w:spacing w:val="-4"/>
        </w:rPr>
        <w:t xml:space="preserve"> </w:t>
      </w:r>
      <w:r>
        <w:t>This system</w:t>
      </w:r>
      <w:r>
        <w:rPr>
          <w:spacing w:val="-1"/>
        </w:rPr>
        <w:t xml:space="preserve"> </w:t>
      </w:r>
      <w:r>
        <w:t>will include</w:t>
      </w:r>
      <w:r>
        <w:rPr>
          <w:spacing w:val="-2"/>
        </w:rPr>
        <w:t xml:space="preserve"> </w:t>
      </w:r>
      <w:r>
        <w:t>a community</w:t>
      </w:r>
      <w:r>
        <w:rPr>
          <w:spacing w:val="-3"/>
        </w:rPr>
        <w:t xml:space="preserve"> </w:t>
      </w:r>
      <w:r>
        <w:t>sponsorship model, allowing local groups</w:t>
      </w:r>
      <w:r>
        <w:rPr>
          <w:spacing w:val="-2"/>
        </w:rPr>
        <w:t xml:space="preserve"> </w:t>
      </w:r>
      <w:r>
        <w:t>and charities to identify and welcome refugees and support their integration.</w:t>
      </w:r>
      <w:r>
        <w:rPr>
          <w:spacing w:val="-5"/>
        </w:rPr>
        <w:t xml:space="preserve"> </w:t>
      </w:r>
      <w:r>
        <w:t>Alongside this, there will be specific routes for skilled workers and students, giving those with the right qualifications a chance to build a future here. Home Office officials are already working closely</w:t>
      </w:r>
      <w:r>
        <w:rPr>
          <w:spacing w:val="-1"/>
        </w:rPr>
        <w:t xml:space="preserve"> </w:t>
      </w:r>
      <w:r>
        <w:t>with community</w:t>
      </w:r>
      <w:r>
        <w:rPr>
          <w:spacing w:val="-4"/>
        </w:rPr>
        <w:t xml:space="preserve"> </w:t>
      </w:r>
      <w:r>
        <w:t>sponsor</w:t>
      </w:r>
      <w:r>
        <w:rPr>
          <w:spacing w:val="-1"/>
        </w:rPr>
        <w:t xml:space="preserve"> </w:t>
      </w:r>
      <w:r>
        <w:t>groups, local</w:t>
      </w:r>
      <w:r>
        <w:rPr>
          <w:spacing w:val="-4"/>
        </w:rPr>
        <w:t xml:space="preserve"> </w:t>
      </w:r>
      <w:r>
        <w:t>authorities and</w:t>
      </w:r>
      <w:r>
        <w:rPr>
          <w:spacing w:val="-1"/>
        </w:rPr>
        <w:t xml:space="preserve"> </w:t>
      </w:r>
      <w:r>
        <w:t>the</w:t>
      </w:r>
      <w:r>
        <w:rPr>
          <w:spacing w:val="-1"/>
        </w:rPr>
        <w:t xml:space="preserve"> </w:t>
      </w:r>
      <w:r>
        <w:t>UN</w:t>
      </w:r>
      <w:r>
        <w:rPr>
          <w:spacing w:val="-3"/>
        </w:rPr>
        <w:t xml:space="preserve"> </w:t>
      </w:r>
      <w:r>
        <w:t>High</w:t>
      </w:r>
      <w:r>
        <w:rPr>
          <w:spacing w:val="-1"/>
        </w:rPr>
        <w:t xml:space="preserve"> </w:t>
      </w:r>
      <w:r>
        <w:t>Commission</w:t>
      </w:r>
      <w:r>
        <w:rPr>
          <w:spacing w:val="-1"/>
        </w:rPr>
        <w:t xml:space="preserve"> </w:t>
      </w:r>
      <w:r>
        <w:t>for Refugees to design the new routes with the intention that they will be open as soon as is feasible. We will ensure that these routes will be sustainable, well-managed and in line with</w:t>
      </w:r>
      <w:r>
        <w:rPr>
          <w:spacing w:val="-2"/>
        </w:rPr>
        <w:t xml:space="preserve"> </w:t>
      </w:r>
      <w:r>
        <w:t>UK</w:t>
      </w:r>
      <w:r>
        <w:rPr>
          <w:spacing w:val="-3"/>
        </w:rPr>
        <w:t xml:space="preserve"> </w:t>
      </w:r>
      <w:r>
        <w:t>capacity</w:t>
      </w:r>
      <w:r>
        <w:rPr>
          <w:spacing w:val="-3"/>
        </w:rPr>
        <w:t xml:space="preserve"> </w:t>
      </w:r>
      <w:r>
        <w:t>to</w:t>
      </w:r>
      <w:r>
        <w:rPr>
          <w:spacing w:val="-3"/>
        </w:rPr>
        <w:t xml:space="preserve"> </w:t>
      </w:r>
      <w:r>
        <w:t>support</w:t>
      </w:r>
      <w:r>
        <w:rPr>
          <w:spacing w:val="-6"/>
        </w:rPr>
        <w:t xml:space="preserve"> </w:t>
      </w:r>
      <w:r>
        <w:t>new</w:t>
      </w:r>
      <w:r>
        <w:rPr>
          <w:spacing w:val="-3"/>
        </w:rPr>
        <w:t xml:space="preserve"> </w:t>
      </w:r>
      <w:r>
        <w:t>refugees. It</w:t>
      </w:r>
      <w:r>
        <w:rPr>
          <w:spacing w:val="-3"/>
        </w:rPr>
        <w:t xml:space="preserve"> </w:t>
      </w:r>
      <w:r>
        <w:t>is</w:t>
      </w:r>
      <w:r>
        <w:rPr>
          <w:spacing w:val="-3"/>
        </w:rPr>
        <w:t xml:space="preserve"> </w:t>
      </w:r>
      <w:r>
        <w:t>expected</w:t>
      </w:r>
      <w:r>
        <w:rPr>
          <w:spacing w:val="-5"/>
        </w:rPr>
        <w:t xml:space="preserve"> </w:t>
      </w:r>
      <w:r>
        <w:t>that</w:t>
      </w:r>
      <w:r>
        <w:rPr>
          <w:spacing w:val="-3"/>
        </w:rPr>
        <w:t xml:space="preserve"> </w:t>
      </w:r>
      <w:r>
        <w:t>the</w:t>
      </w:r>
      <w:r>
        <w:rPr>
          <w:spacing w:val="-3"/>
        </w:rPr>
        <w:t xml:space="preserve"> </w:t>
      </w:r>
      <w:r>
        <w:t>student</w:t>
      </w:r>
      <w:r>
        <w:rPr>
          <w:spacing w:val="-5"/>
        </w:rPr>
        <w:t xml:space="preserve"> </w:t>
      </w:r>
      <w:r>
        <w:t>refugee</w:t>
      </w:r>
      <w:r>
        <w:rPr>
          <w:spacing w:val="-5"/>
        </w:rPr>
        <w:t xml:space="preserve"> </w:t>
      </w:r>
      <w:r>
        <w:t>route</w:t>
      </w:r>
      <w:r>
        <w:rPr>
          <w:spacing w:val="-3"/>
        </w:rPr>
        <w:t xml:space="preserve"> </w:t>
      </w:r>
      <w:r>
        <w:t>will see students arriving in Autumn 2027.</w:t>
      </w:r>
    </w:p>
    <w:p w:rsidR="0057754F">
      <w:pPr>
        <w:pStyle w:val="BodyText"/>
        <w:sectPr>
          <w:pgSz w:w="11910" w:h="16850"/>
          <w:pgMar w:top="1380" w:right="992" w:bottom="280" w:left="992" w:header="720" w:footer="720" w:gutter="0"/>
          <w:cols w:space="720"/>
        </w:sectPr>
      </w:pPr>
    </w:p>
    <w:p w:rsidR="0057754F">
      <w:pPr>
        <w:pStyle w:val="BodyText"/>
        <w:spacing w:before="80"/>
        <w:ind w:left="140" w:right="187"/>
      </w:pPr>
      <w:r>
        <w:t>You</w:t>
      </w:r>
      <w:r>
        <w:rPr>
          <w:spacing w:val="-5"/>
        </w:rPr>
        <w:t xml:space="preserve"> </w:t>
      </w:r>
      <w:r>
        <w:t>have</w:t>
      </w:r>
      <w:r>
        <w:rPr>
          <w:spacing w:val="-3"/>
        </w:rPr>
        <w:t xml:space="preserve"> </w:t>
      </w:r>
      <w:r>
        <w:t>also</w:t>
      </w:r>
      <w:r>
        <w:rPr>
          <w:spacing w:val="-6"/>
        </w:rPr>
        <w:t xml:space="preserve"> </w:t>
      </w:r>
      <w:r>
        <w:t>enquired</w:t>
      </w:r>
      <w:r>
        <w:rPr>
          <w:spacing w:val="-4"/>
        </w:rPr>
        <w:t xml:space="preserve"> </w:t>
      </w:r>
      <w:r>
        <w:t>as</w:t>
      </w:r>
      <w:r>
        <w:rPr>
          <w:spacing w:val="-4"/>
        </w:rPr>
        <w:t xml:space="preserve"> </w:t>
      </w:r>
      <w:r>
        <w:t>to</w:t>
      </w:r>
      <w:r>
        <w:rPr>
          <w:spacing w:val="-1"/>
        </w:rPr>
        <w:t xml:space="preserve"> </w:t>
      </w:r>
      <w:r>
        <w:t>what</w:t>
      </w:r>
      <w:r>
        <w:rPr>
          <w:spacing w:val="-4"/>
        </w:rPr>
        <w:t xml:space="preserve"> </w:t>
      </w:r>
      <w:r>
        <w:t>safe</w:t>
      </w:r>
      <w:r>
        <w:rPr>
          <w:spacing w:val="-5"/>
        </w:rPr>
        <w:t xml:space="preserve"> </w:t>
      </w:r>
      <w:r>
        <w:t>and</w:t>
      </w:r>
      <w:r>
        <w:rPr>
          <w:spacing w:val="-6"/>
        </w:rPr>
        <w:t xml:space="preserve"> </w:t>
      </w:r>
      <w:r>
        <w:t>legal</w:t>
      </w:r>
      <w:r>
        <w:rPr>
          <w:spacing w:val="-4"/>
        </w:rPr>
        <w:t xml:space="preserve"> </w:t>
      </w:r>
      <w:r>
        <w:t>routes</w:t>
      </w:r>
      <w:r>
        <w:rPr>
          <w:spacing w:val="-6"/>
        </w:rPr>
        <w:t xml:space="preserve"> </w:t>
      </w:r>
      <w:r>
        <w:t>are</w:t>
      </w:r>
      <w:r>
        <w:rPr>
          <w:spacing w:val="-4"/>
        </w:rPr>
        <w:t xml:space="preserve"> </w:t>
      </w:r>
      <w:r>
        <w:t>currently</w:t>
      </w:r>
      <w:r>
        <w:rPr>
          <w:spacing w:val="-4"/>
        </w:rPr>
        <w:t xml:space="preserve"> </w:t>
      </w:r>
      <w:r>
        <w:t>available</w:t>
      </w:r>
      <w:r>
        <w:rPr>
          <w:spacing w:val="-6"/>
        </w:rPr>
        <w:t xml:space="preserve"> </w:t>
      </w:r>
      <w:r>
        <w:t>to</w:t>
      </w:r>
      <w:r>
        <w:rPr>
          <w:spacing w:val="-5"/>
        </w:rPr>
        <w:t xml:space="preserve"> </w:t>
      </w:r>
      <w:r>
        <w:t xml:space="preserve">affected nationalities. I should like to reiterate that existing study and work routes are not intended to be used for the </w:t>
      </w:r>
      <w:r>
        <w:t>purposes</w:t>
      </w:r>
      <w:r>
        <w:t xml:space="preserve"> of claiming</w:t>
      </w:r>
      <w:r>
        <w:rPr>
          <w:spacing w:val="-1"/>
        </w:rPr>
        <w:t xml:space="preserve"> </w:t>
      </w:r>
      <w:r>
        <w:t>asylum.</w:t>
      </w:r>
      <w:r>
        <w:rPr>
          <w:spacing w:val="-4"/>
        </w:rPr>
        <w:t xml:space="preserve"> </w:t>
      </w:r>
      <w:r>
        <w:t>That is why we are</w:t>
      </w:r>
      <w:r>
        <w:rPr>
          <w:spacing w:val="-2"/>
        </w:rPr>
        <w:t xml:space="preserve"> </w:t>
      </w:r>
      <w:r>
        <w:t>taking</w:t>
      </w:r>
      <w:r>
        <w:rPr>
          <w:spacing w:val="-1"/>
        </w:rPr>
        <w:t xml:space="preserve"> </w:t>
      </w:r>
      <w:r>
        <w:t>action</w:t>
      </w:r>
      <w:r>
        <w:rPr>
          <w:spacing w:val="-2"/>
        </w:rPr>
        <w:t xml:space="preserve"> </w:t>
      </w:r>
      <w:r>
        <w:t>to</w:t>
      </w:r>
      <w:r>
        <w:rPr>
          <w:spacing w:val="-2"/>
        </w:rPr>
        <w:t xml:space="preserve"> </w:t>
      </w:r>
      <w:r>
        <w:t>create new humanitarian routes as outlined above, for which all concerned nationalities will be eligible.</w:t>
      </w:r>
      <w:r>
        <w:rPr>
          <w:spacing w:val="-8"/>
        </w:rPr>
        <w:t xml:space="preserve"> </w:t>
      </w:r>
      <w:r>
        <w:t xml:space="preserve">Additionally, the visa brake only apples to the </w:t>
      </w:r>
      <w:r>
        <w:t>Student</w:t>
      </w:r>
      <w:r>
        <w:t xml:space="preserve"> route, and the Skilled Worker route in the case of</w:t>
      </w:r>
      <w:r>
        <w:rPr>
          <w:spacing w:val="-12"/>
        </w:rPr>
        <w:t xml:space="preserve"> </w:t>
      </w:r>
      <w:r>
        <w:t xml:space="preserve">Afghanistan, while all other visa routes (including the visit and family reunification routes) remain unaffected for these nationals. Please do note that the visa </w:t>
      </w:r>
      <w:r>
        <w:t>brakes</w:t>
      </w:r>
      <w:r>
        <w:t xml:space="preserve"> are not intended to be permanent. The Government will keep each </w:t>
      </w:r>
      <w:r>
        <w:t>brake</w:t>
      </w:r>
      <w:r>
        <w:t xml:space="preserve"> under regular </w:t>
      </w:r>
      <w:r>
        <w:t>review, and</w:t>
      </w:r>
      <w:r>
        <w:t xml:space="preserve"> will lift them when it considers </w:t>
      </w:r>
      <w:r>
        <w:t>it appropriate to do so.</w:t>
      </w:r>
    </w:p>
    <w:p w:rsidR="0057754F">
      <w:pPr>
        <w:pStyle w:val="BodyText"/>
        <w:spacing w:before="274"/>
        <w:ind w:left="140" w:right="187"/>
      </w:pPr>
      <w:r>
        <w:t xml:space="preserve">You raise concerns about discrimination, and the UK’s Human Rights obligations. The Government </w:t>
      </w:r>
      <w:r>
        <w:t>recognises</w:t>
      </w:r>
      <w:r>
        <w:t xml:space="preserve"> the principle of non</w:t>
      </w:r>
      <w:r>
        <w:rPr>
          <w:rFonts w:ascii="Cambria Math" w:hAnsi="Cambria Math"/>
        </w:rPr>
        <w:t>‑</w:t>
      </w:r>
      <w:r>
        <w:t>discrimination under domestic and international law. In accordance with the Equality</w:t>
      </w:r>
      <w:r>
        <w:rPr>
          <w:spacing w:val="-11"/>
        </w:rPr>
        <w:t xml:space="preserve"> </w:t>
      </w:r>
      <w:r>
        <w:t>Act 2010, the consideration of equalities is</w:t>
      </w:r>
      <w:r>
        <w:rPr>
          <w:spacing w:val="-2"/>
        </w:rPr>
        <w:t xml:space="preserve"> </w:t>
      </w:r>
      <w:r>
        <w:t>at</w:t>
      </w:r>
      <w:r>
        <w:rPr>
          <w:spacing w:val="-2"/>
        </w:rPr>
        <w:t xml:space="preserve"> </w:t>
      </w:r>
      <w:r>
        <w:t>the</w:t>
      </w:r>
      <w:r>
        <w:rPr>
          <w:spacing w:val="-2"/>
        </w:rPr>
        <w:t xml:space="preserve"> </w:t>
      </w:r>
      <w:r>
        <w:t>heart</w:t>
      </w:r>
      <w:r>
        <w:rPr>
          <w:spacing w:val="-5"/>
        </w:rPr>
        <w:t xml:space="preserve"> </w:t>
      </w:r>
      <w:r>
        <w:t>of</w:t>
      </w:r>
      <w:r>
        <w:rPr>
          <w:spacing w:val="-2"/>
        </w:rPr>
        <w:t xml:space="preserve"> </w:t>
      </w:r>
      <w:r>
        <w:t>our</w:t>
      </w:r>
      <w:r>
        <w:rPr>
          <w:spacing w:val="-2"/>
        </w:rPr>
        <w:t xml:space="preserve"> </w:t>
      </w:r>
      <w:r>
        <w:t>policymaking.</w:t>
      </w:r>
      <w:r>
        <w:rPr>
          <w:spacing w:val="-6"/>
        </w:rPr>
        <w:t xml:space="preserve"> </w:t>
      </w:r>
      <w:r>
        <w:t>This</w:t>
      </w:r>
      <w:r>
        <w:rPr>
          <w:spacing w:val="-2"/>
        </w:rPr>
        <w:t xml:space="preserve"> </w:t>
      </w:r>
      <w:r>
        <w:t>includes</w:t>
      </w:r>
      <w:r>
        <w:rPr>
          <w:spacing w:val="-2"/>
        </w:rPr>
        <w:t xml:space="preserve"> </w:t>
      </w:r>
      <w:r>
        <w:t>assessing</w:t>
      </w:r>
      <w:r>
        <w:rPr>
          <w:spacing w:val="-3"/>
        </w:rPr>
        <w:t xml:space="preserve"> </w:t>
      </w:r>
      <w:r>
        <w:t>the</w:t>
      </w:r>
      <w:r>
        <w:rPr>
          <w:spacing w:val="-4"/>
        </w:rPr>
        <w:t xml:space="preserve"> </w:t>
      </w:r>
      <w:r>
        <w:t>impact</w:t>
      </w:r>
      <w:r>
        <w:rPr>
          <w:spacing w:val="-2"/>
        </w:rPr>
        <w:t xml:space="preserve"> </w:t>
      </w:r>
      <w:r>
        <w:t>of</w:t>
      </w:r>
      <w:r>
        <w:rPr>
          <w:spacing w:val="-4"/>
        </w:rPr>
        <w:t xml:space="preserve"> </w:t>
      </w:r>
      <w:r>
        <w:t>the</w:t>
      </w:r>
      <w:r>
        <w:rPr>
          <w:spacing w:val="-2"/>
        </w:rPr>
        <w:t xml:space="preserve"> </w:t>
      </w:r>
      <w:r>
        <w:t>visa</w:t>
      </w:r>
      <w:r>
        <w:rPr>
          <w:spacing w:val="-4"/>
        </w:rPr>
        <w:t xml:space="preserve"> </w:t>
      </w:r>
      <w:r>
        <w:t>brake</w:t>
      </w:r>
      <w:r>
        <w:rPr>
          <w:spacing w:val="-3"/>
        </w:rPr>
        <w:t xml:space="preserve"> </w:t>
      </w:r>
      <w:r>
        <w:t>on all</w:t>
      </w:r>
      <w:r>
        <w:rPr>
          <w:spacing w:val="-3"/>
        </w:rPr>
        <w:t xml:space="preserve"> </w:t>
      </w:r>
      <w:r>
        <w:t>protected</w:t>
      </w:r>
      <w:r>
        <w:rPr>
          <w:spacing w:val="-2"/>
        </w:rPr>
        <w:t xml:space="preserve"> </w:t>
      </w:r>
      <w:r>
        <w:t>characteristics,</w:t>
      </w:r>
      <w:r>
        <w:rPr>
          <w:spacing w:val="-2"/>
        </w:rPr>
        <w:t xml:space="preserve"> </w:t>
      </w:r>
      <w:r>
        <w:t>including</w:t>
      </w:r>
      <w:r>
        <w:rPr>
          <w:spacing w:val="-2"/>
        </w:rPr>
        <w:t xml:space="preserve"> </w:t>
      </w:r>
      <w:r>
        <w:t>sex</w:t>
      </w:r>
      <w:r>
        <w:rPr>
          <w:spacing w:val="-4"/>
        </w:rPr>
        <w:t xml:space="preserve"> </w:t>
      </w:r>
      <w:r>
        <w:t>equality</w:t>
      </w:r>
      <w:r>
        <w:rPr>
          <w:spacing w:val="-2"/>
        </w:rPr>
        <w:t xml:space="preserve"> </w:t>
      </w:r>
      <w:r>
        <w:t>and</w:t>
      </w:r>
      <w:r>
        <w:rPr>
          <w:spacing w:val="-2"/>
        </w:rPr>
        <w:t xml:space="preserve"> </w:t>
      </w:r>
      <w:r>
        <w:t>race</w:t>
      </w:r>
      <w:r>
        <w:rPr>
          <w:spacing w:val="-2"/>
        </w:rPr>
        <w:t xml:space="preserve"> </w:t>
      </w:r>
      <w:r>
        <w:t>equality.</w:t>
      </w:r>
      <w:r>
        <w:rPr>
          <w:spacing w:val="-15"/>
        </w:rPr>
        <w:t xml:space="preserve"> </w:t>
      </w:r>
      <w:r>
        <w:t>A</w:t>
      </w:r>
      <w:r>
        <w:rPr>
          <w:spacing w:val="-15"/>
        </w:rPr>
        <w:t xml:space="preserve"> </w:t>
      </w:r>
      <w:r>
        <w:t>full</w:t>
      </w:r>
      <w:r>
        <w:rPr>
          <w:spacing w:val="-3"/>
        </w:rPr>
        <w:t xml:space="preserve"> </w:t>
      </w:r>
      <w:r>
        <w:t>Equality</w:t>
      </w:r>
      <w:r>
        <w:rPr>
          <w:spacing w:val="-2"/>
        </w:rPr>
        <w:t xml:space="preserve"> </w:t>
      </w:r>
      <w:r>
        <w:t xml:space="preserve">Impact Assessment was completed as part of the policy process. The brakes inclusion in the immigration rules means that the direct discrimination of the visa </w:t>
      </w:r>
      <w:r>
        <w:t>brake</w:t>
      </w:r>
      <w:r>
        <w:t xml:space="preserve"> is not </w:t>
      </w:r>
      <w:r>
        <w:t>unlawful for the purposes of the Equality Act.</w:t>
      </w:r>
    </w:p>
    <w:p w:rsidR="0057754F">
      <w:pPr>
        <w:pStyle w:val="BodyText"/>
        <w:spacing w:before="2"/>
      </w:pPr>
    </w:p>
    <w:p w:rsidR="0057754F">
      <w:pPr>
        <w:pStyle w:val="BodyText"/>
        <w:ind w:left="140" w:right="478"/>
        <w:jc w:val="both"/>
      </w:pPr>
      <w:r>
        <w:t>You</w:t>
      </w:r>
      <w:r>
        <w:rPr>
          <w:spacing w:val="-7"/>
        </w:rPr>
        <w:t xml:space="preserve"> </w:t>
      </w:r>
      <w:r>
        <w:t>ask</w:t>
      </w:r>
      <w:r>
        <w:rPr>
          <w:spacing w:val="-5"/>
        </w:rPr>
        <w:t xml:space="preserve"> </w:t>
      </w:r>
      <w:r>
        <w:t>about</w:t>
      </w:r>
      <w:r>
        <w:rPr>
          <w:spacing w:val="-5"/>
        </w:rPr>
        <w:t xml:space="preserve"> </w:t>
      </w:r>
      <w:r>
        <w:t>how</w:t>
      </w:r>
      <w:r>
        <w:rPr>
          <w:spacing w:val="-5"/>
        </w:rPr>
        <w:t xml:space="preserve"> </w:t>
      </w:r>
      <w:r>
        <w:t>many</w:t>
      </w:r>
      <w:r>
        <w:rPr>
          <w:spacing w:val="-5"/>
        </w:rPr>
        <w:t xml:space="preserve"> </w:t>
      </w:r>
      <w:r>
        <w:t>asylum</w:t>
      </w:r>
      <w:r>
        <w:rPr>
          <w:spacing w:val="-5"/>
        </w:rPr>
        <w:t xml:space="preserve"> </w:t>
      </w:r>
      <w:r>
        <w:t>claims</w:t>
      </w:r>
      <w:r>
        <w:rPr>
          <w:spacing w:val="-5"/>
        </w:rPr>
        <w:t xml:space="preserve"> </w:t>
      </w:r>
      <w:r>
        <w:t>are</w:t>
      </w:r>
      <w:r>
        <w:rPr>
          <w:spacing w:val="-8"/>
        </w:rPr>
        <w:t xml:space="preserve"> </w:t>
      </w:r>
      <w:r>
        <w:t>successful.</w:t>
      </w:r>
      <w:r>
        <w:rPr>
          <w:spacing w:val="-8"/>
        </w:rPr>
        <w:t xml:space="preserve"> </w:t>
      </w:r>
      <w:r>
        <w:t>Immigration</w:t>
      </w:r>
      <w:r>
        <w:rPr>
          <w:spacing w:val="-7"/>
        </w:rPr>
        <w:t xml:space="preserve"> </w:t>
      </w:r>
      <w:r>
        <w:t>statistics,</w:t>
      </w:r>
      <w:r>
        <w:rPr>
          <w:spacing w:val="-5"/>
        </w:rPr>
        <w:t xml:space="preserve"> </w:t>
      </w:r>
      <w:r>
        <w:t>including the</w:t>
      </w:r>
      <w:r>
        <w:rPr>
          <w:spacing w:val="-4"/>
        </w:rPr>
        <w:t xml:space="preserve"> </w:t>
      </w:r>
      <w:r>
        <w:t>number</w:t>
      </w:r>
      <w:r>
        <w:rPr>
          <w:spacing w:val="-5"/>
        </w:rPr>
        <w:t xml:space="preserve"> </w:t>
      </w:r>
      <w:r>
        <w:t>of</w:t>
      </w:r>
      <w:r>
        <w:rPr>
          <w:spacing w:val="-4"/>
        </w:rPr>
        <w:t xml:space="preserve"> </w:t>
      </w:r>
      <w:r>
        <w:t>asylum</w:t>
      </w:r>
      <w:r>
        <w:rPr>
          <w:spacing w:val="-5"/>
        </w:rPr>
        <w:t xml:space="preserve"> </w:t>
      </w:r>
      <w:r>
        <w:t>claims</w:t>
      </w:r>
      <w:r>
        <w:rPr>
          <w:spacing w:val="-2"/>
        </w:rPr>
        <w:t xml:space="preserve"> </w:t>
      </w:r>
      <w:r>
        <w:t>and</w:t>
      </w:r>
      <w:r>
        <w:rPr>
          <w:spacing w:val="-2"/>
        </w:rPr>
        <w:t xml:space="preserve"> </w:t>
      </w:r>
      <w:r>
        <w:t>the</w:t>
      </w:r>
      <w:r>
        <w:rPr>
          <w:spacing w:val="-4"/>
        </w:rPr>
        <w:t xml:space="preserve"> </w:t>
      </w:r>
      <w:r>
        <w:t>grant</w:t>
      </w:r>
      <w:r>
        <w:rPr>
          <w:spacing w:val="-4"/>
        </w:rPr>
        <w:t xml:space="preserve"> </w:t>
      </w:r>
      <w:r>
        <w:t>rate, are</w:t>
      </w:r>
      <w:r>
        <w:rPr>
          <w:spacing w:val="-4"/>
        </w:rPr>
        <w:t xml:space="preserve"> </w:t>
      </w:r>
      <w:r>
        <w:t>published</w:t>
      </w:r>
      <w:r>
        <w:rPr>
          <w:spacing w:val="-2"/>
        </w:rPr>
        <w:t xml:space="preserve"> </w:t>
      </w:r>
      <w:r>
        <w:t>online,</w:t>
      </w:r>
      <w:r>
        <w:rPr>
          <w:spacing w:val="-2"/>
        </w:rPr>
        <w:t xml:space="preserve"> </w:t>
      </w:r>
      <w:r>
        <w:t xml:space="preserve">here: </w:t>
      </w:r>
      <w:r>
        <w:fldChar w:fldCharType="begin"/>
      </w:r>
      <w:r>
        <w:instrText xml:space="preserve"> HYPERLINK "https://www.gov.uk/government/statistical-data-sets/immigration-system-statistics-data-tables" \l "asylum" </w:instrText>
      </w:r>
      <w:r>
        <w:fldChar w:fldCharType="separate"/>
      </w:r>
      <w:r>
        <w:rPr>
          <w:color w:val="0000FF"/>
          <w:u w:val="single" w:color="0000FF"/>
        </w:rPr>
        <w:t>Immigration</w:t>
      </w:r>
      <w:r>
        <w:fldChar w:fldCharType="end"/>
      </w:r>
      <w:r>
        <w:rPr>
          <w:color w:val="0000FF"/>
        </w:rPr>
        <w:t xml:space="preserve"> </w:t>
      </w:r>
      <w:r>
        <w:fldChar w:fldCharType="begin"/>
      </w:r>
      <w:r>
        <w:instrText xml:space="preserve"> HYPERLINK "https://www.gov.uk/government/statistical-data-sets/immigration-system-statistics-data-tables" \l "asylum" </w:instrText>
      </w:r>
      <w:r>
        <w:fldChar w:fldCharType="separate"/>
      </w:r>
      <w:r>
        <w:rPr>
          <w:color w:val="0000FF"/>
          <w:u w:val="single" w:color="0000FF"/>
        </w:rPr>
        <w:t>system statistics data tables - GOV.UK</w:t>
      </w:r>
      <w:r>
        <w:fldChar w:fldCharType="end"/>
      </w:r>
      <w:r>
        <w:t>.</w:t>
      </w:r>
    </w:p>
    <w:p w:rsidR="0057754F">
      <w:pPr>
        <w:pStyle w:val="BodyText"/>
      </w:pPr>
    </w:p>
    <w:p w:rsidR="0057754F">
      <w:pPr>
        <w:pStyle w:val="BodyText"/>
        <w:ind w:left="140" w:right="106"/>
      </w:pPr>
      <w:r>
        <w:t>Finally,</w:t>
      </w:r>
      <w:r>
        <w:rPr>
          <w:spacing w:val="-4"/>
        </w:rPr>
        <w:t xml:space="preserve"> </w:t>
      </w:r>
      <w:r>
        <w:t>you</w:t>
      </w:r>
      <w:r>
        <w:rPr>
          <w:spacing w:val="-3"/>
        </w:rPr>
        <w:t xml:space="preserve"> </w:t>
      </w:r>
      <w:r>
        <w:t>raised</w:t>
      </w:r>
      <w:r>
        <w:rPr>
          <w:spacing w:val="-6"/>
        </w:rPr>
        <w:t xml:space="preserve"> </w:t>
      </w:r>
      <w:r>
        <w:t>concerns</w:t>
      </w:r>
      <w:r>
        <w:rPr>
          <w:spacing w:val="-2"/>
        </w:rPr>
        <w:t xml:space="preserve"> </w:t>
      </w:r>
      <w:r>
        <w:t>about</w:t>
      </w:r>
      <w:r>
        <w:rPr>
          <w:spacing w:val="-5"/>
        </w:rPr>
        <w:t xml:space="preserve"> </w:t>
      </w:r>
      <w:r>
        <w:t>Sudanese</w:t>
      </w:r>
      <w:r>
        <w:rPr>
          <w:spacing w:val="-6"/>
        </w:rPr>
        <w:t xml:space="preserve"> </w:t>
      </w:r>
      <w:r>
        <w:t>authorities</w:t>
      </w:r>
      <w:r>
        <w:rPr>
          <w:spacing w:val="-1"/>
        </w:rPr>
        <w:t xml:space="preserve"> </w:t>
      </w:r>
      <w:r>
        <w:t>seeking</w:t>
      </w:r>
      <w:r>
        <w:rPr>
          <w:spacing w:val="-5"/>
        </w:rPr>
        <w:t xml:space="preserve"> </w:t>
      </w:r>
      <w:r>
        <w:t>to</w:t>
      </w:r>
      <w:r>
        <w:rPr>
          <w:spacing w:val="-4"/>
        </w:rPr>
        <w:t xml:space="preserve"> </w:t>
      </w:r>
      <w:r>
        <w:t>identify</w:t>
      </w:r>
      <w:r>
        <w:rPr>
          <w:spacing w:val="-6"/>
        </w:rPr>
        <w:t xml:space="preserve"> </w:t>
      </w:r>
      <w:r>
        <w:t>individuals</w:t>
      </w:r>
      <w:r>
        <w:rPr>
          <w:spacing w:val="-4"/>
        </w:rPr>
        <w:t xml:space="preserve"> </w:t>
      </w:r>
      <w:r>
        <w:t>who have claimed asylum in the UK. The Home Office has not provided any information to the Sudanese authorities regarding individuals who have claimed asylum in the UK, beyond any published asylum statistics. The Home Office does not disclose any information about an individual’s asylum claim to the authorities of their country of origin while claims are under consideration, including confirming that</w:t>
      </w:r>
      <w:r>
        <w:rPr>
          <w:spacing w:val="-1"/>
        </w:rPr>
        <w:t xml:space="preserve"> </w:t>
      </w:r>
      <w:r>
        <w:t>asylum claims have even been</w:t>
      </w:r>
      <w:r>
        <w:rPr>
          <w:spacing w:val="-1"/>
        </w:rPr>
        <w:t xml:space="preserve"> </w:t>
      </w:r>
      <w:r>
        <w:t>made.</w:t>
      </w:r>
      <w:r>
        <w:rPr>
          <w:spacing w:val="-3"/>
        </w:rPr>
        <w:t xml:space="preserve"> </w:t>
      </w:r>
      <w:r>
        <w:t>To</w:t>
      </w:r>
      <w:r>
        <w:rPr>
          <w:spacing w:val="-1"/>
        </w:rPr>
        <w:t xml:space="preserve"> </w:t>
      </w:r>
      <w:r>
        <w:t>do so</w:t>
      </w:r>
      <w:r>
        <w:rPr>
          <w:spacing w:val="-4"/>
        </w:rPr>
        <w:t xml:space="preserve"> </w:t>
      </w:r>
      <w:r>
        <w:t>would</w:t>
      </w:r>
      <w:r>
        <w:rPr>
          <w:spacing w:val="-6"/>
        </w:rPr>
        <w:t xml:space="preserve"> </w:t>
      </w:r>
      <w:r>
        <w:t>be</w:t>
      </w:r>
      <w:r>
        <w:rPr>
          <w:spacing w:val="-6"/>
        </w:rPr>
        <w:t xml:space="preserve"> </w:t>
      </w:r>
      <w:r>
        <w:t>unlawful.</w:t>
      </w:r>
      <w:r>
        <w:rPr>
          <w:spacing w:val="-9"/>
        </w:rPr>
        <w:t xml:space="preserve"> </w:t>
      </w:r>
      <w:r>
        <w:t>The</w:t>
      </w:r>
      <w:r>
        <w:rPr>
          <w:spacing w:val="-4"/>
        </w:rPr>
        <w:t xml:space="preserve"> </w:t>
      </w:r>
      <w:r>
        <w:t>Home</w:t>
      </w:r>
      <w:r>
        <w:rPr>
          <w:spacing w:val="-6"/>
        </w:rPr>
        <w:t xml:space="preserve"> </w:t>
      </w:r>
      <w:r>
        <w:t>Office</w:t>
      </w:r>
      <w:r>
        <w:rPr>
          <w:spacing w:val="-4"/>
        </w:rPr>
        <w:t xml:space="preserve"> </w:t>
      </w:r>
      <w:r>
        <w:t>takes</w:t>
      </w:r>
      <w:r>
        <w:rPr>
          <w:spacing w:val="-7"/>
        </w:rPr>
        <w:t xml:space="preserve"> </w:t>
      </w:r>
      <w:r>
        <w:t>such</w:t>
      </w:r>
      <w:r>
        <w:rPr>
          <w:spacing w:val="-4"/>
        </w:rPr>
        <w:t xml:space="preserve"> </w:t>
      </w:r>
      <w:r>
        <w:t>matters</w:t>
      </w:r>
      <w:r>
        <w:rPr>
          <w:spacing w:val="-4"/>
        </w:rPr>
        <w:t xml:space="preserve"> </w:t>
      </w:r>
      <w:r>
        <w:t>incredibly</w:t>
      </w:r>
      <w:r>
        <w:rPr>
          <w:spacing w:val="-4"/>
        </w:rPr>
        <w:t xml:space="preserve"> </w:t>
      </w:r>
      <w:r>
        <w:t>seriously,</w:t>
      </w:r>
      <w:r>
        <w:rPr>
          <w:spacing w:val="-6"/>
        </w:rPr>
        <w:t xml:space="preserve"> </w:t>
      </w:r>
      <w:r>
        <w:t>and should you have any further information on the Government of Sudan undertaking such activities, we would kindly request that you share this with the Home Office.</w:t>
      </w:r>
    </w:p>
    <w:p w:rsidR="0057754F">
      <w:pPr>
        <w:pStyle w:val="BodyText"/>
        <w:spacing w:before="275"/>
        <w:ind w:right="2"/>
        <w:jc w:val="center"/>
      </w:pPr>
      <w:r>
        <w:t xml:space="preserve">Yours </w:t>
      </w:r>
      <w:r>
        <w:rPr>
          <w:spacing w:val="-2"/>
        </w:rPr>
        <w:t>sincerely,</w:t>
      </w:r>
    </w:p>
    <w:p w:rsidR="0057754F">
      <w:pPr>
        <w:pStyle w:val="BodyText"/>
        <w:spacing w:before="26"/>
        <w:rPr>
          <w:sz w:val="20"/>
        </w:rPr>
      </w:pPr>
      <w:r>
        <w:rPr>
          <w:noProof/>
          <w:sz w:val="20"/>
        </w:rPr>
        <w:drawing>
          <wp:anchor distT="0" distB="0" distL="0" distR="0" simplePos="0" relativeHeight="251659264" behindDoc="1" locked="0" layoutInCell="1" allowOverlap="1">
            <wp:simplePos x="0" y="0"/>
            <wp:positionH relativeFrom="page">
              <wp:posOffset>2370708</wp:posOffset>
            </wp:positionH>
            <wp:positionV relativeFrom="paragraph">
              <wp:posOffset>178409</wp:posOffset>
            </wp:positionV>
            <wp:extent cx="2800547" cy="512063"/>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5" cstate="print"/>
                    <a:stretch>
                      <a:fillRect/>
                    </a:stretch>
                  </pic:blipFill>
                  <pic:spPr>
                    <a:xfrm>
                      <a:off x="0" y="0"/>
                      <a:ext cx="2800547" cy="512063"/>
                    </a:xfrm>
                    <a:prstGeom prst="rect">
                      <a:avLst/>
                    </a:prstGeom>
                  </pic:spPr>
                </pic:pic>
              </a:graphicData>
            </a:graphic>
          </wp:anchor>
        </w:drawing>
      </w:r>
    </w:p>
    <w:p w:rsidR="0057754F">
      <w:pPr>
        <w:pStyle w:val="BodyText"/>
        <w:spacing w:before="21"/>
      </w:pPr>
    </w:p>
    <w:p w:rsidR="0057754F">
      <w:pPr>
        <w:spacing w:before="1"/>
        <w:ind w:right="1"/>
        <w:jc w:val="center"/>
        <w:rPr>
          <w:b/>
          <w:sz w:val="24"/>
        </w:rPr>
      </w:pPr>
      <w:r>
        <w:rPr>
          <w:b/>
          <w:sz w:val="24"/>
        </w:rPr>
        <w:t>Mike</w:t>
      </w:r>
      <w:r>
        <w:rPr>
          <w:b/>
          <w:spacing w:val="-2"/>
          <w:sz w:val="24"/>
        </w:rPr>
        <w:t xml:space="preserve"> </w:t>
      </w:r>
      <w:r>
        <w:rPr>
          <w:b/>
          <w:sz w:val="24"/>
        </w:rPr>
        <w:t xml:space="preserve">Tapp </w:t>
      </w:r>
      <w:r>
        <w:rPr>
          <w:b/>
          <w:spacing w:val="-5"/>
          <w:sz w:val="24"/>
        </w:rPr>
        <w:t>MP</w:t>
      </w:r>
    </w:p>
    <w:p w:rsidR="0057754F">
      <w:pPr>
        <w:spacing w:before="4"/>
        <w:ind w:right="1"/>
        <w:jc w:val="center"/>
        <w:rPr>
          <w:b/>
          <w:sz w:val="24"/>
        </w:rPr>
      </w:pPr>
      <w:r>
        <w:rPr>
          <w:b/>
          <w:sz w:val="24"/>
        </w:rPr>
        <w:t>Minister</w:t>
      </w:r>
      <w:r>
        <w:rPr>
          <w:b/>
          <w:spacing w:val="-3"/>
          <w:sz w:val="24"/>
        </w:rPr>
        <w:t xml:space="preserve"> </w:t>
      </w:r>
      <w:r>
        <w:rPr>
          <w:b/>
          <w:sz w:val="24"/>
        </w:rPr>
        <w:t>for</w:t>
      </w:r>
      <w:r>
        <w:rPr>
          <w:b/>
          <w:spacing w:val="-2"/>
          <w:sz w:val="24"/>
        </w:rPr>
        <w:t xml:space="preserve"> </w:t>
      </w:r>
      <w:r>
        <w:rPr>
          <w:b/>
          <w:sz w:val="24"/>
        </w:rPr>
        <w:t>Migration</w:t>
      </w:r>
      <w:r>
        <w:rPr>
          <w:b/>
          <w:spacing w:val="-5"/>
          <w:sz w:val="24"/>
        </w:rPr>
        <w:t xml:space="preserve"> </w:t>
      </w:r>
      <w:r>
        <w:rPr>
          <w:b/>
          <w:sz w:val="24"/>
        </w:rPr>
        <w:t>and</w:t>
      </w:r>
      <w:r>
        <w:rPr>
          <w:b/>
          <w:spacing w:val="-2"/>
          <w:sz w:val="24"/>
        </w:rPr>
        <w:t xml:space="preserve"> Citizenship</w:t>
      </w:r>
    </w:p>
    <w:sectPr>
      <w:pgSz w:w="11910" w:h="16850"/>
      <w:pgMar w:top="16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0" w:lineRule="exact"/>
      <w:ind w:right="96"/>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f82c930-76ad-4e10-8f68-9399c9560797}"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dc:title>
  <cp:revision>0</cp:revision>
</cp:coreProperties>
</file>