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5466" w:rsidRPr="00C95466" w:rsidP="00C95466">
      <w:pPr>
        <w:jc w:val="center"/>
      </w:pPr>
      <w:r>
        <w:rPr>
          <w:b/>
          <w:bCs/>
        </w:rPr>
        <w:t xml:space="preserve">Update </w:t>
      </w:r>
      <w:r w:rsidR="002043E3">
        <w:rPr>
          <w:b/>
          <w:bCs/>
        </w:rPr>
        <w:t xml:space="preserve">on the </w:t>
      </w:r>
      <w:r w:rsidR="00C217BF">
        <w:rPr>
          <w:b/>
          <w:bCs/>
        </w:rPr>
        <w:t>Accepted R</w:t>
      </w:r>
      <w:r w:rsidR="002043E3">
        <w:rPr>
          <w:b/>
          <w:bCs/>
        </w:rPr>
        <w:t>ecommendations made by</w:t>
      </w:r>
      <w:r w:rsidRPr="00C95466">
        <w:rPr>
          <w:b/>
          <w:bCs/>
        </w:rPr>
        <w:t xml:space="preserve"> the House of Lords Public Services Committee</w:t>
      </w:r>
    </w:p>
    <w:p w:rsidR="00C95466" w:rsidRPr="00C95466" w:rsidP="00C95466">
      <w:pPr>
        <w:jc w:val="center"/>
      </w:pPr>
      <w:r w:rsidRPr="00C95466">
        <w:rPr>
          <w:b/>
          <w:bCs/>
        </w:rPr>
        <w:t>4th Report of Session 2022-23</w:t>
      </w:r>
    </w:p>
    <w:p w:rsidR="00C95466" w:rsidRPr="00C95466" w:rsidP="00C95466">
      <w:pPr>
        <w:jc w:val="center"/>
      </w:pPr>
      <w:r w:rsidRPr="00C95466">
        <w:rPr>
          <w:b/>
          <w:bCs/>
        </w:rPr>
        <w:t xml:space="preserve">Homecare </w:t>
      </w:r>
      <w:r w:rsidR="00C217BF">
        <w:rPr>
          <w:b/>
          <w:bCs/>
        </w:rPr>
        <w:t>M</w:t>
      </w:r>
      <w:r w:rsidRPr="00C95466">
        <w:rPr>
          <w:b/>
          <w:bCs/>
        </w:rPr>
        <w:t xml:space="preserve">edicines </w:t>
      </w:r>
      <w:r w:rsidR="00C217BF">
        <w:rPr>
          <w:b/>
          <w:bCs/>
        </w:rPr>
        <w:t>S</w:t>
      </w:r>
      <w:r w:rsidRPr="00C95466">
        <w:rPr>
          <w:b/>
          <w:bCs/>
        </w:rPr>
        <w:t xml:space="preserve">ervices: </w:t>
      </w:r>
      <w:r w:rsidR="00C217BF">
        <w:rPr>
          <w:b/>
          <w:bCs/>
        </w:rPr>
        <w:t>A</w:t>
      </w:r>
      <w:r w:rsidRPr="00C95466">
        <w:rPr>
          <w:b/>
          <w:bCs/>
        </w:rPr>
        <w:t xml:space="preserve">n </w:t>
      </w:r>
      <w:r w:rsidR="00C217BF">
        <w:rPr>
          <w:b/>
          <w:bCs/>
        </w:rPr>
        <w:t>O</w:t>
      </w:r>
      <w:r w:rsidRPr="00C95466">
        <w:rPr>
          <w:b/>
          <w:bCs/>
        </w:rPr>
        <w:t xml:space="preserve">pportunity </w:t>
      </w:r>
      <w:r w:rsidR="00C217BF">
        <w:rPr>
          <w:b/>
          <w:bCs/>
        </w:rPr>
        <w:t>L</w:t>
      </w:r>
      <w:r w:rsidRPr="00C95466">
        <w:rPr>
          <w:b/>
          <w:bCs/>
        </w:rPr>
        <w:t>ost</w:t>
      </w:r>
    </w:p>
    <w:p w:rsidR="00DC445E" w:rsidP="00C95466">
      <w:pPr>
        <w:rPr>
          <w:highlight w:val="yellow"/>
        </w:rPr>
      </w:pPr>
    </w:p>
    <w:p w:rsidR="00970D8F" w:rsidRPr="00E65D33" w:rsidP="00C95466">
      <w:r w:rsidRPr="00E65D33">
        <w:t xml:space="preserve">This Memorandum </w:t>
      </w:r>
      <w:r w:rsidRPr="00E65D33" w:rsidR="00520282">
        <w:t xml:space="preserve">outlines the </w:t>
      </w:r>
      <w:r w:rsidRPr="00E65D33">
        <w:t xml:space="preserve">government’s </w:t>
      </w:r>
      <w:r w:rsidRPr="00E65D33" w:rsidR="00520282">
        <w:t>conclu</w:t>
      </w:r>
      <w:r w:rsidRPr="00E65D33" w:rsidR="00063C22">
        <w:t xml:space="preserve">ding </w:t>
      </w:r>
      <w:r w:rsidRPr="00E65D33">
        <w:t>observations</w:t>
      </w:r>
      <w:r w:rsidRPr="00C94E0B">
        <w:rPr>
          <w:rStyle w:val="CommentReference"/>
        </w:rPr>
        <w:t xml:space="preserve"> </w:t>
      </w:r>
      <w:r w:rsidRPr="00E65D33">
        <w:t>in</w:t>
      </w:r>
      <w:r w:rsidRPr="00E65D33" w:rsidR="00520282">
        <w:t xml:space="preserve"> response </w:t>
      </w:r>
      <w:r w:rsidRPr="00E65D33">
        <w:t xml:space="preserve">to the recommendations set out in the House of Lords Public Services Committee report on homecare medicines services. This report can be found at:  </w:t>
      </w:r>
      <w:r>
        <w:fldChar w:fldCharType="begin"/>
      </w:r>
      <w:r>
        <w:instrText xml:space="preserve"> HYPERLINK "https://publications.parliament.uk/pa/ld5803/ldselect/pubserv/269/269.pdf" </w:instrText>
      </w:r>
      <w:r>
        <w:fldChar w:fldCharType="separate"/>
      </w:r>
      <w:r w:rsidRPr="00E65D33" w:rsidR="00D52449">
        <w:rPr>
          <w:rStyle w:val="Hyperlink"/>
        </w:rPr>
        <w:t>Homecare medicines services: an opportunity lost</w:t>
      </w:r>
      <w:r>
        <w:fldChar w:fldCharType="end"/>
      </w:r>
      <w:r w:rsidRPr="00E65D33" w:rsidR="00C9605A">
        <w:t xml:space="preserve">. </w:t>
      </w:r>
      <w:r w:rsidRPr="00E65D33">
        <w:t xml:space="preserve">We previously accepted a set of recommendations, as outlined in the government’s first response: </w:t>
      </w:r>
      <w:r>
        <w:fldChar w:fldCharType="begin"/>
      </w:r>
      <w:r>
        <w:instrText xml:space="preserve"> HYPERLINK "https://committees.parliament.uk/publications/42934/documents/213500/default/" </w:instrText>
      </w:r>
      <w:r>
        <w:fldChar w:fldCharType="separate"/>
      </w:r>
      <w:r w:rsidRPr="00E65D33">
        <w:rPr>
          <w:rStyle w:val="Hyperlink"/>
        </w:rPr>
        <w:t>Govt response to Homecare Medicines Services report</w:t>
      </w:r>
      <w:r>
        <w:fldChar w:fldCharType="end"/>
      </w:r>
      <w:r w:rsidRPr="00E65D33">
        <w:t xml:space="preserve">. </w:t>
      </w:r>
    </w:p>
    <w:p w:rsidR="000D5A31" w:rsidP="00C95466">
      <w:r w:rsidRPr="00E65D33">
        <w:t xml:space="preserve">We are grateful to the Committee for their report and recommendations, which we have carefully considered and have been working </w:t>
      </w:r>
      <w:r w:rsidRPr="00E65D33" w:rsidR="00970D8F">
        <w:t xml:space="preserve">closely </w:t>
      </w:r>
      <w:r w:rsidRPr="00E65D33">
        <w:t xml:space="preserve">with </w:t>
      </w:r>
      <w:r w:rsidRPr="00E65D33" w:rsidR="00970D8F">
        <w:t>NHS England</w:t>
      </w:r>
      <w:r w:rsidRPr="00E65D33">
        <w:t xml:space="preserve"> and other key stakeholders to progress.</w:t>
      </w:r>
      <w:r w:rsidRPr="00E65D33" w:rsidR="00970D8F">
        <w:t xml:space="preserve"> </w:t>
      </w:r>
      <w:r w:rsidRPr="00E65D33" w:rsidR="00082C11">
        <w:t xml:space="preserve">Since our initial response, we have </w:t>
      </w:r>
      <w:r w:rsidRPr="00E65D33" w:rsidR="00D05988">
        <w:t>met with the Committee</w:t>
      </w:r>
      <w:r w:rsidRPr="00E65D33" w:rsidR="001B0618">
        <w:t xml:space="preserve"> </w:t>
      </w:r>
      <w:r w:rsidRPr="00E65D33" w:rsidR="00E944BA">
        <w:t xml:space="preserve">in November 2024, and our Minister </w:t>
      </w:r>
      <w:r w:rsidRPr="00E65D33" w:rsidR="00A516AC">
        <w:t xml:space="preserve">of State for Health has written to the Committee to announce the appointment of </w:t>
      </w:r>
      <w:r w:rsidRPr="00C94E0B" w:rsidR="00C94E0B">
        <w:t>the Chief Pharmaceutical Officer as the Senior Responsible Officer (SRO)</w:t>
      </w:r>
      <w:r w:rsidR="00972A6A">
        <w:t xml:space="preserve"> (in accordance with recommendation 13)</w:t>
      </w:r>
      <w:r w:rsidR="001005F6">
        <w:t xml:space="preserve">. Below </w:t>
      </w:r>
      <w:r w:rsidR="00F63238">
        <w:t xml:space="preserve">outlines our commitment to </w:t>
      </w:r>
      <w:r w:rsidR="0057434C">
        <w:t>recommendation 1, to provide a</w:t>
      </w:r>
      <w:r w:rsidRPr="0057434C" w:rsidR="0057434C">
        <w:t xml:space="preserve"> further statement on progress on </w:t>
      </w:r>
      <w:r w:rsidR="0057434C">
        <w:t xml:space="preserve">remaining actions. </w:t>
      </w:r>
      <w:r w:rsidR="00C94E0B">
        <w:t xml:space="preserve"> </w:t>
      </w:r>
      <w:r w:rsidR="00F77885">
        <w:t>We hope that the</w:t>
      </w:r>
      <w:r w:rsidR="0073079F">
        <w:t xml:space="preserve"> important work that detailed below reassures the Committee of our commitment to </w:t>
      </w:r>
      <w:r w:rsidR="00F11B3D">
        <w:t xml:space="preserve">continue improvements to </w:t>
      </w:r>
      <w:r w:rsidR="004D6AA4">
        <w:t>Homecare</w:t>
      </w:r>
      <w:r w:rsidR="00F11B3D">
        <w:t xml:space="preserve"> Medicines Services</w:t>
      </w:r>
      <w:r w:rsidR="2B4F9A3A">
        <w:t>.</w:t>
      </w:r>
      <w:r w:rsidR="00B83AA7">
        <w:t xml:space="preserve"> </w:t>
      </w:r>
      <w:r w:rsidR="2B4F9A3A">
        <w:t>T</w:t>
      </w:r>
      <w:r w:rsidR="00F11B3D">
        <w:t xml:space="preserve">he findings of their </w:t>
      </w:r>
      <w:r w:rsidR="00D903A9">
        <w:t xml:space="preserve">report have </w:t>
      </w:r>
      <w:r w:rsidR="002F4E08">
        <w:t xml:space="preserve">initiated important discussions and strengthened </w:t>
      </w:r>
      <w:r w:rsidR="00596B6B">
        <w:t>communication</w:t>
      </w:r>
      <w:r w:rsidR="00182ACB">
        <w:t xml:space="preserve"> and collaboration</w:t>
      </w:r>
      <w:r w:rsidR="00596B6B">
        <w:t xml:space="preserve"> between </w:t>
      </w:r>
      <w:r w:rsidR="00182ACB">
        <w:t>organisations</w:t>
      </w:r>
      <w:r w:rsidR="00610138">
        <w:t xml:space="preserve"> involved </w:t>
      </w:r>
      <w:r w:rsidR="007D20FC">
        <w:t xml:space="preserve">in ensuring </w:t>
      </w:r>
      <w:r w:rsidR="00182ACB">
        <w:t>th</w:t>
      </w:r>
      <w:r w:rsidR="0000510B">
        <w:t xml:space="preserve">e safety and timely delivery of </w:t>
      </w:r>
      <w:r w:rsidR="004D6AA4">
        <w:t xml:space="preserve">care to patients. </w:t>
      </w:r>
    </w:p>
    <w:p w:rsidR="001434A8" w:rsidRPr="00E65D33" w:rsidP="00C95466"/>
    <w:p w:rsidR="00C95466" w:rsidRPr="00C95466" w:rsidP="00C95466">
      <w:pPr>
        <w:rPr>
          <w:u w:val="single"/>
        </w:rPr>
      </w:pPr>
      <w:r w:rsidRPr="00C95466">
        <w:rPr>
          <w:b/>
          <w:bCs/>
          <w:u w:val="single"/>
        </w:rPr>
        <w:t xml:space="preserve">Recommendation 2 </w:t>
      </w:r>
    </w:p>
    <w:p w:rsidR="009027E5" w:rsidP="00C95466">
      <w:r w:rsidRPr="00C95466">
        <w:rPr>
          <w:b/>
          <w:bCs/>
        </w:rPr>
        <w:t xml:space="preserve">NHS England must identify how many patients have become unwell or have been harmed because of a failure in homecare services. They should ensure that this information is published and shared with relevant parties. It should also form part of the Ministerial statements we have requested by December 2023 and March 2024. (Para 45) </w:t>
      </w:r>
    </w:p>
    <w:p w:rsidR="00EF0C7D" w:rsidP="00785749">
      <w:r w:rsidRPr="004501F5">
        <w:t>Ensuring high quality care is at the heart of everything the NHS strives to do. Unfortunately, we know that on occasion services can fall below the expected standard and processes are in place to record incidents and understand the impact they have on patients</w:t>
      </w:r>
      <w:r w:rsidRPr="00A66100">
        <w:t>. Data on safety incidents relating to homecare reported</w:t>
      </w:r>
      <w:r w:rsidRPr="008F560D" w:rsidR="00D55D64">
        <w:t xml:space="preserve"> by NHS trusts are captured </w:t>
      </w:r>
      <w:r w:rsidRPr="008F560D" w:rsidR="00A66100">
        <w:t>across</w:t>
      </w:r>
      <w:r w:rsidRPr="00A66100">
        <w:t xml:space="preserve"> 3 central </w:t>
      </w:r>
      <w:r w:rsidRPr="008F560D" w:rsidR="00D55D64">
        <w:t xml:space="preserve">NHS </w:t>
      </w:r>
      <w:r w:rsidRPr="00A66100">
        <w:t>systems</w:t>
      </w:r>
      <w:r w:rsidRPr="008F560D" w:rsidR="00D55D64">
        <w:t>; Learn from Patient Safety Events (</w:t>
      </w:r>
      <w:r w:rsidRPr="008F560D" w:rsidR="00D55D64">
        <w:t>LfPSE</w:t>
      </w:r>
      <w:r w:rsidRPr="008F560D" w:rsidR="00D55D64">
        <w:t xml:space="preserve">), </w:t>
      </w:r>
      <w:r w:rsidRPr="008F560D" w:rsidR="00A66100">
        <w:t xml:space="preserve">National Reporting and Learning System (NRLS) and Strategic Executive Information System (StEIS). </w:t>
      </w:r>
      <w:r w:rsidRPr="008F560D" w:rsidR="00D55D64">
        <w:t>Additionally</w:t>
      </w:r>
      <w:r w:rsidR="00E0504A">
        <w:t>,</w:t>
      </w:r>
      <w:r w:rsidRPr="00A66100">
        <w:t xml:space="preserve"> </w:t>
      </w:r>
      <w:r w:rsidRPr="008F560D" w:rsidR="00D55D64">
        <w:t>homecare service providers report patient safety incidents</w:t>
      </w:r>
      <w:r w:rsidRPr="00A66100">
        <w:t xml:space="preserve"> </w:t>
      </w:r>
      <w:r w:rsidRPr="00A66100">
        <w:t>to trusts directly</w:t>
      </w:r>
      <w:r w:rsidRPr="008F560D" w:rsidR="00D55D64">
        <w:t xml:space="preserve"> via performance management reports</w:t>
      </w:r>
      <w:r w:rsidRPr="00A66100">
        <w:t xml:space="preserve">. In the period 2024/25, </w:t>
      </w:r>
      <w:r w:rsidRPr="00A66100" w:rsidR="00C675C7">
        <w:t xml:space="preserve">over </w:t>
      </w:r>
      <w:r w:rsidRPr="00A66100">
        <w:t xml:space="preserve">595k patients in England received </w:t>
      </w:r>
      <w:r w:rsidRPr="00A66100" w:rsidR="00C675C7">
        <w:t xml:space="preserve">a total of </w:t>
      </w:r>
      <w:r w:rsidRPr="00A66100" w:rsidR="00263419">
        <w:t>over 2</w:t>
      </w:r>
      <w:r w:rsidRPr="00A66100" w:rsidR="00C675C7">
        <w:t xml:space="preserve"> </w:t>
      </w:r>
      <w:r w:rsidRPr="00A66100" w:rsidR="00263419">
        <w:t>million</w:t>
      </w:r>
      <w:r w:rsidRPr="00A66100" w:rsidR="00C675C7">
        <w:t xml:space="preserve"> medicines deliveries and 550k clinical service episodes </w:t>
      </w:r>
      <w:r w:rsidRPr="00A66100" w:rsidR="00021B01">
        <w:t>from their</w:t>
      </w:r>
      <w:r w:rsidRPr="00A66100" w:rsidR="00263419">
        <w:t xml:space="preserve"> </w:t>
      </w:r>
      <w:r w:rsidRPr="00A66100">
        <w:t xml:space="preserve">homecare </w:t>
      </w:r>
      <w:r w:rsidRPr="00A66100" w:rsidR="00C675C7">
        <w:t xml:space="preserve">medicines </w:t>
      </w:r>
      <w:r w:rsidRPr="00A66100">
        <w:t xml:space="preserve">service. </w:t>
      </w:r>
      <w:r w:rsidRPr="000A2EA2">
        <w:t>During th</w:t>
      </w:r>
      <w:r w:rsidRPr="000A2EA2" w:rsidR="00B72F6F">
        <w:t>e</w:t>
      </w:r>
      <w:r w:rsidRPr="000A2EA2" w:rsidR="00395C68">
        <w:t xml:space="preserve"> same</w:t>
      </w:r>
      <w:r w:rsidRPr="000A2EA2">
        <w:t xml:space="preserve"> perio</w:t>
      </w:r>
      <w:r w:rsidRPr="000A2EA2" w:rsidR="00B72F6F">
        <w:t>d</w:t>
      </w:r>
      <w:r w:rsidRPr="000A2EA2" w:rsidR="00395C68">
        <w:t>, a total of 2</w:t>
      </w:r>
      <w:r w:rsidRPr="000A2EA2" w:rsidR="00021B01">
        <w:t>3.4</w:t>
      </w:r>
      <w:r w:rsidRPr="000A2EA2" w:rsidR="00395C68">
        <w:t>k incidents with potential to cause harm were reporte</w:t>
      </w:r>
      <w:r w:rsidRPr="000A2EA2" w:rsidR="006019DF">
        <w:t>d</w:t>
      </w:r>
      <w:r w:rsidRPr="000A2EA2" w:rsidR="001F46CD">
        <w:t xml:space="preserve"> by homecare providers</w:t>
      </w:r>
      <w:r w:rsidRPr="000A2EA2" w:rsidR="006019DF">
        <w:t xml:space="preserve"> directly to trusts</w:t>
      </w:r>
      <w:r w:rsidRPr="000A2EA2" w:rsidR="001F46CD">
        <w:t>,</w:t>
      </w:r>
      <w:r w:rsidRPr="000A2EA2" w:rsidR="00395C68">
        <w:t xml:space="preserve"> </w:t>
      </w:r>
      <w:r w:rsidRPr="000A2EA2" w:rsidR="00021B01">
        <w:t>including</w:t>
      </w:r>
      <w:r w:rsidRPr="000A2EA2" w:rsidR="00395C68">
        <w:t xml:space="preserve"> </w:t>
      </w:r>
      <w:r w:rsidRPr="000A2EA2" w:rsidR="00021B01">
        <w:t xml:space="preserve">176 </w:t>
      </w:r>
      <w:r w:rsidRPr="000A2EA2" w:rsidR="00395C68">
        <w:t>reported ‘duty of candour’ incidents where</w:t>
      </w:r>
      <w:r w:rsidRPr="000A2EA2" w:rsidR="00021B01">
        <w:t xml:space="preserve"> at least</w:t>
      </w:r>
      <w:r w:rsidRPr="000A2EA2" w:rsidR="00395C68">
        <w:t xml:space="preserve"> moderate harm </w:t>
      </w:r>
      <w:r w:rsidRPr="000A2EA2" w:rsidR="00021B01">
        <w:t>was</w:t>
      </w:r>
      <w:r w:rsidRPr="000A2EA2" w:rsidR="00395C68">
        <w:t xml:space="preserve"> caused</w:t>
      </w:r>
      <w:r w:rsidRPr="000A2EA2">
        <w:t>.</w:t>
      </w:r>
      <w:r w:rsidRPr="000A2EA2" w:rsidR="00785749">
        <w:t xml:space="preserve"> </w:t>
      </w:r>
    </w:p>
    <w:p w:rsidR="009027E5" w:rsidP="00785749">
      <w:r>
        <w:t>Between 1st November 2021 and 31st October 2024</w:t>
      </w:r>
      <w:r w:rsidR="008F7822">
        <w:t>, a period covering three-years of post-pandemic activity</w:t>
      </w:r>
      <w:r>
        <w:t xml:space="preserve">, 90 incident reports from NHS acute trusts </w:t>
      </w:r>
      <w:r w:rsidR="008F7822">
        <w:t>were received by the</w:t>
      </w:r>
      <w:r w:rsidR="00785749">
        <w:t xml:space="preserve"> </w:t>
      </w:r>
      <w:r w:rsidR="007E64C5">
        <w:t>three</w:t>
      </w:r>
      <w:r w:rsidR="00785749">
        <w:t xml:space="preserve"> central systems. 74 </w:t>
      </w:r>
      <w:r w:rsidR="008F7822">
        <w:t xml:space="preserve">of these </w:t>
      </w:r>
      <w:r w:rsidR="00785749">
        <w:t xml:space="preserve">reports included an estimate of the degree of harm to the affected patient, with 90% estimated as </w:t>
      </w:r>
      <w:r w:rsidR="007A0894">
        <w:t>‘</w:t>
      </w:r>
      <w:r w:rsidR="00785749">
        <w:t>low or moderate harm</w:t>
      </w:r>
      <w:r w:rsidR="007A0894">
        <w:t>’</w:t>
      </w:r>
      <w:r w:rsidR="00785749">
        <w:t>. 85% of the patient safety incident reports relating to Homecare Services relate to delayed</w:t>
      </w:r>
      <w:r w:rsidR="007A0894">
        <w:t xml:space="preserve"> or</w:t>
      </w:r>
      <w:r w:rsidR="00785749">
        <w:t xml:space="preserve"> omitted deliveries of medicines</w:t>
      </w:r>
      <w:r w:rsidR="007A0894">
        <w:t>,</w:t>
      </w:r>
      <w:r w:rsidR="00785749">
        <w:t xml:space="preserve"> or failure in processing prescriptions. The remaining 15% reflect communication issues between NHS Hospital Pharmacy Services and Homecare Providers.</w:t>
      </w:r>
      <w:r w:rsidR="00B742C3">
        <w:t xml:space="preserve"> Work is underway to streamline</w:t>
      </w:r>
      <w:r w:rsidR="007A0894">
        <w:t xml:space="preserve"> and</w:t>
      </w:r>
      <w:r w:rsidR="00B742C3">
        <w:t xml:space="preserve"> centralise the reporting of homecare incidents</w:t>
      </w:r>
      <w:r w:rsidR="007A0894">
        <w:t>,</w:t>
      </w:r>
      <w:r w:rsidR="00B742C3">
        <w:t xml:space="preserve"> which</w:t>
      </w:r>
      <w:r w:rsidR="0A715D1E">
        <w:t>,</w:t>
      </w:r>
      <w:r w:rsidR="00B742C3">
        <w:t xml:space="preserve"> in turn</w:t>
      </w:r>
      <w:r w:rsidR="007A0894">
        <w:t>,</w:t>
      </w:r>
      <w:r w:rsidR="00B742C3">
        <w:t xml:space="preserve"> </w:t>
      </w:r>
      <w:r w:rsidR="007A0894">
        <w:t>can</w:t>
      </w:r>
      <w:r w:rsidR="00B742C3">
        <w:t xml:space="preserve"> </w:t>
      </w:r>
      <w:r w:rsidR="007A0894">
        <w:t>deliver improvements to</w:t>
      </w:r>
      <w:r w:rsidR="00B742C3">
        <w:t xml:space="preserve"> homecare ser</w:t>
      </w:r>
      <w:r w:rsidR="006019DF">
        <w:t>vices</w:t>
      </w:r>
      <w:r w:rsidR="00C113E1">
        <w:t xml:space="preserve"> </w:t>
      </w:r>
      <w:r w:rsidR="00D44E09">
        <w:t xml:space="preserve">and deliver on the </w:t>
      </w:r>
      <w:r w:rsidR="6262D572">
        <w:t>g</w:t>
      </w:r>
      <w:r w:rsidR="00367548">
        <w:t>overnment</w:t>
      </w:r>
      <w:r w:rsidR="7389DB26">
        <w:t>’</w:t>
      </w:r>
      <w:r w:rsidR="00367548">
        <w:t>s ambition for</w:t>
      </w:r>
      <w:r w:rsidR="006A0F3A">
        <w:t xml:space="preserve"> improve</w:t>
      </w:r>
      <w:r w:rsidR="00367548">
        <w:t>d</w:t>
      </w:r>
      <w:r w:rsidR="006A0F3A">
        <w:t xml:space="preserve"> transparency </w:t>
      </w:r>
      <w:r w:rsidR="004B1BBE">
        <w:t>of</w:t>
      </w:r>
      <w:r w:rsidR="006A0F3A">
        <w:t xml:space="preserve"> quality of care</w:t>
      </w:r>
      <w:r w:rsidR="00367548">
        <w:t xml:space="preserve"> as set out in the 10 Year Plan.</w:t>
      </w:r>
      <w:r w:rsidR="00063135">
        <w:t xml:space="preserve"> </w:t>
      </w:r>
    </w:p>
    <w:p w:rsidR="004501F5" w:rsidRPr="004501F5" w:rsidP="00785749"/>
    <w:p w:rsidR="00C95466" w:rsidRPr="00C95466" w:rsidP="00C95466">
      <w:pPr>
        <w:rPr>
          <w:u w:val="single"/>
        </w:rPr>
      </w:pPr>
      <w:r w:rsidRPr="00C95466">
        <w:rPr>
          <w:b/>
          <w:bCs/>
          <w:u w:val="single"/>
        </w:rPr>
        <w:t xml:space="preserve">Recommendation 3 </w:t>
      </w:r>
    </w:p>
    <w:p w:rsidR="009027E5" w:rsidRPr="004501F5" w:rsidP="00C95466">
      <w:r w:rsidRPr="00C95466">
        <w:rPr>
          <w:b/>
          <w:bCs/>
        </w:rPr>
        <w:t xml:space="preserve">NHS England must develop and implement one consistent set of performance metrics. (Para 53) </w:t>
      </w:r>
    </w:p>
    <w:p w:rsidR="7EC1B008" w:rsidRPr="004501F5" w:rsidP="7B1A5C4A">
      <w:r>
        <w:t>NHS England and the National Homecare Medicines Committee have worked</w:t>
      </w:r>
      <w:r w:rsidR="001C7878">
        <w:t xml:space="preserve"> extensively</w:t>
      </w:r>
      <w:r>
        <w:t xml:space="preserve"> with </w:t>
      </w:r>
      <w:r w:rsidR="3E750EF7">
        <w:t xml:space="preserve">stakeholders including </w:t>
      </w:r>
      <w:r>
        <w:t xml:space="preserve">patient groups, </w:t>
      </w:r>
      <w:r w:rsidR="35B954EE">
        <w:t>NHS trusts and industry to</w:t>
      </w:r>
      <w:r w:rsidR="001C7878">
        <w:t xml:space="preserve"> develop</w:t>
      </w:r>
      <w:r w:rsidR="2A62BF72">
        <w:t xml:space="preserve"> </w:t>
      </w:r>
      <w:r w:rsidR="57DD8D04">
        <w:t xml:space="preserve">a </w:t>
      </w:r>
      <w:r w:rsidR="001C7878">
        <w:t xml:space="preserve">revised set of </w:t>
      </w:r>
      <w:r w:rsidR="69FD04C2">
        <w:t>KPI</w:t>
      </w:r>
      <w:r w:rsidR="001C7878">
        <w:t>s that’s patient centred, simpler and easier to use whilst maintaining appropriate granularity of supporting data for NHS contracting authorities to continue to manage services effectively</w:t>
      </w:r>
      <w:r w:rsidR="37CCC2AF">
        <w:t>.</w:t>
      </w:r>
      <w:r w:rsidR="00476377">
        <w:t xml:space="preserve"> The new </w:t>
      </w:r>
      <w:r w:rsidR="001C7878">
        <w:t xml:space="preserve">co-developed </w:t>
      </w:r>
      <w:r w:rsidR="00476377">
        <w:t>KPI</w:t>
      </w:r>
      <w:r w:rsidR="0002672C">
        <w:t xml:space="preserve"> v7</w:t>
      </w:r>
      <w:r w:rsidR="00476377">
        <w:t xml:space="preserve"> definitions </w:t>
      </w:r>
      <w:r w:rsidR="001C7878">
        <w:t xml:space="preserve">are </w:t>
      </w:r>
      <w:r w:rsidR="00476377">
        <w:t xml:space="preserve">published </w:t>
      </w:r>
      <w:r>
        <w:fldChar w:fldCharType="begin"/>
      </w:r>
      <w:r>
        <w:instrText xml:space="preserve"> HYPERLINK "https://www.rpharms.com/recognition/setting-professional-standards/homecare-services-professional-standards/homecare-handbook-appendices" </w:instrText>
      </w:r>
      <w:r>
        <w:fldChar w:fldCharType="separate"/>
      </w:r>
      <w:r w:rsidRPr="063680E0" w:rsidR="00476377">
        <w:rPr>
          <w:rStyle w:val="Hyperlink"/>
        </w:rPr>
        <w:t>here</w:t>
      </w:r>
      <w:r>
        <w:fldChar w:fldCharType="end"/>
      </w:r>
      <w:r w:rsidR="00476377">
        <w:t xml:space="preserve"> by the Royal Pharmaceutical Society on behalf of the National Homecare Medicines Committee as appendix 10 to the Handbook for Homecare Services</w:t>
      </w:r>
      <w:r w:rsidR="001C7878">
        <w:t>. W</w:t>
      </w:r>
      <w:r w:rsidR="37CCC2AF">
        <w:t xml:space="preserve">e are working closely with suppliers </w:t>
      </w:r>
      <w:r w:rsidR="00476377">
        <w:t xml:space="preserve">and NHS contracting authorities </w:t>
      </w:r>
      <w:r w:rsidR="37CCC2AF">
        <w:t xml:space="preserve">to </w:t>
      </w:r>
      <w:r w:rsidR="2CF8CA9F">
        <w:t xml:space="preserve">manage </w:t>
      </w:r>
      <w:r w:rsidR="00476377">
        <w:t xml:space="preserve">co-ordinated </w:t>
      </w:r>
      <w:r w:rsidR="00CA0172">
        <w:t>implementation</w:t>
      </w:r>
      <w:r w:rsidR="00476377">
        <w:t xml:space="preserve"> during </w:t>
      </w:r>
      <w:r w:rsidR="364C35C5">
        <w:t>2025/26.</w:t>
      </w:r>
      <w:r w:rsidR="00476377">
        <w:t xml:space="preserve"> </w:t>
      </w:r>
      <w:r w:rsidR="6F0D7741">
        <w:t>T</w:t>
      </w:r>
      <w:r w:rsidR="00985890">
        <w:t xml:space="preserve">he incorporation of patient voice and feedback in defining and measuring quality </w:t>
      </w:r>
      <w:r w:rsidR="00C62FD7">
        <w:t xml:space="preserve">will </w:t>
      </w:r>
      <w:r w:rsidR="00F57F01">
        <w:t xml:space="preserve">support </w:t>
      </w:r>
      <w:r w:rsidR="004B1BBE">
        <w:t>improve</w:t>
      </w:r>
      <w:r w:rsidR="00985890">
        <w:t>d</w:t>
      </w:r>
      <w:r w:rsidR="004B1BBE">
        <w:t xml:space="preserve"> transparency </w:t>
      </w:r>
      <w:r w:rsidR="00036CA8">
        <w:t>of quality of care</w:t>
      </w:r>
      <w:r w:rsidR="00F22919">
        <w:t xml:space="preserve"> across</w:t>
      </w:r>
      <w:r w:rsidR="007A3306">
        <w:t xml:space="preserve"> homecare</w:t>
      </w:r>
      <w:r w:rsidR="00F22919">
        <w:t xml:space="preserve"> services</w:t>
      </w:r>
      <w:r w:rsidR="00985890">
        <w:t>.</w:t>
      </w:r>
      <w:r w:rsidR="00036CA8">
        <w:t xml:space="preserve"> </w:t>
      </w:r>
    </w:p>
    <w:p w:rsidR="009027E5" w:rsidRPr="00C95466" w:rsidP="00C95466"/>
    <w:p w:rsidR="00C95466" w:rsidRPr="000A30E8" w:rsidP="00C95466">
      <w:pPr>
        <w:rPr>
          <w:u w:val="single"/>
        </w:rPr>
      </w:pPr>
      <w:r w:rsidRPr="000A30E8">
        <w:rPr>
          <w:b/>
          <w:bCs/>
          <w:u w:val="single"/>
        </w:rPr>
        <w:t xml:space="preserve">Recommendation 4 </w:t>
      </w:r>
    </w:p>
    <w:p w:rsidR="009027E5" w:rsidRPr="004501F5" w:rsidP="00C95466">
      <w:r w:rsidRPr="00C95466">
        <w:rPr>
          <w:b/>
          <w:bCs/>
        </w:rPr>
        <w:t xml:space="preserve">The Chief Pharmaceutical Officer for England should ensure that the KPI data is published in a consistent standardised form which is sufficiently specific and regular to ensure meaningful public scrutiny. (Para 58) </w:t>
      </w:r>
    </w:p>
    <w:p w:rsidR="50E66D30" w:rsidP="7B1A5C4A">
      <w:r w:rsidRPr="004501F5">
        <w:t xml:space="preserve">NHS England has published </w:t>
      </w:r>
      <w:r w:rsidRPr="004501F5" w:rsidR="001C7878">
        <w:t xml:space="preserve">an </w:t>
      </w:r>
      <w:r w:rsidRPr="004501F5">
        <w:t>interactive</w:t>
      </w:r>
      <w:r w:rsidRPr="004501F5" w:rsidR="001C7878">
        <w:t xml:space="preserve"> dashboard</w:t>
      </w:r>
      <w:r w:rsidRPr="004501F5">
        <w:t xml:space="preserve"> </w:t>
      </w:r>
      <w:r>
        <w:fldChar w:fldCharType="begin"/>
      </w:r>
      <w:r>
        <w:instrText xml:space="preserve"> HYPERLINK "https://www.england.nhs.uk/medicines-2/medicines-value-and-access/medicines-procurement-and-supply-chain/" </w:instrText>
      </w:r>
      <w:r>
        <w:fldChar w:fldCharType="separate"/>
      </w:r>
      <w:r w:rsidRPr="004501F5">
        <w:rPr>
          <w:rStyle w:val="Hyperlink"/>
        </w:rPr>
        <w:t>‘National Homecare Medicines Services KPI Dashboard – Public’</w:t>
      </w:r>
      <w:r>
        <w:fldChar w:fldCharType="end"/>
      </w:r>
      <w:r w:rsidRPr="004501F5">
        <w:t xml:space="preserve"> (</w:t>
      </w:r>
      <w:r>
        <w:fldChar w:fldCharType="begin"/>
      </w:r>
      <w:r>
        <w:instrText xml:space="preserve"> HYPERLINK "https://app.powerbi.com/view?r=eyJrIjoiMjEyZjJjN2UtZDRmMC00MTliLWFhYzQtODQ5Y2NiMWVjNTI3IiwidCI6Ijg4MjQxNWIwLTc2MTItNGNiMy04OTQ5LTIwMDViN2RkNzM3OCIsImMiOjh9" </w:instrText>
      </w:r>
      <w:r>
        <w:fldChar w:fldCharType="separate"/>
      </w:r>
      <w:r w:rsidRPr="004501F5">
        <w:rPr>
          <w:rStyle w:val="Hyperlink"/>
        </w:rPr>
        <w:t>direct link</w:t>
      </w:r>
      <w:r>
        <w:fldChar w:fldCharType="end"/>
      </w:r>
      <w:r w:rsidRPr="004501F5">
        <w:t xml:space="preserve">) displaying </w:t>
      </w:r>
      <w:r w:rsidRPr="004501F5" w:rsidR="001C7878">
        <w:t xml:space="preserve">national </w:t>
      </w:r>
      <w:r w:rsidRPr="004501F5">
        <w:t>performance against the national standard key performance indicators (KPI v6.2)</w:t>
      </w:r>
      <w:r w:rsidRPr="004501F5" w:rsidR="001C7878">
        <w:t xml:space="preserve"> by region. The dashboard</w:t>
      </w:r>
      <w:r w:rsidRPr="004501F5">
        <w:t xml:space="preserve"> is updated </w:t>
      </w:r>
      <w:r w:rsidRPr="004501F5">
        <w:t>quarte</w:t>
      </w:r>
      <w:r w:rsidRPr="004501F5" w:rsidR="00A859CB">
        <w:t>rly</w:t>
      </w:r>
      <w:r w:rsidRPr="004501F5" w:rsidR="00A859CB">
        <w:t xml:space="preserve"> and the National Homecare Medicines Committee continue to engage with stakeholders including patient groups to support ongoing improvement and development of the dashboard.</w:t>
      </w:r>
    </w:p>
    <w:p w:rsidR="009027E5" w:rsidRPr="00C95466" w:rsidP="00C95466">
      <w:r w:rsidRPr="063680E0">
        <w:rPr>
          <w:color w:val="000000" w:themeColor="text1"/>
        </w:rPr>
        <w:t>A process for publishing review reports, alongside the data tool itself, will be developed to further support meaningful public scrutiny and engagement. The next iteration of</w:t>
      </w:r>
      <w:r w:rsidRPr="063680E0" w:rsidR="00A37D90">
        <w:rPr>
          <w:color w:val="000000" w:themeColor="text1"/>
        </w:rPr>
        <w:t xml:space="preserve"> the national standard key performance indicators</w:t>
      </w:r>
      <w:r w:rsidRPr="063680E0">
        <w:rPr>
          <w:color w:val="000000" w:themeColor="text1"/>
        </w:rPr>
        <w:t xml:space="preserve"> (</w:t>
      </w:r>
      <w:r w:rsidRPr="063680E0" w:rsidR="00A37D90">
        <w:rPr>
          <w:color w:val="000000" w:themeColor="text1"/>
        </w:rPr>
        <w:t xml:space="preserve">KPI </w:t>
      </w:r>
      <w:r w:rsidRPr="063680E0">
        <w:rPr>
          <w:color w:val="000000" w:themeColor="text1"/>
        </w:rPr>
        <w:t>v7) will provide additional insights to performance of the end-to-end service from a patient perspective</w:t>
      </w:r>
      <w:r w:rsidRPr="063680E0" w:rsidR="00A37D90">
        <w:rPr>
          <w:color w:val="000000" w:themeColor="text1"/>
        </w:rPr>
        <w:t xml:space="preserve"> in line with recommendations from patient charity stakeholders</w:t>
      </w:r>
      <w:r w:rsidRPr="063680E0">
        <w:rPr>
          <w:color w:val="000000" w:themeColor="text1"/>
        </w:rPr>
        <w:t xml:space="preserve"> – specifically </w:t>
      </w:r>
      <w:r w:rsidRPr="063680E0" w:rsidR="00D30320">
        <w:rPr>
          <w:color w:val="000000" w:themeColor="text1"/>
        </w:rPr>
        <w:t xml:space="preserve">referring to </w:t>
      </w:r>
      <w:r w:rsidRPr="063680E0">
        <w:rPr>
          <w:color w:val="000000" w:themeColor="text1"/>
        </w:rPr>
        <w:t>lead times for prescription generation, processing and transmission as well as homecare provider receipt, scheduling and delivery.</w:t>
      </w:r>
      <w:r w:rsidRPr="063680E0" w:rsidR="003B01A7">
        <w:rPr>
          <w:color w:val="000000" w:themeColor="text1"/>
        </w:rPr>
        <w:t xml:space="preserve"> </w:t>
      </w:r>
      <w:r w:rsidR="009A35B3">
        <w:t>The simplification of the interpretation of quality measures</w:t>
      </w:r>
      <w:r w:rsidRPr="063680E0" w:rsidR="003B01A7">
        <w:rPr>
          <w:color w:val="000000" w:themeColor="text1"/>
        </w:rPr>
        <w:t xml:space="preserve"> </w:t>
      </w:r>
      <w:r w:rsidRPr="063680E0" w:rsidR="00894A01">
        <w:rPr>
          <w:color w:val="000000" w:themeColor="text1"/>
        </w:rPr>
        <w:t>further drives the</w:t>
      </w:r>
      <w:r w:rsidRPr="063680E0" w:rsidR="003B01A7">
        <w:rPr>
          <w:color w:val="000000" w:themeColor="text1"/>
        </w:rPr>
        <w:t xml:space="preserve"> </w:t>
      </w:r>
      <w:r w:rsidRPr="063680E0" w:rsidR="45D89C52">
        <w:rPr>
          <w:color w:val="000000" w:themeColor="text1"/>
        </w:rPr>
        <w:t>g</w:t>
      </w:r>
      <w:r w:rsidRPr="063680E0" w:rsidR="00894A01">
        <w:rPr>
          <w:color w:val="000000" w:themeColor="text1"/>
        </w:rPr>
        <w:t>overnment’s</w:t>
      </w:r>
      <w:r w:rsidRPr="063680E0" w:rsidR="003B01A7">
        <w:rPr>
          <w:color w:val="000000" w:themeColor="text1"/>
        </w:rPr>
        <w:t xml:space="preserve"> objective of increased transparency</w:t>
      </w:r>
      <w:r w:rsidRPr="063680E0" w:rsidR="00894A01">
        <w:rPr>
          <w:color w:val="000000" w:themeColor="text1"/>
        </w:rPr>
        <w:t xml:space="preserve"> as set out in the 10 Year Plan.</w:t>
      </w:r>
      <w:r w:rsidRPr="063680E0" w:rsidR="003B01A7">
        <w:rPr>
          <w:color w:val="000000" w:themeColor="text1"/>
        </w:rPr>
        <w:t xml:space="preserve"> </w:t>
      </w:r>
    </w:p>
    <w:p w:rsidR="00CF30AC" w:rsidP="00C95466">
      <w:pPr>
        <w:rPr>
          <w:b/>
          <w:bCs/>
          <w:u w:val="single"/>
        </w:rPr>
      </w:pPr>
    </w:p>
    <w:p w:rsidR="00C95466" w:rsidRPr="00C95466" w:rsidP="00C95466">
      <w:pPr>
        <w:rPr>
          <w:u w:val="single"/>
        </w:rPr>
      </w:pPr>
      <w:r w:rsidRPr="00C95466">
        <w:rPr>
          <w:b/>
          <w:bCs/>
          <w:u w:val="single"/>
        </w:rPr>
        <w:t xml:space="preserve">Recommendation 5 </w:t>
      </w:r>
    </w:p>
    <w:p w:rsidR="00C95466" w:rsidRPr="00C95466" w:rsidP="00C95466">
      <w:r w:rsidRPr="00C95466">
        <w:rPr>
          <w:b/>
          <w:bCs/>
        </w:rPr>
        <w:t xml:space="preserve">The Government must clarify exactly how much public money is spent on homecare medicines services. (Para 61) </w:t>
      </w:r>
    </w:p>
    <w:p w:rsidR="009027E5" w:rsidRPr="00C95466" w:rsidP="00C95466">
      <w:r>
        <w:t xml:space="preserve">This recommendation has </w:t>
      </w:r>
      <w:r w:rsidR="00E65D33">
        <w:t xml:space="preserve">previously </w:t>
      </w:r>
      <w:r>
        <w:t>been actioned</w:t>
      </w:r>
      <w:r w:rsidR="00E65D33">
        <w:t>.</w:t>
      </w:r>
    </w:p>
    <w:p w:rsidR="00CF30AC" w:rsidP="00C95466">
      <w:pPr>
        <w:rPr>
          <w:b/>
          <w:bCs/>
          <w:u w:val="single"/>
        </w:rPr>
      </w:pPr>
    </w:p>
    <w:p w:rsidR="00C95466" w:rsidRPr="00C95466" w:rsidP="00C95466">
      <w:pPr>
        <w:rPr>
          <w:u w:val="single"/>
        </w:rPr>
      </w:pPr>
      <w:r w:rsidRPr="00C95466">
        <w:rPr>
          <w:b/>
          <w:bCs/>
          <w:u w:val="single"/>
        </w:rPr>
        <w:t xml:space="preserve">Recommendation 6 </w:t>
      </w:r>
    </w:p>
    <w:p w:rsidR="009027E5" w:rsidP="00C95466">
      <w:r w:rsidRPr="00C95466">
        <w:rPr>
          <w:b/>
          <w:bCs/>
        </w:rPr>
        <w:t xml:space="preserve">The review must outline necessary steps towards establishing a central resource of experienced procurement professionals to assist in establishing homecare medicines services. This must be available to all those establishing agreements, whether they are manufacturer or NHS funded. [Para 75] </w:t>
      </w:r>
    </w:p>
    <w:p w:rsidR="26A34163" w:rsidRPr="00E7780E" w:rsidP="7B1A5C4A">
      <w:r w:rsidRPr="00E7780E">
        <w:t xml:space="preserve">NHS Contracting Authorities undertaking </w:t>
      </w:r>
      <w:r w:rsidRPr="00E7780E" w:rsidR="3435B071">
        <w:t xml:space="preserve">high-value </w:t>
      </w:r>
      <w:r w:rsidRPr="00E7780E" w:rsidR="6A47380B">
        <w:t>collaborative procureme</w:t>
      </w:r>
      <w:r w:rsidRPr="00E7780E" w:rsidR="3F16B512">
        <w:t>nt exercises (e.g. regional framework agreements) are supported through a spend contro</w:t>
      </w:r>
      <w:r w:rsidRPr="00E7780E" w:rsidR="021114A3">
        <w:t xml:space="preserve">l process facilitated by </w:t>
      </w:r>
      <w:r w:rsidRPr="00E7780E" w:rsidR="0EB2DFBA">
        <w:t>NHS Engla</w:t>
      </w:r>
      <w:r w:rsidRPr="00E7780E" w:rsidR="12E0BCD5">
        <w:t xml:space="preserve">nd </w:t>
      </w:r>
      <w:r w:rsidRPr="00E7780E" w:rsidR="7C27B755">
        <w:t xml:space="preserve">and the Cabinet Office to ensure efficient and effective use of public money within the </w:t>
      </w:r>
      <w:r w:rsidRPr="00E7780E" w:rsidR="708BE2D5">
        <w:t>NHS</w:t>
      </w:r>
      <w:r w:rsidRPr="00E7780E" w:rsidR="7C27B755">
        <w:t>, promot</w:t>
      </w:r>
      <w:r w:rsidRPr="00E7780E" w:rsidR="1801E773">
        <w:t>e</w:t>
      </w:r>
      <w:r w:rsidRPr="00E7780E" w:rsidR="7C27B755">
        <w:t xml:space="preserve"> value for money, support government policy, and improv</w:t>
      </w:r>
      <w:r w:rsidRPr="00E7780E" w:rsidR="42FCFFCF">
        <w:t>e</w:t>
      </w:r>
      <w:r w:rsidRPr="00E7780E" w:rsidR="7C27B755">
        <w:t xml:space="preserve"> outcomes for patients</w:t>
      </w:r>
      <w:r w:rsidRPr="00E7780E" w:rsidR="6063C24C">
        <w:t>.</w:t>
      </w:r>
    </w:p>
    <w:p w:rsidR="6063C24C" w:rsidRPr="00E7780E" w:rsidP="7B1A5C4A">
      <w:r w:rsidRPr="00E7780E">
        <w:t xml:space="preserve">NHS England </w:t>
      </w:r>
      <w:r w:rsidRPr="00E7780E" w:rsidR="0002672C">
        <w:t>is</w:t>
      </w:r>
      <w:r w:rsidRPr="00E7780E" w:rsidR="12E0BCD5">
        <w:t xml:space="preserve"> engaging with </w:t>
      </w:r>
      <w:r w:rsidRPr="00E7780E" w:rsidR="1E26AE25">
        <w:t xml:space="preserve">NHS </w:t>
      </w:r>
      <w:r w:rsidRPr="00E7780E" w:rsidR="12E0BCD5">
        <w:t xml:space="preserve">contracting authorities, suppliers and </w:t>
      </w:r>
      <w:r w:rsidRPr="00E7780E" w:rsidR="299B548C">
        <w:t>other key stakeholders</w:t>
      </w:r>
      <w:r w:rsidRPr="00E7780E" w:rsidR="770625E5">
        <w:t xml:space="preserve"> to </w:t>
      </w:r>
      <w:r w:rsidRPr="00E7780E" w:rsidR="1327DE02">
        <w:t xml:space="preserve">identify areas of best practice </w:t>
      </w:r>
      <w:r w:rsidRPr="00E7780E" w:rsidR="3C3F00B8">
        <w:t>and</w:t>
      </w:r>
      <w:r w:rsidRPr="00E7780E" w:rsidR="62088100">
        <w:t xml:space="preserve"> develop a template for the future state of homecare medicines services procurement </w:t>
      </w:r>
      <w:r w:rsidRPr="00E7780E" w:rsidR="27807954">
        <w:t>optimally utilising</w:t>
      </w:r>
      <w:r w:rsidRPr="00E7780E" w:rsidR="4FE01BF8">
        <w:t xml:space="preserve"> national, regional and loca</w:t>
      </w:r>
      <w:r w:rsidRPr="00E7780E" w:rsidR="4957F0FF">
        <w:t xml:space="preserve">l </w:t>
      </w:r>
      <w:r w:rsidRPr="00E7780E" w:rsidR="4FD5CA9F">
        <w:t>expertise</w:t>
      </w:r>
      <w:r w:rsidRPr="00E7780E" w:rsidR="4FE01BF8">
        <w:t xml:space="preserve"> </w:t>
      </w:r>
      <w:r w:rsidRPr="00E7780E" w:rsidR="4D2D8F41">
        <w:t xml:space="preserve">to </w:t>
      </w:r>
      <w:r w:rsidRPr="00E7780E" w:rsidR="0DA9C63E">
        <w:t>reduce</w:t>
      </w:r>
      <w:r w:rsidRPr="00E7780E" w:rsidR="1B58BC5E">
        <w:t xml:space="preserve"> duplication and</w:t>
      </w:r>
      <w:r w:rsidRPr="00E7780E" w:rsidR="0DA9C63E">
        <w:t xml:space="preserve"> unwarranted </w:t>
      </w:r>
      <w:r w:rsidRPr="00E7780E" w:rsidR="3D7D560C">
        <w:t xml:space="preserve">variation whilst empowering </w:t>
      </w:r>
      <w:r w:rsidRPr="00E7780E" w:rsidR="3D7D560C">
        <w:t xml:space="preserve">regional and local teams to meet the </w:t>
      </w:r>
      <w:r w:rsidRPr="00E7780E" w:rsidR="73854F03">
        <w:t xml:space="preserve">specific </w:t>
      </w:r>
      <w:r w:rsidRPr="00E7780E" w:rsidR="3D7D560C">
        <w:t>needs of patie</w:t>
      </w:r>
      <w:r w:rsidRPr="00E7780E" w:rsidR="77853CB0">
        <w:t>nts within their communities.</w:t>
      </w:r>
    </w:p>
    <w:p w:rsidR="13B8AD2F" w:rsidRPr="00E7780E" w:rsidP="7B1A5C4A">
      <w:r w:rsidRPr="00E7780E">
        <w:t xml:space="preserve">NHS England </w:t>
      </w:r>
      <w:r w:rsidRPr="00E7780E" w:rsidR="0002672C">
        <w:t>is</w:t>
      </w:r>
      <w:r w:rsidRPr="00E7780E">
        <w:t xml:space="preserve"> </w:t>
      </w:r>
      <w:r w:rsidRPr="00E7780E" w:rsidR="557FDC57">
        <w:t xml:space="preserve">also </w:t>
      </w:r>
      <w:r w:rsidRPr="00E7780E">
        <w:t>working closely with A</w:t>
      </w:r>
      <w:r w:rsidRPr="00E7780E" w:rsidR="52ABFA0E">
        <w:t xml:space="preserve">ssociation </w:t>
      </w:r>
      <w:r w:rsidRPr="00E7780E">
        <w:t>B</w:t>
      </w:r>
      <w:r w:rsidRPr="00E7780E" w:rsidR="3810E46C">
        <w:t>riti</w:t>
      </w:r>
      <w:r w:rsidRPr="00E7780E" w:rsidR="77F9BCC4">
        <w:t>s</w:t>
      </w:r>
      <w:r w:rsidRPr="00E7780E" w:rsidR="3810E46C">
        <w:t xml:space="preserve">h </w:t>
      </w:r>
      <w:r w:rsidRPr="00E7780E">
        <w:t>P</w:t>
      </w:r>
      <w:r w:rsidRPr="00E7780E" w:rsidR="1BE68012">
        <w:t xml:space="preserve">harmaceutical </w:t>
      </w:r>
      <w:r w:rsidRPr="00E7780E">
        <w:t>I</w:t>
      </w:r>
      <w:r w:rsidRPr="00E7780E" w:rsidR="52A86879">
        <w:t>ndustry</w:t>
      </w:r>
      <w:r w:rsidRPr="00E7780E">
        <w:t xml:space="preserve"> and Medicines UK on t</w:t>
      </w:r>
      <w:r w:rsidRPr="00E7780E" w:rsidR="77853CB0">
        <w:t>he role of marketing authorisation hold</w:t>
      </w:r>
      <w:r w:rsidRPr="00E7780E" w:rsidR="4D812FEB">
        <w:t xml:space="preserve">ers </w:t>
      </w:r>
      <w:r w:rsidRPr="00E7780E" w:rsidR="1CC6B155">
        <w:t>(MAH) and MAH funded homecare medicines services with specific focu</w:t>
      </w:r>
      <w:r w:rsidRPr="00E7780E" w:rsidR="5BA31D90">
        <w:t>s on improv</w:t>
      </w:r>
      <w:r w:rsidRPr="00E7780E" w:rsidR="21607406">
        <w:t>ing</w:t>
      </w:r>
      <w:r w:rsidRPr="00E7780E" w:rsidR="5BA31D90">
        <w:t xml:space="preserve"> patient </w:t>
      </w:r>
      <w:r w:rsidRPr="00E7780E" w:rsidR="54D57DBF">
        <w:t xml:space="preserve">and clinician </w:t>
      </w:r>
      <w:r w:rsidRPr="00E7780E" w:rsidR="5BA31D90">
        <w:t>cho</w:t>
      </w:r>
      <w:r w:rsidRPr="00E7780E" w:rsidR="659D8EEE">
        <w:t>ice</w:t>
      </w:r>
      <w:r w:rsidR="00F25A21">
        <w:t>.</w:t>
      </w:r>
      <w:r w:rsidRPr="00E7780E" w:rsidR="0CE4E38C">
        <w:t xml:space="preserve"> </w:t>
      </w:r>
    </w:p>
    <w:p w:rsidR="00E65D33" w:rsidP="00C95466">
      <w:r>
        <w:t xml:space="preserve">NHS England </w:t>
      </w:r>
      <w:r w:rsidR="0002672C">
        <w:t>is</w:t>
      </w:r>
      <w:r>
        <w:t xml:space="preserve"> working with procurement professionals, contracting authorities, and industry </w:t>
      </w:r>
      <w:r w:rsidR="000F75B5">
        <w:t>to</w:t>
      </w:r>
      <w:r>
        <w:t xml:space="preserve"> strengthen the homecare medicines service and support the </w:t>
      </w:r>
      <w:r w:rsidR="00E7780E">
        <w:t>10</w:t>
      </w:r>
      <w:r w:rsidR="00282B2C">
        <w:t xml:space="preserve"> Y</w:t>
      </w:r>
      <w:r w:rsidR="00E7780E">
        <w:t>ear</w:t>
      </w:r>
      <w:r>
        <w:t xml:space="preserve"> </w:t>
      </w:r>
      <w:r w:rsidR="00282B2C">
        <w:t>H</w:t>
      </w:r>
      <w:r>
        <w:t xml:space="preserve">ealth </w:t>
      </w:r>
      <w:r w:rsidR="00282B2C">
        <w:t>P</w:t>
      </w:r>
      <w:r>
        <w:t xml:space="preserve">lan </w:t>
      </w:r>
      <w:r w:rsidR="00F0602E">
        <w:t>goal to reduce the burden on hospitals</w:t>
      </w:r>
      <w:r w:rsidR="009F332B">
        <w:t xml:space="preserve"> </w:t>
      </w:r>
      <w:r w:rsidR="00876C41">
        <w:t>and</w:t>
      </w:r>
      <w:r>
        <w:t xml:space="preserve"> deliver care closer to</w:t>
      </w:r>
      <w:r w:rsidR="00280852">
        <w:t>,</w:t>
      </w:r>
      <w:r>
        <w:t xml:space="preserve"> and at home. </w:t>
      </w:r>
      <w:r w:rsidR="00185D85">
        <w:t xml:space="preserve">It is our ambition to utilise the best suited medicines supply model and identify further innovative models of care, to deliver on the </w:t>
      </w:r>
      <w:r w:rsidR="013128F6">
        <w:t>g</w:t>
      </w:r>
      <w:r w:rsidR="00185D85">
        <w:t>overnment’s objective to support more strategic, value-based purchasing decisions.</w:t>
      </w:r>
    </w:p>
    <w:p w:rsidR="00CF30AC" w:rsidP="00C95466">
      <w:pPr>
        <w:rPr>
          <w:b/>
          <w:bCs/>
          <w:u w:val="single"/>
        </w:rPr>
      </w:pPr>
    </w:p>
    <w:p w:rsidR="00DC445E" w:rsidP="00C95466">
      <w:pPr>
        <w:rPr>
          <w:b/>
          <w:bCs/>
          <w:u w:val="single"/>
        </w:rPr>
      </w:pPr>
      <w:r w:rsidRPr="00C95466">
        <w:rPr>
          <w:b/>
          <w:bCs/>
          <w:u w:val="single"/>
        </w:rPr>
        <w:t>Recommendation 7</w:t>
      </w:r>
    </w:p>
    <w:p w:rsidR="009027E5" w:rsidP="00C95466">
      <w:pPr>
        <w:rPr>
          <w:b/>
          <w:bCs/>
        </w:rPr>
      </w:pPr>
      <w:r w:rsidRPr="00C95466">
        <w:rPr>
          <w:b/>
          <w:bCs/>
        </w:rPr>
        <w:t>The Secretary of State should review the regulatory regime for</w:t>
      </w:r>
      <w:r w:rsidR="001C676C">
        <w:rPr>
          <w:b/>
          <w:bCs/>
        </w:rPr>
        <w:t xml:space="preserve"> </w:t>
      </w:r>
      <w:r w:rsidRPr="00C95466">
        <w:rPr>
          <w:b/>
          <w:bCs/>
        </w:rPr>
        <w:t>homecare medicines services, considering in particular the lack o</w:t>
      </w:r>
      <w:r w:rsidR="001C676C">
        <w:rPr>
          <w:b/>
          <w:bCs/>
        </w:rPr>
        <w:t xml:space="preserve">f </w:t>
      </w:r>
      <w:r w:rsidRPr="00C95466">
        <w:rPr>
          <w:b/>
          <w:bCs/>
        </w:rPr>
        <w:t>enforcement action taken by the CQC against homecare providers where avoidable harm</w:t>
      </w:r>
      <w:r w:rsidR="001C676C">
        <w:rPr>
          <w:b/>
          <w:bCs/>
        </w:rPr>
        <w:t xml:space="preserve"> </w:t>
      </w:r>
      <w:r w:rsidRPr="00C95466">
        <w:rPr>
          <w:b/>
          <w:bCs/>
        </w:rPr>
        <w:t xml:space="preserve">has occurred. The </w:t>
      </w:r>
      <w:r w:rsidRPr="00C95466" w:rsidR="001C676C">
        <w:rPr>
          <w:b/>
          <w:bCs/>
        </w:rPr>
        <w:t>review should</w:t>
      </w:r>
      <w:r w:rsidRPr="00C95466">
        <w:rPr>
          <w:b/>
          <w:bCs/>
        </w:rPr>
        <w:t xml:space="preserve"> identify a lead regulator with the skill and breadth necessary to take necessary </w:t>
      </w:r>
      <w:r w:rsidRPr="00C95466" w:rsidR="001C676C">
        <w:rPr>
          <w:b/>
          <w:bCs/>
        </w:rPr>
        <w:t>action against</w:t>
      </w:r>
      <w:r w:rsidRPr="00C95466">
        <w:rPr>
          <w:b/>
          <w:bCs/>
        </w:rPr>
        <w:t xml:space="preserve"> providers which are under-performing. These</w:t>
      </w:r>
      <w:r w:rsidR="001C676C">
        <w:rPr>
          <w:b/>
          <w:bCs/>
        </w:rPr>
        <w:t xml:space="preserve"> </w:t>
      </w:r>
      <w:r w:rsidRPr="00C95466">
        <w:rPr>
          <w:b/>
          <w:bCs/>
        </w:rPr>
        <w:t>urgent actions</w:t>
      </w:r>
      <w:r w:rsidR="001C676C">
        <w:rPr>
          <w:b/>
          <w:bCs/>
        </w:rPr>
        <w:t xml:space="preserve"> </w:t>
      </w:r>
      <w:r w:rsidRPr="00C95466">
        <w:rPr>
          <w:b/>
          <w:bCs/>
        </w:rPr>
        <w:t>should also be reflected in the longer-term review of healthcare regulations.</w:t>
      </w:r>
      <w:r w:rsidR="001C676C">
        <w:rPr>
          <w:b/>
          <w:bCs/>
        </w:rPr>
        <w:t xml:space="preserve"> </w:t>
      </w:r>
      <w:r w:rsidRPr="00C95466">
        <w:rPr>
          <w:b/>
          <w:bCs/>
        </w:rPr>
        <w:t>[Para 85]</w:t>
      </w:r>
    </w:p>
    <w:p w:rsidR="007C48D6" w:rsidRPr="00527D4A" w:rsidP="007C48D6">
      <w:r w:rsidRPr="00527D4A">
        <w:t xml:space="preserve">Since our previous response, the </w:t>
      </w:r>
      <w:r w:rsidR="00C11A6C">
        <w:t>D</w:t>
      </w:r>
      <w:r w:rsidRPr="00527D4A">
        <w:t xml:space="preserve">epartment has engaged with the three key regulators of homecare medicines services to better understand the complexity of the regulatory landscape. Each regulator holds critical roles and responsibilities to ensure the appropriate regulation of homecare services: The </w:t>
      </w:r>
      <w:r w:rsidRPr="0046340B" w:rsidR="0046340B">
        <w:t>Medicines &amp; Healthcare products</w:t>
      </w:r>
      <w:r w:rsidRPr="0046340B" w:rsidR="0046340B">
        <w:br/>
        <w:t xml:space="preserve">Regulatory Agency </w:t>
      </w:r>
      <w:r w:rsidR="0046340B">
        <w:t>(</w:t>
      </w:r>
      <w:r w:rsidRPr="00527D4A">
        <w:t>MHRA</w:t>
      </w:r>
      <w:r w:rsidR="0046340B">
        <w:t>)</w:t>
      </w:r>
      <w:r w:rsidRPr="00527D4A">
        <w:t xml:space="preserve"> oversees homecare medicine facilities holding manufacturing or wholesale distribution licences, while the General Pharmaceutical Council (GPhC) and the Care Quality Commission (CQC) regulate homecare services from a patient safety and experience perspective. The GPhC oversee the regulation of pharmacy services and the CQC regulates providers registered for relevant regulated activities under their </w:t>
      </w:r>
      <w:r>
        <w:fldChar w:fldCharType="begin"/>
      </w:r>
      <w:r>
        <w:instrText xml:space="preserve"> HYPERLINK "https://www.cqc.org.uk/guidance-regulation/providers/registration/scope-registration/regulated-activities/personal-care" </w:instrText>
      </w:r>
      <w:r>
        <w:fldChar w:fldCharType="separate"/>
      </w:r>
      <w:r w:rsidRPr="00D30C9B">
        <w:rPr>
          <w:rStyle w:val="Hyperlink"/>
        </w:rPr>
        <w:t>scope of registration</w:t>
      </w:r>
      <w:r>
        <w:fldChar w:fldCharType="end"/>
      </w:r>
      <w:r w:rsidRPr="00D30C9B" w:rsidR="00462514">
        <w:t>.</w:t>
      </w:r>
    </w:p>
    <w:p w:rsidR="007C48D6" w:rsidP="007C48D6">
      <w:r w:rsidRPr="00527D4A">
        <w:t>It is important that each function is regulated by the body with the appropriate expertise. The GPhC and CQC work effectively together across sectors beyond homecare, issuing</w:t>
      </w:r>
      <w:r w:rsidRPr="00207E52">
        <w:t xml:space="preserve"> joint guidance and overseeing community, hospital, and online pharmacy services.</w:t>
      </w:r>
      <w:r>
        <w:t xml:space="preserve"> GPhC have assured us that they have taken regulatory action against homecare providers where necessary, and we will continue to support them to do so. </w:t>
      </w:r>
    </w:p>
    <w:p w:rsidR="007C48D6" w:rsidRPr="00B16F30" w:rsidP="007C48D6">
      <w:pPr>
        <w:rPr>
          <w:b/>
          <w:bCs/>
        </w:rPr>
      </w:pPr>
      <w:r>
        <w:t xml:space="preserve">The attention and scrutiny that your report has drawn to the issue of homecare medicine has rightly initiated closer collaboration between </w:t>
      </w:r>
      <w:r w:rsidR="004111B0">
        <w:t xml:space="preserve">the appropriate </w:t>
      </w:r>
      <w:r>
        <w:t xml:space="preserve">regulators. </w:t>
      </w:r>
    </w:p>
    <w:p w:rsidR="007C48D6" w:rsidP="007C48D6">
      <w:r>
        <w:t>Moreover, since our last response to the Committee was published, there have been many changes in CQC, including a change in organisational and regulatory priorities as they have continued to respond to Dr Penny Dash’s review into their operational effectiveness</w:t>
      </w:r>
      <w:r w:rsidRPr="002449F7">
        <w:t xml:space="preserve"> and Prof</w:t>
      </w:r>
      <w:r>
        <w:t>essor</w:t>
      </w:r>
      <w:r w:rsidRPr="002449F7">
        <w:t xml:space="preserve"> Sir Mike Richards review into the single assessment framework</w:t>
      </w:r>
      <w:r>
        <w:t>.</w:t>
      </w:r>
      <w:r w:rsidRPr="002449F7">
        <w:t xml:space="preserve"> </w:t>
      </w:r>
      <w:r>
        <w:t>Through their work responding to the recommendations of these reviews, the CQC is continuing to prioritise working collaboratively with other regulators, while also making changes to their wider ways of working and regulatory frameworks for the services registered with them.</w:t>
      </w:r>
      <w:r w:rsidRPr="00061A02">
        <w:t xml:space="preserve"> </w:t>
      </w:r>
    </w:p>
    <w:p w:rsidR="00CF30AC" w:rsidP="00C95466">
      <w:pPr>
        <w:rPr>
          <w:b/>
          <w:bCs/>
          <w:u w:val="single"/>
        </w:rPr>
      </w:pPr>
    </w:p>
    <w:p w:rsidR="00DC445E" w:rsidP="00C95466">
      <w:pPr>
        <w:rPr>
          <w:b/>
          <w:bCs/>
          <w:u w:val="single"/>
        </w:rPr>
      </w:pPr>
      <w:r w:rsidRPr="00C95466">
        <w:rPr>
          <w:b/>
          <w:bCs/>
          <w:u w:val="single"/>
        </w:rPr>
        <w:t>Recommendation 8</w:t>
      </w:r>
    </w:p>
    <w:p w:rsidR="00C95466" w:rsidRPr="00C95466" w:rsidP="00C95466">
      <w:r w:rsidRPr="00C95466">
        <w:rPr>
          <w:b/>
          <w:bCs/>
        </w:rPr>
        <w:t>The Secretary of State for Health and</w:t>
      </w:r>
      <w:r w:rsidR="001C676C">
        <w:rPr>
          <w:b/>
          <w:bCs/>
        </w:rPr>
        <w:t xml:space="preserve"> </w:t>
      </w:r>
      <w:r w:rsidRPr="00C95466">
        <w:rPr>
          <w:b/>
          <w:bCs/>
        </w:rPr>
        <w:t>Social Care should instruct the CQC to conduct a thematic review of homecare medicines services.</w:t>
      </w:r>
      <w:r w:rsidR="001C676C">
        <w:rPr>
          <w:b/>
          <w:bCs/>
        </w:rPr>
        <w:t xml:space="preserve"> </w:t>
      </w:r>
      <w:r w:rsidRPr="00C95466">
        <w:rPr>
          <w:b/>
          <w:bCs/>
        </w:rPr>
        <w:t>[Para 86]</w:t>
      </w:r>
    </w:p>
    <w:p w:rsidR="002F6ABE" w:rsidP="002F6ABE">
      <w:r w:rsidRPr="00FA3ABC">
        <w:t>Significant progress has been made by regulators to strengthen the oversight of homecare medicines</w:t>
      </w:r>
      <w:r>
        <w:t xml:space="preserve">. </w:t>
      </w:r>
    </w:p>
    <w:p w:rsidR="002F6ABE" w:rsidP="002F6ABE">
      <w:r>
        <w:t xml:space="preserve">As outlined in the response to recommendation 7, </w:t>
      </w:r>
      <w:r w:rsidRPr="006A239D">
        <w:t xml:space="preserve">CQC </w:t>
      </w:r>
      <w:r>
        <w:t>are</w:t>
      </w:r>
      <w:r w:rsidRPr="002C4C4D">
        <w:t xml:space="preserve"> strengthen</w:t>
      </w:r>
      <w:r>
        <w:t>ing</w:t>
      </w:r>
      <w:r w:rsidRPr="002C4C4D">
        <w:t xml:space="preserve"> the organisation’s operational effectiveness and regulatory oversight, including improving inspection processes and increasing transparency in reporting.</w:t>
      </w:r>
      <w:r w:rsidRPr="006A239D">
        <w:t xml:space="preserve"> </w:t>
      </w:r>
      <w:r w:rsidRPr="0064236C">
        <w:t xml:space="preserve">This </w:t>
      </w:r>
      <w:r>
        <w:t>seeks</w:t>
      </w:r>
      <w:r w:rsidRPr="0064236C">
        <w:t xml:space="preserve"> to rebuild trust in the regulator and deliver greater consistency across sectors.</w:t>
      </w:r>
      <w:r>
        <w:t xml:space="preserve"> </w:t>
      </w:r>
    </w:p>
    <w:p w:rsidR="002F6ABE" w:rsidP="002F6ABE">
      <w:r w:rsidRPr="00527D4A">
        <w:t>In April this year</w:t>
      </w:r>
      <w:r w:rsidRPr="002F6ABE">
        <w:t>, GPhC</w:t>
      </w:r>
      <w:r>
        <w:t xml:space="preserve"> published their thematic review into homecare services</w:t>
      </w:r>
      <w:r>
        <w:rPr>
          <w:rStyle w:val="FootnoteReference"/>
        </w:rPr>
        <w:footnoteReference w:id="2"/>
      </w:r>
      <w:r>
        <w:t xml:space="preserve"> in response to the concerns raised in the Committee</w:t>
      </w:r>
      <w:r w:rsidR="006349EC">
        <w:t>’</w:t>
      </w:r>
      <w:r>
        <w:t xml:space="preserve">s report. The review found no significant concerns with the safe provision of homecare medicines services from registered pharmacies, and that pharmacies inspected met all the GPhC standards; providing assurance that services are being delivered safely and effectively. However, the review did identify areas where improvements could be made, which we, and sector </w:t>
      </w:r>
      <w:r w:rsidR="001434A8">
        <w:t>partners are</w:t>
      </w:r>
      <w:r>
        <w:t xml:space="preserve"> actively considering and addressing. </w:t>
      </w:r>
    </w:p>
    <w:p w:rsidR="002F6ABE" w:rsidP="002F6ABE">
      <w:r>
        <w:t xml:space="preserve">To test the quality of the services provided in the homecare sector and gather insights on progress responding to the GPhC’s recommendations, CQC are actively </w:t>
      </w:r>
      <w:r w:rsidR="001F2549">
        <w:t>considering the</w:t>
      </w:r>
      <w:r>
        <w:t xml:space="preserve"> inclusion of homecare in planned conversations with the Chief Pharmacists of NHS trusts with patients in receipt of homecare services over 2026 to maintain momentum and drive improvements. </w:t>
      </w:r>
    </w:p>
    <w:p w:rsidR="002F6ABE" w:rsidP="002F6ABE">
      <w:r>
        <w:t>Considering</w:t>
      </w:r>
      <w:r>
        <w:t xml:space="preserve"> this work, a thematic review of homecare medicines services is not deemed necessary. The Department will continue to work with our system partners to </w:t>
      </w:r>
      <w:r>
        <w:t>monitor the impact of work undertaken to improve homecare medicines services.</w:t>
      </w:r>
      <w:r w:rsidR="007F7108">
        <w:t xml:space="preserve"> </w:t>
      </w:r>
      <w:r w:rsidR="0052140A">
        <w:t>Additionally,</w:t>
      </w:r>
      <w:r>
        <w:t xml:space="preserve"> a</w:t>
      </w:r>
      <w:r w:rsidR="007F7108">
        <w:t xml:space="preserve">s noted under recommendation 13, NHS England are undertaking </w:t>
      </w:r>
      <w:r w:rsidR="3EDEDACE">
        <w:t xml:space="preserve">a </w:t>
      </w:r>
      <w:r w:rsidR="007F7108">
        <w:t xml:space="preserve">review of governance within the homecare sector to </w:t>
      </w:r>
      <w:r w:rsidR="0052140A">
        <w:t>better connect the accountabilities across the system.</w:t>
      </w:r>
    </w:p>
    <w:p w:rsidR="00CF30AC" w:rsidP="00C95466">
      <w:pPr>
        <w:rPr>
          <w:b/>
          <w:bCs/>
          <w:u w:val="single"/>
        </w:rPr>
      </w:pPr>
    </w:p>
    <w:p w:rsidR="00C95466" w:rsidRPr="00C95466" w:rsidP="00C95466">
      <w:pPr>
        <w:rPr>
          <w:u w:val="single"/>
        </w:rPr>
      </w:pPr>
      <w:r w:rsidRPr="00C95466">
        <w:rPr>
          <w:b/>
          <w:bCs/>
          <w:u w:val="single"/>
        </w:rPr>
        <w:t xml:space="preserve">Recommendation 9 </w:t>
      </w:r>
    </w:p>
    <w:p w:rsidR="00C95466" w:rsidRPr="00C95466" w:rsidP="00C95466">
      <w:r w:rsidRPr="00C95466">
        <w:rPr>
          <w:b/>
          <w:bCs/>
        </w:rPr>
        <w:t xml:space="preserve">As part of a review of homecare medicines services, the Government should work with procurement specialists, the National Audit Office, and the Competition and Markets Authority to identify barriers to competition and effective procurement in the homecare medicines market. They should agree actions to ensure procurement by the NHS or medicines manufacturers achieve value for money. [Para 92] </w:t>
      </w:r>
    </w:p>
    <w:p w:rsidR="00A37D90" w:rsidRPr="00E7780E" w:rsidP="00A37D90">
      <w:r w:rsidRPr="00DA6BCA">
        <w:t xml:space="preserve">As set out under </w:t>
      </w:r>
      <w:r w:rsidRPr="00DA6BCA">
        <w:rPr>
          <w:b/>
          <w:bCs/>
          <w:u w:val="single"/>
        </w:rPr>
        <w:t>Recommendation 6</w:t>
      </w:r>
      <w:r w:rsidRPr="00DA6BCA">
        <w:t xml:space="preserve"> </w:t>
      </w:r>
      <w:r w:rsidRPr="00DA6BCA" w:rsidR="00DA6BCA">
        <w:t>(</w:t>
      </w:r>
      <w:r w:rsidRPr="00DA6BCA">
        <w:t>above</w:t>
      </w:r>
      <w:r w:rsidRPr="00DA6BCA" w:rsidR="00DA6BCA">
        <w:t>)</w:t>
      </w:r>
      <w:r w:rsidRPr="00DA6BCA">
        <w:t xml:space="preserve">, </w:t>
      </w:r>
      <w:r w:rsidRPr="00DA6BCA" w:rsidR="00AF5CD3">
        <w:t xml:space="preserve">the </w:t>
      </w:r>
      <w:r w:rsidRPr="00DA6BCA">
        <w:t>NHS England</w:t>
      </w:r>
      <w:r w:rsidRPr="00DA6BCA" w:rsidR="00AF5CD3">
        <w:t xml:space="preserve"> and </w:t>
      </w:r>
      <w:r w:rsidRPr="00DA6BCA">
        <w:t>Cabinet Office</w:t>
      </w:r>
      <w:r w:rsidRPr="00DA6BCA" w:rsidR="00AF5CD3">
        <w:t xml:space="preserve"> </w:t>
      </w:r>
      <w:r w:rsidRPr="00DA6BCA">
        <w:t xml:space="preserve">spend control process </w:t>
      </w:r>
      <w:r w:rsidRPr="00DA6BCA" w:rsidR="00AF5CD3">
        <w:t xml:space="preserve">for high-value NHS procurements, including those for homecare medicines services, is in place </w:t>
      </w:r>
      <w:r w:rsidRPr="00DA6BCA">
        <w:t>to ensure efficient and effective use of public money within the NHS, promote value for money, support government policy, and improve outcomes for patients.</w:t>
      </w:r>
      <w:r w:rsidRPr="00DA6BCA" w:rsidR="00AF5CD3">
        <w:t xml:space="preserve"> The National Homecare Medicines Committee and its National Supplier Engagement Sub-group maintains strong relationships with suppliers, including SMEs, and NHS contracting authorities to routinely identify and address any barriers to competition and effective procurement.</w:t>
      </w:r>
    </w:p>
    <w:p w:rsidR="00BB7FF4" w:rsidRPr="00730244" w:rsidP="00C95466">
      <w:pPr>
        <w:rPr>
          <w:highlight w:val="yellow"/>
        </w:rPr>
      </w:pPr>
    </w:p>
    <w:p w:rsidR="00C95466" w:rsidRPr="00C95466" w:rsidP="00C95466">
      <w:pPr>
        <w:rPr>
          <w:u w:val="single"/>
        </w:rPr>
      </w:pPr>
      <w:r w:rsidRPr="00C95466">
        <w:rPr>
          <w:b/>
          <w:bCs/>
          <w:u w:val="single"/>
        </w:rPr>
        <w:t xml:space="preserve">Recommendation 11 </w:t>
      </w:r>
    </w:p>
    <w:p w:rsidR="00C95466" w:rsidRPr="00C95466" w:rsidP="00C95466">
      <w:r w:rsidRPr="00C95466">
        <w:rPr>
          <w:b/>
          <w:bCs/>
        </w:rPr>
        <w:t xml:space="preserve">More urgency is required in developing Electronic Prescription Systems for homecare providers to use. These must be developed in collaboration between homecare providers and NHS trusts. (Para 103) </w:t>
      </w:r>
    </w:p>
    <w:p w:rsidR="009027E5" w:rsidP="56529538">
      <w:pPr>
        <w:rPr>
          <w:rFonts w:eastAsiaTheme="minorEastAsia"/>
        </w:rPr>
      </w:pPr>
      <w:r w:rsidRPr="56529538">
        <w:rPr>
          <w:rFonts w:eastAsiaTheme="minorEastAsia"/>
        </w:rPr>
        <w:t xml:space="preserve">Since the last update </w:t>
      </w:r>
      <w:r w:rsidRPr="56529538" w:rsidR="3F0E76FD">
        <w:rPr>
          <w:rFonts w:eastAsiaTheme="minorEastAsia"/>
        </w:rPr>
        <w:t xml:space="preserve">the work </w:t>
      </w:r>
      <w:r w:rsidRPr="56529538" w:rsidR="7BF63161">
        <w:rPr>
          <w:rFonts w:eastAsiaTheme="minorEastAsia"/>
        </w:rPr>
        <w:t>has</w:t>
      </w:r>
      <w:r w:rsidRPr="56529538" w:rsidR="3F0E76FD">
        <w:rPr>
          <w:rFonts w:eastAsiaTheme="minorEastAsia"/>
        </w:rPr>
        <w:t xml:space="preserve"> </w:t>
      </w:r>
      <w:r w:rsidRPr="56529538" w:rsidR="7BF63161">
        <w:rPr>
          <w:rFonts w:eastAsiaTheme="minorEastAsia"/>
        </w:rPr>
        <w:t xml:space="preserve">been split </w:t>
      </w:r>
      <w:r w:rsidRPr="56529538" w:rsidR="3F0E76FD">
        <w:rPr>
          <w:rFonts w:eastAsiaTheme="minorEastAsia"/>
        </w:rPr>
        <w:t>into t</w:t>
      </w:r>
      <w:r w:rsidRPr="56529538" w:rsidR="014F1FA2">
        <w:rPr>
          <w:rFonts w:eastAsiaTheme="minorEastAsia"/>
        </w:rPr>
        <w:t xml:space="preserve">wo </w:t>
      </w:r>
      <w:r w:rsidRPr="56529538" w:rsidR="73393143">
        <w:rPr>
          <w:rFonts w:eastAsiaTheme="minorEastAsia"/>
        </w:rPr>
        <w:t>phas</w:t>
      </w:r>
      <w:r w:rsidRPr="56529538" w:rsidR="014F1FA2">
        <w:rPr>
          <w:rFonts w:eastAsiaTheme="minorEastAsia"/>
        </w:rPr>
        <w:t>es</w:t>
      </w:r>
      <w:r w:rsidRPr="56529538" w:rsidR="3F0E76FD">
        <w:rPr>
          <w:rFonts w:eastAsiaTheme="minorEastAsia"/>
        </w:rPr>
        <w:t>:</w:t>
      </w:r>
    </w:p>
    <w:p w:rsidR="009027E5" w:rsidP="56529538">
      <w:pPr>
        <w:pStyle w:val="ListParagraph"/>
        <w:numPr>
          <w:ilvl w:val="0"/>
          <w:numId w:val="1"/>
        </w:numPr>
        <w:rPr>
          <w:rFonts w:eastAsiaTheme="minorEastAsia"/>
          <w:color w:val="000000" w:themeColor="text1"/>
        </w:rPr>
      </w:pPr>
      <w:r w:rsidRPr="56529538">
        <w:rPr>
          <w:rFonts w:eastAsiaTheme="minorEastAsia"/>
          <w:b/>
          <w:bCs/>
        </w:rPr>
        <w:t>EPS in homecare proof of concept</w:t>
      </w:r>
      <w:r w:rsidRPr="56529538" w:rsidR="018E8BA3">
        <w:rPr>
          <w:rFonts w:eastAsiaTheme="minorEastAsia"/>
          <w:b/>
          <w:bCs/>
        </w:rPr>
        <w:t xml:space="preserve"> (PoC)</w:t>
      </w:r>
      <w:r w:rsidRPr="56529538" w:rsidR="388EF0A4">
        <w:rPr>
          <w:rFonts w:eastAsiaTheme="minorEastAsia"/>
          <w:b/>
          <w:bCs/>
        </w:rPr>
        <w:t>,</w:t>
      </w:r>
      <w:r w:rsidRPr="56529538" w:rsidR="765B85B0">
        <w:rPr>
          <w:rFonts w:eastAsiaTheme="minorEastAsia"/>
          <w:b/>
          <w:bCs/>
        </w:rPr>
        <w:t xml:space="preserve"> </w:t>
      </w:r>
      <w:r w:rsidRPr="56529538" w:rsidR="312BE237">
        <w:rPr>
          <w:rFonts w:eastAsiaTheme="minorEastAsia"/>
          <w:b/>
          <w:bCs/>
        </w:rPr>
        <w:t>t</w:t>
      </w:r>
      <w:r w:rsidRPr="56529538" w:rsidR="0BACD0EB">
        <w:rPr>
          <w:rFonts w:eastAsiaTheme="minorEastAsia"/>
          <w:b/>
          <w:bCs/>
        </w:rPr>
        <w:t>arget</w:t>
      </w:r>
      <w:r w:rsidRPr="56529538">
        <w:rPr>
          <w:rFonts w:eastAsiaTheme="minorEastAsia"/>
          <w:b/>
          <w:bCs/>
        </w:rPr>
        <w:t xml:space="preserve"> go-live</w:t>
      </w:r>
      <w:r w:rsidRPr="56529538" w:rsidR="493F6D24">
        <w:rPr>
          <w:rFonts w:eastAsiaTheme="minorEastAsia"/>
          <w:b/>
          <w:bCs/>
        </w:rPr>
        <w:t xml:space="preserve"> date:</w:t>
      </w:r>
      <w:r w:rsidRPr="56529538">
        <w:rPr>
          <w:rFonts w:eastAsiaTheme="minorEastAsia"/>
          <w:b/>
          <w:bCs/>
        </w:rPr>
        <w:t xml:space="preserve"> August 2025</w:t>
      </w:r>
      <w:r w:rsidRPr="56529538" w:rsidR="2F4F2677">
        <w:rPr>
          <w:rFonts w:eastAsiaTheme="minorEastAsia"/>
        </w:rPr>
        <w:t xml:space="preserve">  </w:t>
      </w:r>
    </w:p>
    <w:p w:rsidR="009027E5" w:rsidP="1D3EE834">
      <w:pPr>
        <w:pStyle w:val="ListParagraph"/>
        <w:spacing w:after="0"/>
        <w:rPr>
          <w:rFonts w:ascii="Aptos" w:eastAsia="Aptos" w:hAnsi="Aptos" w:cs="Aptos"/>
        </w:rPr>
      </w:pPr>
      <w:r w:rsidRPr="046D763D">
        <w:rPr>
          <w:rFonts w:eastAsiaTheme="minorEastAsia"/>
          <w:color w:val="000000" w:themeColor="text1"/>
        </w:rPr>
        <w:t xml:space="preserve"> </w:t>
      </w:r>
      <w:r w:rsidRPr="322A7FA4">
        <w:rPr>
          <w:rFonts w:ascii="Aptos" w:eastAsia="Aptos" w:hAnsi="Aptos" w:cs="Aptos"/>
        </w:rPr>
        <w:t xml:space="preserve">The PoC phase is now live </w:t>
      </w:r>
      <w:r w:rsidRPr="59DBB7E4">
        <w:rPr>
          <w:rFonts w:ascii="Aptos" w:eastAsia="Aptos" w:hAnsi="Aptos" w:cs="Aptos"/>
        </w:rPr>
        <w:t>(</w:t>
      </w:r>
      <w:r w:rsidRPr="322A7FA4">
        <w:rPr>
          <w:rFonts w:ascii="Aptos" w:eastAsia="Aptos" w:hAnsi="Aptos" w:cs="Aptos"/>
        </w:rPr>
        <w:t>as of August 2025</w:t>
      </w:r>
      <w:r w:rsidRPr="595F6FD8">
        <w:rPr>
          <w:rFonts w:ascii="Aptos" w:eastAsia="Aptos" w:hAnsi="Aptos" w:cs="Aptos"/>
        </w:rPr>
        <w:t>).</w:t>
      </w:r>
      <w:r w:rsidRPr="3FF39B3C">
        <w:rPr>
          <w:rFonts w:ascii="Aptos" w:eastAsia="Aptos" w:hAnsi="Aptos" w:cs="Aptos"/>
        </w:rPr>
        <w:t xml:space="preserve"> </w:t>
      </w:r>
      <w:r w:rsidRPr="1D3EE834" w:rsidR="6A3134F2">
        <w:rPr>
          <w:rFonts w:ascii="Aptos" w:eastAsia="Aptos" w:hAnsi="Aptos" w:cs="Aptos"/>
        </w:rPr>
        <w:t>This phase will test the feasibility of EPS in homecare and support identification of minimum technical developments required to scale beyond PoC</w:t>
      </w:r>
      <w:r w:rsidRPr="7BC064B6" w:rsidR="6A3134F2">
        <w:rPr>
          <w:rFonts w:ascii="Aptos" w:eastAsia="Aptos" w:hAnsi="Aptos" w:cs="Aptos"/>
        </w:rPr>
        <w:t>.</w:t>
      </w:r>
    </w:p>
    <w:p w:rsidR="009027E5" w:rsidP="57A7020F">
      <w:pPr>
        <w:pStyle w:val="ListParagraph"/>
        <w:rPr>
          <w:rFonts w:ascii="Aptos" w:eastAsia="Aptos" w:hAnsi="Aptos" w:cs="Aptos"/>
        </w:rPr>
      </w:pPr>
      <w:r w:rsidRPr="3C7B1D9B">
        <w:rPr>
          <w:rFonts w:ascii="Aptos" w:eastAsia="Aptos" w:hAnsi="Aptos" w:cs="Aptos"/>
        </w:rPr>
        <w:t xml:space="preserve">In August 2025, King’s College Hospital NHS Foundation Trust </w:t>
      </w:r>
      <w:r w:rsidRPr="4E07205A" w:rsidR="2FEBC6C7">
        <w:rPr>
          <w:rFonts w:ascii="Aptos" w:eastAsia="Aptos" w:hAnsi="Aptos" w:cs="Aptos"/>
        </w:rPr>
        <w:t>became</w:t>
      </w:r>
      <w:r w:rsidRPr="3C7B1D9B">
        <w:rPr>
          <w:rFonts w:ascii="Aptos" w:eastAsia="Aptos" w:hAnsi="Aptos" w:cs="Aptos"/>
        </w:rPr>
        <w:t xml:space="preserve"> the first NHS Trust to send a homecare prescription electronically using </w:t>
      </w:r>
      <w:r w:rsidRPr="643F3FEE">
        <w:rPr>
          <w:rFonts w:ascii="Aptos" w:eastAsia="Aptos" w:hAnsi="Aptos" w:cs="Aptos"/>
        </w:rPr>
        <w:t>EPS via CLEO Systems.</w:t>
      </w:r>
      <w:r w:rsidRPr="77582236">
        <w:rPr>
          <w:rFonts w:ascii="Aptos" w:eastAsia="Aptos" w:hAnsi="Aptos" w:cs="Aptos"/>
        </w:rPr>
        <w:t xml:space="preserve"> This</w:t>
      </w:r>
      <w:r w:rsidRPr="3C7B1D9B">
        <w:rPr>
          <w:rFonts w:ascii="Aptos" w:eastAsia="Aptos" w:hAnsi="Aptos" w:cs="Aptos"/>
        </w:rPr>
        <w:t xml:space="preserve"> marks a major milestone in improving how we manage medicines for patients receiving care at home, moving away from paper-based systems and towards more efficient and safer digital workflows.</w:t>
      </w:r>
      <w:r w:rsidRPr="4DA00EAF">
        <w:rPr>
          <w:rFonts w:ascii="Aptos" w:eastAsia="Aptos" w:hAnsi="Aptos" w:cs="Aptos"/>
        </w:rPr>
        <w:t xml:space="preserve"> </w:t>
      </w:r>
      <w:r w:rsidRPr="25F1C980">
        <w:rPr>
          <w:rFonts w:ascii="Aptos" w:eastAsia="Aptos" w:hAnsi="Aptos" w:cs="Aptos"/>
        </w:rPr>
        <w:t xml:space="preserve">The </w:t>
      </w:r>
      <w:r w:rsidRPr="37DDD593" w:rsidR="09923EBE">
        <w:rPr>
          <w:rFonts w:ascii="Aptos" w:eastAsia="Aptos" w:hAnsi="Aptos" w:cs="Aptos"/>
        </w:rPr>
        <w:t>PoC</w:t>
      </w:r>
      <w:r w:rsidRPr="3C7B1D9B">
        <w:rPr>
          <w:rFonts w:ascii="Aptos" w:eastAsia="Aptos" w:hAnsi="Aptos" w:cs="Aptos"/>
        </w:rPr>
        <w:t xml:space="preserve"> was designed and delivered in partnership between King’s College Hospital NHS Foundation Trust, NHS England, CLEO Systems, Clanwilliam Health and the homecare provider, </w:t>
      </w:r>
      <w:r w:rsidRPr="3C7B1D9B">
        <w:rPr>
          <w:rFonts w:ascii="Aptos" w:eastAsia="Aptos" w:hAnsi="Aptos" w:cs="Aptos"/>
        </w:rPr>
        <w:t>Healthnet</w:t>
      </w:r>
      <w:r w:rsidRPr="4182FBC9">
        <w:rPr>
          <w:rFonts w:ascii="Aptos" w:eastAsia="Aptos" w:hAnsi="Aptos" w:cs="Aptos"/>
        </w:rPr>
        <w:t>.</w:t>
      </w:r>
      <w:r w:rsidRPr="57A7020F">
        <w:rPr>
          <w:rFonts w:ascii="Aptos" w:eastAsia="Aptos" w:hAnsi="Aptos" w:cs="Aptos"/>
        </w:rPr>
        <w:t xml:space="preserve"> </w:t>
      </w:r>
      <w:r w:rsidRPr="3C7B1D9B">
        <w:rPr>
          <w:rFonts w:ascii="Aptos" w:eastAsia="Aptos" w:hAnsi="Aptos" w:cs="Aptos"/>
        </w:rPr>
        <w:t>This pilot will help inform the future of digital prescribing in homecare supporting better outcomes for both patients and the wider health system.</w:t>
      </w:r>
    </w:p>
    <w:p w:rsidR="009027E5" w:rsidP="56529538">
      <w:pPr>
        <w:pStyle w:val="ListParagraph"/>
        <w:numPr>
          <w:ilvl w:val="0"/>
          <w:numId w:val="1"/>
        </w:numPr>
        <w:rPr>
          <w:rFonts w:eastAsiaTheme="minorEastAsia"/>
          <w:color w:val="000000" w:themeColor="text1"/>
        </w:rPr>
      </w:pPr>
      <w:r w:rsidRPr="56529538">
        <w:rPr>
          <w:rFonts w:eastAsiaTheme="minorEastAsia"/>
          <w:b/>
          <w:bCs/>
        </w:rPr>
        <w:t xml:space="preserve">EPS </w:t>
      </w:r>
      <w:r w:rsidRPr="56529538" w:rsidR="417B799C">
        <w:rPr>
          <w:rFonts w:eastAsiaTheme="minorEastAsia"/>
          <w:b/>
          <w:bCs/>
        </w:rPr>
        <w:t xml:space="preserve">in homecare </w:t>
      </w:r>
      <w:r w:rsidRPr="56529538" w:rsidR="4825D6B9">
        <w:rPr>
          <w:rFonts w:eastAsiaTheme="minorEastAsia"/>
          <w:b/>
          <w:bCs/>
        </w:rPr>
        <w:t>scalability p</w:t>
      </w:r>
      <w:r w:rsidRPr="56529538" w:rsidR="3B164F29">
        <w:rPr>
          <w:rFonts w:eastAsiaTheme="minorEastAsia"/>
          <w:b/>
          <w:bCs/>
        </w:rPr>
        <w:t>lanning</w:t>
      </w:r>
      <w:r w:rsidRPr="56529538">
        <w:rPr>
          <w:rFonts w:eastAsiaTheme="minorEastAsia"/>
        </w:rPr>
        <w:t xml:space="preserve"> </w:t>
      </w:r>
      <w:r w:rsidRPr="56529538" w:rsidR="71824F4F">
        <w:rPr>
          <w:rFonts w:eastAsiaTheme="minorEastAsia"/>
        </w:rPr>
        <w:t xml:space="preserve"> </w:t>
      </w:r>
    </w:p>
    <w:p w:rsidR="009027E5" w:rsidP="56529538">
      <w:pPr>
        <w:pStyle w:val="ListParagraph"/>
        <w:rPr>
          <w:rFonts w:eastAsiaTheme="minorEastAsia"/>
          <w:color w:val="000000" w:themeColor="text1"/>
        </w:rPr>
      </w:pPr>
      <w:r w:rsidRPr="56529538">
        <w:rPr>
          <w:rFonts w:eastAsiaTheme="minorEastAsia"/>
        </w:rPr>
        <w:t>Subject to the outcomes of the PoC, it is anticipated that a further 12 - 24 months of technical development and alignment of non-technical enablers will be required to prepare for a programme of EPS implementation across homecare services</w:t>
      </w:r>
      <w:r w:rsidRPr="56529538" w:rsidR="6009097C">
        <w:rPr>
          <w:rFonts w:eastAsiaTheme="minorEastAsia"/>
        </w:rPr>
        <w:t>.</w:t>
      </w:r>
      <w:r w:rsidRPr="009B00DC" w:rsidR="009B00DC">
        <w:t xml:space="preserve"> </w:t>
      </w:r>
      <w:r w:rsidR="009B00DC">
        <w:rPr>
          <w:rFonts w:eastAsiaTheme="minorEastAsia"/>
        </w:rPr>
        <w:t xml:space="preserve">An </w:t>
      </w:r>
      <w:r w:rsidRPr="009B00DC" w:rsidR="009B00DC">
        <w:rPr>
          <w:rFonts w:eastAsiaTheme="minorEastAsia"/>
        </w:rPr>
        <w:t xml:space="preserve">electronic </w:t>
      </w:r>
      <w:r w:rsidR="009B00DC">
        <w:rPr>
          <w:rFonts w:eastAsiaTheme="minorEastAsia"/>
        </w:rPr>
        <w:t>prescribing</w:t>
      </w:r>
      <w:r w:rsidRPr="009B00DC" w:rsidR="009B00DC">
        <w:rPr>
          <w:rFonts w:eastAsiaTheme="minorEastAsia"/>
        </w:rPr>
        <w:t xml:space="preserve"> model </w:t>
      </w:r>
      <w:r w:rsidR="009B00DC">
        <w:rPr>
          <w:rFonts w:eastAsiaTheme="minorEastAsia"/>
        </w:rPr>
        <w:t>could represent</w:t>
      </w:r>
      <w:r w:rsidRPr="009B00DC" w:rsidR="009B00DC">
        <w:rPr>
          <w:rFonts w:eastAsiaTheme="minorEastAsia"/>
        </w:rPr>
        <w:t xml:space="preserve"> a critical improvement step for homecare services with roll-out, appropriately steered from pilot outcomes, likely</w:t>
      </w:r>
      <w:r w:rsidR="009B00DC">
        <w:rPr>
          <w:rFonts w:eastAsiaTheme="minorEastAsia"/>
        </w:rPr>
        <w:t xml:space="preserve"> to be</w:t>
      </w:r>
      <w:r w:rsidRPr="009B00DC" w:rsidR="009B00DC">
        <w:rPr>
          <w:rFonts w:eastAsiaTheme="minorEastAsia"/>
        </w:rPr>
        <w:t xml:space="preserve"> highly desirable</w:t>
      </w:r>
      <w:r w:rsidR="009B00DC">
        <w:rPr>
          <w:rFonts w:eastAsiaTheme="minorEastAsia"/>
        </w:rPr>
        <w:t xml:space="preserve"> to prescribers and patients. The </w:t>
      </w:r>
      <w:r w:rsidR="009A1EA1">
        <w:rPr>
          <w:rFonts w:eastAsiaTheme="minorEastAsia"/>
        </w:rPr>
        <w:t>variation in anticipated timelines for technical development</w:t>
      </w:r>
      <w:r w:rsidR="000654D0">
        <w:rPr>
          <w:rFonts w:eastAsiaTheme="minorEastAsia"/>
        </w:rPr>
        <w:t xml:space="preserve">, however, reflects the inherent potential for unforeseen challenges that could demand revision to the </w:t>
      </w:r>
      <w:r w:rsidR="001C17D6">
        <w:rPr>
          <w:rFonts w:eastAsiaTheme="minorEastAsia"/>
        </w:rPr>
        <w:t xml:space="preserve">implementation plans for an EPS and / or the associated timelines. </w:t>
      </w:r>
    </w:p>
    <w:p w:rsidR="009027E5" w:rsidP="56529538">
      <w:pPr>
        <w:rPr>
          <w:rFonts w:ascii="Aptos" w:eastAsia="Aptos" w:hAnsi="Aptos" w:cs="Arial"/>
          <w:color w:val="000000" w:themeColor="text1"/>
        </w:rPr>
      </w:pPr>
      <w:r w:rsidRPr="56529538">
        <w:t>Through this work several l</w:t>
      </w:r>
      <w:r w:rsidRPr="56529538" w:rsidR="7D950EA4">
        <w:t>egal</w:t>
      </w:r>
      <w:r w:rsidR="00515A7B">
        <w:t>,</w:t>
      </w:r>
      <w:r w:rsidRPr="56529538" w:rsidR="7D950EA4">
        <w:t xml:space="preserve"> governance</w:t>
      </w:r>
      <w:r w:rsidR="00515A7B">
        <w:t xml:space="preserve"> and financial</w:t>
      </w:r>
      <w:r w:rsidRPr="56529538" w:rsidR="7D950EA4">
        <w:t xml:space="preserve"> </w:t>
      </w:r>
      <w:r w:rsidRPr="56529538" w:rsidR="07D76120">
        <w:t>considerations</w:t>
      </w:r>
      <w:r w:rsidRPr="56529538" w:rsidR="5A06BF3A">
        <w:t xml:space="preserve"> have</w:t>
      </w:r>
      <w:r w:rsidRPr="56529538" w:rsidR="05823AA7">
        <w:t xml:space="preserve"> already</w:t>
      </w:r>
      <w:r w:rsidRPr="56529538" w:rsidR="5A06BF3A">
        <w:t xml:space="preserve"> been raised and will need to be addressed over the next p</w:t>
      </w:r>
      <w:r w:rsidRPr="56529538" w:rsidR="2BD8AD94">
        <w:t>hase</w:t>
      </w:r>
      <w:r w:rsidRPr="56529538" w:rsidR="5A06BF3A">
        <w:t>.</w:t>
      </w:r>
      <w:r w:rsidRPr="56529538" w:rsidR="07D76120">
        <w:t xml:space="preserve"> These include:</w:t>
      </w:r>
      <w:r w:rsidRPr="56529538" w:rsidR="44B51430">
        <w:t xml:space="preserve"> </w:t>
      </w:r>
    </w:p>
    <w:p w:rsidR="009027E5" w:rsidP="56529538">
      <w:pPr>
        <w:pStyle w:val="ListParagraph"/>
        <w:numPr>
          <w:ilvl w:val="0"/>
          <w:numId w:val="4"/>
        </w:numPr>
        <w:rPr>
          <w:rFonts w:ascii="Aptos" w:eastAsia="Aptos" w:hAnsi="Aptos" w:cs="Arial"/>
          <w:color w:val="000000" w:themeColor="text1"/>
        </w:rPr>
      </w:pPr>
      <w:r w:rsidRPr="56529538">
        <w:rPr>
          <w:rFonts w:ascii="Aptos" w:eastAsia="Aptos" w:hAnsi="Aptos" w:cs="Arial"/>
          <w:color w:val="000000" w:themeColor="text1"/>
        </w:rPr>
        <w:t>Whether “h</w:t>
      </w:r>
      <w:r w:rsidRPr="56529538" w:rsidR="759DB9FF">
        <w:rPr>
          <w:rFonts w:ascii="Aptos" w:eastAsia="Aptos" w:hAnsi="Aptos" w:cs="Arial"/>
          <w:color w:val="000000" w:themeColor="text1"/>
        </w:rPr>
        <w:t>omecare prescriptions</w:t>
      </w:r>
      <w:r w:rsidRPr="56529538" w:rsidR="46360273">
        <w:rPr>
          <w:rFonts w:ascii="Aptos" w:eastAsia="Aptos" w:hAnsi="Aptos" w:cs="Arial"/>
          <w:color w:val="000000" w:themeColor="text1"/>
        </w:rPr>
        <w:t>”</w:t>
      </w:r>
      <w:r w:rsidRPr="56529538" w:rsidR="759DB9FF">
        <w:rPr>
          <w:rFonts w:ascii="Aptos" w:eastAsia="Aptos" w:hAnsi="Aptos" w:cs="Arial"/>
          <w:color w:val="000000" w:themeColor="text1"/>
        </w:rPr>
        <w:t xml:space="preserve"> should be treated as private or NHS prescriptions</w:t>
      </w:r>
    </w:p>
    <w:p w:rsidR="009027E5" w:rsidP="56529538">
      <w:pPr>
        <w:pStyle w:val="ListParagraph"/>
        <w:numPr>
          <w:ilvl w:val="0"/>
          <w:numId w:val="4"/>
        </w:numPr>
        <w:rPr>
          <w:rFonts w:ascii="Aptos" w:eastAsia="Aptos" w:hAnsi="Aptos" w:cs="Arial"/>
          <w:color w:val="000000" w:themeColor="text1"/>
        </w:rPr>
      </w:pPr>
      <w:r w:rsidRPr="56529538">
        <w:rPr>
          <w:rFonts w:ascii="Aptos" w:eastAsia="Aptos" w:hAnsi="Aptos" w:cs="Arial"/>
          <w:color w:val="000000" w:themeColor="text1"/>
        </w:rPr>
        <w:t xml:space="preserve">Whether </w:t>
      </w:r>
      <w:r w:rsidRPr="56529538" w:rsidR="3099D8C4">
        <w:rPr>
          <w:rFonts w:ascii="Aptos" w:eastAsia="Aptos" w:hAnsi="Aptos" w:cs="Arial"/>
          <w:color w:val="000000" w:themeColor="text1"/>
        </w:rPr>
        <w:t>prescription</w:t>
      </w:r>
      <w:r w:rsidRPr="56529538" w:rsidR="759DB9FF">
        <w:rPr>
          <w:rFonts w:ascii="Aptos" w:eastAsia="Aptos" w:hAnsi="Aptos" w:cs="Arial"/>
          <w:color w:val="000000" w:themeColor="text1"/>
        </w:rPr>
        <w:t xml:space="preserve"> charges should be levied from patients</w:t>
      </w:r>
      <w:r w:rsidRPr="56529538" w:rsidR="4B8C4129">
        <w:rPr>
          <w:rFonts w:ascii="Aptos" w:eastAsia="Aptos" w:hAnsi="Aptos" w:cs="Arial"/>
          <w:color w:val="000000" w:themeColor="text1"/>
        </w:rPr>
        <w:t xml:space="preserve"> </w:t>
      </w:r>
      <w:r w:rsidRPr="56529538" w:rsidR="4E492DA1">
        <w:rPr>
          <w:rFonts w:ascii="Aptos" w:eastAsia="Aptos" w:hAnsi="Aptos" w:cs="Arial"/>
          <w:color w:val="000000" w:themeColor="text1"/>
        </w:rPr>
        <w:t>receiving</w:t>
      </w:r>
      <w:r w:rsidRPr="56529538" w:rsidR="4B8C4129">
        <w:rPr>
          <w:rFonts w:ascii="Aptos" w:eastAsia="Aptos" w:hAnsi="Aptos" w:cs="Arial"/>
          <w:color w:val="000000" w:themeColor="text1"/>
        </w:rPr>
        <w:t xml:space="preserve"> medicines from homecare services</w:t>
      </w:r>
    </w:p>
    <w:p w:rsidR="009027E5" w:rsidP="56529538">
      <w:pPr>
        <w:pStyle w:val="ListParagraph"/>
        <w:numPr>
          <w:ilvl w:val="0"/>
          <w:numId w:val="4"/>
        </w:numPr>
        <w:rPr>
          <w:rFonts w:ascii="Aptos" w:eastAsia="Aptos" w:hAnsi="Aptos" w:cs="Arial"/>
          <w:color w:val="000000" w:themeColor="text1"/>
        </w:rPr>
      </w:pPr>
      <w:r w:rsidRPr="56529538">
        <w:rPr>
          <w:rFonts w:ascii="Aptos" w:eastAsia="Aptos" w:hAnsi="Aptos" w:cs="Arial"/>
          <w:color w:val="000000" w:themeColor="text1"/>
        </w:rPr>
        <w:t>Whether it is the responsibility of the NHS BSA to hold, manage and process reimbursement of “homecare prescription”</w:t>
      </w:r>
      <w:r w:rsidRPr="56529538" w:rsidR="4199E006">
        <w:rPr>
          <w:rFonts w:ascii="Aptos" w:eastAsia="Aptos" w:hAnsi="Aptos" w:cs="Arial"/>
          <w:color w:val="000000" w:themeColor="text1"/>
        </w:rPr>
        <w:t xml:space="preserve"> data</w:t>
      </w:r>
      <w:r w:rsidRPr="56529538">
        <w:rPr>
          <w:rFonts w:ascii="Aptos" w:eastAsia="Aptos" w:hAnsi="Aptos" w:cs="Arial"/>
          <w:color w:val="000000" w:themeColor="text1"/>
        </w:rPr>
        <w:t xml:space="preserve">. </w:t>
      </w:r>
    </w:p>
    <w:p w:rsidR="009027E5" w:rsidP="56529538">
      <w:pPr>
        <w:rPr>
          <w:rFonts w:ascii="Aptos" w:eastAsia="Aptos" w:hAnsi="Aptos" w:cs="Arial"/>
          <w:color w:val="000000" w:themeColor="text1"/>
        </w:rPr>
      </w:pPr>
      <w:r>
        <w:rPr>
          <w:rFonts w:ascii="Aptos" w:eastAsia="Aptos" w:hAnsi="Aptos" w:cs="Arial"/>
          <w:color w:val="000000" w:themeColor="text1"/>
        </w:rPr>
        <w:t>Interim</w:t>
      </w:r>
      <w:r w:rsidRPr="56529538" w:rsidR="4FAE53F8">
        <w:rPr>
          <w:rFonts w:ascii="Aptos" w:eastAsia="Aptos" w:hAnsi="Aptos" w:cs="Arial"/>
          <w:color w:val="000000" w:themeColor="text1"/>
        </w:rPr>
        <w:t xml:space="preserve"> measures have</w:t>
      </w:r>
      <w:r>
        <w:rPr>
          <w:rFonts w:ascii="Aptos" w:eastAsia="Aptos" w:hAnsi="Aptos" w:cs="Arial"/>
          <w:color w:val="000000" w:themeColor="text1"/>
        </w:rPr>
        <w:t xml:space="preserve"> already</w:t>
      </w:r>
      <w:r w:rsidRPr="56529538" w:rsidR="4FAE53F8">
        <w:rPr>
          <w:rFonts w:ascii="Aptos" w:eastAsia="Aptos" w:hAnsi="Aptos" w:cs="Arial"/>
          <w:color w:val="000000" w:themeColor="text1"/>
        </w:rPr>
        <w:t xml:space="preserve"> been</w:t>
      </w:r>
      <w:r w:rsidRPr="56529538" w:rsidR="29AC26CE">
        <w:rPr>
          <w:rFonts w:ascii="Aptos" w:eastAsia="Aptos" w:hAnsi="Aptos" w:cs="Arial"/>
          <w:color w:val="000000" w:themeColor="text1"/>
        </w:rPr>
        <w:t xml:space="preserve"> jointly</w:t>
      </w:r>
      <w:r w:rsidRPr="56529538" w:rsidR="4FAE53F8">
        <w:rPr>
          <w:rFonts w:ascii="Aptos" w:eastAsia="Aptos" w:hAnsi="Aptos" w:cs="Arial"/>
          <w:color w:val="000000" w:themeColor="text1"/>
        </w:rPr>
        <w:t xml:space="preserve"> agreed</w:t>
      </w:r>
      <w:r w:rsidRPr="56529538" w:rsidR="62A1AE4C">
        <w:rPr>
          <w:rFonts w:ascii="Aptos" w:eastAsia="Aptos" w:hAnsi="Aptos" w:cs="Arial"/>
          <w:color w:val="000000" w:themeColor="text1"/>
        </w:rPr>
        <w:t xml:space="preserve"> with the</w:t>
      </w:r>
      <w:r w:rsidRPr="56529538" w:rsidR="50790342">
        <w:rPr>
          <w:rFonts w:ascii="Aptos" w:eastAsia="Aptos" w:hAnsi="Aptos" w:cs="Arial"/>
          <w:color w:val="000000" w:themeColor="text1"/>
        </w:rPr>
        <w:t xml:space="preserve"> Department of Health and Social Care</w:t>
      </w:r>
      <w:r w:rsidRPr="56529538" w:rsidR="62A1AE4C">
        <w:rPr>
          <w:rFonts w:ascii="Aptos" w:eastAsia="Aptos" w:hAnsi="Aptos" w:cs="Arial"/>
          <w:color w:val="000000" w:themeColor="text1"/>
        </w:rPr>
        <w:t xml:space="preserve"> </w:t>
      </w:r>
      <w:r w:rsidRPr="56529538" w:rsidR="3F8C1B21">
        <w:rPr>
          <w:rFonts w:ascii="Aptos" w:eastAsia="Aptos" w:hAnsi="Aptos" w:cs="Arial"/>
          <w:color w:val="000000" w:themeColor="text1"/>
        </w:rPr>
        <w:t>(</w:t>
      </w:r>
      <w:r w:rsidRPr="56529538" w:rsidR="62A1AE4C">
        <w:rPr>
          <w:rFonts w:ascii="Aptos" w:eastAsia="Aptos" w:hAnsi="Aptos" w:cs="Arial"/>
          <w:color w:val="000000" w:themeColor="text1"/>
        </w:rPr>
        <w:t>DHSC</w:t>
      </w:r>
      <w:r w:rsidRPr="56529538" w:rsidR="797B2731">
        <w:rPr>
          <w:rFonts w:ascii="Aptos" w:eastAsia="Aptos" w:hAnsi="Aptos" w:cs="Arial"/>
          <w:color w:val="000000" w:themeColor="text1"/>
        </w:rPr>
        <w:t>)</w:t>
      </w:r>
      <w:r w:rsidRPr="56529538" w:rsidR="62A1AE4C">
        <w:rPr>
          <w:rFonts w:ascii="Aptos" w:eastAsia="Aptos" w:hAnsi="Aptos" w:cs="Arial"/>
          <w:color w:val="000000" w:themeColor="text1"/>
        </w:rPr>
        <w:t>,</w:t>
      </w:r>
      <w:r w:rsidRPr="56529538" w:rsidR="797B2731">
        <w:rPr>
          <w:rFonts w:ascii="Aptos" w:eastAsia="Aptos" w:hAnsi="Aptos" w:cs="Arial"/>
          <w:color w:val="000000" w:themeColor="text1"/>
        </w:rPr>
        <w:t xml:space="preserve"> NHS England</w:t>
      </w:r>
      <w:r w:rsidRPr="56529538" w:rsidR="62A1AE4C">
        <w:rPr>
          <w:rFonts w:ascii="Aptos" w:eastAsia="Aptos" w:hAnsi="Aptos" w:cs="Arial"/>
          <w:color w:val="000000" w:themeColor="text1"/>
        </w:rPr>
        <w:t xml:space="preserve"> </w:t>
      </w:r>
      <w:r w:rsidRPr="56529538" w:rsidR="01C104BB">
        <w:rPr>
          <w:rFonts w:ascii="Aptos" w:eastAsia="Aptos" w:hAnsi="Aptos" w:cs="Arial"/>
          <w:color w:val="000000" w:themeColor="text1"/>
        </w:rPr>
        <w:t>(</w:t>
      </w:r>
      <w:r w:rsidRPr="56529538" w:rsidR="62A1AE4C">
        <w:rPr>
          <w:rFonts w:ascii="Aptos" w:eastAsia="Aptos" w:hAnsi="Aptos" w:cs="Arial"/>
          <w:color w:val="000000" w:themeColor="text1"/>
        </w:rPr>
        <w:t>NHSE</w:t>
      </w:r>
      <w:r w:rsidRPr="56529538" w:rsidR="60A23C39">
        <w:rPr>
          <w:rFonts w:ascii="Aptos" w:eastAsia="Aptos" w:hAnsi="Aptos" w:cs="Arial"/>
          <w:color w:val="000000" w:themeColor="text1"/>
        </w:rPr>
        <w:t>)</w:t>
      </w:r>
      <w:r w:rsidRPr="56529538" w:rsidR="62A1AE4C">
        <w:rPr>
          <w:rFonts w:ascii="Aptos" w:eastAsia="Aptos" w:hAnsi="Aptos" w:cs="Arial"/>
          <w:color w:val="000000" w:themeColor="text1"/>
        </w:rPr>
        <w:t xml:space="preserve"> and NHS </w:t>
      </w:r>
      <w:r w:rsidRPr="56529538" w:rsidR="58FA821B">
        <w:rPr>
          <w:rFonts w:ascii="Aptos" w:eastAsia="Aptos" w:hAnsi="Aptos" w:cs="Arial"/>
          <w:color w:val="000000" w:themeColor="text1"/>
        </w:rPr>
        <w:t>Business Services Authority (</w:t>
      </w:r>
      <w:r w:rsidRPr="56529538" w:rsidR="62A1AE4C">
        <w:rPr>
          <w:rFonts w:ascii="Aptos" w:eastAsia="Aptos" w:hAnsi="Aptos" w:cs="Arial"/>
          <w:color w:val="000000" w:themeColor="text1"/>
        </w:rPr>
        <w:t>BSA</w:t>
      </w:r>
      <w:r w:rsidRPr="56529538" w:rsidR="20AD537E">
        <w:rPr>
          <w:rFonts w:ascii="Aptos" w:eastAsia="Aptos" w:hAnsi="Aptos" w:cs="Arial"/>
          <w:color w:val="000000" w:themeColor="text1"/>
        </w:rPr>
        <w:t>)</w:t>
      </w:r>
      <w:r w:rsidRPr="56529538" w:rsidR="4FAE53F8">
        <w:rPr>
          <w:rFonts w:ascii="Aptos" w:eastAsia="Aptos" w:hAnsi="Aptos" w:cs="Arial"/>
          <w:color w:val="000000" w:themeColor="text1"/>
        </w:rPr>
        <w:t xml:space="preserve"> </w:t>
      </w:r>
      <w:r w:rsidRPr="56529538" w:rsidR="76FAF8C9">
        <w:rPr>
          <w:rFonts w:ascii="Aptos" w:eastAsia="Aptos" w:hAnsi="Aptos" w:cs="Arial"/>
          <w:color w:val="000000" w:themeColor="text1"/>
        </w:rPr>
        <w:t>for</w:t>
      </w:r>
      <w:r w:rsidRPr="56529538" w:rsidR="4FAE53F8">
        <w:rPr>
          <w:rFonts w:ascii="Aptos" w:eastAsia="Aptos" w:hAnsi="Aptos" w:cs="Arial"/>
          <w:color w:val="000000" w:themeColor="text1"/>
        </w:rPr>
        <w:t xml:space="preserve"> PoC </w:t>
      </w:r>
      <w:r w:rsidRPr="56529538" w:rsidR="3DE6BBCC">
        <w:rPr>
          <w:rFonts w:ascii="Aptos" w:eastAsia="Aptos" w:hAnsi="Aptos" w:cs="Arial"/>
          <w:color w:val="000000" w:themeColor="text1"/>
        </w:rPr>
        <w:t>as follows</w:t>
      </w:r>
      <w:r w:rsidRPr="56529538" w:rsidR="4FAE53F8">
        <w:rPr>
          <w:rFonts w:ascii="Aptos" w:eastAsia="Aptos" w:hAnsi="Aptos" w:cs="Arial"/>
          <w:color w:val="000000" w:themeColor="text1"/>
        </w:rPr>
        <w:t xml:space="preserve">: </w:t>
      </w:r>
      <w:r w:rsidRPr="56529538" w:rsidR="759DB9FF">
        <w:rPr>
          <w:rFonts w:ascii="Aptos" w:eastAsia="Aptos" w:hAnsi="Aptos" w:cs="Arial"/>
          <w:color w:val="000000" w:themeColor="text1"/>
        </w:rPr>
        <w:t xml:space="preserve"> </w:t>
      </w:r>
    </w:p>
    <w:p w:rsidR="009027E5" w:rsidP="56529538">
      <w:pPr>
        <w:pStyle w:val="ListParagraph"/>
        <w:numPr>
          <w:ilvl w:val="0"/>
          <w:numId w:val="3"/>
        </w:numPr>
        <w:rPr>
          <w:rFonts w:ascii="Aptos" w:eastAsia="Aptos" w:hAnsi="Aptos" w:cs="Arial"/>
          <w:color w:val="000000" w:themeColor="text1"/>
        </w:rPr>
      </w:pPr>
      <w:r w:rsidRPr="56529538">
        <w:rPr>
          <w:rFonts w:ascii="Aptos" w:eastAsia="Aptos" w:hAnsi="Aptos" w:cs="Arial"/>
          <w:color w:val="000000" w:themeColor="text1"/>
        </w:rPr>
        <w:t>W</w:t>
      </w:r>
      <w:r w:rsidRPr="56529538" w:rsidR="759DB9FF">
        <w:rPr>
          <w:rFonts w:ascii="Aptos" w:eastAsia="Aptos" w:hAnsi="Aptos" w:cs="Arial"/>
          <w:color w:val="000000" w:themeColor="text1"/>
        </w:rPr>
        <w:t xml:space="preserve">ithin current directions homecare prescriptions </w:t>
      </w:r>
      <w:r w:rsidRPr="56529538" w:rsidR="512F7574">
        <w:rPr>
          <w:rFonts w:ascii="Aptos" w:eastAsia="Aptos" w:hAnsi="Aptos" w:cs="Arial"/>
          <w:color w:val="000000" w:themeColor="text1"/>
        </w:rPr>
        <w:t>will</w:t>
      </w:r>
      <w:r w:rsidRPr="56529538" w:rsidR="47F0FEC2">
        <w:rPr>
          <w:rFonts w:ascii="Aptos" w:eastAsia="Aptos" w:hAnsi="Aptos" w:cs="Arial"/>
          <w:color w:val="000000" w:themeColor="text1"/>
        </w:rPr>
        <w:t xml:space="preserve"> be transmitted</w:t>
      </w:r>
      <w:r w:rsidRPr="56529538" w:rsidR="759DB9FF">
        <w:rPr>
          <w:rFonts w:ascii="Aptos" w:eastAsia="Aptos" w:hAnsi="Aptos" w:cs="Arial"/>
          <w:color w:val="000000" w:themeColor="text1"/>
        </w:rPr>
        <w:t xml:space="preserve"> via EPS as private prescriptions</w:t>
      </w:r>
      <w:r w:rsidRPr="56529538" w:rsidR="0AADDA14">
        <w:rPr>
          <w:rFonts w:ascii="Aptos" w:eastAsia="Aptos" w:hAnsi="Aptos" w:cs="Arial"/>
          <w:color w:val="000000" w:themeColor="text1"/>
        </w:rPr>
        <w:t xml:space="preserve"> </w:t>
      </w:r>
    </w:p>
    <w:p w:rsidR="009027E5" w:rsidP="56529538">
      <w:pPr>
        <w:pStyle w:val="ListParagraph"/>
        <w:numPr>
          <w:ilvl w:val="0"/>
          <w:numId w:val="3"/>
        </w:numPr>
        <w:rPr>
          <w:rFonts w:ascii="Aptos" w:eastAsia="Aptos" w:hAnsi="Aptos" w:cs="Arial"/>
          <w:color w:val="000000" w:themeColor="text1"/>
        </w:rPr>
      </w:pPr>
      <w:r w:rsidRPr="56529538">
        <w:rPr>
          <w:rFonts w:ascii="Aptos" w:eastAsia="Aptos" w:hAnsi="Aptos" w:cs="Arial"/>
          <w:color w:val="000000" w:themeColor="text1"/>
        </w:rPr>
        <w:t>Within current directions</w:t>
      </w:r>
      <w:r w:rsidRPr="56529538" w:rsidR="759DB9FF">
        <w:rPr>
          <w:rFonts w:ascii="Aptos" w:eastAsia="Aptos" w:hAnsi="Aptos" w:cs="Arial"/>
          <w:color w:val="000000" w:themeColor="text1"/>
        </w:rPr>
        <w:t xml:space="preserve"> prescription charge</w:t>
      </w:r>
      <w:r w:rsidRPr="56529538" w:rsidR="7D740A97">
        <w:rPr>
          <w:rFonts w:ascii="Aptos" w:eastAsia="Aptos" w:hAnsi="Aptos" w:cs="Arial"/>
          <w:color w:val="000000" w:themeColor="text1"/>
        </w:rPr>
        <w:t>s</w:t>
      </w:r>
      <w:r w:rsidRPr="56529538" w:rsidR="759DB9FF">
        <w:rPr>
          <w:rFonts w:ascii="Aptos" w:eastAsia="Aptos" w:hAnsi="Aptos" w:cs="Arial"/>
          <w:color w:val="000000" w:themeColor="text1"/>
        </w:rPr>
        <w:t xml:space="preserve"> </w:t>
      </w:r>
      <w:r w:rsidRPr="56529538" w:rsidR="7925BDCC">
        <w:rPr>
          <w:rFonts w:ascii="Aptos" w:eastAsia="Aptos" w:hAnsi="Aptos" w:cs="Arial"/>
          <w:color w:val="000000" w:themeColor="text1"/>
        </w:rPr>
        <w:t xml:space="preserve">will not be levied </w:t>
      </w:r>
      <w:r w:rsidRPr="56529538" w:rsidR="759DB9FF">
        <w:rPr>
          <w:rFonts w:ascii="Aptos" w:eastAsia="Aptos" w:hAnsi="Aptos" w:cs="Arial"/>
          <w:color w:val="000000" w:themeColor="text1"/>
        </w:rPr>
        <w:t>from patients</w:t>
      </w:r>
    </w:p>
    <w:p w:rsidR="009027E5" w:rsidP="56529538">
      <w:pPr>
        <w:pStyle w:val="ListParagraph"/>
        <w:numPr>
          <w:ilvl w:val="0"/>
          <w:numId w:val="3"/>
        </w:numPr>
        <w:rPr>
          <w:rFonts w:ascii="Aptos" w:eastAsia="Aptos" w:hAnsi="Aptos" w:cs="Arial"/>
          <w:color w:val="000000" w:themeColor="text1"/>
        </w:rPr>
      </w:pPr>
      <w:r w:rsidRPr="56529538">
        <w:t>A temporary data sharing agreement between NHSE and NHS BSA will permit the receipt of EPS homecare (private) prescriptions by NHS BSA, without processing them for reimbursement</w:t>
      </w:r>
    </w:p>
    <w:p w:rsidR="008B3DB6" w:rsidRPr="00C0095D" w:rsidP="00C0095D">
      <w:pPr>
        <w:rPr>
          <w:rFonts w:ascii="Aptos" w:eastAsia="Aptos" w:hAnsi="Aptos" w:cs="Arial"/>
          <w:color w:val="000000" w:themeColor="text1"/>
        </w:rPr>
      </w:pPr>
      <w:r w:rsidRPr="56529538">
        <w:rPr>
          <w:rFonts w:ascii="Aptos" w:eastAsia="Aptos" w:hAnsi="Aptos" w:cs="Arial"/>
          <w:color w:val="000000" w:themeColor="text1"/>
        </w:rPr>
        <w:t xml:space="preserve">The </w:t>
      </w:r>
      <w:r w:rsidR="00515A7B">
        <w:rPr>
          <w:rFonts w:ascii="Aptos" w:eastAsia="Aptos" w:hAnsi="Aptos" w:cs="Arial"/>
          <w:color w:val="000000" w:themeColor="text1"/>
        </w:rPr>
        <w:t>measures</w:t>
      </w:r>
      <w:r w:rsidRPr="56529538" w:rsidR="00515A7B">
        <w:rPr>
          <w:rFonts w:ascii="Aptos" w:eastAsia="Aptos" w:hAnsi="Aptos" w:cs="Arial"/>
          <w:color w:val="000000" w:themeColor="text1"/>
        </w:rPr>
        <w:t xml:space="preserve"> </w:t>
      </w:r>
      <w:r w:rsidRPr="56529538" w:rsidR="346D39AE">
        <w:rPr>
          <w:rFonts w:ascii="Aptos" w:eastAsia="Aptos" w:hAnsi="Aptos" w:cs="Arial"/>
          <w:color w:val="000000" w:themeColor="text1"/>
        </w:rPr>
        <w:t>above are caveated with the assurance that permanent directions</w:t>
      </w:r>
      <w:r w:rsidRPr="56529538" w:rsidR="35CDD798">
        <w:rPr>
          <w:rFonts w:ascii="Aptos" w:eastAsia="Aptos" w:hAnsi="Aptos" w:cs="Arial"/>
          <w:color w:val="000000" w:themeColor="text1"/>
        </w:rPr>
        <w:t>,</w:t>
      </w:r>
      <w:r w:rsidRPr="56529538" w:rsidR="346D39AE">
        <w:rPr>
          <w:rFonts w:ascii="Aptos" w:eastAsia="Aptos" w:hAnsi="Aptos" w:cs="Arial"/>
          <w:color w:val="000000" w:themeColor="text1"/>
        </w:rPr>
        <w:t xml:space="preserve"> policies </w:t>
      </w:r>
      <w:r w:rsidRPr="56529538" w:rsidR="47BFB420">
        <w:rPr>
          <w:rFonts w:ascii="Aptos" w:eastAsia="Aptos" w:hAnsi="Aptos" w:cs="Arial"/>
          <w:color w:val="000000" w:themeColor="text1"/>
        </w:rPr>
        <w:t xml:space="preserve">and operating frameworks </w:t>
      </w:r>
      <w:r w:rsidRPr="56529538" w:rsidR="346D39AE">
        <w:rPr>
          <w:rFonts w:ascii="Aptos" w:eastAsia="Aptos" w:hAnsi="Aptos" w:cs="Arial"/>
          <w:color w:val="000000" w:themeColor="text1"/>
        </w:rPr>
        <w:t>are in place before EPS in homecare can be scaled beyond PoC</w:t>
      </w:r>
      <w:r w:rsidRPr="000F75B5" w:rsidR="346D39AE">
        <w:rPr>
          <w:rFonts w:ascii="Aptos" w:eastAsia="Aptos" w:hAnsi="Aptos" w:cs="Arial"/>
          <w:color w:val="000000" w:themeColor="text1"/>
        </w:rPr>
        <w:t>.</w:t>
      </w:r>
      <w:r w:rsidRPr="000F75B5" w:rsidR="005B530E">
        <w:rPr>
          <w:rFonts w:ascii="Aptos" w:eastAsia="Aptos" w:hAnsi="Aptos" w:cs="Arial"/>
          <w:color w:val="000000" w:themeColor="text1"/>
        </w:rPr>
        <w:t xml:space="preserve"> </w:t>
      </w:r>
      <w:r w:rsidRPr="000F75B5">
        <w:rPr>
          <w:rFonts w:cs="Arial"/>
        </w:rPr>
        <w:t>An EPS, informed by a successful pilot</w:t>
      </w:r>
      <w:r w:rsidRPr="000F75B5" w:rsidR="00185D85">
        <w:rPr>
          <w:rFonts w:cs="Arial"/>
        </w:rPr>
        <w:t xml:space="preserve"> and consistent with regulatory requirements</w:t>
      </w:r>
      <w:r w:rsidRPr="000F75B5">
        <w:rPr>
          <w:rFonts w:cs="Arial"/>
        </w:rPr>
        <w:t xml:space="preserve">, could </w:t>
      </w:r>
      <w:r w:rsidRPr="000F75B5" w:rsidR="007F1274">
        <w:rPr>
          <w:rFonts w:cs="Arial"/>
        </w:rPr>
        <w:t xml:space="preserve">enhance patient convenience </w:t>
      </w:r>
      <w:r w:rsidRPr="000F75B5" w:rsidR="00BD0796">
        <w:rPr>
          <w:rFonts w:cs="Arial"/>
        </w:rPr>
        <w:t xml:space="preserve">and choice whilst </w:t>
      </w:r>
      <w:r w:rsidRPr="000F75B5" w:rsidR="008B38DD">
        <w:rPr>
          <w:rFonts w:cs="Arial"/>
        </w:rPr>
        <w:t xml:space="preserve">enabling </w:t>
      </w:r>
      <w:r w:rsidRPr="000F75B5">
        <w:rPr>
          <w:rFonts w:cs="Arial"/>
        </w:rPr>
        <w:t>a move away from paper-based systems towards more efficient and safer workflow</w:t>
      </w:r>
      <w:r w:rsidRPr="000F75B5" w:rsidR="007F1274">
        <w:rPr>
          <w:rFonts w:cs="Arial"/>
        </w:rPr>
        <w:t>s</w:t>
      </w:r>
      <w:r w:rsidRPr="000F75B5">
        <w:rPr>
          <w:rFonts w:cs="Arial"/>
        </w:rPr>
        <w:t>, aligning with 10 Year Plan objectives to harness the potential of digital tools.</w:t>
      </w:r>
    </w:p>
    <w:p w:rsidR="008B3DB6" w:rsidP="56529538">
      <w:pPr>
        <w:rPr>
          <w:rFonts w:ascii="Aptos" w:eastAsia="Aptos" w:hAnsi="Aptos" w:cs="Arial"/>
          <w:color w:val="000000" w:themeColor="text1"/>
        </w:rPr>
      </w:pPr>
    </w:p>
    <w:p w:rsidR="00CF30AC" w:rsidP="00C95466">
      <w:pPr>
        <w:rPr>
          <w:b/>
          <w:bCs/>
          <w:u w:val="single"/>
        </w:rPr>
      </w:pPr>
    </w:p>
    <w:p w:rsidR="00C95466" w:rsidRPr="00C95466" w:rsidP="00C95466">
      <w:pPr>
        <w:rPr>
          <w:u w:val="single"/>
        </w:rPr>
      </w:pPr>
      <w:r w:rsidRPr="00C95466">
        <w:rPr>
          <w:b/>
          <w:bCs/>
          <w:u w:val="single"/>
        </w:rPr>
        <w:t xml:space="preserve">Recommendation 13 </w:t>
      </w:r>
    </w:p>
    <w:p w:rsidR="001C676C" w:rsidRPr="00C95466" w:rsidP="00C95466">
      <w:pPr>
        <w:rPr>
          <w:b/>
          <w:bCs/>
        </w:rPr>
      </w:pPr>
      <w:r w:rsidRPr="00C95466">
        <w:rPr>
          <w:b/>
          <w:bCs/>
        </w:rPr>
        <w:t xml:space="preserve">NHS England should designate a senior, named person with responsibility for the homecare system. That person should be given sufficient powers and resources to discharge that responsibility. Responsibilities should include: </w:t>
      </w:r>
    </w:p>
    <w:p w:rsidR="00C95466" w:rsidRPr="00C95466" w:rsidP="001C676C">
      <w:pPr>
        <w:ind w:left="720"/>
      </w:pPr>
      <w:r>
        <w:rPr>
          <w:b/>
          <w:bCs/>
        </w:rPr>
        <w:t xml:space="preserve">A) </w:t>
      </w:r>
      <w:r w:rsidRPr="00C95466">
        <w:rPr>
          <w:b/>
          <w:bCs/>
        </w:rPr>
        <w:t xml:space="preserve">Setting clear national KPIs for organisations commissioning and providing homecare medicines services to use. </w:t>
      </w:r>
    </w:p>
    <w:p w:rsidR="00C95466" w:rsidRPr="00C95466" w:rsidP="001C676C">
      <w:pPr>
        <w:ind w:left="720"/>
      </w:pPr>
      <w:r w:rsidRPr="00C95466">
        <w:rPr>
          <w:b/>
          <w:bCs/>
        </w:rPr>
        <w:t xml:space="preserve">B) Collecting data on those KPIs, and publishing data on those KPIs in a way which supports public scrutiny of the homecare medicines system. </w:t>
      </w:r>
    </w:p>
    <w:p w:rsidR="00C95466" w:rsidRPr="00C95466" w:rsidP="001C676C">
      <w:pPr>
        <w:ind w:left="720"/>
      </w:pPr>
      <w:r w:rsidRPr="00C95466">
        <w:rPr>
          <w:b/>
          <w:bCs/>
        </w:rPr>
        <w:t xml:space="preserve">C) Holding relevant bodies, such as individual providers, Chief Pharmacists, the National Medical Homecare Committee and pharmacy teams to account for work on homecare medicines services. </w:t>
      </w:r>
    </w:p>
    <w:p w:rsidR="00C95466" w:rsidRPr="00C95466" w:rsidP="001C676C">
      <w:pPr>
        <w:ind w:left="720"/>
      </w:pPr>
      <w:r w:rsidRPr="00C95466">
        <w:rPr>
          <w:b/>
          <w:bCs/>
        </w:rPr>
        <w:t xml:space="preserve">D) Responsibility using new powers to issue appropriate penalties to under-performing providers </w:t>
      </w:r>
    </w:p>
    <w:p w:rsidR="00C95466" w:rsidRPr="00C95466" w:rsidP="001C676C">
      <w:pPr>
        <w:ind w:left="720"/>
      </w:pPr>
      <w:r w:rsidRPr="00C95466">
        <w:rPr>
          <w:b/>
          <w:bCs/>
        </w:rPr>
        <w:t xml:space="preserve">E) Ensuring trusts or hubs procuring homecare medicines services have access to sufficient financial and expert procurement advice and information, including template legal agreement frameworks, so they are able to effectively deliver value for money services and influence the homecare medicines services market </w:t>
      </w:r>
    </w:p>
    <w:p w:rsidR="009027E5" w:rsidP="00102690">
      <w:pPr>
        <w:ind w:left="720"/>
      </w:pPr>
      <w:r w:rsidRPr="00C95466">
        <w:rPr>
          <w:b/>
          <w:bCs/>
        </w:rPr>
        <w:t xml:space="preserve">F) Achieving value for money and increasing transparency on homecare funding (Para 118) </w:t>
      </w:r>
    </w:p>
    <w:p w:rsidR="009027E5" w:rsidRPr="00102690" w:rsidP="00C95466">
      <w:r w:rsidRPr="00102690">
        <w:t xml:space="preserve">NHS England have designated the Chief Pharmaceutical Officer as the Senior Responsible Officer (SRO) for homecare medicines services. </w:t>
      </w:r>
      <w:r w:rsidRPr="00102690" w:rsidR="24E0B6EA">
        <w:t>A review of homecare governance arrangements</w:t>
      </w:r>
      <w:r w:rsidRPr="00102690" w:rsidR="004622D4">
        <w:t xml:space="preserve"> is underway</w:t>
      </w:r>
      <w:r w:rsidRPr="00102690" w:rsidR="00CA74CE">
        <w:t xml:space="preserve"> </w:t>
      </w:r>
      <w:r w:rsidRPr="00102690" w:rsidR="004622D4">
        <w:t>to better connect and enable the accountabilities for homecare across the system</w:t>
      </w:r>
      <w:r w:rsidR="0025030F">
        <w:t>. A series of stakeholder engagement events earlier this year identified areas of strength as well as area for improvement</w:t>
      </w:r>
      <w:r w:rsidR="00591DF0">
        <w:t xml:space="preserve"> with </w:t>
      </w:r>
      <w:r w:rsidR="001124BD">
        <w:t xml:space="preserve">recommendations for improvement expected </w:t>
      </w:r>
      <w:r w:rsidRPr="00102690" w:rsidR="004622D4">
        <w:t xml:space="preserve">during </w:t>
      </w:r>
      <w:r w:rsidR="001124BD">
        <w:t xml:space="preserve">Q4 </w:t>
      </w:r>
      <w:r w:rsidRPr="00102690" w:rsidR="004622D4">
        <w:t>2025/26.</w:t>
      </w:r>
      <w:r w:rsidR="0025030F">
        <w:t xml:space="preserve"> </w:t>
      </w:r>
    </w:p>
    <w:p w:rsidR="009027E5" w:rsidRPr="00C95466" w:rsidP="00C95466"/>
    <w:sectPr>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C6574" w:rsidP="00DC445E">
      <w:pPr>
        <w:spacing w:after="0" w:line="240" w:lineRule="auto"/>
      </w:pPr>
      <w:r>
        <w:separator/>
      </w:r>
    </w:p>
  </w:footnote>
  <w:footnote w:type="continuationSeparator" w:id="1">
    <w:p w:rsidR="007C6574" w:rsidP="00DC445E">
      <w:pPr>
        <w:spacing w:after="0" w:line="240" w:lineRule="auto"/>
      </w:pPr>
      <w:r>
        <w:continuationSeparator/>
      </w:r>
    </w:p>
  </w:footnote>
  <w:footnote w:id="2">
    <w:p w:rsidR="009A0683">
      <w:pPr>
        <w:pStyle w:val="FootnoteText"/>
      </w:pPr>
      <w:r>
        <w:rPr>
          <w:rStyle w:val="FootnoteReference"/>
        </w:rPr>
        <w:footnoteRef/>
      </w:r>
      <w:r w:rsidR="00DC4110">
        <w:t>General Pharmaceutical Council</w:t>
      </w:r>
      <w:r w:rsidR="00A75CB6">
        <w:t>, “</w:t>
      </w:r>
      <w:r w:rsidRPr="00A75CB6" w:rsidR="00A75CB6">
        <w:t>Evaluating service provision: a themed review of registered pharmacies providing homecare medicines services</w:t>
      </w:r>
      <w:r w:rsidR="00A75CB6">
        <w:t>”,</w:t>
      </w:r>
      <w:r w:rsidR="009E1B6E">
        <w:t xml:space="preserve"> April 2025,</w:t>
      </w:r>
      <w:r>
        <w:t xml:space="preserve"> </w:t>
      </w:r>
      <w:r>
        <w:fldChar w:fldCharType="begin"/>
      </w:r>
      <w:r>
        <w:instrText xml:space="preserve"> HYPERLINK "https://assets.pharmacyregulation.org/files/2025-04/Evaluating-service-provision-a-themed-review-of-registered-pharmacies-providing-homecare-medicines-services-April-2025.pdf?VersionId=VAEbIcIE7TQqKDQPv3e4LGW6mAaHg_dP" </w:instrText>
      </w:r>
      <w:r>
        <w:fldChar w:fldCharType="separate"/>
      </w:r>
      <w:r w:rsidR="007E698A">
        <w:rPr>
          <w:rStyle w:val="Hyperlink"/>
        </w:rPr>
        <w:t>link</w:t>
      </w:r>
      <w:r>
        <w:fldChar w:fldCharType="end"/>
      </w:r>
      <w:r w:rsidR="003A6060">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BFEE5"/>
    <w:multiLevelType w:val="hybridMultilevel"/>
    <w:tmpl w:val="A394DD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2143093"/>
    <w:multiLevelType w:val="hybridMultilevel"/>
    <w:tmpl w:val="BA98F8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3D447EB"/>
    <w:multiLevelType w:val="hybridMultilevel"/>
    <w:tmpl w:val="3ECEE138"/>
    <w:lvl w:ilvl="0">
      <w:start w:val="1"/>
      <w:numFmt w:val="decimal"/>
      <w:lvlText w:val="%1."/>
      <w:lvlJc w:val="left"/>
      <w:pPr>
        <w:ind w:left="360" w:hanging="360"/>
      </w:pPr>
      <w:rPr>
        <w:rFonts w:ascii="Arial" w:hAnsi="Arial" w:cs="Arial" w:hint="default"/>
        <w:sz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BB85051"/>
    <w:multiLevelType w:val="hybridMultilevel"/>
    <w:tmpl w:val="5504D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0F7402"/>
    <w:multiLevelType w:val="hybridMultilevel"/>
    <w:tmpl w:val="71FEB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47A189B"/>
    <w:multiLevelType w:val="hybridMultilevel"/>
    <w:tmpl w:val="A9E65F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431A51AE"/>
    <w:multiLevelType w:val="hybridMultilevel"/>
    <w:tmpl w:val="CB3A15F8"/>
    <w:lvl w:ilvl="0">
      <w:start w:val="1"/>
      <w:numFmt w:val="bullet"/>
      <w:lvlText w:val="-"/>
      <w:lvlJc w:val="left"/>
      <w:pPr>
        <w:ind w:left="1080" w:hanging="360"/>
      </w:pPr>
      <w:rPr>
        <w:rFonts w:ascii="Aptos" w:hAnsi="Apto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
    <w:nsid w:val="6A655655"/>
    <w:multiLevelType w:val="hybridMultilevel"/>
    <w:tmpl w:val="BEE02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C6EB0F"/>
    <w:multiLevelType w:val="hybridMultilevel"/>
    <w:tmpl w:val="6EFE8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F1061FE"/>
    <w:multiLevelType w:val="hybridMultilevel"/>
    <w:tmpl w:val="D1122A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7E2C6DD5"/>
    <w:multiLevelType w:val="hybridMultilevel"/>
    <w:tmpl w:val="5782A6C4"/>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5"/>
  </w:num>
  <w:num w:numId="5">
    <w:abstractNumId w:val="1"/>
  </w:num>
  <w:num w:numId="6">
    <w:abstractNumId w:val="10"/>
  </w:num>
  <w:num w:numId="7">
    <w:abstractNumId w:val="6"/>
  </w:num>
  <w:num w:numId="8">
    <w:abstractNumId w:val="7"/>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57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5E0"/>
    <w:rPr>
      <w:rFonts w:eastAsiaTheme="majorEastAsia" w:cstheme="majorBidi"/>
      <w:color w:val="272727" w:themeColor="text1" w:themeTint="D8"/>
    </w:rPr>
  </w:style>
  <w:style w:type="paragraph" w:styleId="Title">
    <w:name w:val="Title"/>
    <w:basedOn w:val="Normal"/>
    <w:next w:val="Normal"/>
    <w:link w:val="TitleChar"/>
    <w:uiPriority w:val="10"/>
    <w:qFormat/>
    <w:rsid w:val="00957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5E0"/>
    <w:pPr>
      <w:spacing w:before="160"/>
      <w:jc w:val="center"/>
    </w:pPr>
    <w:rPr>
      <w:i/>
      <w:iCs/>
      <w:color w:val="404040" w:themeColor="text1" w:themeTint="BF"/>
    </w:rPr>
  </w:style>
  <w:style w:type="character" w:customStyle="1" w:styleId="QuoteChar">
    <w:name w:val="Quote Char"/>
    <w:basedOn w:val="DefaultParagraphFont"/>
    <w:link w:val="Quote"/>
    <w:uiPriority w:val="29"/>
    <w:rsid w:val="009575E0"/>
    <w:rPr>
      <w:i/>
      <w:iCs/>
      <w:color w:val="404040" w:themeColor="text1" w:themeTint="BF"/>
    </w:rPr>
  </w:style>
  <w:style w:type="paragraph" w:styleId="ListParagraph">
    <w:name w:val="List Paragraph"/>
    <w:basedOn w:val="Normal"/>
    <w:uiPriority w:val="34"/>
    <w:qFormat/>
    <w:rsid w:val="009575E0"/>
    <w:pPr>
      <w:ind w:left="720"/>
      <w:contextualSpacing/>
    </w:pPr>
  </w:style>
  <w:style w:type="character" w:styleId="IntenseEmphasis">
    <w:name w:val="Intense Emphasis"/>
    <w:basedOn w:val="DefaultParagraphFont"/>
    <w:uiPriority w:val="21"/>
    <w:qFormat/>
    <w:rsid w:val="009575E0"/>
    <w:rPr>
      <w:i/>
      <w:iCs/>
      <w:color w:val="0F4761" w:themeColor="accent1" w:themeShade="BF"/>
    </w:rPr>
  </w:style>
  <w:style w:type="paragraph" w:styleId="IntenseQuote">
    <w:name w:val="Intense Quote"/>
    <w:basedOn w:val="Normal"/>
    <w:next w:val="Normal"/>
    <w:link w:val="IntenseQuoteChar"/>
    <w:uiPriority w:val="30"/>
    <w:qFormat/>
    <w:rsid w:val="00957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5E0"/>
    <w:rPr>
      <w:i/>
      <w:iCs/>
      <w:color w:val="0F4761" w:themeColor="accent1" w:themeShade="BF"/>
    </w:rPr>
  </w:style>
  <w:style w:type="character" w:styleId="IntenseReference">
    <w:name w:val="Intense Reference"/>
    <w:basedOn w:val="DefaultParagraphFont"/>
    <w:uiPriority w:val="32"/>
    <w:qFormat/>
    <w:rsid w:val="009575E0"/>
    <w:rPr>
      <w:b/>
      <w:bCs/>
      <w:smallCaps/>
      <w:color w:val="0F4761" w:themeColor="accent1" w:themeShade="BF"/>
      <w:spacing w:val="5"/>
    </w:rPr>
  </w:style>
  <w:style w:type="paragraph" w:styleId="Header">
    <w:name w:val="header"/>
    <w:basedOn w:val="Normal"/>
    <w:link w:val="HeaderChar"/>
    <w:uiPriority w:val="99"/>
    <w:unhideWhenUsed/>
    <w:rsid w:val="00DC4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45E"/>
  </w:style>
  <w:style w:type="paragraph" w:styleId="Footer">
    <w:name w:val="footer"/>
    <w:basedOn w:val="Normal"/>
    <w:link w:val="FooterChar"/>
    <w:uiPriority w:val="99"/>
    <w:unhideWhenUsed/>
    <w:rsid w:val="00DC4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45E"/>
  </w:style>
  <w:style w:type="paragraph" w:styleId="FootnoteText">
    <w:name w:val="footnote text"/>
    <w:basedOn w:val="Normal"/>
    <w:link w:val="FootnoteTextChar"/>
    <w:uiPriority w:val="99"/>
    <w:semiHidden/>
    <w:unhideWhenUsed/>
    <w:rsid w:val="00DC44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445E"/>
    <w:rPr>
      <w:sz w:val="20"/>
      <w:szCs w:val="20"/>
    </w:rPr>
  </w:style>
  <w:style w:type="character" w:styleId="FootnoteReference">
    <w:name w:val="footnote reference"/>
    <w:basedOn w:val="DefaultParagraphFont"/>
    <w:uiPriority w:val="99"/>
    <w:semiHidden/>
    <w:unhideWhenUsed/>
    <w:rsid w:val="00DC445E"/>
    <w:rPr>
      <w:vertAlign w:val="superscript"/>
    </w:rPr>
  </w:style>
  <w:style w:type="paragraph" w:styleId="EndnoteText">
    <w:name w:val="endnote text"/>
    <w:basedOn w:val="Normal"/>
    <w:link w:val="EndnoteTextChar"/>
    <w:uiPriority w:val="99"/>
    <w:semiHidden/>
    <w:unhideWhenUsed/>
    <w:rsid w:val="00DC44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445E"/>
    <w:rPr>
      <w:sz w:val="20"/>
      <w:szCs w:val="20"/>
    </w:rPr>
  </w:style>
  <w:style w:type="character" w:styleId="EndnoteReference">
    <w:name w:val="endnote reference"/>
    <w:basedOn w:val="DefaultParagraphFont"/>
    <w:uiPriority w:val="99"/>
    <w:semiHidden/>
    <w:unhideWhenUsed/>
    <w:rsid w:val="00DC445E"/>
    <w:rPr>
      <w:vertAlign w:val="superscript"/>
    </w:rPr>
  </w:style>
  <w:style w:type="character" w:styleId="Hyperlink">
    <w:name w:val="Hyperlink"/>
    <w:basedOn w:val="DefaultParagraphFont"/>
    <w:uiPriority w:val="99"/>
    <w:unhideWhenUsed/>
    <w:rsid w:val="009027E5"/>
    <w:rPr>
      <w:color w:val="467886" w:themeColor="hyperlink"/>
      <w:u w:val="single"/>
    </w:rPr>
  </w:style>
  <w:style w:type="character" w:customStyle="1" w:styleId="UnresolvedMention">
    <w:name w:val="Unresolved Mention"/>
    <w:basedOn w:val="DefaultParagraphFont"/>
    <w:uiPriority w:val="99"/>
    <w:semiHidden/>
    <w:unhideWhenUsed/>
    <w:rsid w:val="009027E5"/>
    <w:rPr>
      <w:color w:val="605E5C"/>
      <w:shd w:val="clear" w:color="auto" w:fill="E1DFDD"/>
    </w:rPr>
  </w:style>
  <w:style w:type="character" w:styleId="FollowedHyperlink">
    <w:name w:val="FollowedHyperlink"/>
    <w:basedOn w:val="DefaultParagraphFont"/>
    <w:uiPriority w:val="99"/>
    <w:semiHidden/>
    <w:unhideWhenUsed/>
    <w:rsid w:val="009027E5"/>
    <w:rPr>
      <w:color w:val="96607D" w:themeColor="followedHyperlink"/>
      <w:u w:val="single"/>
    </w:rPr>
  </w:style>
  <w:style w:type="character" w:styleId="CommentReference">
    <w:name w:val="annotation reference"/>
    <w:basedOn w:val="DefaultParagraphFont"/>
    <w:uiPriority w:val="99"/>
    <w:semiHidden/>
    <w:unhideWhenUsed/>
    <w:rsid w:val="007D29BB"/>
    <w:rPr>
      <w:sz w:val="16"/>
      <w:szCs w:val="16"/>
    </w:rPr>
  </w:style>
  <w:style w:type="paragraph" w:styleId="CommentText">
    <w:name w:val="annotation text"/>
    <w:basedOn w:val="Normal"/>
    <w:link w:val="CommentTextChar"/>
    <w:uiPriority w:val="99"/>
    <w:unhideWhenUsed/>
    <w:rsid w:val="007D29BB"/>
    <w:pPr>
      <w:spacing w:line="240" w:lineRule="auto"/>
    </w:pPr>
    <w:rPr>
      <w:sz w:val="20"/>
      <w:szCs w:val="20"/>
    </w:rPr>
  </w:style>
  <w:style w:type="character" w:customStyle="1" w:styleId="CommentTextChar">
    <w:name w:val="Comment Text Char"/>
    <w:basedOn w:val="DefaultParagraphFont"/>
    <w:link w:val="CommentText"/>
    <w:uiPriority w:val="99"/>
    <w:rsid w:val="007D29BB"/>
    <w:rPr>
      <w:sz w:val="20"/>
      <w:szCs w:val="20"/>
    </w:rPr>
  </w:style>
  <w:style w:type="paragraph" w:styleId="CommentSubject">
    <w:name w:val="annotation subject"/>
    <w:basedOn w:val="CommentText"/>
    <w:next w:val="CommentText"/>
    <w:link w:val="CommentSubjectChar"/>
    <w:uiPriority w:val="99"/>
    <w:semiHidden/>
    <w:unhideWhenUsed/>
    <w:rsid w:val="007D29BB"/>
    <w:rPr>
      <w:b/>
      <w:bCs/>
    </w:rPr>
  </w:style>
  <w:style w:type="character" w:customStyle="1" w:styleId="CommentSubjectChar">
    <w:name w:val="Comment Subject Char"/>
    <w:basedOn w:val="CommentTextChar"/>
    <w:link w:val="CommentSubject"/>
    <w:uiPriority w:val="99"/>
    <w:semiHidden/>
    <w:rsid w:val="007D29BB"/>
    <w:rPr>
      <w:b/>
      <w:bCs/>
      <w:sz w:val="20"/>
      <w:szCs w:val="20"/>
    </w:rPr>
  </w:style>
  <w:style w:type="paragraph" w:styleId="NormalWeb">
    <w:name w:val="Normal (Web)"/>
    <w:basedOn w:val="Normal"/>
    <w:uiPriority w:val="99"/>
    <w:semiHidden/>
    <w:unhideWhenUsed/>
    <w:rsid w:val="004622D4"/>
    <w:rPr>
      <w:rFonts w:ascii="Times New Roman" w:hAnsi="Times New Roman" w:cs="Times New Roman"/>
    </w:rPr>
  </w:style>
  <w:style w:type="paragraph" w:styleId="Revision">
    <w:name w:val="Revision"/>
    <w:hidden/>
    <w:uiPriority w:val="99"/>
    <w:semiHidden/>
    <w:rsid w:val="00AE51C5"/>
    <w:pPr>
      <w:spacing w:after="0" w:line="240" w:lineRule="auto"/>
    </w:pPr>
  </w:style>
  <w:style w:type="character" w:customStyle="1" w:styleId="Mention">
    <w:name w:val="Mention"/>
    <w:basedOn w:val="DefaultParagraphFont"/>
    <w:uiPriority w:val="99"/>
    <w:unhideWhenUsed/>
    <w:rsid w:val="001F5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6055d9-4673-4f2d-bff4-8106c5e1167f">
      <Terms xmlns="http://schemas.microsoft.com/office/infopath/2007/PartnerControls"/>
    </lcf76f155ced4ddcb4097134ff3c332f>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74</Value>
      <Value>3</Value>
      <Value>85</Value>
      <Value>46</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Inquiry Correspondence</TermName>
          <TermId xmlns="http://schemas.microsoft.com/office/infopath/2007/PartnerControls">da00f7aa-a475-4f0b-a80c-8f6bc18491c4</TermId>
        </TermInfo>
      </Terms>
    </c10fc15a1e374d7faacfa4b870e47730>
    <Meeting_x0020_Date xmlns="2d7e0317-ce4a-4cde-9e0e-6511d8769bb0" xsi:nil="true"/>
    <Document_x0020_Status1 xmlns="2d7e0317-ce4a-4cde-9e0e-6511d8769bb0">Final</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Homecare medicines services</TermName>
          <TermId xmlns="http://schemas.microsoft.com/office/infopath/2007/PartnerControls">4ba969ee-8ce8-43ab-b9b4-d4a62d294ca9</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T6XQXZ27YFPC-1750559506-2914</_dlc_DocId>
    <_dlc_DocIdUrl xmlns="2d7e0317-ce4a-4cde-9e0e-6511d8769bb0">
      <Url>https://hopuk.sharepoint.com/sites/hlc-publicservices/_layouts/15/DocIdRedir.aspx?ID=T6XQXZ27YFPC-1750559506-2914</Url>
      <Description>T6XQXZ27YFPC-1750559506-2914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139a3a35750b048c962c517d0c06aaf7">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cc1b8069a9ce53f828bbf1565ae7c48e"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A641AFF0-FB1A-4433-93DD-D3F2953AF7D3}">
  <ds:schemaRefs>
    <ds:schemaRef ds:uri="http://schemas.microsoft.com/office/2006/metadata/properties"/>
    <ds:schemaRef ds:uri="http://schemas.microsoft.com/office/infopath/2007/PartnerControls"/>
    <ds:schemaRef ds:uri="ac6055d9-4673-4f2d-bff4-8106c5e1167f"/>
    <ds:schemaRef ds:uri="4600776d-0a3c-44b4-bff2-0ceaafb13046"/>
    <ds:schemaRef ds:uri="2d7e0317-ce4a-4cde-9e0e-6511d8769bb0"/>
  </ds:schemaRefs>
</ds:datastoreItem>
</file>

<file path=customXml/itemProps2.xml><?xml version="1.0" encoding="utf-8"?>
<ds:datastoreItem xmlns:ds="http://schemas.openxmlformats.org/officeDocument/2006/customXml" ds:itemID="{87F9059C-00E5-4BC3-BA84-5EBC0C2AD842}">
  <ds:schemaRefs>
    <ds:schemaRef ds:uri="http://schemas.openxmlformats.org/officeDocument/2006/bibliography"/>
  </ds:schemaRefs>
</ds:datastoreItem>
</file>

<file path=customXml/itemProps3.xml><?xml version="1.0" encoding="utf-8"?>
<ds:datastoreItem xmlns:ds="http://schemas.openxmlformats.org/officeDocument/2006/customXml" ds:itemID="{D7CDE6C0-21D3-46BC-8610-B797ADA78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DB6BE-3E53-452C-B180-808028B29517}">
  <ds:schemaRefs>
    <ds:schemaRef ds:uri="http://schemas.microsoft.com/sharepoint/events"/>
  </ds:schemaRefs>
</ds:datastoreItem>
</file>

<file path=customXml/itemProps5.xml><?xml version="1.0" encoding="utf-8"?>
<ds:datastoreItem xmlns:ds="http://schemas.openxmlformats.org/officeDocument/2006/customXml" ds:itemID="{65FCA35F-FEBA-4A1A-A365-26A0AEDEBE8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