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charts/chart1.xml" ContentType="application/vnd.openxmlformats-officedocument.drawingml.chart+xml"/>
  <Override PartName="/word/document.xml" ContentType="application/vnd.openxmlformats-officedocument.wordprocessingml.document.main+xml"/>
  <Override PartName="/word/embeddings/Microsoft_Office_Excel_Worksheet1.xlsx" ContentType="application/vnd.openxmlformats-officedocument.spreadsheetml.shee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3.4.0.0 -->
  <w:body>
    <w:p w:rsidR="00552BC9" w:rsidP="00552BC9">
      <w:pPr>
        <w:pStyle w:val="Heading1"/>
        <w:jc w:val="right"/>
        <w:rPr>
          <w:lang w:eastAsia="en-GB"/>
        </w:rPr>
      </w:pPr>
    </w:p>
    <w:p w:rsidR="00165E62" w:rsidRPr="00165E62" w:rsidP="00165E62">
      <w:pPr>
        <w:pStyle w:val="Heading1"/>
        <w:rPr>
          <w:lang w:eastAsia="en-GB"/>
        </w:rPr>
      </w:pPr>
      <w:r>
        <w:rPr>
          <w:lang w:eastAsia="en-GB"/>
        </w:rPr>
        <w:t>Armed Forces Pension &amp; Compensation Schemes</w:t>
      </w:r>
    </w:p>
    <w:p w:rsidR="00165E62" w:rsidP="00165E62">
      <w:pPr>
        <w:pStyle w:val="Heading1"/>
      </w:pPr>
      <w:r>
        <w:t xml:space="preserve">Supplementary </w:t>
      </w:r>
      <w:r w:rsidR="00240C12">
        <w:t>Estimate 2020-21</w:t>
      </w:r>
      <w:r>
        <w:t xml:space="preserve">: Estimates </w:t>
      </w:r>
      <w:r>
        <w:t>M</w:t>
      </w:r>
      <w:r>
        <w:t>emora</w:t>
      </w:r>
      <w:r w:rsidR="00594756">
        <w:t>n</w:t>
      </w:r>
      <w:r>
        <w:t>dum</w:t>
      </w:r>
      <w:r w:rsidR="009C3C20">
        <w:t xml:space="preserve"> </w:t>
      </w:r>
    </w:p>
    <w:p w:rsidR="00FE33BD" w:rsidP="008554A9">
      <w:pPr>
        <w:pStyle w:val="Heading2"/>
      </w:pPr>
    </w:p>
    <w:p w:rsidR="00740C96" w:rsidRPr="00740C96" w:rsidP="00242469">
      <w:pPr>
        <w:pStyle w:val="Heading2"/>
        <w:spacing w:before="0" w:line="240" w:lineRule="auto"/>
      </w:pPr>
      <w:r w:rsidRPr="00740C96">
        <w:t>1</w:t>
      </w:r>
      <w:r w:rsidR="008554A9">
        <w:tab/>
      </w:r>
      <w:r w:rsidRPr="00740C96">
        <w:t>Overview</w:t>
      </w:r>
    </w:p>
    <w:p w:rsidR="00242469" w:rsidRPr="00242469" w:rsidP="00242469">
      <w:pPr>
        <w:pStyle w:val="Heading2"/>
        <w:spacing w:before="0" w:line="240" w:lineRule="auto"/>
        <w:rPr>
          <w:sz w:val="22"/>
          <w:szCs w:val="22"/>
        </w:rPr>
      </w:pPr>
    </w:p>
    <w:p w:rsidR="003325FE" w:rsidP="00242469">
      <w:pPr>
        <w:pStyle w:val="Heading2"/>
        <w:spacing w:before="0" w:line="240" w:lineRule="auto"/>
      </w:pPr>
      <w:r w:rsidRPr="00740C96">
        <w:t>1.1</w:t>
      </w:r>
      <w:r w:rsidR="008554A9">
        <w:t xml:space="preserve"> </w:t>
      </w:r>
      <w:r w:rsidR="008554A9">
        <w:tab/>
        <w:t>Objectives</w:t>
      </w:r>
    </w:p>
    <w:p w:rsidR="00B03064" w:rsidRPr="00242469" w:rsidP="00242469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</w:rPr>
      </w:pPr>
    </w:p>
    <w:p w:rsidR="00B03064" w:rsidRPr="00B03064" w:rsidP="00242469">
      <w:pPr>
        <w:autoSpaceDE w:val="0"/>
        <w:autoSpaceDN w:val="0"/>
        <w:adjustRightInd w:val="0"/>
        <w:spacing w:after="0" w:line="240" w:lineRule="auto"/>
      </w:pPr>
      <w:r w:rsidRPr="00B03064">
        <w:t xml:space="preserve">The </w:t>
      </w:r>
      <w:r w:rsidR="00242469">
        <w:t xml:space="preserve">Armed Forces Pension Scheme (AFPS), incorporating the Armed Forces Compensation Scheme (AFCS), </w:t>
      </w:r>
      <w:r w:rsidRPr="00B03064">
        <w:t>is an unfunded defined benefit scheme, in which payments to pensioners are funded by</w:t>
      </w:r>
      <w:r w:rsidR="00242469">
        <w:t xml:space="preserve"> employer </w:t>
      </w:r>
      <w:r w:rsidRPr="00B03064">
        <w:t xml:space="preserve">contributions, with the shortfall being financed by the Exchequer. </w:t>
      </w:r>
      <w:r w:rsidR="00242469">
        <w:t xml:space="preserve">The AFPS is free to its members, </w:t>
      </w:r>
      <w:r w:rsidR="00292E93">
        <w:t xml:space="preserve">and </w:t>
      </w:r>
      <w:r w:rsidR="00242469">
        <w:t>therefore, the scheme receives no employee contributions. The AFCS</w:t>
      </w:r>
      <w:r w:rsidR="00D42094">
        <w:t xml:space="preserve"> provides compensation for </w:t>
      </w:r>
      <w:r w:rsidR="00242469">
        <w:t>injury, illness and death that are caused by service on or after 6 April 2005</w:t>
      </w:r>
      <w:r w:rsidR="00D42094">
        <w:t xml:space="preserve">. </w:t>
      </w:r>
      <w:r w:rsidR="00242469">
        <w:t xml:space="preserve"> </w:t>
      </w:r>
    </w:p>
    <w:p w:rsidR="00242469" w:rsidRPr="00242469" w:rsidP="00242469">
      <w:pPr>
        <w:pStyle w:val="Heading2"/>
        <w:spacing w:before="0" w:line="240" w:lineRule="auto"/>
        <w:rPr>
          <w:sz w:val="22"/>
          <w:szCs w:val="22"/>
        </w:rPr>
      </w:pPr>
    </w:p>
    <w:p w:rsidR="00DE2997" w:rsidP="00242469">
      <w:pPr>
        <w:pStyle w:val="Heading2"/>
        <w:spacing w:before="0" w:line="240" w:lineRule="auto"/>
      </w:pPr>
      <w:r>
        <w:t>1.</w:t>
      </w:r>
      <w:r w:rsidR="007B4F10">
        <w:t>2</w:t>
      </w:r>
      <w:r w:rsidR="00F94CBD">
        <w:t xml:space="preserve"> </w:t>
      </w:r>
      <w:r w:rsidR="00B81F8C">
        <w:tab/>
      </w:r>
      <w:r w:rsidR="00F94CBD">
        <w:t>Spending controls</w:t>
      </w:r>
    </w:p>
    <w:p w:rsidR="00242469" w:rsidP="00242469">
      <w:pPr>
        <w:autoSpaceDE w:val="0"/>
        <w:autoSpaceDN w:val="0"/>
        <w:adjustRightInd w:val="0"/>
        <w:spacing w:after="0" w:line="240" w:lineRule="auto"/>
      </w:pPr>
    </w:p>
    <w:p w:rsidR="008350FA" w:rsidP="00292E93">
      <w:pPr>
        <w:autoSpaceDE w:val="0"/>
        <w:autoSpaceDN w:val="0"/>
        <w:adjustRightInd w:val="0"/>
        <w:spacing w:after="0" w:line="240" w:lineRule="auto"/>
      </w:pPr>
      <w:r>
        <w:t>T</w:t>
      </w:r>
      <w:r w:rsidRPr="00B03064" w:rsidR="006A4378">
        <w:t xml:space="preserve">he </w:t>
      </w:r>
      <w:r w:rsidR="00D42094">
        <w:t>AFPS</w:t>
      </w:r>
      <w:r w:rsidRPr="00B03064" w:rsidR="006A4378">
        <w:t xml:space="preserve"> budgets are not subject to </w:t>
      </w:r>
      <w:r w:rsidR="00D42094">
        <w:t>pre-set D</w:t>
      </w:r>
      <w:r w:rsidR="002345CD">
        <w:t>epar</w:t>
      </w:r>
      <w:r w:rsidRPr="00B03064" w:rsidR="006A4378">
        <w:t xml:space="preserve">tmental Expenditure Limit (DEL) control totals; they sit within </w:t>
      </w:r>
      <w:r w:rsidR="002345CD">
        <w:t xml:space="preserve">a category of spending known as Resource </w:t>
      </w:r>
      <w:r w:rsidRPr="00B03064" w:rsidR="006A4378">
        <w:t>Annually Manag</w:t>
      </w:r>
      <w:r w:rsidR="002345CD">
        <w:t>ed Expenditure (AME), which can be revised and reforecast regularly.</w:t>
      </w:r>
      <w:r w:rsidRPr="008350FA">
        <w:t xml:space="preserve"> </w:t>
      </w:r>
      <w:r>
        <w:t>This is because net expenditure and cash payments</w:t>
      </w:r>
      <w:r w:rsidRPr="00B03064">
        <w:t xml:space="preserve"> are </w:t>
      </w:r>
      <w:r>
        <w:t xml:space="preserve">largely </w:t>
      </w:r>
      <w:r w:rsidRPr="00B03064">
        <w:t xml:space="preserve">outside the control of the </w:t>
      </w:r>
      <w:r>
        <w:t>scheme administrators on a day to day basis</w:t>
      </w:r>
      <w:r w:rsidRPr="00B03064">
        <w:t xml:space="preserve">, </w:t>
      </w:r>
      <w:r>
        <w:t xml:space="preserve">instead being affected by factors such as </w:t>
      </w:r>
      <w:r w:rsidRPr="00B03064">
        <w:t xml:space="preserve">membership numbers; salary levels; mortality rates; the age profile of members, and annual pension increases. </w:t>
      </w:r>
    </w:p>
    <w:p w:rsidR="006A4378" w:rsidP="00292E93">
      <w:pPr>
        <w:autoSpaceDE w:val="0"/>
        <w:autoSpaceDN w:val="0"/>
        <w:adjustRightInd w:val="0"/>
        <w:spacing w:after="0" w:line="240" w:lineRule="auto"/>
      </w:pPr>
    </w:p>
    <w:p w:rsidR="0089524C" w:rsidP="00292E93">
      <w:pPr>
        <w:autoSpaceDE w:val="0"/>
        <w:autoSpaceDN w:val="0"/>
        <w:adjustRightInd w:val="0"/>
        <w:spacing w:after="0" w:line="240" w:lineRule="auto"/>
      </w:pPr>
      <w:r>
        <w:t xml:space="preserve">The </w:t>
      </w:r>
      <w:r w:rsidRPr="00292E93">
        <w:rPr>
          <w:b/>
        </w:rPr>
        <w:t>Resource AME</w:t>
      </w:r>
      <w:r w:rsidRPr="0089524C">
        <w:t xml:space="preserve"> </w:t>
      </w:r>
      <w:r>
        <w:t>sought under the</w:t>
      </w:r>
      <w:r w:rsidR="00292E93">
        <w:t xml:space="preserve"> AFPS</w:t>
      </w:r>
      <w:r>
        <w:t xml:space="preserve"> Estimate is essentially the amount by which l</w:t>
      </w:r>
      <w:r w:rsidR="002F4329">
        <w:t>i</w:t>
      </w:r>
      <w:r>
        <w:t xml:space="preserve">abilities under the pension scheme are estimated to increase during the year, less the contributions paid by employer </w:t>
      </w:r>
      <w:r w:rsidR="002F4329">
        <w:t>towards those liabilities.</w:t>
      </w:r>
    </w:p>
    <w:p w:rsidR="0089524C" w:rsidP="00292E93">
      <w:pPr>
        <w:autoSpaceDE w:val="0"/>
        <w:autoSpaceDN w:val="0"/>
        <w:adjustRightInd w:val="0"/>
        <w:spacing w:after="0" w:line="240" w:lineRule="auto"/>
      </w:pPr>
    </w:p>
    <w:p w:rsidR="0089524C" w:rsidP="00292E93">
      <w:pPr>
        <w:autoSpaceDE w:val="0"/>
        <w:autoSpaceDN w:val="0"/>
        <w:adjustRightInd w:val="0"/>
        <w:spacing w:after="0" w:line="240" w:lineRule="auto"/>
      </w:pPr>
      <w:r>
        <w:t>In addition, t</w:t>
      </w:r>
      <w:r>
        <w:t xml:space="preserve">he </w:t>
      </w:r>
      <w:r w:rsidRPr="00727292">
        <w:rPr>
          <w:b/>
        </w:rPr>
        <w:t>net cash requirement</w:t>
      </w:r>
      <w:r>
        <w:t xml:space="preserve"> represents the estimated </w:t>
      </w:r>
      <w:r w:rsidR="006029FB">
        <w:t xml:space="preserve">net </w:t>
      </w:r>
      <w:r>
        <w:t xml:space="preserve">cash </w:t>
      </w:r>
      <w:r>
        <w:t xml:space="preserve">required for the year to cover </w:t>
      </w:r>
      <w:r>
        <w:t>payments of pensions</w:t>
      </w:r>
      <w:r w:rsidR="006029FB">
        <w:t xml:space="preserve">, </w:t>
      </w:r>
      <w:r>
        <w:t>after taking account of estimated</w:t>
      </w:r>
      <w:r w:rsidR="006029FB">
        <w:t xml:space="preserve"> contributions and transfer values paid in</w:t>
      </w:r>
      <w:r>
        <w:t xml:space="preserve">. Over time, these amounts are intended to balance, but in a particular year they will not.  A negative value means that more is forecast to be received than paid in year. </w:t>
      </w:r>
    </w:p>
    <w:p w:rsidR="0089524C" w:rsidP="0089524C">
      <w:pPr>
        <w:autoSpaceDE w:val="0"/>
        <w:autoSpaceDN w:val="0"/>
        <w:adjustRightInd w:val="0"/>
        <w:spacing w:after="51" w:line="240" w:lineRule="auto"/>
      </w:pPr>
    </w:p>
    <w:p w:rsidR="00F94CBD" w:rsidP="004F488A">
      <w:pPr>
        <w:pStyle w:val="Heading2"/>
        <w:spacing w:before="0" w:line="240" w:lineRule="auto"/>
      </w:pPr>
      <w:r>
        <w:t>1.</w:t>
      </w:r>
      <w:r w:rsidR="000E6018">
        <w:t>3</w:t>
      </w:r>
      <w:r>
        <w:t xml:space="preserve"> </w:t>
      </w:r>
      <w:r w:rsidR="00B81F8C">
        <w:tab/>
      </w:r>
      <w:r w:rsidR="00BA4D39">
        <w:t xml:space="preserve">Comparison of </w:t>
      </w:r>
      <w:r w:rsidR="004F1E1B">
        <w:t xml:space="preserve">net </w:t>
      </w:r>
      <w:r w:rsidR="00BA4D39">
        <w:t xml:space="preserve">spending totals sought </w:t>
      </w:r>
    </w:p>
    <w:p w:rsidR="004F488A" w:rsidP="004F488A">
      <w:pPr>
        <w:shd w:val="clear" w:color="auto" w:fill="FFFFFF"/>
        <w:spacing w:after="0" w:line="240" w:lineRule="auto"/>
        <w:rPr>
          <w:noProof/>
        </w:rPr>
      </w:pPr>
    </w:p>
    <w:p w:rsidR="00416336" w:rsidP="004F488A">
      <w:pPr>
        <w:shd w:val="clear" w:color="auto" w:fill="FFFFFF"/>
        <w:spacing w:after="0" w:line="240" w:lineRule="auto"/>
        <w:rPr>
          <w:noProof/>
        </w:rPr>
      </w:pPr>
      <w:r>
        <w:rPr>
          <w:noProof/>
        </w:rPr>
        <w:t xml:space="preserve">The table below show how the totals sought for </w:t>
      </w:r>
      <w:r w:rsidR="002345CD">
        <w:rPr>
          <w:noProof/>
        </w:rPr>
        <w:t xml:space="preserve">the </w:t>
      </w:r>
      <w:r w:rsidR="004F488A">
        <w:rPr>
          <w:noProof/>
        </w:rPr>
        <w:t xml:space="preserve">AFPS </w:t>
      </w:r>
      <w:r>
        <w:rPr>
          <w:noProof/>
        </w:rPr>
        <w:t>compare</w:t>
      </w:r>
      <w:r w:rsidR="00DF4F0E">
        <w:rPr>
          <w:noProof/>
        </w:rPr>
        <w:t>s</w:t>
      </w:r>
      <w:r>
        <w:rPr>
          <w:noProof/>
        </w:rPr>
        <w:t xml:space="preserve"> with last year:</w:t>
      </w:r>
    </w:p>
    <w:p w:rsidR="004F488A" w:rsidP="004F488A">
      <w:pPr>
        <w:shd w:val="clear" w:color="auto" w:fill="FFFFFF"/>
        <w:spacing w:after="0" w:line="240" w:lineRule="auto"/>
        <w:rPr>
          <w:noProof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625"/>
        <w:gridCol w:w="1402"/>
        <w:gridCol w:w="1549"/>
        <w:gridCol w:w="1402"/>
        <w:gridCol w:w="1637"/>
        <w:gridCol w:w="1401"/>
      </w:tblGrid>
      <w:tr w:rsidTr="004F488A">
        <w:tblPrEx>
          <w:tblW w:w="0" w:type="auto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/>
        </w:tblPrEx>
        <w:trPr>
          <w:trHeight w:val="1248"/>
        </w:trPr>
        <w:tc>
          <w:tcPr>
            <w:tcW w:w="3027" w:type="dxa"/>
            <w:gridSpan w:val="2"/>
            <w:vMerge w:val="restart"/>
          </w:tcPr>
          <w:p w:rsidR="00E60D27" w:rsidRPr="00240C12" w:rsidP="00740C96">
            <w:pPr>
              <w:rPr>
                <w:b/>
              </w:rPr>
            </w:pPr>
            <w:r w:rsidRPr="00240C12">
              <w:rPr>
                <w:b/>
              </w:rPr>
              <w:t xml:space="preserve">Net </w:t>
            </w:r>
            <w:r w:rsidRPr="00240C12">
              <w:rPr>
                <w:b/>
              </w:rPr>
              <w:t>Spending total</w:t>
            </w:r>
          </w:p>
          <w:p w:rsidR="00E60D27" w:rsidRPr="00240C12" w:rsidP="00740C96">
            <w:pPr>
              <w:rPr>
                <w:b/>
              </w:rPr>
            </w:pPr>
            <w:r w:rsidRPr="00240C12">
              <w:rPr>
                <w:b/>
              </w:rPr>
              <w:t>Amounts sought</w:t>
            </w:r>
            <w:r w:rsidRPr="00240C12" w:rsidR="00131CDE">
              <w:rPr>
                <w:b/>
              </w:rPr>
              <w:t xml:space="preserve"> this year</w:t>
            </w:r>
          </w:p>
          <w:p w:rsidR="004F488A" w:rsidRPr="00240C12" w:rsidP="00740C96">
            <w:pPr>
              <w:rPr>
                <w:rFonts w:ascii="Verdana" w:hAnsi="Verdana"/>
                <w:b/>
                <w:color w:val="333333"/>
                <w:sz w:val="19"/>
                <w:szCs w:val="19"/>
              </w:rPr>
            </w:pPr>
            <w:r w:rsidRPr="00240C12">
              <w:rPr>
                <w:b/>
              </w:rPr>
              <w:t>(Supplementary Estimate 2020-21</w:t>
            </w:r>
            <w:r w:rsidRPr="00240C12">
              <w:rPr>
                <w:b/>
              </w:rPr>
              <w:t>)</w:t>
            </w:r>
          </w:p>
        </w:tc>
        <w:tc>
          <w:tcPr>
            <w:tcW w:w="2951" w:type="dxa"/>
            <w:gridSpan w:val="2"/>
          </w:tcPr>
          <w:p w:rsidR="004F488A" w:rsidRPr="00240C12" w:rsidP="004F488A">
            <w:pPr>
              <w:rPr>
                <w:b/>
              </w:rPr>
            </w:pPr>
            <w:r w:rsidRPr="00240C12">
              <w:rPr>
                <w:b/>
              </w:rPr>
              <w:t xml:space="preserve">Compared to original budget </w:t>
            </w:r>
            <w:r w:rsidRPr="00240C12" w:rsidR="00B81F8C">
              <w:rPr>
                <w:b/>
              </w:rPr>
              <w:t>this</w:t>
            </w:r>
            <w:r w:rsidRPr="00240C12">
              <w:rPr>
                <w:b/>
              </w:rPr>
              <w:t xml:space="preserve"> year </w:t>
            </w:r>
          </w:p>
          <w:p w:rsidR="00E60D27" w:rsidRPr="00240C12" w:rsidP="004F488A">
            <w:pPr>
              <w:rPr>
                <w:rFonts w:ascii="Verdana" w:hAnsi="Verdana"/>
                <w:b/>
                <w:color w:val="333333"/>
                <w:sz w:val="19"/>
                <w:szCs w:val="19"/>
              </w:rPr>
            </w:pPr>
            <w:r w:rsidRPr="00240C12">
              <w:rPr>
                <w:b/>
              </w:rPr>
              <w:t>(Main Estimate 2020-21</w:t>
            </w:r>
            <w:r w:rsidRPr="00240C12" w:rsidR="004F488A">
              <w:rPr>
                <w:b/>
              </w:rPr>
              <w:t>)</w:t>
            </w:r>
          </w:p>
        </w:tc>
        <w:tc>
          <w:tcPr>
            <w:tcW w:w="3038" w:type="dxa"/>
            <w:gridSpan w:val="2"/>
          </w:tcPr>
          <w:p w:rsidR="004F488A" w:rsidRPr="00240C12" w:rsidP="00740C96">
            <w:pPr>
              <w:rPr>
                <w:b/>
              </w:rPr>
            </w:pPr>
            <w:r w:rsidRPr="00240C12">
              <w:rPr>
                <w:b/>
              </w:rPr>
              <w:t xml:space="preserve">Compared to </w:t>
            </w:r>
            <w:r w:rsidRPr="00240C12">
              <w:rPr>
                <w:b/>
              </w:rPr>
              <w:t xml:space="preserve">final outturn </w:t>
            </w:r>
            <w:r w:rsidRPr="00240C12" w:rsidR="00416336">
              <w:rPr>
                <w:b/>
              </w:rPr>
              <w:t xml:space="preserve">last year </w:t>
            </w:r>
          </w:p>
          <w:p w:rsidR="00E60D27" w:rsidRPr="00240C12" w:rsidP="00740C96">
            <w:pPr>
              <w:rPr>
                <w:rFonts w:ascii="Verdana" w:hAnsi="Verdana"/>
                <w:b/>
                <w:color w:val="333333"/>
                <w:sz w:val="19"/>
                <w:szCs w:val="19"/>
              </w:rPr>
            </w:pPr>
            <w:r w:rsidRPr="00240C12">
              <w:rPr>
                <w:b/>
              </w:rPr>
              <w:t>(</w:t>
            </w:r>
            <w:r w:rsidRPr="00240C12" w:rsidR="004F488A">
              <w:rPr>
                <w:b/>
              </w:rPr>
              <w:t>Final Outturn 201</w:t>
            </w:r>
            <w:r w:rsidRPr="00240C12" w:rsidR="00240C12">
              <w:rPr>
                <w:b/>
              </w:rPr>
              <w:t>9-20</w:t>
            </w:r>
            <w:r w:rsidRPr="00240C12">
              <w:rPr>
                <w:b/>
              </w:rPr>
              <w:t>)</w:t>
            </w:r>
            <w:r w:rsidRPr="00240C12">
              <w:rPr>
                <w:rFonts w:ascii="Verdana" w:hAnsi="Verdana"/>
                <w:b/>
                <w:color w:val="333333"/>
                <w:sz w:val="19"/>
                <w:szCs w:val="19"/>
              </w:rPr>
              <w:t xml:space="preserve"> </w:t>
            </w:r>
          </w:p>
        </w:tc>
      </w:tr>
      <w:tr w:rsidTr="00255E39">
        <w:tblPrEx>
          <w:tblW w:w="0" w:type="auto"/>
          <w:tblLook w:val="04A0"/>
        </w:tblPrEx>
        <w:tc>
          <w:tcPr>
            <w:tcW w:w="3027" w:type="dxa"/>
            <w:gridSpan w:val="2"/>
            <w:vMerge/>
          </w:tcPr>
          <w:p w:rsidR="00E60D27" w:rsidRPr="00240C12" w:rsidP="00740C96">
            <w:pPr>
              <w:rPr>
                <w:rFonts w:ascii="Verdana" w:hAnsi="Verdana"/>
                <w:color w:val="333333"/>
                <w:sz w:val="19"/>
                <w:szCs w:val="19"/>
              </w:rPr>
            </w:pPr>
          </w:p>
        </w:tc>
        <w:tc>
          <w:tcPr>
            <w:tcW w:w="1549" w:type="dxa"/>
          </w:tcPr>
          <w:p w:rsidR="00E60D27" w:rsidRPr="00240C12" w:rsidP="00740C96">
            <w:pPr>
              <w:rPr>
                <w:rFonts w:ascii="Verdana" w:hAnsi="Verdana"/>
                <w:color w:val="333333"/>
                <w:sz w:val="19"/>
                <w:szCs w:val="19"/>
              </w:rPr>
            </w:pPr>
            <w:r w:rsidRPr="00240C12">
              <w:rPr>
                <w:rFonts w:ascii="Verdana" w:hAnsi="Verdana"/>
                <w:b/>
                <w:color w:val="333333"/>
                <w:sz w:val="19"/>
                <w:szCs w:val="19"/>
              </w:rPr>
              <w:t>£ m</w:t>
            </w:r>
          </w:p>
        </w:tc>
        <w:tc>
          <w:tcPr>
            <w:tcW w:w="1402" w:type="dxa"/>
          </w:tcPr>
          <w:p w:rsidR="00E60D27" w:rsidRPr="00240C12" w:rsidP="00740C96">
            <w:pPr>
              <w:rPr>
                <w:rFonts w:ascii="Verdana" w:hAnsi="Verdana"/>
                <w:color w:val="333333"/>
                <w:sz w:val="19"/>
                <w:szCs w:val="19"/>
              </w:rPr>
            </w:pPr>
            <w:r w:rsidRPr="00240C12">
              <w:rPr>
                <w:rFonts w:ascii="Verdana" w:hAnsi="Verdana"/>
                <w:b/>
                <w:color w:val="333333"/>
                <w:sz w:val="19"/>
                <w:szCs w:val="19"/>
              </w:rPr>
              <w:t>%</w:t>
            </w:r>
          </w:p>
        </w:tc>
        <w:tc>
          <w:tcPr>
            <w:tcW w:w="1637" w:type="dxa"/>
          </w:tcPr>
          <w:p w:rsidR="00E60D27" w:rsidRPr="00240C12" w:rsidP="00740C96">
            <w:pPr>
              <w:rPr>
                <w:rFonts w:ascii="Verdana" w:hAnsi="Verdana"/>
                <w:color w:val="333333"/>
                <w:sz w:val="19"/>
                <w:szCs w:val="19"/>
              </w:rPr>
            </w:pPr>
            <w:r w:rsidRPr="00240C12">
              <w:rPr>
                <w:rFonts w:ascii="Verdana" w:hAnsi="Verdana"/>
                <w:b/>
                <w:color w:val="333333"/>
                <w:sz w:val="19"/>
                <w:szCs w:val="19"/>
              </w:rPr>
              <w:t>£m</w:t>
            </w:r>
          </w:p>
        </w:tc>
        <w:tc>
          <w:tcPr>
            <w:tcW w:w="1401" w:type="dxa"/>
          </w:tcPr>
          <w:p w:rsidR="00E60D27" w:rsidRPr="00240C12" w:rsidP="00740C96">
            <w:pPr>
              <w:rPr>
                <w:rFonts w:ascii="Verdana" w:hAnsi="Verdana"/>
                <w:color w:val="333333"/>
                <w:sz w:val="19"/>
                <w:szCs w:val="19"/>
              </w:rPr>
            </w:pPr>
            <w:r w:rsidRPr="00240C12">
              <w:rPr>
                <w:rFonts w:ascii="Verdana" w:hAnsi="Verdana"/>
                <w:b/>
                <w:color w:val="333333"/>
                <w:sz w:val="19"/>
                <w:szCs w:val="19"/>
              </w:rPr>
              <w:t>%</w:t>
            </w:r>
          </w:p>
        </w:tc>
      </w:tr>
      <w:tr w:rsidTr="00255E39">
        <w:tblPrEx>
          <w:tblW w:w="0" w:type="auto"/>
          <w:tblLook w:val="04A0"/>
        </w:tblPrEx>
        <w:tc>
          <w:tcPr>
            <w:tcW w:w="1625" w:type="dxa"/>
          </w:tcPr>
          <w:p w:rsidR="00556F9F" w:rsidRPr="00BE690E" w:rsidP="00556F9F">
            <w:pPr>
              <w:rPr>
                <w:rFonts w:ascii="Verdana" w:hAnsi="Verdana"/>
                <w:color w:val="333333"/>
                <w:sz w:val="19"/>
                <w:szCs w:val="19"/>
              </w:rPr>
            </w:pPr>
            <w:r w:rsidRPr="00BE690E">
              <w:rPr>
                <w:rFonts w:ascii="Verdana" w:hAnsi="Verdana"/>
                <w:color w:val="333333"/>
                <w:sz w:val="19"/>
                <w:szCs w:val="19"/>
              </w:rPr>
              <w:t>Resource AME</w:t>
            </w:r>
          </w:p>
        </w:tc>
        <w:tc>
          <w:tcPr>
            <w:tcW w:w="1402" w:type="dxa"/>
          </w:tcPr>
          <w:p w:rsidR="00556F9F" w:rsidRPr="00BE690E" w:rsidP="00556F9F">
            <w:pPr>
              <w:rPr>
                <w:rFonts w:ascii="Verdana" w:hAnsi="Verdana"/>
                <w:color w:val="333333"/>
                <w:sz w:val="19"/>
                <w:szCs w:val="19"/>
              </w:rPr>
            </w:pPr>
            <w:r w:rsidRPr="00BE690E">
              <w:rPr>
                <w:rFonts w:ascii="Verdana" w:hAnsi="Verdana"/>
                <w:color w:val="333333"/>
                <w:sz w:val="19"/>
                <w:szCs w:val="19"/>
              </w:rPr>
              <w:t>£</w:t>
            </w:r>
            <w:r w:rsidR="00692C60">
              <w:rPr>
                <w:rFonts w:ascii="Verdana" w:hAnsi="Verdana"/>
                <w:color w:val="333333"/>
                <w:sz w:val="19"/>
                <w:szCs w:val="19"/>
              </w:rPr>
              <w:t>6,782.0</w:t>
            </w:r>
            <w:r w:rsidRPr="00BE690E">
              <w:rPr>
                <w:rFonts w:ascii="Verdana" w:hAnsi="Verdana"/>
                <w:color w:val="333333"/>
                <w:sz w:val="19"/>
                <w:szCs w:val="19"/>
              </w:rPr>
              <w:t>m</w:t>
            </w:r>
          </w:p>
        </w:tc>
        <w:tc>
          <w:tcPr>
            <w:tcW w:w="1549" w:type="dxa"/>
          </w:tcPr>
          <w:p w:rsidR="00556F9F" w:rsidRPr="00BE690E" w:rsidP="00556F9F">
            <w:pPr>
              <w:rPr>
                <w:rFonts w:ascii="Verdana" w:hAnsi="Verdana"/>
                <w:color w:val="333333"/>
                <w:sz w:val="19"/>
                <w:szCs w:val="19"/>
              </w:rPr>
            </w:pPr>
            <w:r w:rsidRPr="00BE690E">
              <w:rPr>
                <w:rFonts w:ascii="Verdana" w:hAnsi="Verdana"/>
                <w:color w:val="333333"/>
                <w:sz w:val="19"/>
                <w:szCs w:val="19"/>
              </w:rPr>
              <w:t>+</w:t>
            </w:r>
            <w:r w:rsidRPr="00BE690E" w:rsidR="00305DC2">
              <w:rPr>
                <w:rFonts w:ascii="Verdana" w:hAnsi="Verdana"/>
                <w:color w:val="333333"/>
                <w:sz w:val="19"/>
                <w:szCs w:val="19"/>
              </w:rPr>
              <w:t>£</w:t>
            </w:r>
            <w:r w:rsidRPr="00BE690E" w:rsidR="00BE690E">
              <w:rPr>
                <w:rFonts w:ascii="Verdana" w:hAnsi="Verdana"/>
                <w:color w:val="333333"/>
                <w:sz w:val="19"/>
                <w:szCs w:val="19"/>
              </w:rPr>
              <w:t>100</w:t>
            </w:r>
            <w:r w:rsidRPr="00BE690E">
              <w:rPr>
                <w:rFonts w:ascii="Verdana" w:hAnsi="Verdana"/>
                <w:color w:val="333333"/>
                <w:sz w:val="19"/>
                <w:szCs w:val="19"/>
              </w:rPr>
              <w:t>.0</w:t>
            </w:r>
            <w:r w:rsidRPr="00BE690E">
              <w:rPr>
                <w:rFonts w:ascii="Verdana" w:hAnsi="Verdana"/>
                <w:color w:val="333333"/>
                <w:sz w:val="19"/>
                <w:szCs w:val="19"/>
              </w:rPr>
              <w:t>m</w:t>
            </w:r>
          </w:p>
        </w:tc>
        <w:tc>
          <w:tcPr>
            <w:tcW w:w="1402" w:type="dxa"/>
          </w:tcPr>
          <w:p w:rsidR="00556F9F" w:rsidRPr="00BE690E" w:rsidP="00556F9F">
            <w:pPr>
              <w:rPr>
                <w:rFonts w:ascii="Verdana" w:hAnsi="Verdana"/>
                <w:color w:val="333333"/>
                <w:sz w:val="19"/>
                <w:szCs w:val="19"/>
              </w:rPr>
            </w:pPr>
            <w:r w:rsidRPr="00BE690E">
              <w:rPr>
                <w:rFonts w:ascii="Verdana" w:hAnsi="Verdana"/>
                <w:color w:val="333333"/>
                <w:sz w:val="19"/>
                <w:szCs w:val="19"/>
              </w:rPr>
              <w:t>+</w:t>
            </w:r>
            <w:r w:rsidRPr="00BE690E" w:rsidR="00BE690E">
              <w:rPr>
                <w:rFonts w:ascii="Verdana" w:hAnsi="Verdana"/>
                <w:color w:val="333333"/>
                <w:sz w:val="19"/>
                <w:szCs w:val="19"/>
              </w:rPr>
              <w:t>1.50</w:t>
            </w:r>
            <w:r w:rsidRPr="00BE690E">
              <w:rPr>
                <w:rFonts w:ascii="Verdana" w:hAnsi="Verdana"/>
                <w:color w:val="333333"/>
                <w:sz w:val="19"/>
                <w:szCs w:val="19"/>
              </w:rPr>
              <w:t>%</w:t>
            </w:r>
          </w:p>
        </w:tc>
        <w:tc>
          <w:tcPr>
            <w:tcW w:w="1637" w:type="dxa"/>
          </w:tcPr>
          <w:p w:rsidR="00556F9F" w:rsidRPr="00BE690E" w:rsidP="00556F9F">
            <w:pPr>
              <w:rPr>
                <w:rFonts w:ascii="Verdana" w:hAnsi="Verdana"/>
                <w:color w:val="333333"/>
                <w:sz w:val="19"/>
                <w:szCs w:val="19"/>
              </w:rPr>
            </w:pPr>
            <w:r w:rsidRPr="00BE690E">
              <w:rPr>
                <w:rFonts w:ascii="Verdana" w:hAnsi="Verdana"/>
                <w:color w:val="333333"/>
                <w:sz w:val="19"/>
                <w:szCs w:val="19"/>
              </w:rPr>
              <w:t>-</w:t>
            </w:r>
            <w:r w:rsidR="00692C60">
              <w:rPr>
                <w:rFonts w:ascii="Verdana" w:hAnsi="Verdana"/>
                <w:color w:val="333333"/>
                <w:sz w:val="19"/>
                <w:szCs w:val="19"/>
              </w:rPr>
              <w:t>65.7</w:t>
            </w:r>
            <w:r w:rsidRPr="00BE690E">
              <w:rPr>
                <w:rFonts w:ascii="Verdana" w:hAnsi="Verdana"/>
                <w:color w:val="333333"/>
                <w:sz w:val="19"/>
                <w:szCs w:val="19"/>
              </w:rPr>
              <w:t>m</w:t>
            </w:r>
          </w:p>
        </w:tc>
        <w:tc>
          <w:tcPr>
            <w:tcW w:w="1401" w:type="dxa"/>
          </w:tcPr>
          <w:p w:rsidR="00556F9F" w:rsidRPr="00BE690E" w:rsidP="00556F9F">
            <w:pPr>
              <w:rPr>
                <w:rFonts w:ascii="Verdana" w:hAnsi="Verdana"/>
                <w:color w:val="333333"/>
                <w:sz w:val="19"/>
                <w:szCs w:val="19"/>
              </w:rPr>
            </w:pPr>
            <w:r>
              <w:rPr>
                <w:rFonts w:ascii="Verdana" w:hAnsi="Verdana"/>
                <w:color w:val="333333"/>
                <w:sz w:val="19"/>
                <w:szCs w:val="19"/>
              </w:rPr>
              <w:t>-0.96</w:t>
            </w:r>
            <w:r w:rsidRPr="00BE690E" w:rsidR="00C3537C">
              <w:rPr>
                <w:rFonts w:ascii="Verdana" w:hAnsi="Verdana"/>
                <w:color w:val="333333"/>
                <w:sz w:val="19"/>
                <w:szCs w:val="19"/>
              </w:rPr>
              <w:t>%</w:t>
            </w:r>
          </w:p>
        </w:tc>
      </w:tr>
    </w:tbl>
    <w:p w:rsidR="007A13B5" w:rsidP="007A13B5">
      <w:pPr>
        <w:shd w:val="clear" w:color="auto" w:fill="FFFFFF"/>
        <w:spacing w:after="0" w:line="240" w:lineRule="auto"/>
        <w:rPr>
          <w:noProof/>
        </w:rPr>
      </w:pPr>
    </w:p>
    <w:p w:rsidR="004F488A" w:rsidP="007A13B5">
      <w:pPr>
        <w:shd w:val="clear" w:color="auto" w:fill="FFFFFF"/>
        <w:spacing w:after="0" w:line="240" w:lineRule="auto"/>
        <w:rPr>
          <w:rFonts w:ascii="Verdana" w:eastAsia="Times New Roman" w:hAnsi="Verdana" w:cs="Times New Roman"/>
          <w:i/>
          <w:color w:val="333333"/>
          <w:sz w:val="19"/>
          <w:szCs w:val="19"/>
          <w:lang w:eastAsia="en-GB"/>
        </w:rPr>
      </w:pPr>
      <w:r>
        <w:rPr>
          <w:noProof/>
        </w:rPr>
        <w:t xml:space="preserve">Note, there is no change to the </w:t>
      </w:r>
      <w:r w:rsidRPr="007A13B5">
        <w:rPr>
          <w:b/>
          <w:noProof/>
        </w:rPr>
        <w:t>net cash requirement</w:t>
      </w:r>
      <w:r w:rsidR="007A13B5">
        <w:rPr>
          <w:noProof/>
        </w:rPr>
        <w:t>.</w:t>
      </w:r>
    </w:p>
    <w:p w:rsidR="00252CE2" w:rsidP="00B81F8C">
      <w:pPr>
        <w:pStyle w:val="Heading2"/>
        <w:spacing w:before="0" w:line="240" w:lineRule="auto"/>
      </w:pPr>
    </w:p>
    <w:p w:rsidR="009713AF" w:rsidRPr="009713AF" w:rsidP="009713AF"/>
    <w:p w:rsidR="00DD6E46" w:rsidP="00EE439C">
      <w:pPr>
        <w:pStyle w:val="Heading2"/>
        <w:numPr>
          <w:ilvl w:val="1"/>
          <w:numId w:val="40"/>
        </w:numPr>
        <w:spacing w:before="0" w:line="240" w:lineRule="auto"/>
      </w:pPr>
      <w:r>
        <w:t xml:space="preserve">      </w:t>
      </w:r>
      <w:r>
        <w:t>Key drivers of spending changes</w:t>
      </w:r>
      <w:r w:rsidR="00FD38EB">
        <w:t xml:space="preserve"> since last year</w:t>
      </w:r>
    </w:p>
    <w:p w:rsidR="00DF4F0E" w:rsidP="00B81F8C">
      <w:pPr>
        <w:spacing w:after="0" w:line="240" w:lineRule="auto"/>
        <w:rPr>
          <w:lang w:eastAsia="en-GB"/>
        </w:rPr>
      </w:pPr>
    </w:p>
    <w:p w:rsidR="00767F1C" w:rsidP="00767F1C">
      <w:pPr>
        <w:spacing w:after="0" w:line="240" w:lineRule="auto"/>
        <w:rPr>
          <w:lang w:eastAsia="en-GB"/>
        </w:rPr>
      </w:pPr>
      <w:r>
        <w:rPr>
          <w:lang w:eastAsia="en-GB"/>
        </w:rPr>
        <w:t xml:space="preserve">The provision sought under Resource AME is </w:t>
      </w:r>
      <w:r w:rsidR="00B81F8C">
        <w:rPr>
          <w:lang w:eastAsia="en-GB"/>
        </w:rPr>
        <w:t xml:space="preserve">higher than the original budget </w:t>
      </w:r>
      <w:r w:rsidR="00240C12">
        <w:rPr>
          <w:lang w:eastAsia="en-GB"/>
        </w:rPr>
        <w:t>for this year (Main Estimate 2020-21</w:t>
      </w:r>
      <w:r>
        <w:rPr>
          <w:lang w:eastAsia="en-GB"/>
        </w:rPr>
        <w:t xml:space="preserve">) </w:t>
      </w:r>
      <w:r w:rsidRPr="00692C60">
        <w:rPr>
          <w:lang w:eastAsia="en-GB"/>
        </w:rPr>
        <w:t>due</w:t>
      </w:r>
      <w:r w:rsidRPr="00692C60" w:rsidR="003F0F60">
        <w:rPr>
          <w:lang w:eastAsia="en-GB"/>
        </w:rPr>
        <w:t xml:space="preserve"> </w:t>
      </w:r>
      <w:r w:rsidRPr="00692C60">
        <w:rPr>
          <w:lang w:eastAsia="en-GB"/>
        </w:rPr>
        <w:t>to incre</w:t>
      </w:r>
      <w:r w:rsidR="00EE439C">
        <w:rPr>
          <w:lang w:eastAsia="en-GB"/>
        </w:rPr>
        <w:t>ased Current Service Costs</w:t>
      </w:r>
      <w:r w:rsidRPr="00692C60">
        <w:rPr>
          <w:lang w:eastAsia="en-GB"/>
        </w:rPr>
        <w:t>.</w:t>
      </w:r>
      <w:r>
        <w:rPr>
          <w:lang w:eastAsia="en-GB"/>
        </w:rPr>
        <w:t xml:space="preserve">  </w:t>
      </w:r>
    </w:p>
    <w:p w:rsidR="00767F1C" w:rsidP="00767F1C">
      <w:pPr>
        <w:spacing w:after="0" w:line="240" w:lineRule="auto"/>
        <w:rPr>
          <w:lang w:eastAsia="en-GB"/>
        </w:rPr>
      </w:pPr>
    </w:p>
    <w:p w:rsidR="00767F1C" w:rsidRPr="00767F1C" w:rsidP="00767F1C">
      <w:pPr>
        <w:spacing w:after="0" w:line="240" w:lineRule="auto"/>
        <w:rPr>
          <w:highlight w:val="yellow"/>
          <w:lang w:eastAsia="en-GB"/>
        </w:rPr>
      </w:pPr>
      <w:r>
        <w:t xml:space="preserve">Outflow from the Armed Forces to immediate pension has been lower than anticipated in 2020/21 and relates to COVID-19 and the downturn in the external job market.  </w:t>
      </w:r>
      <w:r w:rsidRPr="00BB2FCA">
        <w:t xml:space="preserve">This has led to service personnel delaying their retirement and </w:t>
      </w:r>
      <w:r>
        <w:t xml:space="preserve">remaining in the Armed Forces, which in </w:t>
      </w:r>
      <w:r w:rsidRPr="00BB2FCA">
        <w:t>turn has increased the in-year Current Service Cost charge</w:t>
      </w:r>
      <w:r>
        <w:t>.</w:t>
      </w:r>
    </w:p>
    <w:p w:rsidR="00767F1C" w:rsidP="00B81F8C">
      <w:pPr>
        <w:spacing w:after="0" w:line="240" w:lineRule="auto"/>
        <w:rPr>
          <w:lang w:eastAsia="en-GB"/>
        </w:rPr>
      </w:pPr>
    </w:p>
    <w:p w:rsidR="00B81F8C" w:rsidP="00B81F8C">
      <w:pPr>
        <w:spacing w:after="0" w:line="240" w:lineRule="auto"/>
        <w:rPr>
          <w:lang w:eastAsia="en-GB"/>
        </w:rPr>
      </w:pPr>
      <w:r>
        <w:rPr>
          <w:lang w:eastAsia="en-GB"/>
        </w:rPr>
        <w:t xml:space="preserve">The Current Service Cost </w:t>
      </w:r>
      <w:r w:rsidR="00D72DEA">
        <w:rPr>
          <w:lang w:eastAsia="en-GB"/>
        </w:rPr>
        <w:t>represents</w:t>
      </w:r>
      <w:r>
        <w:rPr>
          <w:lang w:eastAsia="en-GB"/>
        </w:rPr>
        <w:t xml:space="preserve"> the increase in the present value of the Scheme liabilities arising from current members’ service in the current period.</w:t>
      </w:r>
    </w:p>
    <w:p w:rsidR="00B81F8C" w:rsidP="00B81F8C">
      <w:pPr>
        <w:spacing w:after="0" w:line="240" w:lineRule="auto"/>
        <w:rPr>
          <w:lang w:eastAsia="en-GB"/>
        </w:rPr>
      </w:pPr>
    </w:p>
    <w:p w:rsidR="00FF0075" w:rsidP="00D72DEA">
      <w:pPr>
        <w:spacing w:after="0" w:line="240" w:lineRule="auto"/>
        <w:rPr>
          <w:lang w:eastAsia="en-GB"/>
        </w:rPr>
      </w:pPr>
      <w:r>
        <w:rPr>
          <w:lang w:eastAsia="en-GB"/>
        </w:rPr>
        <w:t xml:space="preserve">The provision sought under Resource AME </w:t>
      </w:r>
      <w:r w:rsidR="00D8451A">
        <w:rPr>
          <w:lang w:eastAsia="en-GB"/>
        </w:rPr>
        <w:t xml:space="preserve">is </w:t>
      </w:r>
      <w:r w:rsidR="00767F1C">
        <w:rPr>
          <w:lang w:eastAsia="en-GB"/>
        </w:rPr>
        <w:t xml:space="preserve">marginally </w:t>
      </w:r>
      <w:r w:rsidRPr="00841B01" w:rsidR="002345CD">
        <w:rPr>
          <w:lang w:eastAsia="en-GB"/>
        </w:rPr>
        <w:t>lower</w:t>
      </w:r>
      <w:r w:rsidR="002345CD">
        <w:rPr>
          <w:lang w:eastAsia="en-GB"/>
        </w:rPr>
        <w:t xml:space="preserve"> than last year</w:t>
      </w:r>
      <w:r>
        <w:rPr>
          <w:lang w:eastAsia="en-GB"/>
        </w:rPr>
        <w:t xml:space="preserve"> (Final Outturn 2</w:t>
      </w:r>
      <w:r w:rsidR="00240C12">
        <w:rPr>
          <w:lang w:eastAsia="en-GB"/>
        </w:rPr>
        <w:t>019-20</w:t>
      </w:r>
      <w:r>
        <w:rPr>
          <w:lang w:eastAsia="en-GB"/>
        </w:rPr>
        <w:t>)</w:t>
      </w:r>
      <w:r w:rsidR="00DF4F0E">
        <w:rPr>
          <w:lang w:eastAsia="en-GB"/>
        </w:rPr>
        <w:t xml:space="preserve">, </w:t>
      </w:r>
      <w:r w:rsidR="00841B01">
        <w:rPr>
          <w:lang w:eastAsia="en-GB"/>
        </w:rPr>
        <w:t>due primarily to a reduction in interest costs, however this has been offset by increased Current Service Costs.</w:t>
      </w:r>
    </w:p>
    <w:p w:rsidR="00D72DEA" w:rsidRPr="00FF0075" w:rsidP="00D72DEA">
      <w:pPr>
        <w:spacing w:after="0" w:line="240" w:lineRule="auto"/>
        <w:rPr>
          <w:lang w:eastAsia="en-GB"/>
        </w:rPr>
      </w:pPr>
    </w:p>
    <w:p w:rsidR="002A25F8" w:rsidP="009E41E3">
      <w:pPr>
        <w:pStyle w:val="Heading2"/>
        <w:spacing w:before="0" w:line="240" w:lineRule="auto"/>
      </w:pPr>
      <w:r w:rsidRPr="00740C96">
        <w:t>1.</w:t>
      </w:r>
      <w:r w:rsidR="000E6018">
        <w:t>5</w:t>
      </w:r>
      <w:r>
        <w:t xml:space="preserve"> </w:t>
      </w:r>
      <w:r w:rsidR="00B81F8C">
        <w:tab/>
      </w:r>
      <w:r>
        <w:t>Spending trends</w:t>
      </w:r>
    </w:p>
    <w:p w:rsidR="00B81F8C" w:rsidP="009E41E3">
      <w:pPr>
        <w:spacing w:after="0" w:line="240" w:lineRule="auto"/>
      </w:pPr>
    </w:p>
    <w:p w:rsidR="00E1549F" w:rsidP="009E41E3">
      <w:pPr>
        <w:spacing w:after="0" w:line="240" w:lineRule="auto"/>
      </w:pPr>
      <w:r>
        <w:t xml:space="preserve">The charts below show </w:t>
      </w:r>
      <w:r w:rsidRPr="00EA3F0E" w:rsidR="008A6C5E">
        <w:t xml:space="preserve">overall </w:t>
      </w:r>
      <w:r w:rsidRPr="00EA3F0E">
        <w:t>s</w:t>
      </w:r>
      <w:r w:rsidRPr="00EA3F0E" w:rsidR="00EA3F0E">
        <w:t>pending trends for the last six</w:t>
      </w:r>
      <w:r w:rsidRPr="00EA3F0E">
        <w:t xml:space="preserve"> years.</w:t>
      </w:r>
    </w:p>
    <w:p w:rsidR="00760CBF" w:rsidP="009E41E3">
      <w:pPr>
        <w:spacing w:after="0" w:line="240" w:lineRule="auto"/>
      </w:pPr>
    </w:p>
    <w:p w:rsidR="00760CBF" w:rsidP="009E41E3">
      <w:pPr>
        <w:spacing w:after="0" w:line="240" w:lineRule="auto"/>
      </w:pPr>
      <w:r>
        <w:rPr>
          <w:noProof/>
          <w:lang w:eastAsia="en-GB"/>
        </w:rPr>
        <w:drawing>
          <wp:inline distT="0" distB="0" distL="0" distR="0">
            <wp:extent cx="4762500" cy="2814637"/>
            <wp:effectExtent l="0" t="0" r="0" b="508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103E82" w:rsidP="00B81F8C">
      <w:pPr>
        <w:spacing w:after="0" w:line="240" w:lineRule="auto"/>
      </w:pPr>
    </w:p>
    <w:p w:rsidR="00EA3F0E" w:rsidP="00533CB3">
      <w:pPr>
        <w:spacing w:after="0" w:line="240" w:lineRule="auto"/>
        <w:rPr>
          <w:lang w:eastAsia="en-GB"/>
        </w:rPr>
      </w:pPr>
      <w:r>
        <w:t>In general terms, th</w:t>
      </w:r>
      <w:r w:rsidRPr="00760CBF" w:rsidR="00533CB3">
        <w:t>e year on year changes to Resource AME</w:t>
      </w:r>
      <w:r w:rsidRPr="00760CBF" w:rsidR="00252CE2">
        <w:t>,</w:t>
      </w:r>
      <w:r w:rsidRPr="00760CBF" w:rsidR="00533CB3">
        <w:t xml:space="preserve"> shown in the above chart</w:t>
      </w:r>
      <w:r w:rsidRPr="00760CBF" w:rsidR="00252CE2">
        <w:t>,</w:t>
      </w:r>
      <w:r w:rsidRPr="00760CBF" w:rsidR="00533CB3">
        <w:t xml:space="preserve"> </w:t>
      </w:r>
      <w:r w:rsidRPr="00760CBF" w:rsidR="00252CE2">
        <w:t>are</w:t>
      </w:r>
      <w:r w:rsidRPr="00760CBF" w:rsidR="00252CE2">
        <w:rPr>
          <w:lang w:eastAsia="en-GB"/>
        </w:rPr>
        <w:t xml:space="preserve"> largely as a result of annual changes to the Treasury set discount rate for long term liabilities</w:t>
      </w:r>
      <w:r w:rsidR="00D01931">
        <w:rPr>
          <w:lang w:eastAsia="en-GB"/>
        </w:rPr>
        <w:t>,</w:t>
      </w:r>
      <w:r>
        <w:rPr>
          <w:lang w:eastAsia="en-GB"/>
        </w:rPr>
        <w:t xml:space="preserve"> aside from 2018-19 </w:t>
      </w:r>
      <w:r>
        <w:rPr>
          <w:lang w:eastAsia="en-GB"/>
        </w:rPr>
        <w:t>wh</w:t>
      </w:r>
      <w:r w:rsidR="004A3536">
        <w:rPr>
          <w:lang w:eastAsia="en-GB"/>
        </w:rPr>
        <w:t xml:space="preserve">ereby the total RAME is also </w:t>
      </w:r>
      <w:r w:rsidR="001C335A">
        <w:rPr>
          <w:lang w:eastAsia="en-GB"/>
        </w:rPr>
        <w:t xml:space="preserve">heavily </w:t>
      </w:r>
      <w:r w:rsidR="004A3536">
        <w:rPr>
          <w:lang w:eastAsia="en-GB"/>
        </w:rPr>
        <w:t>influenced by</w:t>
      </w:r>
      <w:r>
        <w:rPr>
          <w:lang w:eastAsia="en-GB"/>
        </w:rPr>
        <w:t xml:space="preserve"> Past Service Costs associated with McCloud (</w:t>
      </w:r>
      <w:r w:rsidR="00023071">
        <w:rPr>
          <w:lang w:eastAsia="en-GB"/>
        </w:rPr>
        <w:t xml:space="preserve">£1.9bn </w:t>
      </w:r>
      <w:r>
        <w:rPr>
          <w:lang w:eastAsia="en-GB"/>
        </w:rPr>
        <w:t xml:space="preserve">recognised </w:t>
      </w:r>
      <w:r w:rsidR="00023071">
        <w:rPr>
          <w:lang w:eastAsia="en-GB"/>
        </w:rPr>
        <w:t xml:space="preserve">in </w:t>
      </w:r>
      <w:r>
        <w:rPr>
          <w:lang w:eastAsia="en-GB"/>
        </w:rPr>
        <w:t xml:space="preserve">2018-19).  Past Service Costs of £1.0bn were also recognised in 2019-20 in relation to </w:t>
      </w:r>
      <w:r w:rsidRPr="00EA3F0E">
        <w:rPr>
          <w:lang w:eastAsia="en-GB"/>
        </w:rPr>
        <w:t>GMP</w:t>
      </w:r>
      <w:r>
        <w:rPr>
          <w:lang w:eastAsia="en-GB"/>
        </w:rPr>
        <w:t xml:space="preserve"> equalisation</w:t>
      </w:r>
      <w:r w:rsidRPr="00EA3F0E">
        <w:rPr>
          <w:lang w:eastAsia="en-GB"/>
        </w:rPr>
        <w:t xml:space="preserve">, however this was </w:t>
      </w:r>
      <w:r>
        <w:rPr>
          <w:lang w:eastAsia="en-GB"/>
        </w:rPr>
        <w:t xml:space="preserve">heavily </w:t>
      </w:r>
      <w:r w:rsidRPr="00EA3F0E">
        <w:rPr>
          <w:lang w:eastAsia="en-GB"/>
        </w:rPr>
        <w:t>offset by a negative Past Service Cost of £920m in</w:t>
      </w:r>
      <w:r w:rsidR="007313D0">
        <w:rPr>
          <w:lang w:eastAsia="en-GB"/>
        </w:rPr>
        <w:t xml:space="preserve"> relation to amendments to the</w:t>
      </w:r>
      <w:r w:rsidRPr="00EA3F0E">
        <w:rPr>
          <w:lang w:eastAsia="en-GB"/>
        </w:rPr>
        <w:t xml:space="preserve"> cohort of scheme members impa</w:t>
      </w:r>
      <w:r>
        <w:rPr>
          <w:lang w:eastAsia="en-GB"/>
        </w:rPr>
        <w:t>cted by the McCloud judgement.</w:t>
      </w:r>
    </w:p>
    <w:p w:rsidR="00EA3F0E" w:rsidP="00533CB3">
      <w:pPr>
        <w:spacing w:after="0" w:line="240" w:lineRule="auto"/>
        <w:rPr>
          <w:lang w:eastAsia="en-GB"/>
        </w:rPr>
      </w:pPr>
    </w:p>
    <w:p w:rsidR="00103E82" w:rsidRPr="00E86ECE" w:rsidP="00533CB3">
      <w:pPr>
        <w:pStyle w:val="Heading2"/>
        <w:spacing w:before="0" w:line="240" w:lineRule="auto"/>
        <w:rPr>
          <w:sz w:val="22"/>
          <w:szCs w:val="22"/>
        </w:rPr>
      </w:pPr>
    </w:p>
    <w:p w:rsidR="003533BB" w:rsidP="00533CB3">
      <w:pPr>
        <w:pStyle w:val="Heading2"/>
        <w:spacing w:before="0" w:line="240" w:lineRule="auto"/>
      </w:pPr>
    </w:p>
    <w:p w:rsidR="002A25F8" w:rsidP="00533CB3">
      <w:pPr>
        <w:pStyle w:val="Heading2"/>
        <w:spacing w:before="0" w:line="240" w:lineRule="auto"/>
      </w:pPr>
      <w:r>
        <w:t>1</w:t>
      </w:r>
      <w:r w:rsidRPr="00740C96" w:rsidR="00740C96">
        <w:t>.</w:t>
      </w:r>
      <w:r w:rsidR="000E6018">
        <w:t>6</w:t>
      </w:r>
      <w:r>
        <w:t xml:space="preserve"> </w:t>
      </w:r>
      <w:r w:rsidR="00445C29">
        <w:tab/>
      </w:r>
      <w:r w:rsidR="00594756">
        <w:t>Administration costs and e</w:t>
      </w:r>
      <w:r>
        <w:t>fficiency plans</w:t>
      </w:r>
    </w:p>
    <w:p w:rsidR="00464D21" w:rsidP="00533CB3">
      <w:pPr>
        <w:spacing w:after="0" w:line="240" w:lineRule="auto"/>
        <w:rPr>
          <w:lang w:eastAsia="en-GB"/>
        </w:rPr>
      </w:pPr>
    </w:p>
    <w:p w:rsidR="00EA3F0E" w:rsidRPr="00533CB3" w:rsidP="007313D0">
      <w:pPr>
        <w:spacing w:after="0" w:line="240" w:lineRule="auto"/>
        <w:rPr>
          <w:lang w:eastAsia="en-GB"/>
        </w:rPr>
      </w:pPr>
      <w:r>
        <w:rPr>
          <w:lang w:eastAsia="en-GB"/>
        </w:rPr>
        <w:t xml:space="preserve">The costs of the administration of the </w:t>
      </w:r>
      <w:r w:rsidR="00533CB3">
        <w:rPr>
          <w:lang w:eastAsia="en-GB"/>
        </w:rPr>
        <w:t xml:space="preserve">AFPS </w:t>
      </w:r>
      <w:r>
        <w:rPr>
          <w:lang w:eastAsia="en-GB"/>
        </w:rPr>
        <w:t xml:space="preserve">are borne by </w:t>
      </w:r>
      <w:r w:rsidR="00533CB3">
        <w:rPr>
          <w:lang w:eastAsia="en-GB"/>
        </w:rPr>
        <w:t xml:space="preserve">the Ministry of Defence, the employer, and  reflected in the Department’s Estimates and Annual Report and Accounts.  </w:t>
      </w:r>
    </w:p>
    <w:p w:rsidR="00740C96" w:rsidP="00533CB3">
      <w:pPr>
        <w:pStyle w:val="Heading2"/>
        <w:spacing w:before="0" w:line="240" w:lineRule="auto"/>
      </w:pPr>
      <w:r w:rsidRPr="00740C96">
        <w:t>2</w:t>
      </w:r>
      <w:r w:rsidR="00F00274">
        <w:t xml:space="preserve"> </w:t>
      </w:r>
      <w:r w:rsidR="00445C29">
        <w:tab/>
      </w:r>
      <w:r w:rsidR="007313D0">
        <w:t>Spending detail</w:t>
      </w:r>
    </w:p>
    <w:p w:rsidR="00533CB3" w:rsidRPr="00533CB3" w:rsidP="00533CB3">
      <w:pPr>
        <w:spacing w:after="0" w:line="240" w:lineRule="auto"/>
      </w:pPr>
    </w:p>
    <w:p w:rsidR="006F30CB" w:rsidP="00533CB3">
      <w:pPr>
        <w:pStyle w:val="Heading2"/>
        <w:spacing w:before="0" w:line="240" w:lineRule="auto"/>
      </w:pPr>
      <w:r>
        <w:t xml:space="preserve">2.1 </w:t>
      </w:r>
      <w:r w:rsidR="00445C29">
        <w:tab/>
      </w:r>
      <w:r w:rsidRPr="00EA3F0E" w:rsidR="00EC2B9F">
        <w:t>Explanation</w:t>
      </w:r>
      <w:r w:rsidRPr="00EA3F0E" w:rsidR="00EE5BFD">
        <w:t>s</w:t>
      </w:r>
      <w:r w:rsidRPr="00EA3F0E" w:rsidR="00EC2B9F">
        <w:t xml:space="preserve"> of changes in spending</w:t>
      </w:r>
      <w:r w:rsidR="00EC2B9F">
        <w:t xml:space="preserve"> </w:t>
      </w:r>
    </w:p>
    <w:p w:rsidR="00533CB3" w:rsidRPr="00533CB3" w:rsidP="00533CB3">
      <w:pPr>
        <w:spacing w:after="0" w:line="240" w:lineRule="auto"/>
      </w:pPr>
    </w:p>
    <w:p w:rsidR="00B94771" w:rsidP="00137ED6">
      <w:pPr>
        <w:pStyle w:val="Heading4"/>
        <w:rPr>
          <w:rFonts w:eastAsia="Times New Roman"/>
        </w:rPr>
      </w:pPr>
      <w:r w:rsidRPr="00EA3F0E">
        <w:rPr>
          <w:noProof/>
          <w:lang w:eastAsia="en-GB"/>
        </w:rPr>
        <w:drawing>
          <wp:inline distT="0" distB="0" distL="0" distR="0">
            <wp:extent cx="5731510" cy="3032461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0324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F4807" w:rsidRPr="008F4807" w:rsidP="008F4807"/>
    <w:p w:rsidR="00D3272A" w:rsidRPr="007313D0" w:rsidP="00D3272A">
      <w:pPr>
        <w:rPr>
          <w:rFonts w:eastAsia="Times New Roman"/>
        </w:rPr>
      </w:pPr>
      <w:r w:rsidRPr="007313D0">
        <w:t xml:space="preserve">Differences which are above </w:t>
      </w:r>
      <w:r w:rsidRPr="007313D0" w:rsidR="00B94771">
        <w:t xml:space="preserve">10% </w:t>
      </w:r>
      <w:r w:rsidRPr="007313D0" w:rsidR="00344B62">
        <w:t>and/or</w:t>
      </w:r>
      <w:r w:rsidRPr="007313D0" w:rsidR="00B94771">
        <w:t xml:space="preserve"> £10 million</w:t>
      </w:r>
      <w:r w:rsidRPr="007313D0" w:rsidR="00344B62">
        <w:t xml:space="preserve"> are explained below:</w:t>
      </w:r>
    </w:p>
    <w:p w:rsidR="00344B62" w:rsidRPr="0066081E" w:rsidP="00344B62">
      <w:pPr>
        <w:spacing w:after="0" w:line="240" w:lineRule="auto"/>
        <w:rPr>
          <w:lang w:eastAsia="en-GB"/>
        </w:rPr>
      </w:pPr>
      <w:r w:rsidRPr="007313D0">
        <w:rPr>
          <w:rFonts w:eastAsia="Times New Roman"/>
          <w:lang w:eastAsia="en-GB"/>
        </w:rPr>
        <w:t xml:space="preserve">1.a </w:t>
      </w:r>
      <w:r w:rsidRPr="007313D0" w:rsidR="007313D0">
        <w:rPr>
          <w:rFonts w:eastAsia="Times New Roman"/>
          <w:lang w:eastAsia="en-GB"/>
        </w:rPr>
        <w:t>– The increase in the Current Service C</w:t>
      </w:r>
      <w:r w:rsidRPr="007313D0">
        <w:rPr>
          <w:rFonts w:eastAsia="Times New Roman"/>
          <w:lang w:eastAsia="en-GB"/>
        </w:rPr>
        <w:t>ost is</w:t>
      </w:r>
      <w:r w:rsidRPr="007313D0" w:rsidR="007313D0">
        <w:rPr>
          <w:rFonts w:eastAsia="Times New Roman"/>
          <w:lang w:eastAsia="en-GB"/>
        </w:rPr>
        <w:t xml:space="preserve"> due to </w:t>
      </w:r>
      <w:r w:rsidRPr="007313D0" w:rsidR="007313D0">
        <w:t xml:space="preserve">outflow from the Armed Forces being lower than anticipated in 2020/21 as a result of COVID-19 and the downturn in the external job market.  </w:t>
      </w:r>
      <w:r w:rsidRPr="007313D0">
        <w:rPr>
          <w:lang w:eastAsia="en-GB"/>
        </w:rPr>
        <w:t>The Current Service Cost is the increase in the present value of the Scheme liabilities arising from current members’ service in the current period. It is calculated as a factor of Employer Contributions (</w:t>
      </w:r>
      <w:bookmarkStart w:id="0" w:name="_Hlk29910830"/>
      <w:r w:rsidRPr="007313D0">
        <w:rPr>
          <w:lang w:eastAsia="en-GB"/>
        </w:rPr>
        <w:t>Superannuation Contributions Adjusted for Past Experience</w:t>
      </w:r>
      <w:bookmarkEnd w:id="0"/>
      <w:r w:rsidRPr="007313D0">
        <w:rPr>
          <w:lang w:eastAsia="en-GB"/>
        </w:rPr>
        <w:t xml:space="preserve">), with the factor being provided by the Government Actuary’s Department. </w:t>
      </w:r>
    </w:p>
    <w:p w:rsidR="00FF0075" w:rsidRPr="0066081E" w:rsidP="00344B62">
      <w:pPr>
        <w:spacing w:after="0" w:line="240" w:lineRule="auto"/>
        <w:rPr>
          <w:lang w:eastAsia="en-GB"/>
        </w:rPr>
      </w:pPr>
    </w:p>
    <w:p w:rsidR="00794944" w:rsidP="00344B62">
      <w:pPr>
        <w:pStyle w:val="Heading2"/>
        <w:spacing w:before="0" w:line="240" w:lineRule="auto"/>
        <w:rPr>
          <w:rFonts w:eastAsia="Times New Roman"/>
          <w:lang w:eastAsia="en-GB"/>
        </w:rPr>
      </w:pPr>
      <w:r>
        <w:rPr>
          <w:rFonts w:eastAsia="Times New Roman"/>
          <w:lang w:eastAsia="en-GB"/>
        </w:rPr>
        <w:t>2.</w:t>
      </w:r>
      <w:r w:rsidR="007233C8">
        <w:rPr>
          <w:rFonts w:eastAsia="Times New Roman"/>
          <w:lang w:eastAsia="en-GB"/>
        </w:rPr>
        <w:t>2</w:t>
      </w:r>
      <w:r>
        <w:rPr>
          <w:rFonts w:eastAsia="Times New Roman"/>
          <w:lang w:eastAsia="en-GB"/>
        </w:rPr>
        <w:t xml:space="preserve"> </w:t>
      </w:r>
      <w:r w:rsidR="00344B62">
        <w:rPr>
          <w:rFonts w:eastAsia="Times New Roman"/>
          <w:lang w:eastAsia="en-GB"/>
        </w:rPr>
        <w:tab/>
      </w:r>
      <w:r>
        <w:rPr>
          <w:rFonts w:eastAsia="Times New Roman"/>
          <w:lang w:eastAsia="en-GB"/>
        </w:rPr>
        <w:t>Estimate</w:t>
      </w:r>
      <w:r w:rsidR="007961FE">
        <w:rPr>
          <w:rFonts w:eastAsia="Times New Roman"/>
          <w:lang w:eastAsia="en-GB"/>
        </w:rPr>
        <w:t>d</w:t>
      </w:r>
      <w:r>
        <w:rPr>
          <w:rFonts w:eastAsia="Times New Roman"/>
          <w:lang w:eastAsia="en-GB"/>
        </w:rPr>
        <w:t xml:space="preserve"> scheme liabilities</w:t>
      </w:r>
    </w:p>
    <w:p w:rsidR="00344B62" w:rsidP="00344B62">
      <w:pPr>
        <w:spacing w:after="0" w:line="240" w:lineRule="auto"/>
        <w:rPr>
          <w:lang w:eastAsia="en-GB"/>
        </w:rPr>
      </w:pPr>
    </w:p>
    <w:p w:rsidR="007233C8" w:rsidP="00344B62">
      <w:pPr>
        <w:spacing w:after="0" w:line="240" w:lineRule="auto"/>
        <w:rPr>
          <w:lang w:eastAsia="en-GB"/>
        </w:rPr>
      </w:pPr>
      <w:r>
        <w:rPr>
          <w:lang w:eastAsia="en-GB"/>
        </w:rPr>
        <w:t xml:space="preserve">The latest valuation of </w:t>
      </w:r>
      <w:r w:rsidR="00E578AC">
        <w:rPr>
          <w:lang w:eastAsia="en-GB"/>
        </w:rPr>
        <w:t xml:space="preserve">the </w:t>
      </w:r>
      <w:r>
        <w:rPr>
          <w:lang w:eastAsia="en-GB"/>
        </w:rPr>
        <w:t xml:space="preserve">scheme </w:t>
      </w:r>
      <w:r w:rsidRPr="00EA3F0E">
        <w:rPr>
          <w:lang w:eastAsia="en-GB"/>
        </w:rPr>
        <w:t>liabilities was £</w:t>
      </w:r>
      <w:r w:rsidRPr="00EA3F0E" w:rsidR="00EA3F0E">
        <w:rPr>
          <w:lang w:eastAsia="en-GB"/>
        </w:rPr>
        <w:t>233.1</w:t>
      </w:r>
      <w:r w:rsidRPr="00EA3F0E">
        <w:rPr>
          <w:lang w:eastAsia="en-GB"/>
        </w:rPr>
        <w:t xml:space="preserve"> billion</w:t>
      </w:r>
      <w:r w:rsidRPr="00EA3F0E" w:rsidR="00EA3F0E">
        <w:rPr>
          <w:lang w:eastAsia="en-GB"/>
        </w:rPr>
        <w:t>, as at 31 March 2020</w:t>
      </w:r>
      <w:r w:rsidRPr="00EA3F0E">
        <w:rPr>
          <w:lang w:eastAsia="en-GB"/>
        </w:rPr>
        <w:t xml:space="preserve">. At the time there </w:t>
      </w:r>
      <w:r w:rsidRPr="00EA3F0E" w:rsidR="00EA3F0E">
        <w:rPr>
          <w:lang w:eastAsia="en-GB"/>
        </w:rPr>
        <w:t>were 298,760</w:t>
      </w:r>
      <w:r w:rsidRPr="00EA3F0E">
        <w:rPr>
          <w:lang w:eastAsia="en-GB"/>
        </w:rPr>
        <w:t xml:space="preserve"> Active member benefits, </w:t>
      </w:r>
      <w:r w:rsidRPr="00EA3F0E" w:rsidR="00EA3F0E">
        <w:rPr>
          <w:lang w:eastAsia="en-GB"/>
        </w:rPr>
        <w:t>519,763</w:t>
      </w:r>
      <w:r w:rsidRPr="00EA3F0E">
        <w:rPr>
          <w:lang w:eastAsia="en-GB"/>
        </w:rPr>
        <w:t xml:space="preserve"> </w:t>
      </w:r>
      <w:r w:rsidRPr="00EA3F0E" w:rsidR="00EA3F0E">
        <w:rPr>
          <w:lang w:eastAsia="en-GB"/>
        </w:rPr>
        <w:t>Deferred member benefits, and 442,954</w:t>
      </w:r>
      <w:r w:rsidRPr="00EA3F0E">
        <w:rPr>
          <w:lang w:eastAsia="en-GB"/>
        </w:rPr>
        <w:t xml:space="preserve"> Pensioner benefits.</w:t>
      </w:r>
      <w:r>
        <w:rPr>
          <w:lang w:eastAsia="en-GB"/>
        </w:rPr>
        <w:t xml:space="preserve"> </w:t>
      </w:r>
    </w:p>
    <w:p w:rsidR="007233C8" w:rsidP="00344B62">
      <w:pPr>
        <w:spacing w:after="0" w:line="240" w:lineRule="auto"/>
        <w:rPr>
          <w:lang w:eastAsia="en-GB"/>
        </w:rPr>
      </w:pPr>
    </w:p>
    <w:p w:rsidR="007233C8" w:rsidP="00E578AC">
      <w:pPr>
        <w:spacing w:after="0" w:line="240" w:lineRule="auto"/>
        <w:rPr>
          <w:lang w:eastAsia="en-GB"/>
        </w:rPr>
      </w:pPr>
      <w:r>
        <w:rPr>
          <w:lang w:eastAsia="en-GB"/>
        </w:rPr>
        <w:t>Details of the latest valuation can be found within the 201</w:t>
      </w:r>
      <w:r w:rsidR="00240C12">
        <w:rPr>
          <w:lang w:eastAsia="en-GB"/>
        </w:rPr>
        <w:t>9-20</w:t>
      </w:r>
      <w:r>
        <w:rPr>
          <w:lang w:eastAsia="en-GB"/>
        </w:rPr>
        <w:t xml:space="preserve"> AFPS account</w:t>
      </w:r>
      <w:r w:rsidR="00EA3F0E">
        <w:rPr>
          <w:lang w:eastAsia="en-GB"/>
        </w:rPr>
        <w:t>s, report of the Actuary page 22</w:t>
      </w:r>
      <w:r>
        <w:rPr>
          <w:lang w:eastAsia="en-GB"/>
        </w:rPr>
        <w:t>, at the following link:</w:t>
      </w:r>
      <w:r w:rsidR="00056FD8">
        <w:rPr>
          <w:lang w:eastAsia="en-GB"/>
        </w:rPr>
        <w:t xml:space="preserve"> </w:t>
      </w:r>
      <w:r>
        <w:fldChar w:fldCharType="begin"/>
      </w:r>
      <w:r>
        <w:instrText xml:space="preserve"> HYPERLINK "https://www.gov.uk/government/publications/armed-forces-pension-scheme-annual-accounts-2019-to-2020" </w:instrText>
      </w:r>
      <w:r>
        <w:fldChar w:fldCharType="separate"/>
      </w:r>
      <w:r w:rsidRPr="000D4ADB" w:rsidR="00EE439C">
        <w:rPr>
          <w:rStyle w:val="Hyperlink"/>
          <w:lang w:eastAsia="en-GB"/>
        </w:rPr>
        <w:t>https://www.gov.uk/government/publications/armed-forces-pension-scheme-annual-accounts-2019-to-2020</w:t>
      </w:r>
      <w:r>
        <w:fldChar w:fldCharType="end"/>
      </w:r>
    </w:p>
    <w:p w:rsidR="00EE439C" w:rsidP="00E578AC">
      <w:pPr>
        <w:spacing w:after="0" w:line="240" w:lineRule="auto"/>
        <w:rPr>
          <w:lang w:eastAsia="en-GB"/>
        </w:rPr>
      </w:pPr>
    </w:p>
    <w:p w:rsidR="00556F9F" w:rsidP="007233C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333333"/>
          <w:sz w:val="29"/>
          <w:szCs w:val="29"/>
          <w:lang w:eastAsia="en-GB"/>
        </w:rPr>
      </w:pPr>
      <w:r>
        <w:rPr>
          <w:lang w:eastAsia="en-GB"/>
        </w:rPr>
        <w:t xml:space="preserve">The next </w:t>
      </w:r>
      <w:r w:rsidR="00C23BF9">
        <w:rPr>
          <w:lang w:eastAsia="en-GB"/>
        </w:rPr>
        <w:t>scheme funding</w:t>
      </w:r>
      <w:r w:rsidR="007233C8">
        <w:rPr>
          <w:lang w:eastAsia="en-GB"/>
        </w:rPr>
        <w:t xml:space="preserve"> </w:t>
      </w:r>
      <w:r>
        <w:rPr>
          <w:lang w:eastAsia="en-GB"/>
        </w:rPr>
        <w:t xml:space="preserve">valuation </w:t>
      </w:r>
      <w:r w:rsidR="007233C8">
        <w:rPr>
          <w:lang w:eastAsia="en-GB"/>
        </w:rPr>
        <w:t xml:space="preserve">of the scheme is currently in progress and will be based on detailed member data as at </w:t>
      </w:r>
      <w:r w:rsidRPr="00C23BF9" w:rsidR="007233C8">
        <w:rPr>
          <w:lang w:eastAsia="en-GB"/>
        </w:rPr>
        <w:t>31 March 2</w:t>
      </w:r>
      <w:r w:rsidRPr="00C23BF9" w:rsidR="006E1F23">
        <w:rPr>
          <w:lang w:eastAsia="en-GB"/>
        </w:rPr>
        <w:t>020</w:t>
      </w:r>
      <w:r w:rsidRPr="00C23BF9" w:rsidR="007233C8">
        <w:rPr>
          <w:lang w:eastAsia="en-GB"/>
        </w:rPr>
        <w:t xml:space="preserve">. The results of this valuation </w:t>
      </w:r>
      <w:r w:rsidRPr="00C23BF9" w:rsidR="00C23BF9">
        <w:rPr>
          <w:lang w:eastAsia="en-GB"/>
        </w:rPr>
        <w:t xml:space="preserve">will be reflected in future </w:t>
      </w:r>
      <w:r w:rsidRPr="00C23BF9" w:rsidR="007233C8">
        <w:rPr>
          <w:lang w:eastAsia="en-GB"/>
        </w:rPr>
        <w:t>accounts.</w:t>
      </w:r>
    </w:p>
    <w:sectPr w:rsidSect="002A1235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umnst777 Lt BT">
    <w:altName w:val="Calibri"/>
    <w:charset w:val="00"/>
    <w:family w:val="swiss"/>
    <w:pitch w:val="variable"/>
    <w:sig w:usb0="800000AF" w:usb1="1000204A" w:usb2="00000000" w:usb3="00000000" w:csb0="000000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E1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E1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E1B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E1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E1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F1E1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1275E42"/>
    <w:multiLevelType w:val="hybridMultilevel"/>
    <w:tmpl w:val="8F4A717A"/>
    <w:lvl w:ilvl="0">
      <w:start w:val="1"/>
      <w:numFmt w:val="bullet"/>
      <w:lvlText w:val="-"/>
      <w:lvlJc w:val="left"/>
      <w:pPr>
        <w:ind w:left="1919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467B86"/>
    <w:multiLevelType w:val="hybridMultilevel"/>
    <w:tmpl w:val="2D6AC26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BA5058"/>
    <w:multiLevelType w:val="hybridMultilevel"/>
    <w:tmpl w:val="7480C516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181C6D"/>
    <w:multiLevelType w:val="hybridMultilevel"/>
    <w:tmpl w:val="7176217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0D5E38"/>
    <w:multiLevelType w:val="hybridMultilevel"/>
    <w:tmpl w:val="E704032A"/>
    <w:lvl w:ilvl="0">
      <w:start w:val="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B6103E"/>
    <w:multiLevelType w:val="hybridMultilevel"/>
    <w:tmpl w:val="28CEC35E"/>
    <w:lvl w:ilvl="0">
      <w:start w:val="1"/>
      <w:numFmt w:val="decimal"/>
      <w:lvlText w:val="%1"/>
      <w:lvlJc w:val="left"/>
      <w:pPr>
        <w:ind w:left="360" w:hanging="360"/>
      </w:pPr>
      <w:rPr>
        <w:rFonts w:ascii="Arial" w:hAnsi="Arial" w:cs="Times New Roman" w:hint="default"/>
        <w:b w:val="0"/>
        <w:i w:val="0"/>
        <w:caps w:val="0"/>
        <w:strike w:val="0"/>
        <w:dstrike w:val="0"/>
        <w:vanish w:val="0"/>
        <w:webHidden w:val="0"/>
        <w:sz w:val="24"/>
        <w:szCs w:val="24"/>
        <w:u w:val="none"/>
        <w:effect w:val="none"/>
        <w:vertAlign w:val="baseline"/>
        <w:specVanish w:val="0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1800" w:hanging="180"/>
      </w:pPr>
      <w:rPr>
        <w:rFonts w:ascii="Courier New" w:hAnsi="Courier New" w:cs="Courier New" w:hint="default"/>
      </w:r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DA7CC1"/>
    <w:multiLevelType w:val="hybridMultilevel"/>
    <w:tmpl w:val="96ACEE1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2A06C0"/>
    <w:multiLevelType w:val="hybridMultilevel"/>
    <w:tmpl w:val="638416C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6DD5318"/>
    <w:multiLevelType w:val="hybridMultilevel"/>
    <w:tmpl w:val="85D4A7CC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8C6C9A"/>
    <w:multiLevelType w:val="hybridMultilevel"/>
    <w:tmpl w:val="EDD45B66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2821935"/>
    <w:multiLevelType w:val="hybridMultilevel"/>
    <w:tmpl w:val="93A222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30B11C3"/>
    <w:multiLevelType w:val="hybridMultilevel"/>
    <w:tmpl w:val="2C1A25A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8D52781"/>
    <w:multiLevelType w:val="hybridMultilevel"/>
    <w:tmpl w:val="00400F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EAE02C9"/>
    <w:multiLevelType w:val="hybridMultilevel"/>
    <w:tmpl w:val="FB9C4BD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EE3741D"/>
    <w:multiLevelType w:val="hybridMultilevel"/>
    <w:tmpl w:val="83909A6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9802578"/>
    <w:multiLevelType w:val="hybridMultilevel"/>
    <w:tmpl w:val="4AB6AF84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40E0195"/>
    <w:multiLevelType w:val="multilevel"/>
    <w:tmpl w:val="A0427792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7">
    <w:nsid w:val="453A77F4"/>
    <w:multiLevelType w:val="hybridMultilevel"/>
    <w:tmpl w:val="5D0E3F8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57560E3"/>
    <w:multiLevelType w:val="hybridMultilevel"/>
    <w:tmpl w:val="7048F7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D54D70"/>
    <w:multiLevelType w:val="hybridMultilevel"/>
    <w:tmpl w:val="D77E89C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7A72137"/>
    <w:multiLevelType w:val="hybridMultilevel"/>
    <w:tmpl w:val="FC6A2382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47FE1212"/>
    <w:multiLevelType w:val="multilevel"/>
    <w:tmpl w:val="DE2852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2">
    <w:nsid w:val="4BDD1FA0"/>
    <w:multiLevelType w:val="hybridMultilevel"/>
    <w:tmpl w:val="4ABCA266"/>
    <w:lvl w:ilvl="0">
      <w:start w:val="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D644457"/>
    <w:multiLevelType w:val="hybridMultilevel"/>
    <w:tmpl w:val="4F2A803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D9D3748"/>
    <w:multiLevelType w:val="hybridMultilevel"/>
    <w:tmpl w:val="FA5C3B42"/>
    <w:lvl w:ilvl="0">
      <w:start w:val="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EF01AC1"/>
    <w:multiLevelType w:val="hybridMultilevel"/>
    <w:tmpl w:val="1A4656D8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3F35849"/>
    <w:multiLevelType w:val="hybridMultilevel"/>
    <w:tmpl w:val="6F466CB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8768CF"/>
    <w:multiLevelType w:val="hybridMultilevel"/>
    <w:tmpl w:val="41466CD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A801AFE"/>
    <w:multiLevelType w:val="hybridMultilevel"/>
    <w:tmpl w:val="143473E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BAC2E3A"/>
    <w:multiLevelType w:val="hybridMultilevel"/>
    <w:tmpl w:val="D0BAE472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5F5A55DF"/>
    <w:multiLevelType w:val="multilevel"/>
    <w:tmpl w:val="24F0541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31">
    <w:nsid w:val="65831FD7"/>
    <w:multiLevelType w:val="hybridMultilevel"/>
    <w:tmpl w:val="5BAEA77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79B66A1"/>
    <w:multiLevelType w:val="hybridMultilevel"/>
    <w:tmpl w:val="DC08A47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7D35BE0"/>
    <w:multiLevelType w:val="hybridMultilevel"/>
    <w:tmpl w:val="627827BA"/>
    <w:lvl w:ilvl="0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8067349"/>
    <w:multiLevelType w:val="hybridMultilevel"/>
    <w:tmpl w:val="101089F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8281B9E"/>
    <w:multiLevelType w:val="hybridMultilevel"/>
    <w:tmpl w:val="726E47E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0472DC9"/>
    <w:multiLevelType w:val="hybridMultilevel"/>
    <w:tmpl w:val="5F0CBE9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36E1F62"/>
    <w:multiLevelType w:val="hybridMultilevel"/>
    <w:tmpl w:val="56F6A6F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7E96AD4"/>
    <w:multiLevelType w:val="hybridMultilevel"/>
    <w:tmpl w:val="2EF248A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7C78EB"/>
    <w:multiLevelType w:val="hybridMultilevel"/>
    <w:tmpl w:val="221E5256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2"/>
  </w:num>
  <w:num w:numId="3">
    <w:abstractNumId w:val="26"/>
  </w:num>
  <w:num w:numId="4">
    <w:abstractNumId w:val="11"/>
  </w:num>
  <w:num w:numId="5">
    <w:abstractNumId w:val="6"/>
  </w:num>
  <w:num w:numId="6">
    <w:abstractNumId w:val="37"/>
  </w:num>
  <w:num w:numId="7">
    <w:abstractNumId w:val="39"/>
  </w:num>
  <w:num w:numId="8">
    <w:abstractNumId w:val="17"/>
  </w:num>
  <w:num w:numId="9">
    <w:abstractNumId w:val="34"/>
  </w:num>
  <w:num w:numId="10">
    <w:abstractNumId w:val="10"/>
  </w:num>
  <w:num w:numId="11">
    <w:abstractNumId w:val="35"/>
  </w:num>
  <w:num w:numId="12">
    <w:abstractNumId w:val="7"/>
  </w:num>
  <w:num w:numId="13">
    <w:abstractNumId w:val="29"/>
  </w:num>
  <w:num w:numId="14">
    <w:abstractNumId w:val="38"/>
  </w:num>
  <w:num w:numId="15">
    <w:abstractNumId w:val="20"/>
  </w:num>
  <w:num w:numId="16">
    <w:abstractNumId w:val="28"/>
  </w:num>
  <w:num w:numId="17">
    <w:abstractNumId w:val="27"/>
  </w:num>
  <w:num w:numId="18">
    <w:abstractNumId w:val="23"/>
  </w:num>
  <w:num w:numId="19">
    <w:abstractNumId w:val="13"/>
  </w:num>
  <w:num w:numId="20">
    <w:abstractNumId w:val="25"/>
  </w:num>
  <w:num w:numId="21">
    <w:abstractNumId w:val="31"/>
  </w:num>
  <w:num w:numId="22">
    <w:abstractNumId w:val="32"/>
  </w:num>
  <w:num w:numId="23">
    <w:abstractNumId w:val="1"/>
  </w:num>
  <w:num w:numId="24">
    <w:abstractNumId w:val="14"/>
  </w:num>
  <w:num w:numId="25">
    <w:abstractNumId w:val="16"/>
  </w:num>
  <w:num w:numId="26">
    <w:abstractNumId w:val="18"/>
  </w:num>
  <w:num w:numId="27">
    <w:abstractNumId w:val="15"/>
  </w:num>
  <w:num w:numId="28">
    <w:abstractNumId w:val="8"/>
  </w:num>
  <w:num w:numId="29">
    <w:abstractNumId w:val="9"/>
  </w:num>
  <w:num w:numId="30">
    <w:abstractNumId w:val="33"/>
  </w:num>
  <w:num w:numId="31">
    <w:abstractNumId w:val="2"/>
  </w:num>
  <w:num w:numId="32">
    <w:abstractNumId w:val="0"/>
  </w:num>
  <w:num w:numId="33">
    <w:abstractNumId w:val="22"/>
  </w:num>
  <w:num w:numId="34">
    <w:abstractNumId w:val="24"/>
  </w:num>
  <w:num w:numId="35">
    <w:abstractNumId w:val="4"/>
  </w:num>
  <w:num w:numId="36">
    <w:abstractNumId w:val="5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"/>
  </w:num>
  <w:num w:numId="39">
    <w:abstractNumId w:val="21"/>
  </w:num>
  <w:num w:numId="4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NotTrackMove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E5BFD"/>
  </w:style>
  <w:style w:type="paragraph" w:styleId="Heading1">
    <w:name w:val="heading 1"/>
    <w:basedOn w:val="Normal"/>
    <w:next w:val="Normal"/>
    <w:link w:val="Heading1Char"/>
    <w:uiPriority w:val="9"/>
    <w:qFormat/>
    <w:rsid w:val="00EE5B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E5BF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E5BF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E5BF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E5BF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EE5BF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E5BF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E5BF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E5BF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E5BF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EE5BFD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EE5BFD"/>
    <w:rPr>
      <w:rFonts w:asciiTheme="majorHAnsi" w:eastAsiaTheme="majorEastAsia" w:hAnsiTheme="majorHAnsi" w:cstheme="majorBidi"/>
      <w:color w:val="1F3864" w:themeColor="accent1" w:themeShade="80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EE5BFD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sid w:val="00EE5BFD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sid w:val="00EE5BFD"/>
    <w:rPr>
      <w:rFonts w:asciiTheme="majorHAnsi" w:eastAsiaTheme="majorEastAsia" w:hAnsiTheme="majorHAnsi" w:cstheme="majorBidi"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E5BFD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E5BFD"/>
    <w:rPr>
      <w:rFonts w:asciiTheme="majorHAnsi" w:eastAsiaTheme="majorEastAsia" w:hAnsiTheme="majorHAnsi" w:cstheme="majorBidi"/>
      <w:color w:val="262626" w:themeColor="text1" w:themeTint="D9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E5BFD"/>
    <w:rPr>
      <w:rFonts w:asciiTheme="majorHAnsi" w:eastAsiaTheme="majorEastAsia" w:hAnsiTheme="majorHAnsi" w:cstheme="majorBidi"/>
      <w:i/>
      <w:iCs/>
      <w:color w:val="262626" w:themeColor="text1" w:themeTint="D9"/>
      <w:sz w:val="21"/>
      <w:szCs w:val="21"/>
    </w:rPr>
  </w:style>
  <w:style w:type="paragraph" w:customStyle="1" w:styleId="appendixparacontinued">
    <w:name w:val="appendixparacontinued"/>
    <w:basedOn w:val="Normal"/>
    <w:rsid w:val="00740C96"/>
    <w:pPr>
      <w:spacing w:after="180" w:line="288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E5BFD"/>
    <w:rPr>
      <w:b/>
      <w:bCs/>
      <w:color w:val="auto"/>
    </w:rPr>
  </w:style>
  <w:style w:type="character" w:customStyle="1" w:styleId="strong-frutiger1">
    <w:name w:val="strong-frutiger1"/>
    <w:basedOn w:val="DefaultParagraphFont"/>
    <w:rsid w:val="00740C96"/>
  </w:style>
  <w:style w:type="paragraph" w:customStyle="1" w:styleId="jcsipara-1-1">
    <w:name w:val="jcsi_para-1-1"/>
    <w:basedOn w:val="Normal"/>
    <w:rsid w:val="00740C96"/>
    <w:pPr>
      <w:spacing w:after="180" w:line="288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tablefrutiger-table-header-white">
    <w:name w:val="table_frutiger-table-header-white"/>
    <w:basedOn w:val="Normal"/>
    <w:rsid w:val="00740C96"/>
    <w:pPr>
      <w:spacing w:after="180" w:line="288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customStyle="1" w:styleId="pastreportstitles">
    <w:name w:val="pastreportstitles"/>
    <w:basedOn w:val="Normal"/>
    <w:rsid w:val="00740C96"/>
    <w:pPr>
      <w:spacing w:after="180" w:line="288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ListParagraph">
    <w:name w:val="List Paragraph"/>
    <w:basedOn w:val="Normal"/>
    <w:uiPriority w:val="34"/>
    <w:qFormat/>
    <w:rsid w:val="003325FE"/>
    <w:pPr>
      <w:ind w:left="720"/>
      <w:contextualSpacing/>
    </w:pPr>
  </w:style>
  <w:style w:type="table" w:styleId="TableGrid">
    <w:name w:val="Table Grid"/>
    <w:basedOn w:val="TableNormal"/>
    <w:uiPriority w:val="39"/>
    <w:rsid w:val="00D525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9E63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1">
    <w:name w:val="normaltextrun1"/>
    <w:basedOn w:val="DefaultParagraphFont"/>
    <w:rsid w:val="009E6379"/>
  </w:style>
  <w:style w:type="character" w:customStyle="1" w:styleId="eop">
    <w:name w:val="eop"/>
    <w:basedOn w:val="DefaultParagraphFont"/>
    <w:rsid w:val="009E6379"/>
  </w:style>
  <w:style w:type="character" w:customStyle="1" w:styleId="advancedproofingissue">
    <w:name w:val="advancedproofingissue"/>
    <w:basedOn w:val="DefaultParagraphFont"/>
    <w:rsid w:val="006F30CB"/>
  </w:style>
  <w:style w:type="paragraph" w:styleId="Header">
    <w:name w:val="header"/>
    <w:basedOn w:val="Normal"/>
    <w:link w:val="HeaderChar"/>
    <w:uiPriority w:val="99"/>
    <w:unhideWhenUsed/>
    <w:rsid w:val="00EF63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F63D2"/>
  </w:style>
  <w:style w:type="paragraph" w:styleId="Footer">
    <w:name w:val="footer"/>
    <w:basedOn w:val="Normal"/>
    <w:link w:val="FooterChar"/>
    <w:uiPriority w:val="99"/>
    <w:unhideWhenUsed/>
    <w:rsid w:val="00EF63D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F63D2"/>
  </w:style>
  <w:style w:type="character" w:styleId="Hyperlink">
    <w:name w:val="Hyperlink"/>
    <w:basedOn w:val="DefaultParagraphFont"/>
    <w:uiPriority w:val="99"/>
    <w:unhideWhenUsed/>
    <w:rsid w:val="00D3514F"/>
    <w:rPr>
      <w:color w:val="0000FF"/>
      <w:u w:val="single"/>
    </w:rPr>
  </w:style>
  <w:style w:type="character" w:customStyle="1" w:styleId="gem-c-contents-listnumber">
    <w:name w:val="gem-c-contents-list__number"/>
    <w:basedOn w:val="DefaultParagraphFont"/>
    <w:rsid w:val="00D3514F"/>
  </w:style>
  <w:style w:type="character" w:customStyle="1" w:styleId="gem-c-contents-listnumbered-text">
    <w:name w:val="gem-c-contents-list__numbered-text"/>
    <w:basedOn w:val="DefaultParagraphFont"/>
    <w:rsid w:val="00D3514F"/>
  </w:style>
  <w:style w:type="paragraph" w:styleId="Subtitle">
    <w:name w:val="Subtitle"/>
    <w:basedOn w:val="Normal"/>
    <w:next w:val="Normal"/>
    <w:link w:val="SubtitleChar"/>
    <w:uiPriority w:val="11"/>
    <w:qFormat/>
    <w:rsid w:val="00EE5BFD"/>
    <w:pPr>
      <w:numPr>
        <w:ilvl w:val="1"/>
      </w:numPr>
    </w:pPr>
    <w:rPr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EE5BFD"/>
    <w:rPr>
      <w:color w:val="5A5A5A" w:themeColor="text1" w:themeTint="A5"/>
      <w:spacing w:val="15"/>
    </w:rPr>
  </w:style>
  <w:style w:type="character" w:styleId="CommentReference">
    <w:name w:val="annotation reference"/>
    <w:basedOn w:val="DefaultParagraphFont"/>
    <w:uiPriority w:val="99"/>
    <w:semiHidden/>
    <w:unhideWhenUsed/>
    <w:rsid w:val="005617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17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617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17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6179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17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1797"/>
    <w:rPr>
      <w:rFonts w:ascii="Segoe UI" w:hAnsi="Segoe UI" w:cs="Segoe UI"/>
      <w:sz w:val="18"/>
      <w:szCs w:val="18"/>
    </w:rPr>
  </w:style>
  <w:style w:type="character" w:customStyle="1" w:styleId="number">
    <w:name w:val="number"/>
    <w:basedOn w:val="DefaultParagraphFont"/>
    <w:rsid w:val="007A4142"/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A0DB4"/>
    <w:rPr>
      <w:color w:val="808080"/>
      <w:shd w:val="clear" w:color="auto" w:fill="E6E6E6"/>
    </w:rPr>
  </w:style>
  <w:style w:type="paragraph" w:customStyle="1" w:styleId="Default">
    <w:name w:val="Default"/>
    <w:rsid w:val="008302F2"/>
    <w:pPr>
      <w:autoSpaceDE w:val="0"/>
      <w:autoSpaceDN w:val="0"/>
      <w:adjustRightInd w:val="0"/>
      <w:spacing w:after="0" w:line="240" w:lineRule="auto"/>
    </w:pPr>
    <w:rPr>
      <w:rFonts w:ascii="Humnst777 Lt BT" w:hAnsi="Humnst777 Lt BT" w:cs="Humnst777 Lt BT"/>
      <w:color w:val="000000"/>
      <w:sz w:val="24"/>
      <w:szCs w:val="24"/>
    </w:rPr>
  </w:style>
  <w:style w:type="paragraph" w:styleId="FootnoteText">
    <w:name w:val="footnote text"/>
    <w:basedOn w:val="Normal"/>
    <w:link w:val="FootnoteTextChar"/>
    <w:rsid w:val="004D18B6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4D18B6"/>
    <w:rPr>
      <w:rFonts w:ascii="Arial" w:eastAsia="Times New Roman" w:hAnsi="Arial" w:cs="Times New Roman"/>
      <w:sz w:val="20"/>
      <w:szCs w:val="20"/>
    </w:rPr>
  </w:style>
  <w:style w:type="character" w:styleId="FootnoteReference">
    <w:name w:val="footnote reference"/>
    <w:basedOn w:val="DefaultParagraphFont"/>
    <w:rsid w:val="004D18B6"/>
    <w:rPr>
      <w:vertAlign w:val="superscript"/>
    </w:rPr>
  </w:style>
  <w:style w:type="table" w:customStyle="1" w:styleId="TableGrid1">
    <w:name w:val="Table Grid1"/>
    <w:basedOn w:val="TableNormal"/>
    <w:next w:val="TableGrid"/>
    <w:rsid w:val="004D18B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EE5BFD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EE5BF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E5BFD"/>
    <w:rPr>
      <w:rFonts w:asciiTheme="majorHAnsi" w:eastAsiaTheme="majorEastAsia" w:hAnsiTheme="majorHAnsi" w:cstheme="majorBidi"/>
      <w:spacing w:val="-10"/>
      <w:sz w:val="56"/>
      <w:szCs w:val="56"/>
    </w:rPr>
  </w:style>
  <w:style w:type="character" w:styleId="Emphasis">
    <w:name w:val="Emphasis"/>
    <w:basedOn w:val="DefaultParagraphFont"/>
    <w:uiPriority w:val="20"/>
    <w:qFormat/>
    <w:rsid w:val="00EE5BFD"/>
    <w:rPr>
      <w:i/>
      <w:iCs/>
      <w:color w:val="auto"/>
    </w:rPr>
  </w:style>
  <w:style w:type="paragraph" w:styleId="NoSpacing">
    <w:name w:val="No Spacing"/>
    <w:uiPriority w:val="1"/>
    <w:qFormat/>
    <w:rsid w:val="00EE5BFD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EE5BFD"/>
    <w:pPr>
      <w:spacing w:before="200"/>
      <w:ind w:left="864" w:right="864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E5BFD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E5BFD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E5BFD"/>
    <w:rPr>
      <w:i/>
      <w:iCs/>
      <w:color w:val="4472C4" w:themeColor="accent1"/>
    </w:rPr>
  </w:style>
  <w:style w:type="character" w:styleId="SubtleEmphasis">
    <w:name w:val="Subtle Emphasis"/>
    <w:basedOn w:val="DefaultParagraphFont"/>
    <w:uiPriority w:val="19"/>
    <w:qFormat/>
    <w:rsid w:val="00EE5BFD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EE5BFD"/>
    <w:rPr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/>
    <w:rsid w:val="00EE5BFD"/>
    <w:rPr>
      <w:smallCaps/>
      <w:color w:val="404040" w:themeColor="text1" w:themeTint="BF"/>
    </w:rPr>
  </w:style>
  <w:style w:type="character" w:styleId="IntenseReference">
    <w:name w:val="Intense Reference"/>
    <w:basedOn w:val="DefaultParagraphFont"/>
    <w:uiPriority w:val="32"/>
    <w:qFormat/>
    <w:rsid w:val="00EE5BFD"/>
    <w:rPr>
      <w:b/>
      <w:bCs/>
      <w:smallCaps/>
      <w:color w:val="4472C4" w:themeColor="accent1"/>
      <w:spacing w:val="5"/>
    </w:rPr>
  </w:style>
  <w:style w:type="character" w:styleId="BookTitle">
    <w:name w:val="Book Title"/>
    <w:basedOn w:val="DefaultParagraphFont"/>
    <w:uiPriority w:val="33"/>
    <w:qFormat/>
    <w:rsid w:val="00EE5BFD"/>
    <w:rPr>
      <w:b/>
      <w:bCs/>
      <w:i/>
      <w:iC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E5BFD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5C5F37"/>
    <w:pPr>
      <w:spacing w:after="533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377C50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77C50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chart" Target="charts/chart1.xml" /><Relationship Id="rId9" Type="http://schemas.openxmlformats.org/officeDocument/2006/relationships/image" Target="media/image1.emf" /></Relationships>
</file>

<file path=word/charts/_rels/chart1.xml.rels>&#65279;<?xml version="1.0" encoding="utf-8" standalone="yes"?><Relationships xmlns="http://schemas.openxmlformats.org/package/2006/relationships"><Relationship Id="rId1" Type="http://schemas.openxmlformats.org/officeDocument/2006/relationships/package" Target="../embeddings/Microsoft_Office_Excel_Worksheet1.xlsx" 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Outturn and plans, £ million, Resource AME</a:t>
            </a:r>
          </a:p>
        </c:rich>
      </c:tx>
      <c:layout>
        <c:manualLayout>
          <c:xMode val="edge"/>
          <c:yMode val="edge"/>
          <c:x val="0.16142344706911635"/>
          <c:y val="3.2995018540579124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>
        <c:manualLayout>
          <c:layoutTarget val="inner"/>
          <c:xMode val="edge"/>
          <c:yMode val="edge"/>
          <c:x val="9.8106299212598461E-2"/>
          <c:y val="0.17637904994498405"/>
          <c:w val="0.88240507436570426"/>
          <c:h val="0.727971670947266"/>
        </c:manualLayout>
      </c:layout>
      <c:lineChart>
        <c:grouping val="standard"/>
        <c:varyColors val="0"/>
        <c:ser>
          <c:idx val="0"/>
          <c:order val="0"/>
          <c:spPr>
            <a:ln w="28575" cap="sq">
              <a:solidFill>
                <a:schemeClr val="accent1"/>
              </a:solidFill>
              <a:round/>
              <a:headEnd type="oval"/>
              <a:tailEnd type="oval"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 cap="rnd">
                <a:solidFill>
                  <a:schemeClr val="accent1"/>
                </a:solidFill>
              </a:ln>
              <a:effectLst/>
            </c:spPr>
          </c:marker>
          <c:dPt>
            <c:idx val="2"/>
            <c:marker>
              <c:symbol val="circle"/>
              <c:size val="5"/>
              <c:spPr>
                <a:solidFill>
                  <a:schemeClr val="accent1"/>
                </a:solidFill>
                <a:ln w="9525" cap="rnd">
                  <a:solidFill>
                    <a:schemeClr val="accent1"/>
                  </a:solidFill>
                  <a:headEnd type="oval"/>
                  <a:tailEnd type="oval"/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0-70DA-4378-A238-A207045F1A29}"/>
              </c:ext>
            </c:extLst>
          </c:dPt>
          <c:dLbls>
            <c:dLbl>
              <c:idx val="0"/>
              <c:layout>
                <c:manualLayout>
                  <c:x val="-5.8333333333333438E-2"/>
                  <c:y val="-4.6296296296296335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70DA-4378-A238-A207045F1A29}"/>
                </c:ext>
              </c:extLst>
            </c:dLbl>
            <c:dLbl>
              <c:idx val="1"/>
              <c:layout>
                <c:manualLayout>
                  <c:x val="-4.4444444444444446E-2"/>
                  <c:y val="-4.96333985519269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70DA-4378-A238-A207045F1A29}"/>
                </c:ext>
              </c:extLst>
            </c:dLbl>
            <c:dLbl>
              <c:idx val="3"/>
              <c:layout>
                <c:manualLayout>
                  <c:x val="-8.8888888888888989E-2"/>
                  <c:y val="-5.092592757076667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70DA-4378-A238-A207045F1A29}"/>
                </c:ext>
              </c:extLst>
            </c:dLbl>
            <c:dLbl>
              <c:idx val="4"/>
              <c:layout>
                <c:manualLayout>
                  <c:x val="-4.4444444444444446E-2"/>
                  <c:y val="-5.713028003255837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70DA-4378-A238-A207045F1A29}"/>
                </c:ext>
              </c:extLst>
            </c:dLbl>
            <c:dLbl>
              <c:idx val="5"/>
              <c:layout>
                <c:manualLayout>
                  <c:x val="-3.888888888888889E-2"/>
                  <c:y val="3.609701712867414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70DA-4378-A238-A207045F1A29}"/>
                </c:ext>
              </c:extLst>
            </c:dLbl>
            <c:dLbl>
              <c:idx val="6"/>
              <c:layout>
                <c:manualLayout>
                  <c:x val="-1.4184397163120567E-2"/>
                  <c:y val="4.06091442697584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70DA-4378-A238-A207045F1A29}"/>
                </c:ext>
              </c:extLst>
            </c:dLbl>
            <c:numFmt formatCode="#,##0.0" sourceLinked="0"/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en-US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Graph!$D$6:$K$6</c:f>
              <c:strCache>
                <c:ptCount val="7"/>
                <c:pt idx="0">
                  <c:v>2014-15</c:v>
                </c:pt>
                <c:pt idx="1">
                  <c:v>2015-16</c:v>
                </c:pt>
                <c:pt idx="2">
                  <c:v>2016-17</c:v>
                </c:pt>
                <c:pt idx="3">
                  <c:v>2017-18</c:v>
                </c:pt>
                <c:pt idx="4">
                  <c:v>2018-19</c:v>
                </c:pt>
                <c:pt idx="5">
                  <c:v>2019-20</c:v>
                </c:pt>
                <c:pt idx="6">
                  <c:v>2020-21</c:v>
                </c:pt>
              </c:strCache>
            </c:strRef>
          </c:cat>
          <c:val>
            <c:numRef>
              <c:f>Graph!$D$7:$K$7</c:f>
              <c:numCache>
                <c:formatCode>General</c:formatCode>
                <c:ptCount val="7"/>
                <c:pt idx="0">
                  <c:v>6446.4</c:v>
                </c:pt>
                <c:pt idx="1">
                  <c:v>5916.9</c:v>
                </c:pt>
                <c:pt idx="2">
                  <c:v>5335.8</c:v>
                </c:pt>
                <c:pt idx="3">
                  <c:v>6984.4</c:v>
                </c:pt>
                <c:pt idx="4" formatCode="0.0">
                  <c:v>8477</c:v>
                </c:pt>
                <c:pt idx="5">
                  <c:v>6847.7</c:v>
                </c:pt>
                <c:pt idx="6" formatCode="0.0">
                  <c:v>6782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70DA-4378-A238-A207045F1A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311756464"/>
        <c:axId val="311756136"/>
      </c:lineChart>
      <c:catAx>
        <c:axId val="3117564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11756136"/>
        <c:crosses val="autoZero"/>
        <c:auto val="1"/>
        <c:lblAlgn val="ctr"/>
        <c:lblOffset val="100"/>
        <c:noMultiLvlLbl val="0"/>
      </c:catAx>
      <c:valAx>
        <c:axId val="311756136"/>
        <c:scaling>
          <c:orientation val="minMax"/>
          <c:min val="50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#,##0" sourceLinked="0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311756464"/>
        <c:crosses val="autoZero"/>
        <c:crossBetween val="between"/>
      </c:valAx>
      <c:spPr>
        <a:solidFill>
          <a:schemeClr val="bg1"/>
        </a:solidFill>
        <a:ln w="12700" cap="rnd">
          <a:solidFill>
            <a:schemeClr val="bg1">
              <a:lumMod val="75000"/>
            </a:schemeClr>
          </a:solidFill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95D4D680971B439DF668C4AC1734C0" ma:contentTypeVersion="11" ma:contentTypeDescription="Create a new document." ma:contentTypeScope="" ma:versionID="4f726d5db490ce8f16c1d85e16013f6e">
  <xsd:schema xmlns:xsd="http://www.w3.org/2001/XMLSchema" xmlns:xs="http://www.w3.org/2001/XMLSchema" xmlns:p="http://schemas.microsoft.com/office/2006/metadata/properties" xmlns:ns3="16e6e859-e2f8-4492-b094-f4792b6aca4b" xmlns:ns4="8a533605-cf11-4888-8796-bb84d0b49bf3" targetNamespace="http://schemas.microsoft.com/office/2006/metadata/properties" ma:root="true" ma:fieldsID="ec3c8b0d5a17bd01063323f78f14fdfd" ns3:_="" ns4:_="">
    <xsd:import namespace="16e6e859-e2f8-4492-b094-f4792b6aca4b"/>
    <xsd:import namespace="8a533605-cf11-4888-8796-bb84d0b49bf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e6e859-e2f8-4492-b094-f4792b6aca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533605-cf11-4888-8796-bb84d0b49bf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9933BD-3983-48AE-8F7E-3383A70A0F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6e6e859-e2f8-4492-b094-f4792b6aca4b"/>
    <ds:schemaRef ds:uri="8a533605-cf11-4888-8796-bb84d0b49bf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838AC3E-256A-4C22-8173-7A53168D85F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DE1201-6DA6-4AD9-864B-E744092C51C1}">
  <ds:schemaRefs>
    <ds:schemaRef ds:uri="8a533605-cf11-4888-8796-bb84d0b49bf3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16e6e859-e2f8-4492-b094-f4792b6aca4b"/>
    <ds:schemaRef ds:uri="http://purl.org/dc/terms/"/>
    <ds:schemaRef ds:uri="http://schemas.openxmlformats.org/package/2006/metadata/core-properties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B5D2352B-B8BD-4738-BA00-990B415CDF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>-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