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embeddings/Microsoft_Office_Excel_Worksheet1.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35CBE" w:rsidRPr="001110F1" w:rsidP="005073F2">
      <w:pPr>
        <w:rPr>
          <w:b/>
          <w:color w:val="4472C4" w:themeColor="accent1"/>
          <w:spacing w:val="-10"/>
          <w:kern w:val="28"/>
          <w:sz w:val="36"/>
        </w:rPr>
      </w:pPr>
      <w:bookmarkStart w:id="0" w:name="_Hlk534621357"/>
      <w:r w:rsidRPr="001110F1">
        <w:rPr>
          <w:b/>
          <w:color w:val="4472C4" w:themeColor="accent1"/>
          <w:spacing w:val="-10"/>
          <w:kern w:val="28"/>
          <w:sz w:val="36"/>
        </w:rPr>
        <w:tab/>
      </w:r>
      <w:r w:rsidRPr="001110F1">
        <w:rPr>
          <w:b/>
          <w:color w:val="4472C4" w:themeColor="accent1"/>
          <w:spacing w:val="-10"/>
          <w:kern w:val="28"/>
          <w:sz w:val="36"/>
        </w:rPr>
        <w:tab/>
      </w:r>
      <w:r w:rsidRPr="001110F1">
        <w:rPr>
          <w:b/>
          <w:color w:val="4472C4" w:themeColor="accent1"/>
          <w:spacing w:val="-10"/>
          <w:kern w:val="28"/>
          <w:sz w:val="36"/>
        </w:rPr>
        <w:tab/>
      </w:r>
      <w:r w:rsidRPr="001110F1">
        <w:rPr>
          <w:b/>
          <w:color w:val="4472C4" w:themeColor="accent1"/>
          <w:spacing w:val="-10"/>
          <w:kern w:val="28"/>
          <w:sz w:val="36"/>
        </w:rPr>
        <w:tab/>
      </w:r>
      <w:r w:rsidRPr="001110F1">
        <w:rPr>
          <w:b/>
          <w:color w:val="4472C4" w:themeColor="accent1"/>
          <w:spacing w:val="-10"/>
          <w:kern w:val="28"/>
          <w:sz w:val="36"/>
        </w:rPr>
        <w:tab/>
      </w:r>
      <w:r w:rsidRPr="001110F1">
        <w:rPr>
          <w:b/>
          <w:color w:val="4472C4" w:themeColor="accent1"/>
          <w:spacing w:val="-10"/>
          <w:kern w:val="28"/>
          <w:sz w:val="36"/>
        </w:rPr>
        <w:tab/>
      </w:r>
      <w:r w:rsidRPr="001110F1">
        <w:rPr>
          <w:b/>
          <w:color w:val="4472C4" w:themeColor="accent1"/>
          <w:spacing w:val="-10"/>
          <w:kern w:val="28"/>
          <w:sz w:val="36"/>
        </w:rPr>
        <w:tab/>
      </w:r>
      <w:r w:rsidRPr="001110F1">
        <w:rPr>
          <w:b/>
          <w:color w:val="4472C4" w:themeColor="accent1"/>
          <w:spacing w:val="-10"/>
          <w:kern w:val="28"/>
          <w:sz w:val="36"/>
        </w:rPr>
        <w:tab/>
      </w:r>
    </w:p>
    <w:p w:rsidR="005073F2" w:rsidRPr="001110F1" w:rsidP="005073F2">
      <w:pPr>
        <w:rPr>
          <w:b/>
          <w:color w:val="4472C4" w:themeColor="accent1"/>
          <w:spacing w:val="-10"/>
          <w:kern w:val="28"/>
          <w:sz w:val="36"/>
        </w:rPr>
      </w:pPr>
      <w:r w:rsidRPr="001110F1">
        <w:rPr>
          <w:b/>
          <w:color w:val="4472C4" w:themeColor="accent1"/>
          <w:spacing w:val="-10"/>
          <w:kern w:val="28"/>
          <w:sz w:val="36"/>
        </w:rPr>
        <w:t>MEMORANDUM FOR THE MINISTRY OF DEFENCE</w:t>
      </w:r>
    </w:p>
    <w:p w:rsidR="005073F2" w:rsidRPr="001110F1" w:rsidP="005073F2">
      <w:pPr>
        <w:rPr>
          <w:b/>
          <w:color w:val="4472C4" w:themeColor="accent1"/>
          <w:spacing w:val="-10"/>
          <w:kern w:val="28"/>
          <w:sz w:val="36"/>
        </w:rPr>
      </w:pPr>
      <w:r>
        <w:rPr>
          <w:b/>
          <w:color w:val="4472C4" w:themeColor="accent1"/>
          <w:spacing w:val="-10"/>
          <w:kern w:val="28"/>
          <w:sz w:val="36"/>
        </w:rPr>
        <w:t>SUPPLEMENTARY</w:t>
      </w:r>
      <w:r w:rsidRPr="001110F1">
        <w:rPr>
          <w:b/>
          <w:color w:val="4472C4" w:themeColor="accent1"/>
          <w:spacing w:val="-10"/>
          <w:kern w:val="28"/>
          <w:sz w:val="36"/>
        </w:rPr>
        <w:t xml:space="preserve"> ESTIMATE 20</w:t>
      </w:r>
      <w:r w:rsidR="0052478E">
        <w:rPr>
          <w:b/>
          <w:color w:val="4472C4" w:themeColor="accent1"/>
          <w:spacing w:val="-10"/>
          <w:kern w:val="28"/>
          <w:sz w:val="36"/>
        </w:rPr>
        <w:t>20</w:t>
      </w:r>
      <w:r w:rsidRPr="001110F1">
        <w:rPr>
          <w:b/>
          <w:color w:val="4472C4" w:themeColor="accent1"/>
          <w:spacing w:val="-10"/>
          <w:kern w:val="28"/>
          <w:sz w:val="36"/>
        </w:rPr>
        <w:t>-</w:t>
      </w:r>
      <w:r w:rsidRPr="001110F1" w:rsidR="006C637B">
        <w:rPr>
          <w:b/>
          <w:color w:val="4472C4" w:themeColor="accent1"/>
          <w:spacing w:val="-10"/>
          <w:kern w:val="28"/>
          <w:sz w:val="36"/>
        </w:rPr>
        <w:t>2</w:t>
      </w:r>
      <w:r w:rsidR="00CF1F3B">
        <w:rPr>
          <w:b/>
          <w:color w:val="4472C4" w:themeColor="accent1"/>
          <w:spacing w:val="-10"/>
          <w:kern w:val="28"/>
          <w:sz w:val="36"/>
        </w:rPr>
        <w:t>1</w:t>
      </w:r>
    </w:p>
    <w:p w:rsidR="00DE61E6" w:rsidRPr="00B8786D" w:rsidP="005073F2">
      <w:pPr>
        <w:rPr>
          <w:b/>
          <w:color w:val="4472C4" w:themeColor="accent1"/>
          <w:spacing w:val="-10"/>
          <w:kern w:val="28"/>
          <w:sz w:val="24"/>
          <w:szCs w:val="24"/>
        </w:rPr>
      </w:pPr>
    </w:p>
    <w:p w:rsidR="00740C96" w:rsidRPr="001110F1" w:rsidP="00C33F82">
      <w:pPr>
        <w:pStyle w:val="Heading1"/>
        <w:rPr>
          <w:rFonts w:asciiTheme="minorHAnsi" w:hAnsiTheme="minorHAnsi"/>
        </w:rPr>
      </w:pPr>
      <w:bookmarkEnd w:id="0"/>
      <w:r w:rsidRPr="001110F1">
        <w:rPr>
          <w:rFonts w:asciiTheme="minorHAnsi" w:hAnsiTheme="minorHAnsi"/>
        </w:rPr>
        <w:t>Overview</w:t>
      </w:r>
    </w:p>
    <w:p w:rsidR="007C6BDA" w:rsidP="5AE61B80">
      <w:pPr>
        <w:spacing w:before="100" w:beforeAutospacing="1" w:after="100" w:afterAutospacing="1" w:line="240" w:lineRule="auto"/>
        <w:rPr>
          <w:lang w:eastAsia="en-GB"/>
        </w:rPr>
      </w:pPr>
      <w:r w:rsidRPr="5AE61B80">
        <w:rPr>
          <w:lang w:eastAsia="en-GB"/>
        </w:rPr>
        <w:t>This Memorandum covers the Supplementary Estimate (SE) for the Ministry of Defence (MOD) and should be read in conjunction with the Central Government Main Supply Estimates 20</w:t>
      </w:r>
      <w:r w:rsidR="00CF1F3B">
        <w:rPr>
          <w:lang w:eastAsia="en-GB"/>
        </w:rPr>
        <w:t>20</w:t>
      </w:r>
      <w:r w:rsidRPr="5AE61B80">
        <w:rPr>
          <w:lang w:eastAsia="en-GB"/>
        </w:rPr>
        <w:t>-2</w:t>
      </w:r>
      <w:r w:rsidR="00CF1F3B">
        <w:rPr>
          <w:lang w:eastAsia="en-GB"/>
        </w:rPr>
        <w:t>1</w:t>
      </w:r>
      <w:r w:rsidRPr="5AE61B80">
        <w:rPr>
          <w:lang w:eastAsia="en-GB"/>
        </w:rPr>
        <w:t xml:space="preserve">. </w:t>
      </w:r>
      <w:r w:rsidR="00370F26">
        <w:rPr>
          <w:lang w:eastAsia="en-GB"/>
        </w:rPr>
        <w:t>The Department’s spending plans for 2020-21 are based on the last year (of five) of the Spending Review 2015 (Cm 9162) published in November 2015. The Department’s funding was confirmed at the Spending Round 2019 (CP 170) of September 2019.</w:t>
      </w:r>
      <w:r w:rsidR="00E259BD">
        <w:rPr>
          <w:lang w:eastAsia="en-GB"/>
        </w:rPr>
        <w:t xml:space="preserve"> </w:t>
      </w:r>
    </w:p>
    <w:p w:rsidR="00CD15B6" w:rsidP="00FC4D6A">
      <w:pPr>
        <w:spacing w:before="100" w:beforeAutospacing="1" w:after="100" w:afterAutospacing="1" w:line="240" w:lineRule="auto"/>
        <w:rPr>
          <w:lang w:eastAsia="en-GB"/>
        </w:rPr>
      </w:pPr>
      <w:r>
        <w:rPr>
          <w:lang w:eastAsia="en-GB"/>
        </w:rPr>
        <w:t xml:space="preserve">The </w:t>
      </w:r>
      <w:r w:rsidR="00BD646F">
        <w:rPr>
          <w:lang w:eastAsia="en-GB"/>
        </w:rPr>
        <w:t xml:space="preserve">Department’s </w:t>
      </w:r>
      <w:r w:rsidR="00101C7E">
        <w:rPr>
          <w:lang w:eastAsia="en-GB"/>
        </w:rPr>
        <w:t>Expenditure</w:t>
      </w:r>
      <w:r w:rsidR="00BD646F">
        <w:rPr>
          <w:lang w:eastAsia="en-GB"/>
        </w:rPr>
        <w:t xml:space="preserve"> Limit (DEL) (Resource </w:t>
      </w:r>
      <w:r w:rsidR="00C06780">
        <w:rPr>
          <w:lang w:eastAsia="en-GB"/>
        </w:rPr>
        <w:t>and Capital) for 20</w:t>
      </w:r>
      <w:r w:rsidR="00555C1C">
        <w:rPr>
          <w:lang w:eastAsia="en-GB"/>
        </w:rPr>
        <w:t>2</w:t>
      </w:r>
      <w:r w:rsidR="008D0EFD">
        <w:rPr>
          <w:lang w:eastAsia="en-GB"/>
        </w:rPr>
        <w:t>0-21</w:t>
      </w:r>
      <w:r w:rsidR="00C06780">
        <w:rPr>
          <w:lang w:eastAsia="en-GB"/>
        </w:rPr>
        <w:t xml:space="preserve"> is</w:t>
      </w:r>
      <w:r w:rsidR="004C3811">
        <w:rPr>
          <w:lang w:eastAsia="en-GB"/>
        </w:rPr>
        <w:t xml:space="preserve"> </w:t>
      </w:r>
      <w:r w:rsidRPr="00E97097" w:rsidR="004C3811">
        <w:rPr>
          <w:lang w:eastAsia="en-GB"/>
        </w:rPr>
        <w:t>£</w:t>
      </w:r>
      <w:r w:rsidRPr="00E97097" w:rsidR="00807E67">
        <w:rPr>
          <w:lang w:eastAsia="en-GB"/>
        </w:rPr>
        <w:t>4</w:t>
      </w:r>
      <w:r w:rsidRPr="00E97097" w:rsidR="006F3114">
        <w:rPr>
          <w:lang w:eastAsia="en-GB"/>
        </w:rPr>
        <w:t>2.5</w:t>
      </w:r>
      <w:r w:rsidRPr="00E97097" w:rsidR="007E69D5">
        <w:rPr>
          <w:lang w:eastAsia="en-GB"/>
        </w:rPr>
        <w:t xml:space="preserve">Bn </w:t>
      </w:r>
      <w:r w:rsidR="007E69D5">
        <w:rPr>
          <w:lang w:eastAsia="en-GB"/>
        </w:rPr>
        <w:t xml:space="preserve">(including net budget cover transfers to </w:t>
      </w:r>
      <w:r w:rsidR="00D34889">
        <w:rPr>
          <w:lang w:eastAsia="en-GB"/>
        </w:rPr>
        <w:t>Other Government Departments (OGDs)</w:t>
      </w:r>
      <w:r w:rsidR="008A1CD6">
        <w:rPr>
          <w:lang w:eastAsia="en-GB"/>
        </w:rPr>
        <w:t xml:space="preserve"> in 20</w:t>
      </w:r>
      <w:r w:rsidR="008D0EFD">
        <w:rPr>
          <w:lang w:eastAsia="en-GB"/>
        </w:rPr>
        <w:t>20</w:t>
      </w:r>
      <w:r w:rsidR="00704A68">
        <w:rPr>
          <w:lang w:eastAsia="en-GB"/>
        </w:rPr>
        <w:t>-2</w:t>
      </w:r>
      <w:r w:rsidR="008D0EFD">
        <w:rPr>
          <w:lang w:eastAsia="en-GB"/>
        </w:rPr>
        <w:t>1</w:t>
      </w:r>
      <w:r w:rsidR="008A1CD6">
        <w:rPr>
          <w:lang w:eastAsia="en-GB"/>
        </w:rPr>
        <w:t xml:space="preserve"> but excluding ring fenced</w:t>
      </w:r>
      <w:r w:rsidR="00B35CBE">
        <w:rPr>
          <w:lang w:eastAsia="en-GB"/>
        </w:rPr>
        <w:t xml:space="preserve"> (depreciation and impairments)</w:t>
      </w:r>
      <w:r w:rsidR="008A1CD6">
        <w:rPr>
          <w:lang w:eastAsia="en-GB"/>
        </w:rPr>
        <w:t xml:space="preserve"> expenditure</w:t>
      </w:r>
      <w:r w:rsidR="006459AF">
        <w:rPr>
          <w:lang w:eastAsia="en-GB"/>
        </w:rPr>
        <w:t xml:space="preserve">). </w:t>
      </w:r>
      <w:r w:rsidR="00DA4A3B">
        <w:rPr>
          <w:lang w:eastAsia="en-GB"/>
        </w:rPr>
        <w:t xml:space="preserve">This figure is also inclusive of </w:t>
      </w:r>
      <w:r w:rsidR="006459AF">
        <w:rPr>
          <w:lang w:eastAsia="en-GB"/>
        </w:rPr>
        <w:t xml:space="preserve">funding </w:t>
      </w:r>
      <w:r w:rsidR="00A108A4">
        <w:rPr>
          <w:lang w:eastAsia="en-GB"/>
        </w:rPr>
        <w:t xml:space="preserve">provided </w:t>
      </w:r>
      <w:r w:rsidR="00F519FC">
        <w:rPr>
          <w:lang w:eastAsia="en-GB"/>
        </w:rPr>
        <w:t xml:space="preserve">by </w:t>
      </w:r>
      <w:r w:rsidR="00A108A4">
        <w:rPr>
          <w:lang w:eastAsia="en-GB"/>
        </w:rPr>
        <w:t>HM</w:t>
      </w:r>
      <w:r w:rsidR="00830724">
        <w:rPr>
          <w:lang w:eastAsia="en-GB"/>
        </w:rPr>
        <w:t xml:space="preserve"> </w:t>
      </w:r>
      <w:r w:rsidR="00A108A4">
        <w:rPr>
          <w:lang w:eastAsia="en-GB"/>
        </w:rPr>
        <w:t>T</w:t>
      </w:r>
      <w:r w:rsidR="00830724">
        <w:rPr>
          <w:lang w:eastAsia="en-GB"/>
        </w:rPr>
        <w:t>reasury</w:t>
      </w:r>
      <w:r w:rsidR="00950D5C">
        <w:rPr>
          <w:lang w:eastAsia="en-GB"/>
        </w:rPr>
        <w:t>’s</w:t>
      </w:r>
      <w:r w:rsidR="00830724">
        <w:rPr>
          <w:lang w:eastAsia="en-GB"/>
        </w:rPr>
        <w:t xml:space="preserve"> (HMT) Reserve for the net additional costs </w:t>
      </w:r>
      <w:r w:rsidR="008E36BB">
        <w:rPr>
          <w:lang w:eastAsia="en-GB"/>
        </w:rPr>
        <w:t xml:space="preserve">of Military </w:t>
      </w:r>
      <w:r w:rsidR="00892CE3">
        <w:rPr>
          <w:lang w:eastAsia="en-GB"/>
        </w:rPr>
        <w:t>Operations and Peacekeeping.</w:t>
      </w:r>
    </w:p>
    <w:p w:rsidR="0086175F" w:rsidP="00FC4D6A">
      <w:pPr>
        <w:spacing w:before="100" w:beforeAutospacing="1" w:after="100" w:afterAutospacing="1" w:line="240" w:lineRule="auto"/>
        <w:rPr>
          <w:lang w:eastAsia="en-GB"/>
        </w:rPr>
      </w:pPr>
      <w:r>
        <w:rPr>
          <w:lang w:eastAsia="en-GB"/>
        </w:rPr>
        <w:t xml:space="preserve">There </w:t>
      </w:r>
      <w:r w:rsidR="00860D3A">
        <w:rPr>
          <w:lang w:eastAsia="en-GB"/>
        </w:rPr>
        <w:t>are</w:t>
      </w:r>
      <w:r>
        <w:rPr>
          <w:lang w:eastAsia="en-GB"/>
        </w:rPr>
        <w:t xml:space="preserve"> no contingencies funded </w:t>
      </w:r>
      <w:r w:rsidR="004F59E2">
        <w:rPr>
          <w:lang w:eastAsia="en-GB"/>
        </w:rPr>
        <w:t xml:space="preserve">in this Estimate and contingent liabilities are reported in a </w:t>
      </w:r>
      <w:r w:rsidR="004060E1">
        <w:rPr>
          <w:lang w:eastAsia="en-GB"/>
        </w:rPr>
        <w:t>separate table in the</w:t>
      </w:r>
      <w:r w:rsidR="00B35CBE">
        <w:rPr>
          <w:lang w:eastAsia="en-GB"/>
        </w:rPr>
        <w:t xml:space="preserve"> </w:t>
      </w:r>
      <w:r w:rsidR="0028699A">
        <w:rPr>
          <w:lang w:eastAsia="en-GB"/>
        </w:rPr>
        <w:t>Supplem</w:t>
      </w:r>
      <w:r w:rsidR="00E8742A">
        <w:rPr>
          <w:lang w:eastAsia="en-GB"/>
        </w:rPr>
        <w:t>entary</w:t>
      </w:r>
      <w:r w:rsidR="00B35CBE">
        <w:rPr>
          <w:lang w:eastAsia="en-GB"/>
        </w:rPr>
        <w:t xml:space="preserve"> Supply</w:t>
      </w:r>
      <w:r w:rsidR="004060E1">
        <w:rPr>
          <w:lang w:eastAsia="en-GB"/>
        </w:rPr>
        <w:t xml:space="preserve"> Estimate</w:t>
      </w:r>
      <w:r w:rsidR="00363214">
        <w:rPr>
          <w:lang w:eastAsia="en-GB"/>
        </w:rPr>
        <w:t>.</w:t>
      </w:r>
    </w:p>
    <w:p w:rsidR="00FC4D6A" w:rsidRPr="00FC4D6A" w:rsidP="00FC4D6A">
      <w:pPr>
        <w:spacing w:before="100" w:beforeAutospacing="1" w:after="100" w:afterAutospacing="1" w:line="240" w:lineRule="auto"/>
        <w:rPr>
          <w:lang w:eastAsia="en-GB"/>
        </w:rPr>
      </w:pPr>
      <w:r>
        <w:rPr>
          <w:lang w:eastAsia="en-GB"/>
        </w:rPr>
        <w:t>There is a separate Estimate</w:t>
      </w:r>
      <w:r w:rsidRPr="00FC4D6A">
        <w:rPr>
          <w:lang w:eastAsia="en-GB"/>
        </w:rPr>
        <w:t xml:space="preserve"> Memorandum for the Armed Forces Pensions and Compensation Schemes vote.</w:t>
      </w:r>
    </w:p>
    <w:p w:rsidR="00FC4D6A" w:rsidRPr="00FC4D6A" w:rsidP="00FC4D6A">
      <w:pPr>
        <w:spacing w:before="100" w:beforeAutospacing="1" w:after="100" w:afterAutospacing="1" w:line="240" w:lineRule="auto"/>
        <w:rPr>
          <w:lang w:eastAsia="en-GB"/>
        </w:rPr>
      </w:pPr>
      <w:r w:rsidRPr="00FC4D6A">
        <w:rPr>
          <w:lang w:eastAsia="en-GB"/>
        </w:rPr>
        <w:t>Section 4 contains explanations for each new request for resources.</w:t>
      </w:r>
    </w:p>
    <w:p w:rsidR="5FA12D43" w:rsidP="007D59CA">
      <w:pPr>
        <w:spacing w:before="100" w:beforeAutospacing="1" w:after="100" w:afterAutospacing="1" w:line="240" w:lineRule="auto"/>
        <w:rPr>
          <w:lang w:eastAsia="en-GB"/>
        </w:rPr>
      </w:pPr>
      <w:r w:rsidRPr="5FA12D43">
        <w:rPr>
          <w:lang w:eastAsia="en-GB"/>
        </w:rPr>
        <w:t>Please note, the figures in the tables within this memorandum have been rounded to one decimal place. In some cases, this has caused a minor discrepancy between the figures in the tables and the totals shown</w:t>
      </w:r>
      <w:r w:rsidR="00FB6E66">
        <w:rPr>
          <w:lang w:eastAsia="en-GB"/>
        </w:rPr>
        <w:t xml:space="preserve"> due </w:t>
      </w:r>
      <w:r w:rsidR="00B011F8">
        <w:rPr>
          <w:lang w:eastAsia="en-GB"/>
        </w:rPr>
        <w:t>to the rounding of the figures</w:t>
      </w:r>
      <w:r w:rsidRPr="5FA12D43">
        <w:rPr>
          <w:lang w:eastAsia="en-GB"/>
        </w:rPr>
        <w:t>.</w:t>
      </w:r>
    </w:p>
    <w:p w:rsidR="003325FE" w:rsidRPr="001110F1" w:rsidP="00137ED6">
      <w:pPr>
        <w:pStyle w:val="Heading2"/>
        <w:rPr>
          <w:rFonts w:asciiTheme="minorHAnsi" w:hAnsiTheme="minorHAnsi"/>
        </w:rPr>
      </w:pPr>
      <w:r w:rsidRPr="001110F1">
        <w:rPr>
          <w:rFonts w:asciiTheme="minorHAnsi" w:hAnsiTheme="minorHAnsi"/>
        </w:rPr>
        <w:t>Objectives</w:t>
      </w:r>
    </w:p>
    <w:p w:rsidR="00D134EA" w:rsidRPr="00D134EA" w:rsidP="002B2029">
      <w:r>
        <w:t xml:space="preserve">The </w:t>
      </w:r>
      <w:r>
        <w:t>Ministry of Defence</w:t>
      </w:r>
      <w:r>
        <w:t>’</w:t>
      </w:r>
      <w:r>
        <w:t>s</w:t>
      </w:r>
      <w:r>
        <w:t xml:space="preserve"> </w:t>
      </w:r>
      <w:r w:rsidR="004C66BF">
        <w:t xml:space="preserve">key strategic </w:t>
      </w:r>
      <w:r>
        <w:t>objectives</w:t>
      </w:r>
      <w:r w:rsidR="004C66BF">
        <w:t xml:space="preserve"> that guide Defence Planning</w:t>
      </w:r>
      <w:r>
        <w:t xml:space="preserve">, as </w:t>
      </w:r>
      <w:r w:rsidRPr="00B436BA" w:rsidR="00F94CBD">
        <w:t>set out in its published Single Departmental Plan</w:t>
      </w:r>
      <w:r w:rsidR="003A08F5">
        <w:t xml:space="preserve"> - 2019</w:t>
      </w:r>
      <w:r w:rsidR="00594756">
        <w:t>,</w:t>
      </w:r>
      <w:r w:rsidRPr="00B436BA" w:rsidR="00F94CBD">
        <w:t xml:space="preserve"> are</w:t>
      </w:r>
      <w:r w:rsidRPr="00B436BA" w:rsidR="00D3514F">
        <w:t xml:space="preserve">: </w:t>
      </w:r>
    </w:p>
    <w:p w:rsidR="00D134EA" w:rsidRPr="00D134EA" w:rsidP="00D134EA">
      <w:pPr>
        <w:pStyle w:val="ListParagraph"/>
        <w:numPr>
          <w:ilvl w:val="0"/>
          <w:numId w:val="2"/>
        </w:numPr>
        <w:spacing w:before="100" w:beforeAutospacing="1" w:after="100" w:afterAutospacing="1" w:line="240" w:lineRule="auto"/>
        <w:rPr>
          <w:lang w:eastAsia="en-GB"/>
        </w:rPr>
      </w:pPr>
      <w:r w:rsidRPr="00D134EA">
        <w:rPr>
          <w:lang w:eastAsia="en-GB"/>
        </w:rPr>
        <w:t>Protect our people</w:t>
      </w:r>
    </w:p>
    <w:p w:rsidR="00D134EA" w:rsidRPr="00D134EA" w:rsidP="00D134EA">
      <w:pPr>
        <w:pStyle w:val="ListParagraph"/>
        <w:numPr>
          <w:ilvl w:val="0"/>
          <w:numId w:val="2"/>
        </w:numPr>
        <w:spacing w:before="100" w:beforeAutospacing="1" w:after="100" w:afterAutospacing="1" w:line="240" w:lineRule="auto"/>
        <w:rPr>
          <w:lang w:eastAsia="en-GB"/>
        </w:rPr>
      </w:pPr>
      <w:r w:rsidRPr="00D134EA">
        <w:rPr>
          <w:lang w:eastAsia="en-GB"/>
        </w:rPr>
        <w:t>Project our global influence</w:t>
      </w:r>
    </w:p>
    <w:p w:rsidR="00D134EA" w:rsidP="00D134EA">
      <w:pPr>
        <w:pStyle w:val="ListParagraph"/>
        <w:numPr>
          <w:ilvl w:val="0"/>
          <w:numId w:val="2"/>
        </w:numPr>
        <w:spacing w:before="100" w:beforeAutospacing="1" w:after="100" w:afterAutospacing="1" w:line="240" w:lineRule="auto"/>
        <w:rPr>
          <w:lang w:eastAsia="en-GB"/>
        </w:rPr>
      </w:pPr>
      <w:r w:rsidRPr="00D134EA">
        <w:rPr>
          <w:lang w:eastAsia="en-GB"/>
        </w:rPr>
        <w:t>Promote our prosperity</w:t>
      </w:r>
    </w:p>
    <w:p w:rsidR="00C97BA4" w:rsidRPr="00D134EA" w:rsidP="00D134EA">
      <w:pPr>
        <w:pStyle w:val="ListParagraph"/>
        <w:numPr>
          <w:ilvl w:val="0"/>
          <w:numId w:val="2"/>
        </w:numPr>
        <w:spacing w:before="100" w:beforeAutospacing="1" w:after="100" w:afterAutospacing="1" w:line="240" w:lineRule="auto"/>
        <w:rPr>
          <w:lang w:eastAsia="en-GB"/>
        </w:rPr>
      </w:pPr>
      <w:r>
        <w:rPr>
          <w:lang w:eastAsia="en-GB"/>
        </w:rPr>
        <w:t>Transf</w:t>
      </w:r>
      <w:r w:rsidR="002769BA">
        <w:rPr>
          <w:lang w:eastAsia="en-GB"/>
        </w:rPr>
        <w:t>orm the way we do business</w:t>
      </w:r>
    </w:p>
    <w:p w:rsidR="00366A43" w:rsidRPr="00B436BA" w:rsidP="00D134EA">
      <w:pPr>
        <w:pStyle w:val="ListParagraph"/>
        <w:numPr>
          <w:ilvl w:val="0"/>
          <w:numId w:val="2"/>
        </w:numPr>
        <w:spacing w:before="100" w:beforeAutospacing="1" w:after="100" w:afterAutospacing="1" w:line="240" w:lineRule="auto"/>
        <w:rPr>
          <w:lang w:eastAsia="en-GB"/>
        </w:rPr>
      </w:pPr>
      <w:r>
        <w:rPr>
          <w:lang w:eastAsia="en-GB"/>
        </w:rPr>
        <w:t xml:space="preserve">Support the </w:t>
      </w:r>
      <w:r w:rsidR="00131F7D">
        <w:rPr>
          <w:lang w:eastAsia="en-GB"/>
        </w:rPr>
        <w:t>delivery of EU exit.</w:t>
      </w:r>
    </w:p>
    <w:p w:rsidR="00D02D67" w:rsidP="00AB16B3">
      <w:pPr>
        <w:spacing w:before="100" w:beforeAutospacing="1" w:after="100" w:afterAutospacing="1" w:line="240" w:lineRule="auto"/>
        <w:rPr>
          <w:lang w:eastAsia="en-GB"/>
        </w:rPr>
      </w:pPr>
      <w:r>
        <w:rPr>
          <w:lang w:eastAsia="en-GB"/>
        </w:rPr>
        <w:t>MOD</w:t>
      </w:r>
      <w:r w:rsidRPr="00B436BA" w:rsidR="00F94CBD">
        <w:rPr>
          <w:lang w:eastAsia="en-GB"/>
        </w:rPr>
        <w:t xml:space="preserve">’s spending is designed to support its objectives.  </w:t>
      </w:r>
      <w:r w:rsidR="004C66BF">
        <w:rPr>
          <w:lang w:eastAsia="en-GB"/>
        </w:rPr>
        <w:t xml:space="preserve">The budgetary structure of the MOD does not show separately the exact costs or budgets for the four individual objectives as set out above. This is because large parts of the Armed Services operate as fully integrated joint organisations in which elements from the Navy, Army </w:t>
      </w:r>
      <w:r w:rsidR="00B33014">
        <w:rPr>
          <w:lang w:eastAsia="en-GB"/>
        </w:rPr>
        <w:t>and Air Force work closely together and share land, buildings</w:t>
      </w:r>
      <w:r w:rsidR="00D34D2D">
        <w:rPr>
          <w:lang w:eastAsia="en-GB"/>
        </w:rPr>
        <w:t>,</w:t>
      </w:r>
      <w:r w:rsidR="00B33014">
        <w:rPr>
          <w:lang w:eastAsia="en-GB"/>
        </w:rPr>
        <w:t xml:space="preserve"> facilities and sometimes equipment. </w:t>
      </w:r>
      <w:r w:rsidRPr="00B436BA" w:rsidR="00F94CBD">
        <w:rPr>
          <w:lang w:eastAsia="en-GB"/>
        </w:rPr>
        <w:t xml:space="preserve">Detail of </w:t>
      </w:r>
      <w:r w:rsidR="00B33014">
        <w:rPr>
          <w:lang w:eastAsia="en-GB"/>
        </w:rPr>
        <w:t>these areas of spending</w:t>
      </w:r>
      <w:r w:rsidR="006F64B0">
        <w:rPr>
          <w:lang w:eastAsia="en-GB"/>
        </w:rPr>
        <w:t xml:space="preserve"> </w:t>
      </w:r>
      <w:r w:rsidRPr="00B436BA" w:rsidR="00F94CBD">
        <w:rPr>
          <w:lang w:eastAsia="en-GB"/>
        </w:rPr>
        <w:t>is given at Section 3.1.</w:t>
      </w:r>
    </w:p>
    <w:p w:rsidR="000E0F4E" w:rsidRPr="001110F1" w:rsidP="00C33F82">
      <w:pPr>
        <w:pStyle w:val="Heading2"/>
        <w:rPr>
          <w:rFonts w:asciiTheme="minorHAnsi" w:hAnsiTheme="minorHAnsi"/>
        </w:rPr>
      </w:pPr>
      <w:r w:rsidRPr="001110F1">
        <w:rPr>
          <w:rFonts w:asciiTheme="minorHAnsi" w:hAnsiTheme="minorHAnsi"/>
        </w:rPr>
        <w:t>Spending controls</w:t>
      </w:r>
    </w:p>
    <w:p w:rsidR="00F94CBD" w:rsidRPr="00DE2997" w:rsidP="00F94CBD">
      <w:pPr>
        <w:rPr>
          <w:i/>
        </w:rPr>
      </w:pPr>
      <w:r>
        <w:t>MOD</w:t>
      </w:r>
      <w:r w:rsidRPr="00B436BA">
        <w:t>’s spending is broken down into a several different spending totals, for which Parliament’s approval is sought.</w:t>
      </w:r>
      <w:r w:rsidRPr="00DE2997">
        <w:rPr>
          <w:i/>
        </w:rPr>
        <w:t xml:space="preserve"> </w:t>
      </w:r>
    </w:p>
    <w:p w:rsidR="00F94CBD" w:rsidP="00F94CBD">
      <w:r w:rsidRPr="00B436BA">
        <w:t>The spending totals</w:t>
      </w:r>
      <w:r w:rsidR="00C62F8C">
        <w:t xml:space="preserve"> on</w:t>
      </w:r>
      <w:r w:rsidRPr="00B436BA">
        <w:t xml:space="preserve"> which Parliament votes are:</w:t>
      </w:r>
    </w:p>
    <w:p w:rsidR="007B4F10" w:rsidP="007D45AD">
      <w:pPr>
        <w:pStyle w:val="ListParagraph"/>
        <w:numPr>
          <w:ilvl w:val="0"/>
          <w:numId w:val="10"/>
        </w:numPr>
      </w:pPr>
      <w:r w:rsidRPr="002D77F1">
        <w:t>Resource Departmental Expenditure Limit (“</w:t>
      </w:r>
      <w:r w:rsidRPr="006270EF">
        <w:rPr>
          <w:b/>
        </w:rPr>
        <w:t>Resource DEL</w:t>
      </w:r>
      <w:r w:rsidRPr="002D77F1">
        <w:t>”)</w:t>
      </w:r>
      <w:r>
        <w:t>- day to day running costs</w:t>
      </w:r>
    </w:p>
    <w:p w:rsidR="007B4F10" w:rsidP="007D45AD">
      <w:pPr>
        <w:pStyle w:val="ListParagraph"/>
        <w:numPr>
          <w:ilvl w:val="0"/>
          <w:numId w:val="10"/>
        </w:numPr>
      </w:pPr>
      <w:r w:rsidRPr="002D77F1">
        <w:t>Capital Departmental Expenditure Limit (“</w:t>
      </w:r>
      <w:r w:rsidRPr="006270EF">
        <w:rPr>
          <w:b/>
        </w:rPr>
        <w:t>Capital DEL</w:t>
      </w:r>
      <w:r w:rsidRPr="002D77F1">
        <w:t>”):</w:t>
      </w:r>
      <w:r>
        <w:t xml:space="preserve"> - investment in infrastructure </w:t>
      </w:r>
    </w:p>
    <w:p w:rsidR="007B4F10" w:rsidP="007D45AD">
      <w:pPr>
        <w:pStyle w:val="ListParagraph"/>
        <w:numPr>
          <w:ilvl w:val="0"/>
          <w:numId w:val="10"/>
        </w:numPr>
      </w:pPr>
      <w:r w:rsidRPr="002D77F1">
        <w:t>Resource Annually Managed Expenditure (“</w:t>
      </w:r>
      <w:r w:rsidRPr="006270EF">
        <w:rPr>
          <w:b/>
        </w:rPr>
        <w:t>Resource AME</w:t>
      </w:r>
      <w:r w:rsidRPr="002D77F1">
        <w:t>”</w:t>
      </w:r>
      <w:r w:rsidR="00503B4B">
        <w:t>):</w:t>
      </w:r>
      <w:r>
        <w:t xml:space="preserve"> </w:t>
      </w:r>
      <w:r w:rsidR="00503B4B">
        <w:t xml:space="preserve">less predictable day to day spending: </w:t>
      </w:r>
      <w:r>
        <w:t xml:space="preserve">in </w:t>
      </w:r>
      <w:r w:rsidR="00BD0E16">
        <w:t>MOD</w:t>
      </w:r>
      <w:r>
        <w:t xml:space="preserve">’s case, mainly </w:t>
      </w:r>
      <w:r w:rsidR="00BD0E16">
        <w:t>provisions, depreciation and impairment and movements in financial instruments</w:t>
      </w:r>
    </w:p>
    <w:p w:rsidR="00B40678" w:rsidP="007D45AD">
      <w:pPr>
        <w:pStyle w:val="ListParagraph"/>
        <w:numPr>
          <w:ilvl w:val="0"/>
          <w:numId w:val="10"/>
        </w:numPr>
      </w:pPr>
      <w:r w:rsidRPr="002D77F1">
        <w:t>Capital Annually Managed Expenditure (“</w:t>
      </w:r>
      <w:r w:rsidRPr="006270EF">
        <w:rPr>
          <w:b/>
        </w:rPr>
        <w:t>Capital AME</w:t>
      </w:r>
      <w:r w:rsidRPr="002D77F1">
        <w:t>”):</w:t>
      </w:r>
      <w:r w:rsidR="0002776E">
        <w:t xml:space="preserve"> </w:t>
      </w:r>
      <w:r w:rsidR="00BD0E16">
        <w:t>in MOD</w:t>
      </w:r>
      <w:r>
        <w:t xml:space="preserve">’s case </w:t>
      </w:r>
      <w:r w:rsidR="00BD0E16">
        <w:t xml:space="preserve">nuclear </w:t>
      </w:r>
      <w:r>
        <w:t>p</w:t>
      </w:r>
      <w:r w:rsidR="00BD0E16">
        <w:t>rovisions.</w:t>
      </w:r>
    </w:p>
    <w:p w:rsidR="00B40678" w:rsidP="00B40678">
      <w:r>
        <w:t xml:space="preserve">In addition, Parliament votes a </w:t>
      </w:r>
      <w:r w:rsidRPr="007943AE">
        <w:rPr>
          <w:b/>
        </w:rPr>
        <w:t>net cash requirement</w:t>
      </w:r>
      <w:r>
        <w:t xml:space="preserve">, designed to cover the elements of the above budgets which require </w:t>
      </w:r>
      <w:r w:rsidR="00BD0E16">
        <w:t>MOD</w:t>
      </w:r>
      <w:r>
        <w:t xml:space="preserve"> to pay out cash in year</w:t>
      </w:r>
      <w:r w:rsidR="00BD0E16">
        <w:t>.</w:t>
      </w:r>
    </w:p>
    <w:p w:rsidR="001C24B7" w:rsidP="00B40678"/>
    <w:p w:rsidR="000E0F4E" w:rsidRPr="001110F1" w:rsidP="001C24B7">
      <w:pPr>
        <w:pStyle w:val="Heading2"/>
        <w:rPr>
          <w:rFonts w:asciiTheme="minorHAnsi" w:hAnsiTheme="minorHAnsi"/>
        </w:rPr>
      </w:pPr>
      <w:r w:rsidRPr="001110F1">
        <w:rPr>
          <w:rFonts w:asciiTheme="minorHAnsi" w:hAnsiTheme="minorHAnsi"/>
        </w:rPr>
        <w:tab/>
      </w:r>
      <w:r w:rsidRPr="001110F1" w:rsidR="00F94CBD">
        <w:rPr>
          <w:rFonts w:asciiTheme="minorHAnsi" w:hAnsiTheme="minorHAnsi"/>
        </w:rPr>
        <w:t xml:space="preserve">Main </w:t>
      </w:r>
      <w:r w:rsidRPr="001110F1" w:rsidR="00BA4D39">
        <w:rPr>
          <w:rFonts w:asciiTheme="minorHAnsi" w:hAnsiTheme="minorHAnsi"/>
        </w:rPr>
        <w:t>areas of s</w:t>
      </w:r>
      <w:r w:rsidRPr="001110F1" w:rsidR="00F94CBD">
        <w:rPr>
          <w:rFonts w:asciiTheme="minorHAnsi" w:hAnsiTheme="minorHAnsi"/>
        </w:rPr>
        <w:t>pending</w:t>
      </w:r>
    </w:p>
    <w:p w:rsidR="007B4F10" w:rsidP="007B4F10">
      <w:r>
        <w:t xml:space="preserve">The graphic below shows the main components of </w:t>
      </w:r>
      <w:r w:rsidR="006D6D92">
        <w:t>MOD</w:t>
      </w:r>
      <w:r w:rsidR="00B40678">
        <w:t>’s proposed budget</w:t>
      </w:r>
      <w:r w:rsidR="00503B4B">
        <w:t xml:space="preserve"> for the current year</w:t>
      </w:r>
      <w:r w:rsidR="00B40678">
        <w:t>,</w:t>
      </w:r>
      <w:r w:rsidR="00291FDA">
        <w:t xml:space="preserve"> </w:t>
      </w:r>
      <w:r w:rsidR="00AD4698">
        <w:t xml:space="preserve">after taking </w:t>
      </w:r>
      <w:r w:rsidR="00C62F8C">
        <w:t xml:space="preserve">into </w:t>
      </w:r>
      <w:r w:rsidR="00AD4698">
        <w:t>account the Supplementa</w:t>
      </w:r>
      <w:r w:rsidR="002202DF">
        <w:t>ry</w:t>
      </w:r>
      <w:r w:rsidR="003F01CC">
        <w:t xml:space="preserve"> </w:t>
      </w:r>
      <w:r w:rsidR="00B40678">
        <w:t>Estimate</w:t>
      </w:r>
      <w:r w:rsidR="00503B4B">
        <w:t>.</w:t>
      </w:r>
    </w:p>
    <w:p w:rsidR="00316094" w:rsidP="007B4F10"/>
    <w:p w:rsidR="009B5ABF" w:rsidP="007B4F10">
      <w:r>
        <w:rPr>
          <w:noProof/>
        </w:rPr>
        <w:drawing>
          <wp:inline distT="0" distB="0" distL="0" distR="0">
            <wp:extent cx="5656580" cy="3202940"/>
            <wp:effectExtent l="0" t="0" r="1270" b="16510"/>
            <wp:docPr id="1796760897" name="Chart 1"/>
            <wp:cNvGraphicFramePr>
              <a:graphicFrameLocks xmlns:a="http://schemas.openxmlformats.org/drawingml/2006/main" noChangeAspect="1" noGrp="1" noMove="1" noSelect="1"/>
            </wp:cNvGraphicFramePr>
            <a:graphic xmlns:a="http://schemas.openxmlformats.org/drawingml/2006/main">
              <a:graphicData uri="http://schemas.openxmlformats.org/drawingml/2006/picture">
                <pic:pic xmlns:pic="http://schemas.openxmlformats.org/drawingml/2006/picture">
                  <pic:nvPicPr>
                    <pic:cNvPr id="1" name="Chart 1">
                      <a:extLst>
                        <a:ext uri="{FF2B5EF4-FFF2-40B4-BE49-F238E27FC236}">
                          <a16:creationId xmlns:a16="http://schemas.microsoft.com/office/drawing/2014/main" id="{EA9B92C8-09D6-4AF4-BB58-199FC2AB3197}"/>
                        </a:ext>
                      </a:extLst>
                    </pic:cNvPr>
                    <pic:cNvPicPr>
                      <a:picLocks noGrp="1" noRot="1" noChangeAspect="1" noMove="1" noResize="1" noEditPoints="1" noAdjustHandles="1" noChangeArrowheads="1" noChangeShapeType="1"/>
                    </pic:cNvPicPr>
                  </pic:nvPicPr>
                  <pic:blipFill>
                    <a:blip xmlns:r="http://schemas.openxmlformats.org/officeDocument/2006/relationships" r:embed="rId8"/>
                    <a:stretch>
                      <a:fillRect/>
                    </a:stretch>
                  </pic:blipFill>
                  <pic:spPr>
                    <a:xfrm>
                      <a:off x="0" y="0"/>
                      <a:ext cx="5656580" cy="3202940"/>
                    </a:xfrm>
                    <a:prstGeom prst="rect">
                      <a:avLst/>
                    </a:prstGeom>
                  </pic:spPr>
                </pic:pic>
              </a:graphicData>
            </a:graphic>
          </wp:inline>
        </w:drawing>
      </w:r>
    </w:p>
    <w:p w:rsidR="00F9443C" w:rsidP="003A4F61">
      <w:r>
        <w:rPr>
          <w:i/>
          <w:sz w:val="20"/>
          <w:szCs w:val="20"/>
          <w:lang w:eastAsia="en-GB"/>
        </w:rPr>
        <w:t>*</w:t>
      </w:r>
      <w:r w:rsidRPr="003A4F61">
        <w:rPr>
          <w:i/>
          <w:sz w:val="20"/>
          <w:szCs w:val="20"/>
          <w:lang w:eastAsia="en-GB"/>
        </w:rPr>
        <w:t xml:space="preserve"> </w:t>
      </w:r>
      <w:r w:rsidRPr="001110F1" w:rsidR="00C7043E">
        <w:rPr>
          <w:sz w:val="16"/>
        </w:rPr>
        <w:t>Includes Other Costs and Services, Receipts and Other Income, Cash Release of Provisions</w:t>
      </w:r>
      <w:r w:rsidRPr="001110F1" w:rsidR="00B211F6">
        <w:rPr>
          <w:sz w:val="16"/>
        </w:rPr>
        <w:t>,</w:t>
      </w:r>
      <w:r w:rsidRPr="001110F1" w:rsidR="00C7043E">
        <w:rPr>
          <w:sz w:val="16"/>
        </w:rPr>
        <w:t xml:space="preserve"> Research and Development Costs related to Provision of Defence Capability</w:t>
      </w:r>
      <w:r w:rsidRPr="001110F1" w:rsidR="00B211F6">
        <w:rPr>
          <w:sz w:val="16"/>
        </w:rPr>
        <w:t xml:space="preserve">, DE&amp;S (BTE) </w:t>
      </w:r>
      <w:r w:rsidRPr="001110F1" w:rsidR="007C22A0">
        <w:rPr>
          <w:sz w:val="16"/>
        </w:rPr>
        <w:t>Costs and War Pension Benefits Programme Costs</w:t>
      </w:r>
      <w:r w:rsidRPr="003A4F61">
        <w:rPr>
          <w:i/>
          <w:sz w:val="20"/>
          <w:szCs w:val="20"/>
          <w:lang w:eastAsia="en-GB"/>
        </w:rPr>
        <w:t>.</w:t>
      </w:r>
      <w:r>
        <w:t xml:space="preserve"> </w:t>
      </w:r>
    </w:p>
    <w:p w:rsidR="00FE5F7B" w:rsidP="007B4F10"/>
    <w:p w:rsidR="004D4C3C" w:rsidP="007B4F10"/>
    <w:p w:rsidR="004D4C3C" w:rsidP="007B4F10"/>
    <w:p w:rsidR="004D4C3C" w:rsidP="007B4F10"/>
    <w:p w:rsidR="004D4C3C" w:rsidP="007B4F10">
      <w:r>
        <w:rPr>
          <w:noProof/>
        </w:rPr>
        <w:drawing>
          <wp:inline distT="0" distB="0" distL="0" distR="0">
            <wp:extent cx="5656580" cy="2976245"/>
            <wp:effectExtent l="0" t="0" r="1270" b="14605"/>
            <wp:docPr id="1369833428" name="Chart 2"/>
            <wp:cNvGraphicFramePr>
              <a:graphicFrameLocks xmlns:a="http://schemas.openxmlformats.org/drawingml/2006/main" noChangeAspect="1" noGrp="1" noMove="1" noSelect="1"/>
            </wp:cNvGraphicFramePr>
            <a:graphic xmlns:a="http://schemas.openxmlformats.org/drawingml/2006/main">
              <a:graphicData uri="http://schemas.openxmlformats.org/drawingml/2006/picture">
                <pic:pic xmlns:pic="http://schemas.openxmlformats.org/drawingml/2006/picture">
                  <pic:nvPicPr>
                    <pic:cNvPr id="2" name="Chart 2">
                      <a:extLst>
                        <a:ext uri="{FF2B5EF4-FFF2-40B4-BE49-F238E27FC236}">
                          <a16:creationId xmlns:a16="http://schemas.microsoft.com/office/drawing/2014/main" id="{E54F4A55-26D4-4CE4-A8C6-B2F0DA55B4CA}"/>
                        </a:ext>
                      </a:extLst>
                    </pic:cNvPr>
                    <pic:cNvPicPr>
                      <a:picLocks noGrp="1" noRot="1" noChangeAspect="1" noMove="1" noResize="1" noEditPoints="1" noAdjustHandles="1" noChangeArrowheads="1" noChangeShapeType="1"/>
                    </pic:cNvPicPr>
                  </pic:nvPicPr>
                  <pic:blipFill>
                    <a:blip xmlns:r="http://schemas.openxmlformats.org/officeDocument/2006/relationships" r:embed="rId9"/>
                    <a:stretch>
                      <a:fillRect/>
                    </a:stretch>
                  </pic:blipFill>
                  <pic:spPr>
                    <a:xfrm>
                      <a:off x="0" y="0"/>
                      <a:ext cx="5656580" cy="2976245"/>
                    </a:xfrm>
                    <a:prstGeom prst="rect">
                      <a:avLst/>
                    </a:prstGeom>
                  </pic:spPr>
                </pic:pic>
              </a:graphicData>
            </a:graphic>
          </wp:inline>
        </w:drawing>
      </w:r>
    </w:p>
    <w:p w:rsidR="00FE5F7B" w:rsidP="007B4F10"/>
    <w:p w:rsidR="000E0F4E" w:rsidRPr="001110F1" w:rsidP="001C24B7">
      <w:pPr>
        <w:pStyle w:val="Heading2"/>
        <w:rPr>
          <w:rFonts w:asciiTheme="minorHAnsi" w:hAnsiTheme="minorHAnsi"/>
        </w:rPr>
      </w:pPr>
      <w:r w:rsidRPr="001110F1">
        <w:rPr>
          <w:rFonts w:asciiTheme="minorHAnsi" w:hAnsiTheme="minorHAnsi"/>
        </w:rPr>
        <w:t xml:space="preserve">Comparison of spending totals sought </w:t>
      </w:r>
    </w:p>
    <w:p w:rsidR="00B46375" w:rsidP="00740C96">
      <w:pPr>
        <w:shd w:val="clear" w:color="auto" w:fill="FFFFFF"/>
        <w:spacing w:after="180" w:line="288" w:lineRule="auto"/>
        <w:rPr>
          <w:noProof/>
        </w:rPr>
      </w:pPr>
      <w:r>
        <w:rPr>
          <w:noProof/>
        </w:rPr>
        <w:t xml:space="preserve">The table and graphic below show how the totals sought for the </w:t>
      </w:r>
      <w:r w:rsidR="007569FC">
        <w:rPr>
          <w:noProof/>
        </w:rPr>
        <w:t>MOD</w:t>
      </w:r>
      <w:r>
        <w:rPr>
          <w:noProof/>
        </w:rPr>
        <w:t xml:space="preserve">  compare with last year:</w:t>
      </w:r>
    </w:p>
    <w:tbl>
      <w:tblPr>
        <w:tblW w:w="8480" w:type="dxa"/>
        <w:tblLook w:val="04A0"/>
      </w:tblPr>
      <w:tblGrid>
        <w:gridCol w:w="3040"/>
        <w:gridCol w:w="1440"/>
        <w:gridCol w:w="1000"/>
        <w:gridCol w:w="1000"/>
        <w:gridCol w:w="1000"/>
        <w:gridCol w:w="1000"/>
      </w:tblGrid>
      <w:tr w:rsidTr="003C6B25">
        <w:tblPrEx>
          <w:tblW w:w="8480" w:type="dxa"/>
          <w:tblLook w:val="04A0"/>
        </w:tblPrEx>
        <w:trPr>
          <w:trHeight w:val="270"/>
        </w:trPr>
        <w:tc>
          <w:tcPr>
            <w:tcW w:w="8480" w:type="dxa"/>
            <w:gridSpan w:val="6"/>
            <w:tcBorders>
              <w:top w:val="nil"/>
              <w:left w:val="nil"/>
              <w:bottom w:val="nil"/>
              <w:right w:val="nil"/>
            </w:tcBorders>
            <w:shd w:val="clear" w:color="auto" w:fill="auto"/>
            <w:vAlign w:val="bottom"/>
            <w:hideMark/>
          </w:tcPr>
          <w:p w:rsidR="003C6B25" w:rsidRPr="003C6B25" w:rsidP="00FD2DDB">
            <w:pPr>
              <w:spacing w:after="0" w:line="240" w:lineRule="auto"/>
              <w:ind w:left="-108"/>
              <w:rPr>
                <w:rFonts w:ascii="Arial" w:eastAsia="Times New Roman" w:hAnsi="Arial" w:cs="Arial"/>
                <w:b/>
                <w:bCs/>
                <w:sz w:val="20"/>
                <w:szCs w:val="20"/>
                <w:lang w:eastAsia="en-GB"/>
              </w:rPr>
            </w:pPr>
            <w:r w:rsidRPr="003C6B25">
              <w:rPr>
                <w:rFonts w:ascii="Arial" w:eastAsia="Times New Roman" w:hAnsi="Arial" w:cs="Arial"/>
                <w:b/>
                <w:bCs/>
                <w:sz w:val="20"/>
                <w:szCs w:val="20"/>
                <w:lang w:eastAsia="en-GB"/>
              </w:rPr>
              <w:t xml:space="preserve">Table 1: Main Estimate total sought for MOD compare with last year </w:t>
            </w:r>
            <w:r w:rsidRPr="003C6B25">
              <w:rPr>
                <w:rFonts w:ascii="Arial" w:eastAsia="Times New Roman" w:hAnsi="Arial" w:cs="Arial"/>
                <w:i/>
                <w:iCs/>
                <w:sz w:val="20"/>
                <w:szCs w:val="20"/>
                <w:vertAlign w:val="superscript"/>
                <w:lang w:eastAsia="en-GB"/>
              </w:rPr>
              <w:t>Note 1</w:t>
            </w:r>
          </w:p>
        </w:tc>
      </w:tr>
      <w:tr w:rsidTr="003C6B25">
        <w:tblPrEx>
          <w:tblW w:w="8480" w:type="dxa"/>
          <w:tblLook w:val="04A0"/>
        </w:tblPrEx>
        <w:trPr>
          <w:trHeight w:val="460"/>
        </w:trPr>
        <w:tc>
          <w:tcPr>
            <w:tcW w:w="4480" w:type="dxa"/>
            <w:gridSpan w:val="2"/>
            <w:tcBorders>
              <w:top w:val="single" w:sz="8" w:space="0" w:color="auto"/>
              <w:left w:val="single" w:sz="8" w:space="0" w:color="auto"/>
              <w:bottom w:val="single" w:sz="4" w:space="0" w:color="000000"/>
              <w:right w:val="single" w:sz="8" w:space="0" w:color="000000"/>
            </w:tcBorders>
            <w:shd w:val="clear" w:color="000000" w:fill="DAEEF3"/>
            <w:vAlign w:val="center"/>
            <w:hideMark/>
          </w:tcPr>
          <w:p w:rsidR="003C6B25" w:rsidRPr="003C6B25" w:rsidP="003C6B25">
            <w:pPr>
              <w:spacing w:after="0" w:line="240" w:lineRule="auto"/>
              <w:jc w:val="center"/>
              <w:rPr>
                <w:rFonts w:ascii="Arial" w:eastAsia="Times New Roman" w:hAnsi="Arial" w:cs="Arial"/>
                <w:b/>
                <w:bCs/>
                <w:sz w:val="18"/>
                <w:szCs w:val="18"/>
                <w:lang w:eastAsia="en-GB"/>
              </w:rPr>
            </w:pPr>
            <w:r w:rsidRPr="003C6B25">
              <w:rPr>
                <w:rFonts w:ascii="Arial" w:eastAsia="Times New Roman" w:hAnsi="Arial" w:cs="Arial"/>
                <w:b/>
                <w:bCs/>
                <w:sz w:val="18"/>
                <w:szCs w:val="18"/>
                <w:lang w:eastAsia="en-GB"/>
              </w:rPr>
              <w:t>Spending total - Supplementary Estimate</w:t>
            </w:r>
            <w:r w:rsidRPr="003C6B25">
              <w:rPr>
                <w:rFonts w:ascii="Arial" w:eastAsia="Times New Roman" w:hAnsi="Arial" w:cs="Arial"/>
                <w:b/>
                <w:bCs/>
                <w:sz w:val="18"/>
                <w:szCs w:val="18"/>
                <w:lang w:eastAsia="en-GB"/>
              </w:rPr>
              <w:br/>
              <w:t>2020-21</w:t>
            </w:r>
          </w:p>
        </w:tc>
        <w:tc>
          <w:tcPr>
            <w:tcW w:w="2000" w:type="dxa"/>
            <w:gridSpan w:val="2"/>
            <w:tcBorders>
              <w:top w:val="single" w:sz="8" w:space="0" w:color="auto"/>
              <w:left w:val="nil"/>
              <w:bottom w:val="single" w:sz="4" w:space="0" w:color="auto"/>
              <w:right w:val="single" w:sz="8" w:space="0" w:color="000000"/>
            </w:tcBorders>
            <w:shd w:val="clear" w:color="000000" w:fill="DAEEF3"/>
            <w:vAlign w:val="center"/>
            <w:hideMark/>
          </w:tcPr>
          <w:p w:rsidR="003C6B25" w:rsidRPr="003C6B25" w:rsidP="003C6B25">
            <w:pPr>
              <w:spacing w:after="0" w:line="240" w:lineRule="auto"/>
              <w:jc w:val="center"/>
              <w:rPr>
                <w:rFonts w:ascii="Arial" w:eastAsia="Times New Roman" w:hAnsi="Arial" w:cs="Arial"/>
                <w:b/>
                <w:bCs/>
                <w:sz w:val="18"/>
                <w:szCs w:val="18"/>
                <w:lang w:eastAsia="en-GB"/>
              </w:rPr>
            </w:pPr>
            <w:r w:rsidRPr="003C6B25">
              <w:rPr>
                <w:rFonts w:ascii="Arial" w:eastAsia="Times New Roman" w:hAnsi="Arial" w:cs="Arial"/>
                <w:b/>
                <w:bCs/>
                <w:sz w:val="18"/>
                <w:szCs w:val="18"/>
                <w:lang w:eastAsia="en-GB"/>
              </w:rPr>
              <w:t>Compared to</w:t>
            </w:r>
            <w:r w:rsidRPr="003C6B25">
              <w:rPr>
                <w:rFonts w:ascii="Arial" w:eastAsia="Times New Roman" w:hAnsi="Arial" w:cs="Arial"/>
                <w:b/>
                <w:bCs/>
                <w:sz w:val="18"/>
                <w:szCs w:val="18"/>
                <w:lang w:eastAsia="en-GB"/>
              </w:rPr>
              <w:br/>
              <w:t>2020-21 ME</w:t>
            </w:r>
          </w:p>
        </w:tc>
        <w:tc>
          <w:tcPr>
            <w:tcW w:w="2000" w:type="dxa"/>
            <w:gridSpan w:val="2"/>
            <w:tcBorders>
              <w:top w:val="single" w:sz="8" w:space="0" w:color="auto"/>
              <w:left w:val="nil"/>
              <w:bottom w:val="single" w:sz="4" w:space="0" w:color="auto"/>
              <w:right w:val="single" w:sz="8" w:space="0" w:color="000000"/>
            </w:tcBorders>
            <w:shd w:val="clear" w:color="000000" w:fill="DAEEF3"/>
            <w:vAlign w:val="center"/>
            <w:hideMark/>
          </w:tcPr>
          <w:p w:rsidR="003C6B25" w:rsidRPr="003C6B25" w:rsidP="003C6B25">
            <w:pPr>
              <w:spacing w:after="0" w:line="240" w:lineRule="auto"/>
              <w:jc w:val="center"/>
              <w:rPr>
                <w:rFonts w:ascii="Arial" w:eastAsia="Times New Roman" w:hAnsi="Arial" w:cs="Arial"/>
                <w:b/>
                <w:bCs/>
                <w:sz w:val="18"/>
                <w:szCs w:val="18"/>
                <w:lang w:eastAsia="en-GB"/>
              </w:rPr>
            </w:pPr>
            <w:r w:rsidRPr="003C6B25">
              <w:rPr>
                <w:rFonts w:ascii="Arial" w:eastAsia="Times New Roman" w:hAnsi="Arial" w:cs="Arial"/>
                <w:b/>
                <w:bCs/>
                <w:sz w:val="18"/>
                <w:szCs w:val="18"/>
                <w:lang w:eastAsia="en-GB"/>
              </w:rPr>
              <w:t>Compared to</w:t>
            </w:r>
            <w:r w:rsidRPr="003C6B25">
              <w:rPr>
                <w:rFonts w:ascii="Arial" w:eastAsia="Times New Roman" w:hAnsi="Arial" w:cs="Arial"/>
                <w:b/>
                <w:bCs/>
                <w:sz w:val="18"/>
                <w:szCs w:val="18"/>
                <w:lang w:eastAsia="en-GB"/>
              </w:rPr>
              <w:br/>
              <w:t>2019-20 Outturn</w:t>
            </w:r>
          </w:p>
        </w:tc>
      </w:tr>
      <w:tr w:rsidTr="003C6B25">
        <w:tblPrEx>
          <w:tblW w:w="8480" w:type="dxa"/>
          <w:tblLook w:val="04A0"/>
        </w:tblPrEx>
        <w:trPr>
          <w:trHeight w:val="260"/>
        </w:trPr>
        <w:tc>
          <w:tcPr>
            <w:tcW w:w="3040" w:type="dxa"/>
            <w:tcBorders>
              <w:top w:val="nil"/>
              <w:left w:val="single" w:sz="8" w:space="0" w:color="auto"/>
              <w:bottom w:val="single" w:sz="8" w:space="0" w:color="auto"/>
              <w:right w:val="single" w:sz="4" w:space="0" w:color="auto"/>
            </w:tcBorders>
            <w:shd w:val="clear" w:color="000000" w:fill="DAEEF3"/>
            <w:vAlign w:val="center"/>
            <w:hideMark/>
          </w:tcPr>
          <w:p w:rsidR="003C6B25" w:rsidRPr="003C6B25" w:rsidP="003C6B25">
            <w:pPr>
              <w:spacing w:after="0" w:line="240" w:lineRule="auto"/>
              <w:rPr>
                <w:rFonts w:ascii="Arial" w:eastAsia="Times New Roman" w:hAnsi="Arial" w:cs="Arial"/>
                <w:b/>
                <w:bCs/>
                <w:sz w:val="18"/>
                <w:szCs w:val="18"/>
                <w:lang w:eastAsia="en-GB"/>
              </w:rPr>
            </w:pPr>
            <w:r w:rsidRPr="003C6B25">
              <w:rPr>
                <w:rFonts w:ascii="Arial" w:eastAsia="Times New Roman" w:hAnsi="Arial" w:cs="Arial"/>
                <w:b/>
                <w:bCs/>
                <w:sz w:val="18"/>
                <w:szCs w:val="18"/>
                <w:lang w:eastAsia="en-GB"/>
              </w:rPr>
              <w:t> </w:t>
            </w:r>
          </w:p>
        </w:tc>
        <w:tc>
          <w:tcPr>
            <w:tcW w:w="1440" w:type="dxa"/>
            <w:tcBorders>
              <w:top w:val="nil"/>
              <w:left w:val="nil"/>
              <w:bottom w:val="single" w:sz="8" w:space="0" w:color="auto"/>
              <w:right w:val="single" w:sz="8" w:space="0" w:color="auto"/>
            </w:tcBorders>
            <w:shd w:val="clear" w:color="000000" w:fill="DAEEF3"/>
            <w:vAlign w:val="center"/>
            <w:hideMark/>
          </w:tcPr>
          <w:p w:rsidR="003C6B25" w:rsidRPr="003C6B25" w:rsidP="003C6B25">
            <w:pPr>
              <w:spacing w:after="0" w:line="240" w:lineRule="auto"/>
              <w:jc w:val="center"/>
              <w:rPr>
                <w:rFonts w:ascii="Arial" w:eastAsia="Times New Roman" w:hAnsi="Arial" w:cs="Arial"/>
                <w:b/>
                <w:bCs/>
                <w:sz w:val="18"/>
                <w:szCs w:val="18"/>
                <w:lang w:eastAsia="en-GB"/>
              </w:rPr>
            </w:pPr>
            <w:r w:rsidRPr="003C6B25">
              <w:rPr>
                <w:rFonts w:ascii="Arial" w:eastAsia="Times New Roman" w:hAnsi="Arial" w:cs="Arial"/>
                <w:b/>
                <w:bCs/>
                <w:sz w:val="18"/>
                <w:szCs w:val="18"/>
                <w:lang w:eastAsia="en-GB"/>
              </w:rPr>
              <w:t>£M</w:t>
            </w:r>
          </w:p>
        </w:tc>
        <w:tc>
          <w:tcPr>
            <w:tcW w:w="1000" w:type="dxa"/>
            <w:tcBorders>
              <w:top w:val="nil"/>
              <w:left w:val="nil"/>
              <w:bottom w:val="single" w:sz="8" w:space="0" w:color="auto"/>
              <w:right w:val="single" w:sz="4" w:space="0" w:color="auto"/>
            </w:tcBorders>
            <w:shd w:val="clear" w:color="000000" w:fill="DAEEF3"/>
            <w:vAlign w:val="center"/>
            <w:hideMark/>
          </w:tcPr>
          <w:p w:rsidR="003C6B25" w:rsidRPr="003C6B25" w:rsidP="003C6B25">
            <w:pPr>
              <w:spacing w:after="0" w:line="240" w:lineRule="auto"/>
              <w:jc w:val="center"/>
              <w:rPr>
                <w:rFonts w:ascii="Arial" w:eastAsia="Times New Roman" w:hAnsi="Arial" w:cs="Arial"/>
                <w:b/>
                <w:bCs/>
                <w:sz w:val="18"/>
                <w:szCs w:val="18"/>
                <w:lang w:eastAsia="en-GB"/>
              </w:rPr>
            </w:pPr>
            <w:r w:rsidRPr="003C6B25">
              <w:rPr>
                <w:rFonts w:ascii="Arial" w:eastAsia="Times New Roman" w:hAnsi="Arial" w:cs="Arial"/>
                <w:b/>
                <w:bCs/>
                <w:sz w:val="18"/>
                <w:szCs w:val="18"/>
                <w:lang w:eastAsia="en-GB"/>
              </w:rPr>
              <w:t>£M</w:t>
            </w:r>
          </w:p>
        </w:tc>
        <w:tc>
          <w:tcPr>
            <w:tcW w:w="1000" w:type="dxa"/>
            <w:tcBorders>
              <w:top w:val="nil"/>
              <w:left w:val="nil"/>
              <w:bottom w:val="single" w:sz="8" w:space="0" w:color="auto"/>
              <w:right w:val="single" w:sz="8" w:space="0" w:color="auto"/>
            </w:tcBorders>
            <w:shd w:val="clear" w:color="000000" w:fill="DAEEF3"/>
            <w:vAlign w:val="center"/>
            <w:hideMark/>
          </w:tcPr>
          <w:p w:rsidR="003C6B25" w:rsidRPr="003C6B25" w:rsidP="003C6B25">
            <w:pPr>
              <w:spacing w:after="0" w:line="240" w:lineRule="auto"/>
              <w:jc w:val="center"/>
              <w:rPr>
                <w:rFonts w:ascii="Arial" w:eastAsia="Times New Roman" w:hAnsi="Arial" w:cs="Arial"/>
                <w:b/>
                <w:bCs/>
                <w:sz w:val="18"/>
                <w:szCs w:val="18"/>
                <w:lang w:eastAsia="en-GB"/>
              </w:rPr>
            </w:pPr>
            <w:r w:rsidRPr="003C6B25">
              <w:rPr>
                <w:rFonts w:ascii="Arial" w:eastAsia="Times New Roman" w:hAnsi="Arial" w:cs="Arial"/>
                <w:b/>
                <w:bCs/>
                <w:sz w:val="18"/>
                <w:szCs w:val="18"/>
                <w:lang w:eastAsia="en-GB"/>
              </w:rPr>
              <w:t>%</w:t>
            </w:r>
          </w:p>
        </w:tc>
        <w:tc>
          <w:tcPr>
            <w:tcW w:w="1000" w:type="dxa"/>
            <w:tcBorders>
              <w:top w:val="nil"/>
              <w:left w:val="nil"/>
              <w:bottom w:val="single" w:sz="8" w:space="0" w:color="auto"/>
              <w:right w:val="single" w:sz="4" w:space="0" w:color="auto"/>
            </w:tcBorders>
            <w:shd w:val="clear" w:color="000000" w:fill="DAEEF3"/>
            <w:vAlign w:val="center"/>
            <w:hideMark/>
          </w:tcPr>
          <w:p w:rsidR="003C6B25" w:rsidRPr="003C6B25" w:rsidP="003C6B25">
            <w:pPr>
              <w:spacing w:after="0" w:line="240" w:lineRule="auto"/>
              <w:jc w:val="center"/>
              <w:rPr>
                <w:rFonts w:ascii="Arial" w:eastAsia="Times New Roman" w:hAnsi="Arial" w:cs="Arial"/>
                <w:b/>
                <w:bCs/>
                <w:sz w:val="18"/>
                <w:szCs w:val="18"/>
                <w:lang w:eastAsia="en-GB"/>
              </w:rPr>
            </w:pPr>
            <w:r w:rsidRPr="003C6B25">
              <w:rPr>
                <w:rFonts w:ascii="Arial" w:eastAsia="Times New Roman" w:hAnsi="Arial" w:cs="Arial"/>
                <w:b/>
                <w:bCs/>
                <w:sz w:val="18"/>
                <w:szCs w:val="18"/>
                <w:lang w:eastAsia="en-GB"/>
              </w:rPr>
              <w:t>£M</w:t>
            </w:r>
          </w:p>
        </w:tc>
        <w:tc>
          <w:tcPr>
            <w:tcW w:w="1000" w:type="dxa"/>
            <w:tcBorders>
              <w:top w:val="nil"/>
              <w:left w:val="nil"/>
              <w:bottom w:val="single" w:sz="8" w:space="0" w:color="auto"/>
              <w:right w:val="single" w:sz="8" w:space="0" w:color="auto"/>
            </w:tcBorders>
            <w:shd w:val="clear" w:color="000000" w:fill="DAEEF3"/>
            <w:vAlign w:val="center"/>
            <w:hideMark/>
          </w:tcPr>
          <w:p w:rsidR="003C6B25" w:rsidRPr="003C6B25" w:rsidP="003C6B25">
            <w:pPr>
              <w:spacing w:after="0" w:line="240" w:lineRule="auto"/>
              <w:jc w:val="center"/>
              <w:rPr>
                <w:rFonts w:ascii="Arial" w:eastAsia="Times New Roman" w:hAnsi="Arial" w:cs="Arial"/>
                <w:b/>
                <w:bCs/>
                <w:sz w:val="18"/>
                <w:szCs w:val="18"/>
                <w:lang w:eastAsia="en-GB"/>
              </w:rPr>
            </w:pPr>
            <w:r w:rsidRPr="003C6B25">
              <w:rPr>
                <w:rFonts w:ascii="Arial" w:eastAsia="Times New Roman" w:hAnsi="Arial" w:cs="Arial"/>
                <w:b/>
                <w:bCs/>
                <w:sz w:val="18"/>
                <w:szCs w:val="18"/>
                <w:lang w:eastAsia="en-GB"/>
              </w:rPr>
              <w:t>%</w:t>
            </w:r>
          </w:p>
        </w:tc>
      </w:tr>
      <w:tr w:rsidTr="003C6B25">
        <w:tblPrEx>
          <w:tblW w:w="8480" w:type="dxa"/>
          <w:tblLook w:val="04A0"/>
        </w:tblPrEx>
        <w:trPr>
          <w:trHeight w:val="250"/>
        </w:trPr>
        <w:tc>
          <w:tcPr>
            <w:tcW w:w="3040" w:type="dxa"/>
            <w:tcBorders>
              <w:top w:val="nil"/>
              <w:left w:val="single" w:sz="8" w:space="0" w:color="auto"/>
              <w:bottom w:val="single" w:sz="4" w:space="0" w:color="auto"/>
              <w:right w:val="single" w:sz="4" w:space="0" w:color="auto"/>
            </w:tcBorders>
            <w:shd w:val="clear" w:color="auto" w:fill="auto"/>
            <w:vAlign w:val="bottom"/>
            <w:hideMark/>
          </w:tcPr>
          <w:p w:rsidR="003C6B25" w:rsidRPr="003C6B25" w:rsidP="003C6B25">
            <w:pPr>
              <w:spacing w:after="0" w:line="240" w:lineRule="auto"/>
              <w:rPr>
                <w:rFonts w:ascii="Arial" w:eastAsia="Times New Roman" w:hAnsi="Arial" w:cs="Arial"/>
                <w:sz w:val="16"/>
                <w:szCs w:val="16"/>
                <w:lang w:eastAsia="en-GB"/>
              </w:rPr>
            </w:pPr>
            <w:r w:rsidRPr="003C6B25">
              <w:rPr>
                <w:rFonts w:ascii="Arial" w:eastAsia="Times New Roman" w:hAnsi="Arial" w:cs="Arial"/>
                <w:sz w:val="16"/>
                <w:szCs w:val="16"/>
                <w:lang w:eastAsia="en-GB"/>
              </w:rPr>
              <w:t>Resource DEL</w:t>
            </w:r>
          </w:p>
        </w:tc>
        <w:tc>
          <w:tcPr>
            <w:tcW w:w="1440" w:type="dxa"/>
            <w:tcBorders>
              <w:top w:val="nil"/>
              <w:left w:val="single" w:sz="8" w:space="0" w:color="auto"/>
              <w:bottom w:val="single" w:sz="4" w:space="0" w:color="auto"/>
              <w:right w:val="single" w:sz="8" w:space="0" w:color="auto"/>
            </w:tcBorders>
            <w:shd w:val="clear" w:color="auto" w:fill="auto"/>
            <w:vAlign w:val="bottom"/>
            <w:hideMark/>
          </w:tcPr>
          <w:p w:rsidR="003C6B25" w:rsidRPr="003C6B25" w:rsidP="003C6B25">
            <w:pPr>
              <w:spacing w:after="0" w:line="240" w:lineRule="auto"/>
              <w:jc w:val="right"/>
              <w:rPr>
                <w:rFonts w:ascii="Arial" w:eastAsia="Times New Roman" w:hAnsi="Arial" w:cs="Arial"/>
                <w:sz w:val="16"/>
                <w:szCs w:val="16"/>
                <w:lang w:eastAsia="en-GB"/>
              </w:rPr>
            </w:pPr>
            <w:r w:rsidRPr="003C6B25">
              <w:rPr>
                <w:rFonts w:ascii="Arial" w:eastAsia="Times New Roman" w:hAnsi="Arial" w:cs="Arial"/>
                <w:sz w:val="16"/>
                <w:szCs w:val="16"/>
                <w:lang w:eastAsia="en-GB"/>
              </w:rPr>
              <w:t xml:space="preserve"> 41,257 </w:t>
            </w:r>
          </w:p>
        </w:tc>
        <w:tc>
          <w:tcPr>
            <w:tcW w:w="1000" w:type="dxa"/>
            <w:tcBorders>
              <w:top w:val="nil"/>
              <w:left w:val="single" w:sz="4" w:space="0" w:color="auto"/>
              <w:bottom w:val="single" w:sz="4" w:space="0" w:color="auto"/>
              <w:right w:val="single" w:sz="4" w:space="0" w:color="auto"/>
            </w:tcBorders>
            <w:shd w:val="clear" w:color="auto" w:fill="auto"/>
            <w:vAlign w:val="bottom"/>
            <w:hideMark/>
          </w:tcPr>
          <w:p w:rsidR="003C6B25" w:rsidRPr="003C6B25" w:rsidP="003C6B25">
            <w:pPr>
              <w:spacing w:after="0" w:line="240" w:lineRule="auto"/>
              <w:jc w:val="right"/>
              <w:rPr>
                <w:rFonts w:ascii="Arial" w:eastAsia="Times New Roman" w:hAnsi="Arial" w:cs="Arial"/>
                <w:sz w:val="16"/>
                <w:szCs w:val="16"/>
                <w:lang w:eastAsia="en-GB"/>
              </w:rPr>
            </w:pPr>
            <w:r w:rsidRPr="003C6B25">
              <w:rPr>
                <w:rFonts w:ascii="Arial" w:eastAsia="Times New Roman" w:hAnsi="Arial" w:cs="Arial"/>
                <w:sz w:val="16"/>
                <w:szCs w:val="16"/>
                <w:lang w:eastAsia="en-GB"/>
              </w:rPr>
              <w:t xml:space="preserve"> 2,008 </w:t>
            </w:r>
          </w:p>
        </w:tc>
        <w:tc>
          <w:tcPr>
            <w:tcW w:w="1000" w:type="dxa"/>
            <w:tcBorders>
              <w:top w:val="nil"/>
              <w:left w:val="nil"/>
              <w:bottom w:val="single" w:sz="4" w:space="0" w:color="auto"/>
              <w:right w:val="single" w:sz="8" w:space="0" w:color="auto"/>
            </w:tcBorders>
            <w:shd w:val="clear" w:color="auto" w:fill="auto"/>
            <w:vAlign w:val="bottom"/>
            <w:hideMark/>
          </w:tcPr>
          <w:p w:rsidR="003C6B25" w:rsidRPr="003C6B25" w:rsidP="003C6B25">
            <w:pPr>
              <w:spacing w:after="0" w:line="240" w:lineRule="auto"/>
              <w:jc w:val="right"/>
              <w:rPr>
                <w:rFonts w:ascii="Arial" w:eastAsia="Times New Roman" w:hAnsi="Arial" w:cs="Arial"/>
                <w:sz w:val="16"/>
                <w:szCs w:val="16"/>
                <w:lang w:eastAsia="en-GB"/>
              </w:rPr>
            </w:pPr>
            <w:r w:rsidRPr="003C6B25">
              <w:rPr>
                <w:rFonts w:ascii="Arial" w:eastAsia="Times New Roman" w:hAnsi="Arial" w:cs="Arial"/>
                <w:sz w:val="16"/>
                <w:szCs w:val="16"/>
                <w:lang w:eastAsia="en-GB"/>
              </w:rPr>
              <w:t>5.1%</w:t>
            </w:r>
          </w:p>
        </w:tc>
        <w:tc>
          <w:tcPr>
            <w:tcW w:w="1000" w:type="dxa"/>
            <w:tcBorders>
              <w:top w:val="nil"/>
              <w:left w:val="nil"/>
              <w:bottom w:val="single" w:sz="4" w:space="0" w:color="auto"/>
              <w:right w:val="single" w:sz="4" w:space="0" w:color="auto"/>
            </w:tcBorders>
            <w:shd w:val="clear" w:color="auto" w:fill="auto"/>
            <w:vAlign w:val="bottom"/>
            <w:hideMark/>
          </w:tcPr>
          <w:p w:rsidR="003C6B25" w:rsidRPr="003C6B25" w:rsidP="003C6B25">
            <w:pPr>
              <w:spacing w:after="0" w:line="240" w:lineRule="auto"/>
              <w:jc w:val="right"/>
              <w:rPr>
                <w:rFonts w:ascii="Arial" w:eastAsia="Times New Roman" w:hAnsi="Arial" w:cs="Arial"/>
                <w:sz w:val="16"/>
                <w:szCs w:val="16"/>
                <w:lang w:eastAsia="en-GB"/>
              </w:rPr>
            </w:pPr>
            <w:r w:rsidRPr="003C6B25">
              <w:rPr>
                <w:rFonts w:ascii="Arial" w:eastAsia="Times New Roman" w:hAnsi="Arial" w:cs="Arial"/>
                <w:sz w:val="16"/>
                <w:szCs w:val="16"/>
                <w:lang w:eastAsia="en-GB"/>
              </w:rPr>
              <w:t xml:space="preserve"> 4,550 </w:t>
            </w:r>
          </w:p>
        </w:tc>
        <w:tc>
          <w:tcPr>
            <w:tcW w:w="1000" w:type="dxa"/>
            <w:tcBorders>
              <w:top w:val="nil"/>
              <w:left w:val="nil"/>
              <w:bottom w:val="single" w:sz="4" w:space="0" w:color="auto"/>
              <w:right w:val="single" w:sz="8" w:space="0" w:color="auto"/>
            </w:tcBorders>
            <w:shd w:val="clear" w:color="auto" w:fill="auto"/>
            <w:vAlign w:val="bottom"/>
            <w:hideMark/>
          </w:tcPr>
          <w:p w:rsidR="003C6B25" w:rsidRPr="003C6B25" w:rsidP="003C6B25">
            <w:pPr>
              <w:spacing w:after="0" w:line="240" w:lineRule="auto"/>
              <w:jc w:val="right"/>
              <w:rPr>
                <w:rFonts w:ascii="Arial" w:eastAsia="Times New Roman" w:hAnsi="Arial" w:cs="Arial"/>
                <w:sz w:val="16"/>
                <w:szCs w:val="16"/>
                <w:lang w:eastAsia="en-GB"/>
              </w:rPr>
            </w:pPr>
            <w:r w:rsidRPr="003C6B25">
              <w:rPr>
                <w:rFonts w:ascii="Arial" w:eastAsia="Times New Roman" w:hAnsi="Arial" w:cs="Arial"/>
                <w:sz w:val="16"/>
                <w:szCs w:val="16"/>
                <w:lang w:eastAsia="en-GB"/>
              </w:rPr>
              <w:t>12.4%</w:t>
            </w:r>
          </w:p>
        </w:tc>
      </w:tr>
      <w:tr w:rsidTr="003C6B25">
        <w:tblPrEx>
          <w:tblW w:w="8480" w:type="dxa"/>
          <w:tblLook w:val="04A0"/>
        </w:tblPrEx>
        <w:trPr>
          <w:trHeight w:val="250"/>
        </w:trPr>
        <w:tc>
          <w:tcPr>
            <w:tcW w:w="3040" w:type="dxa"/>
            <w:tcBorders>
              <w:top w:val="nil"/>
              <w:left w:val="single" w:sz="8" w:space="0" w:color="auto"/>
              <w:bottom w:val="single" w:sz="4" w:space="0" w:color="auto"/>
              <w:right w:val="single" w:sz="4" w:space="0" w:color="auto"/>
            </w:tcBorders>
            <w:shd w:val="clear" w:color="auto" w:fill="auto"/>
            <w:vAlign w:val="bottom"/>
            <w:hideMark/>
          </w:tcPr>
          <w:p w:rsidR="003C6B25" w:rsidRPr="003C6B25" w:rsidP="003C6B25">
            <w:pPr>
              <w:spacing w:after="0" w:line="240" w:lineRule="auto"/>
              <w:rPr>
                <w:rFonts w:ascii="Arial" w:eastAsia="Times New Roman" w:hAnsi="Arial" w:cs="Arial"/>
                <w:sz w:val="16"/>
                <w:szCs w:val="16"/>
                <w:lang w:eastAsia="en-GB"/>
              </w:rPr>
            </w:pPr>
            <w:r w:rsidRPr="003C6B25">
              <w:rPr>
                <w:rFonts w:ascii="Arial" w:eastAsia="Times New Roman" w:hAnsi="Arial" w:cs="Arial"/>
                <w:sz w:val="16"/>
                <w:szCs w:val="16"/>
                <w:lang w:eastAsia="en-GB"/>
              </w:rPr>
              <w:t>Capital DEL</w:t>
            </w:r>
          </w:p>
        </w:tc>
        <w:tc>
          <w:tcPr>
            <w:tcW w:w="1440" w:type="dxa"/>
            <w:tcBorders>
              <w:top w:val="nil"/>
              <w:left w:val="single" w:sz="8" w:space="0" w:color="auto"/>
              <w:bottom w:val="single" w:sz="4" w:space="0" w:color="auto"/>
              <w:right w:val="single" w:sz="8" w:space="0" w:color="auto"/>
            </w:tcBorders>
            <w:shd w:val="clear" w:color="auto" w:fill="auto"/>
            <w:vAlign w:val="bottom"/>
            <w:hideMark/>
          </w:tcPr>
          <w:p w:rsidR="003C6B25" w:rsidRPr="003C6B25" w:rsidP="003C6B25">
            <w:pPr>
              <w:spacing w:after="0" w:line="240" w:lineRule="auto"/>
              <w:jc w:val="right"/>
              <w:rPr>
                <w:rFonts w:ascii="Arial" w:eastAsia="Times New Roman" w:hAnsi="Arial" w:cs="Arial"/>
                <w:sz w:val="16"/>
                <w:szCs w:val="16"/>
                <w:lang w:eastAsia="en-GB"/>
              </w:rPr>
            </w:pPr>
            <w:r w:rsidRPr="003C6B25">
              <w:rPr>
                <w:rFonts w:ascii="Arial" w:eastAsia="Times New Roman" w:hAnsi="Arial" w:cs="Arial"/>
                <w:sz w:val="16"/>
                <w:szCs w:val="16"/>
                <w:lang w:eastAsia="en-GB"/>
              </w:rPr>
              <w:t xml:space="preserve"> 11,716 </w:t>
            </w:r>
          </w:p>
        </w:tc>
        <w:tc>
          <w:tcPr>
            <w:tcW w:w="1000" w:type="dxa"/>
            <w:tcBorders>
              <w:top w:val="nil"/>
              <w:left w:val="single" w:sz="4" w:space="0" w:color="auto"/>
              <w:bottom w:val="single" w:sz="4" w:space="0" w:color="auto"/>
              <w:right w:val="single" w:sz="4" w:space="0" w:color="auto"/>
            </w:tcBorders>
            <w:shd w:val="clear" w:color="auto" w:fill="auto"/>
            <w:vAlign w:val="bottom"/>
            <w:hideMark/>
          </w:tcPr>
          <w:p w:rsidR="003C6B25" w:rsidRPr="003C6B25" w:rsidP="003C6B25">
            <w:pPr>
              <w:spacing w:after="0" w:line="240" w:lineRule="auto"/>
              <w:jc w:val="right"/>
              <w:rPr>
                <w:rFonts w:ascii="Arial" w:eastAsia="Times New Roman" w:hAnsi="Arial" w:cs="Arial"/>
                <w:sz w:val="16"/>
                <w:szCs w:val="16"/>
                <w:lang w:eastAsia="en-GB"/>
              </w:rPr>
            </w:pPr>
            <w:r w:rsidRPr="003C6B25">
              <w:rPr>
                <w:rFonts w:ascii="Arial" w:eastAsia="Times New Roman" w:hAnsi="Arial" w:cs="Arial"/>
                <w:sz w:val="16"/>
                <w:szCs w:val="16"/>
                <w:lang w:eastAsia="en-GB"/>
              </w:rPr>
              <w:t xml:space="preserve"> 1,181 </w:t>
            </w:r>
          </w:p>
        </w:tc>
        <w:tc>
          <w:tcPr>
            <w:tcW w:w="1000" w:type="dxa"/>
            <w:tcBorders>
              <w:top w:val="nil"/>
              <w:left w:val="nil"/>
              <w:bottom w:val="single" w:sz="4" w:space="0" w:color="auto"/>
              <w:right w:val="single" w:sz="8" w:space="0" w:color="auto"/>
            </w:tcBorders>
            <w:shd w:val="clear" w:color="auto" w:fill="auto"/>
            <w:vAlign w:val="bottom"/>
            <w:hideMark/>
          </w:tcPr>
          <w:p w:rsidR="003C6B25" w:rsidRPr="003C6B25" w:rsidP="003C6B25">
            <w:pPr>
              <w:spacing w:after="0" w:line="240" w:lineRule="auto"/>
              <w:jc w:val="right"/>
              <w:rPr>
                <w:rFonts w:ascii="Arial" w:eastAsia="Times New Roman" w:hAnsi="Arial" w:cs="Arial"/>
                <w:sz w:val="16"/>
                <w:szCs w:val="16"/>
                <w:lang w:eastAsia="en-GB"/>
              </w:rPr>
            </w:pPr>
            <w:r w:rsidRPr="003C6B25">
              <w:rPr>
                <w:rFonts w:ascii="Arial" w:eastAsia="Times New Roman" w:hAnsi="Arial" w:cs="Arial"/>
                <w:sz w:val="16"/>
                <w:szCs w:val="16"/>
                <w:lang w:eastAsia="en-GB"/>
              </w:rPr>
              <w:t>11.2%</w:t>
            </w:r>
          </w:p>
        </w:tc>
        <w:tc>
          <w:tcPr>
            <w:tcW w:w="1000" w:type="dxa"/>
            <w:tcBorders>
              <w:top w:val="nil"/>
              <w:left w:val="nil"/>
              <w:bottom w:val="single" w:sz="4" w:space="0" w:color="auto"/>
              <w:right w:val="single" w:sz="4" w:space="0" w:color="auto"/>
            </w:tcBorders>
            <w:shd w:val="clear" w:color="auto" w:fill="auto"/>
            <w:vAlign w:val="bottom"/>
            <w:hideMark/>
          </w:tcPr>
          <w:p w:rsidR="003C6B25" w:rsidRPr="003C6B25" w:rsidP="003C6B25">
            <w:pPr>
              <w:spacing w:after="0" w:line="240" w:lineRule="auto"/>
              <w:jc w:val="right"/>
              <w:rPr>
                <w:rFonts w:ascii="Arial" w:eastAsia="Times New Roman" w:hAnsi="Arial" w:cs="Arial"/>
                <w:sz w:val="16"/>
                <w:szCs w:val="16"/>
                <w:lang w:eastAsia="en-GB"/>
              </w:rPr>
            </w:pPr>
            <w:r w:rsidRPr="003C6B25">
              <w:rPr>
                <w:rFonts w:ascii="Arial" w:eastAsia="Times New Roman" w:hAnsi="Arial" w:cs="Arial"/>
                <w:sz w:val="16"/>
                <w:szCs w:val="16"/>
                <w:lang w:eastAsia="en-GB"/>
              </w:rPr>
              <w:t xml:space="preserve"> 1,403 </w:t>
            </w:r>
          </w:p>
        </w:tc>
        <w:tc>
          <w:tcPr>
            <w:tcW w:w="1000" w:type="dxa"/>
            <w:tcBorders>
              <w:top w:val="nil"/>
              <w:left w:val="nil"/>
              <w:bottom w:val="single" w:sz="4" w:space="0" w:color="auto"/>
              <w:right w:val="single" w:sz="8" w:space="0" w:color="auto"/>
            </w:tcBorders>
            <w:shd w:val="clear" w:color="auto" w:fill="auto"/>
            <w:vAlign w:val="bottom"/>
            <w:hideMark/>
          </w:tcPr>
          <w:p w:rsidR="003C6B25" w:rsidRPr="003C6B25" w:rsidP="003C6B25">
            <w:pPr>
              <w:spacing w:after="0" w:line="240" w:lineRule="auto"/>
              <w:jc w:val="right"/>
              <w:rPr>
                <w:rFonts w:ascii="Arial" w:eastAsia="Times New Roman" w:hAnsi="Arial" w:cs="Arial"/>
                <w:sz w:val="16"/>
                <w:szCs w:val="16"/>
                <w:lang w:eastAsia="en-GB"/>
              </w:rPr>
            </w:pPr>
            <w:r w:rsidRPr="003C6B25">
              <w:rPr>
                <w:rFonts w:ascii="Arial" w:eastAsia="Times New Roman" w:hAnsi="Arial" w:cs="Arial"/>
                <w:sz w:val="16"/>
                <w:szCs w:val="16"/>
                <w:lang w:eastAsia="en-GB"/>
              </w:rPr>
              <w:t>13.6%</w:t>
            </w:r>
          </w:p>
        </w:tc>
      </w:tr>
      <w:tr w:rsidTr="003C6B25">
        <w:tblPrEx>
          <w:tblW w:w="8480" w:type="dxa"/>
          <w:tblLook w:val="04A0"/>
        </w:tblPrEx>
        <w:trPr>
          <w:trHeight w:val="260"/>
        </w:trPr>
        <w:tc>
          <w:tcPr>
            <w:tcW w:w="3040" w:type="dxa"/>
            <w:tcBorders>
              <w:top w:val="nil"/>
              <w:left w:val="single" w:sz="8" w:space="0" w:color="auto"/>
              <w:bottom w:val="single" w:sz="8" w:space="0" w:color="auto"/>
              <w:right w:val="single" w:sz="4" w:space="0" w:color="auto"/>
            </w:tcBorders>
            <w:shd w:val="clear" w:color="auto" w:fill="auto"/>
            <w:vAlign w:val="bottom"/>
            <w:hideMark/>
          </w:tcPr>
          <w:p w:rsidR="003C6B25" w:rsidRPr="003C6B25" w:rsidP="003C6B25">
            <w:pPr>
              <w:spacing w:after="0" w:line="240" w:lineRule="auto"/>
              <w:rPr>
                <w:rFonts w:ascii="Arial" w:eastAsia="Times New Roman" w:hAnsi="Arial" w:cs="Arial"/>
                <w:sz w:val="16"/>
                <w:szCs w:val="16"/>
                <w:lang w:eastAsia="en-GB"/>
              </w:rPr>
            </w:pPr>
            <w:r w:rsidRPr="003C6B25">
              <w:rPr>
                <w:rFonts w:ascii="Arial" w:eastAsia="Times New Roman" w:hAnsi="Arial" w:cs="Arial"/>
                <w:sz w:val="16"/>
                <w:szCs w:val="16"/>
                <w:lang w:eastAsia="en-GB"/>
              </w:rPr>
              <w:t>AME</w:t>
            </w:r>
          </w:p>
        </w:tc>
        <w:tc>
          <w:tcPr>
            <w:tcW w:w="1440" w:type="dxa"/>
            <w:tcBorders>
              <w:top w:val="nil"/>
              <w:left w:val="single" w:sz="8" w:space="0" w:color="auto"/>
              <w:bottom w:val="single" w:sz="8" w:space="0" w:color="auto"/>
              <w:right w:val="single" w:sz="8" w:space="0" w:color="auto"/>
            </w:tcBorders>
            <w:shd w:val="clear" w:color="auto" w:fill="auto"/>
            <w:vAlign w:val="bottom"/>
            <w:hideMark/>
          </w:tcPr>
          <w:p w:rsidR="003C6B25" w:rsidRPr="003C6B25" w:rsidP="003C6B25">
            <w:pPr>
              <w:spacing w:after="0" w:line="240" w:lineRule="auto"/>
              <w:jc w:val="right"/>
              <w:rPr>
                <w:rFonts w:ascii="Arial" w:eastAsia="Times New Roman" w:hAnsi="Arial" w:cs="Arial"/>
                <w:sz w:val="16"/>
                <w:szCs w:val="16"/>
                <w:lang w:eastAsia="en-GB"/>
              </w:rPr>
            </w:pPr>
            <w:r w:rsidRPr="003C6B25">
              <w:rPr>
                <w:rFonts w:ascii="Arial" w:eastAsia="Times New Roman" w:hAnsi="Arial" w:cs="Arial"/>
                <w:sz w:val="16"/>
                <w:szCs w:val="16"/>
                <w:lang w:eastAsia="en-GB"/>
              </w:rPr>
              <w:t xml:space="preserve"> 2,719 </w:t>
            </w:r>
          </w:p>
        </w:tc>
        <w:tc>
          <w:tcPr>
            <w:tcW w:w="1000" w:type="dxa"/>
            <w:tcBorders>
              <w:top w:val="nil"/>
              <w:left w:val="single" w:sz="4" w:space="0" w:color="auto"/>
              <w:bottom w:val="single" w:sz="8" w:space="0" w:color="auto"/>
              <w:right w:val="single" w:sz="4" w:space="0" w:color="auto"/>
            </w:tcBorders>
            <w:shd w:val="clear" w:color="auto" w:fill="auto"/>
            <w:vAlign w:val="bottom"/>
            <w:hideMark/>
          </w:tcPr>
          <w:p w:rsidR="003C6B25" w:rsidRPr="003C6B25" w:rsidP="003C6B25">
            <w:pPr>
              <w:spacing w:after="0" w:line="240" w:lineRule="auto"/>
              <w:jc w:val="right"/>
              <w:rPr>
                <w:rFonts w:ascii="Arial" w:eastAsia="Times New Roman" w:hAnsi="Arial" w:cs="Arial"/>
                <w:sz w:val="16"/>
                <w:szCs w:val="16"/>
                <w:lang w:eastAsia="en-GB"/>
              </w:rPr>
            </w:pPr>
            <w:r w:rsidRPr="003C6B25">
              <w:rPr>
                <w:rFonts w:ascii="Arial" w:eastAsia="Times New Roman" w:hAnsi="Arial" w:cs="Arial"/>
                <w:sz w:val="16"/>
                <w:szCs w:val="16"/>
                <w:lang w:eastAsia="en-GB"/>
              </w:rPr>
              <w:t xml:space="preserve"> 1,200 </w:t>
            </w:r>
          </w:p>
        </w:tc>
        <w:tc>
          <w:tcPr>
            <w:tcW w:w="1000" w:type="dxa"/>
            <w:tcBorders>
              <w:top w:val="nil"/>
              <w:left w:val="nil"/>
              <w:bottom w:val="single" w:sz="8" w:space="0" w:color="auto"/>
              <w:right w:val="single" w:sz="8" w:space="0" w:color="auto"/>
            </w:tcBorders>
            <w:shd w:val="clear" w:color="auto" w:fill="auto"/>
            <w:vAlign w:val="bottom"/>
            <w:hideMark/>
          </w:tcPr>
          <w:p w:rsidR="003C6B25" w:rsidRPr="003C6B25" w:rsidP="003C6B25">
            <w:pPr>
              <w:spacing w:after="0" w:line="240" w:lineRule="auto"/>
              <w:jc w:val="right"/>
              <w:rPr>
                <w:rFonts w:ascii="Arial" w:eastAsia="Times New Roman" w:hAnsi="Arial" w:cs="Arial"/>
                <w:sz w:val="16"/>
                <w:szCs w:val="16"/>
                <w:lang w:eastAsia="en-GB"/>
              </w:rPr>
            </w:pPr>
            <w:r w:rsidRPr="003C6B25">
              <w:rPr>
                <w:rFonts w:ascii="Arial" w:eastAsia="Times New Roman" w:hAnsi="Arial" w:cs="Arial"/>
                <w:sz w:val="16"/>
                <w:szCs w:val="16"/>
                <w:lang w:eastAsia="en-GB"/>
              </w:rPr>
              <w:t>79.0%</w:t>
            </w:r>
          </w:p>
        </w:tc>
        <w:tc>
          <w:tcPr>
            <w:tcW w:w="1000" w:type="dxa"/>
            <w:tcBorders>
              <w:top w:val="nil"/>
              <w:left w:val="nil"/>
              <w:bottom w:val="single" w:sz="8" w:space="0" w:color="auto"/>
              <w:right w:val="single" w:sz="4" w:space="0" w:color="auto"/>
            </w:tcBorders>
            <w:shd w:val="clear" w:color="auto" w:fill="auto"/>
            <w:vAlign w:val="bottom"/>
            <w:hideMark/>
          </w:tcPr>
          <w:p w:rsidR="003C6B25" w:rsidRPr="003C6B25" w:rsidP="003C6B25">
            <w:pPr>
              <w:spacing w:after="0" w:line="240" w:lineRule="auto"/>
              <w:jc w:val="right"/>
              <w:rPr>
                <w:rFonts w:ascii="Arial" w:eastAsia="Times New Roman" w:hAnsi="Arial" w:cs="Arial"/>
                <w:sz w:val="16"/>
                <w:szCs w:val="16"/>
                <w:lang w:eastAsia="en-GB"/>
              </w:rPr>
            </w:pPr>
            <w:r w:rsidRPr="003C6B25">
              <w:rPr>
                <w:rFonts w:ascii="Arial" w:eastAsia="Times New Roman" w:hAnsi="Arial" w:cs="Arial"/>
                <w:sz w:val="16"/>
                <w:szCs w:val="16"/>
                <w:lang w:eastAsia="en-GB"/>
              </w:rPr>
              <w:t xml:space="preserve"> </w:t>
            </w:r>
            <w:r w:rsidR="001C6A3E">
              <w:rPr>
                <w:rFonts w:ascii="Arial" w:eastAsia="Times New Roman" w:hAnsi="Arial" w:cs="Arial"/>
                <w:sz w:val="16"/>
                <w:szCs w:val="16"/>
                <w:lang w:eastAsia="en-GB"/>
              </w:rPr>
              <w:t>3</w:t>
            </w:r>
            <w:r w:rsidRPr="003C6B25">
              <w:rPr>
                <w:rFonts w:ascii="Arial" w:eastAsia="Times New Roman" w:hAnsi="Arial" w:cs="Arial"/>
                <w:sz w:val="16"/>
                <w:szCs w:val="16"/>
                <w:lang w:eastAsia="en-GB"/>
              </w:rPr>
              <w:t>,</w:t>
            </w:r>
            <w:r w:rsidR="001C6A3E">
              <w:rPr>
                <w:rFonts w:ascii="Arial" w:eastAsia="Times New Roman" w:hAnsi="Arial" w:cs="Arial"/>
                <w:sz w:val="16"/>
                <w:szCs w:val="16"/>
                <w:lang w:eastAsia="en-GB"/>
              </w:rPr>
              <w:t>015</w:t>
            </w:r>
            <w:r w:rsidRPr="003C6B25">
              <w:rPr>
                <w:rFonts w:ascii="Arial" w:eastAsia="Times New Roman" w:hAnsi="Arial" w:cs="Arial"/>
                <w:sz w:val="16"/>
                <w:szCs w:val="16"/>
                <w:lang w:eastAsia="en-GB"/>
              </w:rPr>
              <w:t xml:space="preserve"> </w:t>
            </w:r>
          </w:p>
        </w:tc>
        <w:tc>
          <w:tcPr>
            <w:tcW w:w="1000" w:type="dxa"/>
            <w:tcBorders>
              <w:top w:val="nil"/>
              <w:left w:val="nil"/>
              <w:bottom w:val="single" w:sz="8" w:space="0" w:color="auto"/>
              <w:right w:val="single" w:sz="8" w:space="0" w:color="auto"/>
            </w:tcBorders>
            <w:shd w:val="clear" w:color="auto" w:fill="auto"/>
            <w:vAlign w:val="bottom"/>
            <w:hideMark/>
          </w:tcPr>
          <w:p w:rsidR="003C6B25" w:rsidRPr="003C6B25" w:rsidP="003C6B25">
            <w:pPr>
              <w:spacing w:after="0" w:line="240" w:lineRule="auto"/>
              <w:jc w:val="right"/>
              <w:rPr>
                <w:rFonts w:ascii="Arial" w:eastAsia="Times New Roman" w:hAnsi="Arial" w:cs="Arial"/>
                <w:sz w:val="16"/>
                <w:szCs w:val="16"/>
                <w:lang w:eastAsia="en-GB"/>
              </w:rPr>
            </w:pPr>
            <w:r>
              <w:rPr>
                <w:rFonts w:ascii="Arial" w:eastAsia="Times New Roman" w:hAnsi="Arial" w:cs="Arial"/>
                <w:sz w:val="16"/>
                <w:szCs w:val="16"/>
                <w:lang w:eastAsia="en-GB"/>
              </w:rPr>
              <w:t>110</w:t>
            </w:r>
            <w:r w:rsidRPr="003C6B25">
              <w:rPr>
                <w:rFonts w:ascii="Arial" w:eastAsia="Times New Roman" w:hAnsi="Arial" w:cs="Arial"/>
                <w:sz w:val="16"/>
                <w:szCs w:val="16"/>
                <w:lang w:eastAsia="en-GB"/>
              </w:rPr>
              <w:t>.</w:t>
            </w:r>
            <w:r>
              <w:rPr>
                <w:rFonts w:ascii="Arial" w:eastAsia="Times New Roman" w:hAnsi="Arial" w:cs="Arial"/>
                <w:sz w:val="16"/>
                <w:szCs w:val="16"/>
                <w:lang w:eastAsia="en-GB"/>
              </w:rPr>
              <w:t>8</w:t>
            </w:r>
            <w:r w:rsidRPr="003C6B25">
              <w:rPr>
                <w:rFonts w:ascii="Arial" w:eastAsia="Times New Roman" w:hAnsi="Arial" w:cs="Arial"/>
                <w:sz w:val="16"/>
                <w:szCs w:val="16"/>
                <w:lang w:eastAsia="en-GB"/>
              </w:rPr>
              <w:t>%</w:t>
            </w:r>
          </w:p>
        </w:tc>
      </w:tr>
      <w:tr w:rsidTr="003C6B25">
        <w:tblPrEx>
          <w:tblW w:w="8480" w:type="dxa"/>
          <w:tblLook w:val="04A0"/>
        </w:tblPrEx>
        <w:trPr>
          <w:trHeight w:val="260"/>
        </w:trPr>
        <w:tc>
          <w:tcPr>
            <w:tcW w:w="8480" w:type="dxa"/>
            <w:gridSpan w:val="6"/>
            <w:tcBorders>
              <w:top w:val="nil"/>
              <w:left w:val="nil"/>
              <w:bottom w:val="nil"/>
              <w:right w:val="nil"/>
            </w:tcBorders>
            <w:shd w:val="clear" w:color="auto" w:fill="auto"/>
            <w:vAlign w:val="bottom"/>
            <w:hideMark/>
          </w:tcPr>
          <w:p w:rsidR="003C6B25" w:rsidP="003C6B25">
            <w:pPr>
              <w:spacing w:after="0" w:line="240" w:lineRule="auto"/>
              <w:rPr>
                <w:rFonts w:ascii="Arial" w:eastAsia="Times New Roman" w:hAnsi="Arial" w:cs="Arial"/>
                <w:i/>
                <w:iCs/>
                <w:sz w:val="18"/>
                <w:szCs w:val="18"/>
                <w:lang w:eastAsia="en-GB"/>
              </w:rPr>
            </w:pPr>
            <w:r w:rsidRPr="003C6B25">
              <w:rPr>
                <w:rFonts w:ascii="Arial" w:eastAsia="Times New Roman" w:hAnsi="Arial" w:cs="Arial"/>
                <w:i/>
                <w:iCs/>
                <w:sz w:val="18"/>
                <w:szCs w:val="18"/>
                <w:lang w:eastAsia="en-GB"/>
              </w:rPr>
              <w:t>Note 1: Total include spends for Operations and Peacekeeping.</w:t>
            </w:r>
          </w:p>
          <w:p w:rsidR="00361798" w:rsidP="003C6B25">
            <w:pPr>
              <w:spacing w:after="0" w:line="240" w:lineRule="auto"/>
              <w:rPr>
                <w:rFonts w:ascii="Arial" w:eastAsia="Times New Roman" w:hAnsi="Arial" w:cs="Arial"/>
                <w:i/>
                <w:iCs/>
                <w:sz w:val="18"/>
                <w:szCs w:val="18"/>
                <w:lang w:eastAsia="en-GB"/>
              </w:rPr>
            </w:pPr>
          </w:p>
          <w:p w:rsidR="00361798" w:rsidRPr="003C6B25" w:rsidP="003C6B25">
            <w:pPr>
              <w:spacing w:after="0" w:line="240" w:lineRule="auto"/>
              <w:rPr>
                <w:rFonts w:ascii="Arial" w:eastAsia="Times New Roman" w:hAnsi="Arial" w:cs="Arial"/>
                <w:i/>
                <w:iCs/>
                <w:sz w:val="18"/>
                <w:szCs w:val="18"/>
                <w:lang w:eastAsia="en-GB"/>
              </w:rPr>
            </w:pPr>
          </w:p>
        </w:tc>
      </w:tr>
    </w:tbl>
    <w:p w:rsidR="003E38FD" w:rsidP="00740C96">
      <w:pPr>
        <w:shd w:val="clear" w:color="auto" w:fill="FFFFFF"/>
        <w:spacing w:after="180" w:line="288" w:lineRule="auto"/>
        <w:rPr>
          <w:noProof/>
        </w:rPr>
      </w:pPr>
      <w:r>
        <w:rPr>
          <w:noProof/>
        </w:rPr>
        <w:drawing>
          <wp:inline distT="0" distB="0" distL="0" distR="0">
            <wp:extent cx="5646420" cy="2789555"/>
            <wp:effectExtent l="0" t="0" r="11430" b="10795"/>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E38FD" w:rsidP="00740C96">
      <w:pPr>
        <w:shd w:val="clear" w:color="auto" w:fill="FFFFFF"/>
        <w:spacing w:after="180" w:line="288" w:lineRule="auto"/>
        <w:rPr>
          <w:noProof/>
        </w:rPr>
      </w:pPr>
    </w:p>
    <w:p w:rsidR="00DD6E46" w:rsidRPr="001110F1" w:rsidP="000E0F4E">
      <w:pPr>
        <w:pStyle w:val="Heading2"/>
        <w:rPr>
          <w:rFonts w:asciiTheme="minorHAnsi" w:hAnsiTheme="minorHAnsi"/>
        </w:rPr>
      </w:pPr>
      <w:r w:rsidRPr="001110F1">
        <w:rPr>
          <w:rFonts w:asciiTheme="minorHAnsi" w:hAnsiTheme="minorHAnsi"/>
        </w:rPr>
        <w:t>Key drivers of spending changes</w:t>
      </w:r>
      <w:r w:rsidRPr="001110F1" w:rsidR="00FD38EB">
        <w:rPr>
          <w:rFonts w:asciiTheme="minorHAnsi" w:hAnsiTheme="minorHAnsi"/>
        </w:rPr>
        <w:t xml:space="preserve"> since </w:t>
      </w:r>
      <w:r w:rsidRPr="001110F1" w:rsidR="00DF1527">
        <w:rPr>
          <w:rFonts w:asciiTheme="minorHAnsi" w:hAnsiTheme="minorHAnsi"/>
        </w:rPr>
        <w:t>last year</w:t>
      </w:r>
    </w:p>
    <w:p w:rsidR="00B45302" w:rsidP="00EF63D2">
      <w:pPr>
        <w:rPr>
          <w:lang w:eastAsia="en-GB"/>
        </w:rPr>
      </w:pPr>
      <w:r w:rsidRPr="00E1549F">
        <w:rPr>
          <w:lang w:eastAsia="en-GB"/>
        </w:rPr>
        <w:t>The main causes of th</w:t>
      </w:r>
      <w:r w:rsidR="008A6C5E">
        <w:rPr>
          <w:lang w:eastAsia="en-GB"/>
        </w:rPr>
        <w:t>e changes in Resource DEL</w:t>
      </w:r>
      <w:r w:rsidRPr="00E1549F">
        <w:rPr>
          <w:lang w:eastAsia="en-GB"/>
        </w:rPr>
        <w:t xml:space="preserve"> are:</w:t>
      </w:r>
    </w:p>
    <w:p w:rsidR="00DB0143" w:rsidP="00743885">
      <w:pPr>
        <w:pStyle w:val="ListParagraph"/>
        <w:numPr>
          <w:ilvl w:val="0"/>
          <w:numId w:val="11"/>
        </w:numPr>
        <w:rPr>
          <w:lang w:eastAsia="en-GB"/>
        </w:rPr>
      </w:pPr>
      <w:r>
        <w:rPr>
          <w:lang w:eastAsia="en-GB"/>
        </w:rPr>
        <w:t>Additional</w:t>
      </w:r>
      <w:r w:rsidR="00806847">
        <w:rPr>
          <w:lang w:eastAsia="en-GB"/>
        </w:rPr>
        <w:t xml:space="preserve"> </w:t>
      </w:r>
      <w:r>
        <w:rPr>
          <w:lang w:eastAsia="en-GB"/>
        </w:rPr>
        <w:t>funding for Operations and Peacekeeping driven by ongoing Counter-Da</w:t>
      </w:r>
      <w:r w:rsidR="00743885">
        <w:rPr>
          <w:lang w:eastAsia="en-GB"/>
        </w:rPr>
        <w:t>esh operations and an uplift in Afghanistan and operational activities in the Gulf</w:t>
      </w:r>
      <w:r>
        <w:rPr>
          <w:lang w:eastAsia="en-GB"/>
        </w:rPr>
        <w:t>;</w:t>
      </w:r>
    </w:p>
    <w:p w:rsidR="001732A3" w:rsidP="00743885">
      <w:pPr>
        <w:pStyle w:val="ListParagraph"/>
        <w:numPr>
          <w:ilvl w:val="0"/>
          <w:numId w:val="11"/>
        </w:numPr>
        <w:rPr>
          <w:lang w:eastAsia="en-GB"/>
        </w:rPr>
      </w:pPr>
      <w:r>
        <w:rPr>
          <w:lang w:eastAsia="en-GB"/>
        </w:rPr>
        <w:t xml:space="preserve">Resource to Capital DEL switch </w:t>
      </w:r>
      <w:r w:rsidR="00D76A9C">
        <w:rPr>
          <w:lang w:eastAsia="en-GB"/>
        </w:rPr>
        <w:t xml:space="preserve">to reflect the department’s forecast spending plans </w:t>
      </w:r>
      <w:r w:rsidR="003935B8">
        <w:rPr>
          <w:lang w:eastAsia="en-GB"/>
        </w:rPr>
        <w:t>for the current financial year;</w:t>
      </w:r>
    </w:p>
    <w:p w:rsidR="00DC76AD" w:rsidP="00743885">
      <w:pPr>
        <w:pStyle w:val="ListParagraph"/>
        <w:numPr>
          <w:ilvl w:val="0"/>
          <w:numId w:val="11"/>
        </w:numPr>
        <w:rPr>
          <w:lang w:eastAsia="en-GB"/>
        </w:rPr>
      </w:pPr>
      <w:r>
        <w:t>Budget adjustments of £245m to reflect untaken leave accruals, partly driven by the impact of COVID-19;</w:t>
      </w:r>
      <w:r w:rsidRPr="004B52CC" w:rsidR="00D6659F">
        <w:rPr>
          <w:lang w:eastAsia="en-GB"/>
        </w:rPr>
        <w:t xml:space="preserve"> </w:t>
      </w:r>
    </w:p>
    <w:p w:rsidR="00402713" w:rsidRPr="004B52CC" w:rsidP="00743885">
      <w:pPr>
        <w:pStyle w:val="ListParagraph"/>
        <w:numPr>
          <w:ilvl w:val="0"/>
          <w:numId w:val="11"/>
        </w:numPr>
        <w:rPr>
          <w:lang w:eastAsia="en-GB"/>
        </w:rPr>
      </w:pPr>
      <w:r>
        <w:rPr>
          <w:lang w:eastAsia="en-GB"/>
        </w:rPr>
        <w:t>I</w:t>
      </w:r>
      <w:r w:rsidRPr="004B52CC" w:rsidR="00650338">
        <w:rPr>
          <w:lang w:eastAsia="en-GB"/>
        </w:rPr>
        <w:t>nvest in priorities</w:t>
      </w:r>
      <w:r w:rsidRPr="004B52CC" w:rsidR="00AA7818">
        <w:rPr>
          <w:lang w:eastAsia="en-GB"/>
        </w:rPr>
        <w:t xml:space="preserve"> a</w:t>
      </w:r>
      <w:r w:rsidRPr="004B52CC" w:rsidR="00520B9A">
        <w:rPr>
          <w:lang w:eastAsia="en-GB"/>
        </w:rPr>
        <w:t>n</w:t>
      </w:r>
      <w:r w:rsidRPr="004B52CC" w:rsidR="00AA7818">
        <w:rPr>
          <w:lang w:eastAsia="en-GB"/>
        </w:rPr>
        <w:t>d modernise</w:t>
      </w:r>
      <w:r w:rsidRPr="004B52CC" w:rsidR="004B421C">
        <w:rPr>
          <w:lang w:eastAsia="en-GB"/>
        </w:rPr>
        <w:t>, such as our offensive cyber</w:t>
      </w:r>
      <w:r w:rsidRPr="004B52CC" w:rsidR="00D636E1">
        <w:rPr>
          <w:lang w:eastAsia="en-GB"/>
        </w:rPr>
        <w:t xml:space="preserve"> capabilities, anti-submarine </w:t>
      </w:r>
      <w:r w:rsidRPr="004B52CC" w:rsidR="00AB0522">
        <w:rPr>
          <w:lang w:eastAsia="en-GB"/>
        </w:rPr>
        <w:t>warfare, our nuclear deterrent</w:t>
      </w:r>
      <w:r w:rsidRPr="004B52CC" w:rsidR="008F0365">
        <w:rPr>
          <w:lang w:eastAsia="en-GB"/>
        </w:rPr>
        <w:t xml:space="preserve"> and transformation</w:t>
      </w:r>
      <w:r w:rsidRPr="004B52CC" w:rsidR="002047D0">
        <w:rPr>
          <w:lang w:eastAsia="en-GB"/>
        </w:rPr>
        <w:t xml:space="preserve">, as well as </w:t>
      </w:r>
      <w:r w:rsidRPr="004B52CC" w:rsidR="009C756D">
        <w:rPr>
          <w:lang w:eastAsia="en-GB"/>
        </w:rPr>
        <w:t>to cover</w:t>
      </w:r>
      <w:r w:rsidRPr="004B52CC" w:rsidR="00C04E22">
        <w:rPr>
          <w:lang w:eastAsia="en-GB"/>
        </w:rPr>
        <w:t xml:space="preserve"> </w:t>
      </w:r>
      <w:r w:rsidRPr="004B52CC" w:rsidR="00537F8E">
        <w:rPr>
          <w:lang w:eastAsia="en-GB"/>
        </w:rPr>
        <w:t xml:space="preserve">exigencies </w:t>
      </w:r>
      <w:r w:rsidRPr="004B52CC" w:rsidR="00CF1B3F">
        <w:rPr>
          <w:lang w:eastAsia="en-GB"/>
        </w:rPr>
        <w:t xml:space="preserve">due to </w:t>
      </w:r>
      <w:r w:rsidRPr="004B52CC" w:rsidR="008C672B">
        <w:rPr>
          <w:lang w:eastAsia="en-GB"/>
        </w:rPr>
        <w:t>pandemic/COVID-</w:t>
      </w:r>
      <w:r w:rsidRPr="004B52CC" w:rsidR="00816F9B">
        <w:rPr>
          <w:lang w:eastAsia="en-GB"/>
        </w:rPr>
        <w:t>19 rela</w:t>
      </w:r>
      <w:r w:rsidRPr="004B52CC" w:rsidR="007F342A">
        <w:rPr>
          <w:lang w:eastAsia="en-GB"/>
        </w:rPr>
        <w:t xml:space="preserve">ted </w:t>
      </w:r>
      <w:r w:rsidRPr="004B52CC" w:rsidR="00CF1B3F">
        <w:rPr>
          <w:lang w:eastAsia="en-GB"/>
        </w:rPr>
        <w:t>services</w:t>
      </w:r>
      <w:r w:rsidRPr="004B52CC" w:rsidR="00E86324">
        <w:rPr>
          <w:lang w:eastAsia="en-GB"/>
        </w:rPr>
        <w:t>;</w:t>
      </w:r>
    </w:p>
    <w:p w:rsidR="00C1110B" w:rsidP="00E3013C">
      <w:pPr>
        <w:pStyle w:val="ListParagraph"/>
        <w:numPr>
          <w:ilvl w:val="0"/>
          <w:numId w:val="11"/>
        </w:numPr>
        <w:rPr>
          <w:lang w:eastAsia="en-GB"/>
        </w:rPr>
      </w:pPr>
      <w:r>
        <w:rPr>
          <w:lang w:eastAsia="en-GB"/>
        </w:rPr>
        <w:t xml:space="preserve">Reimbursement </w:t>
      </w:r>
      <w:r w:rsidR="00E947AB">
        <w:rPr>
          <w:lang w:eastAsia="en-GB"/>
        </w:rPr>
        <w:t>for the</w:t>
      </w:r>
      <w:r w:rsidR="007F11D6">
        <w:rPr>
          <w:lang w:eastAsia="en-GB"/>
        </w:rPr>
        <w:t xml:space="preserve"> </w:t>
      </w:r>
      <w:r w:rsidR="002B03C0">
        <w:t>London Inter Bank Offered Rate</w:t>
      </w:r>
      <w:r w:rsidR="00E947AB">
        <w:rPr>
          <w:lang w:eastAsia="en-GB"/>
        </w:rPr>
        <w:t xml:space="preserve"> </w:t>
      </w:r>
      <w:r w:rsidR="002B03C0">
        <w:rPr>
          <w:lang w:eastAsia="en-GB"/>
        </w:rPr>
        <w:t>(</w:t>
      </w:r>
      <w:r w:rsidR="00E947AB">
        <w:rPr>
          <w:lang w:eastAsia="en-GB"/>
        </w:rPr>
        <w:t>LIBOR</w:t>
      </w:r>
      <w:r w:rsidR="002B03C0">
        <w:rPr>
          <w:lang w:eastAsia="en-GB"/>
        </w:rPr>
        <w:t>)</w:t>
      </w:r>
      <w:r w:rsidR="00E947AB">
        <w:rPr>
          <w:lang w:eastAsia="en-GB"/>
        </w:rPr>
        <w:t xml:space="preserve"> funding for donations previously </w:t>
      </w:r>
      <w:r w:rsidR="002601F6">
        <w:rPr>
          <w:lang w:eastAsia="en-GB"/>
        </w:rPr>
        <w:t xml:space="preserve">announced by the Chancellor </w:t>
      </w:r>
      <w:r w:rsidR="00A26DDC">
        <w:rPr>
          <w:lang w:eastAsia="en-GB"/>
        </w:rPr>
        <w:t>to various service charities</w:t>
      </w:r>
      <w:r w:rsidR="00AE0BE0">
        <w:rPr>
          <w:lang w:eastAsia="en-GB"/>
        </w:rPr>
        <w:t>;</w:t>
      </w:r>
    </w:p>
    <w:p w:rsidR="00743885" w:rsidP="00E3013C">
      <w:pPr>
        <w:pStyle w:val="ListParagraph"/>
        <w:numPr>
          <w:ilvl w:val="0"/>
          <w:numId w:val="11"/>
        </w:numPr>
        <w:rPr>
          <w:lang w:eastAsia="en-GB"/>
        </w:rPr>
      </w:pPr>
      <w:r>
        <w:rPr>
          <w:lang w:eastAsia="en-GB"/>
        </w:rPr>
        <w:t>Increase in Depreciation Budget (non-cash</w:t>
      </w:r>
      <w:r w:rsidR="00B552B2">
        <w:rPr>
          <w:lang w:eastAsia="en-GB"/>
        </w:rPr>
        <w:t xml:space="preserve">) of £2Bn; </w:t>
      </w:r>
      <w:r w:rsidR="00616C38">
        <w:rPr>
          <w:lang w:eastAsia="en-GB"/>
        </w:rPr>
        <w:t>and</w:t>
      </w:r>
      <w:r w:rsidR="00FC4B67">
        <w:rPr>
          <w:lang w:eastAsia="en-GB"/>
        </w:rPr>
        <w:t xml:space="preserve"> </w:t>
      </w:r>
    </w:p>
    <w:p w:rsidR="0007361C" w:rsidP="007D45AD">
      <w:pPr>
        <w:pStyle w:val="ListParagraph"/>
        <w:numPr>
          <w:ilvl w:val="0"/>
          <w:numId w:val="11"/>
        </w:numPr>
        <w:rPr>
          <w:lang w:eastAsia="en-GB"/>
        </w:rPr>
      </w:pPr>
      <w:r>
        <w:rPr>
          <w:lang w:eastAsia="en-GB"/>
        </w:rPr>
        <w:t>Budget cover transfers to/from other government departments due to transfer of responsibilities.</w:t>
      </w:r>
    </w:p>
    <w:p w:rsidR="0007361C" w:rsidP="0007361C">
      <w:pPr>
        <w:rPr>
          <w:lang w:eastAsia="en-GB"/>
        </w:rPr>
      </w:pPr>
      <w:r w:rsidRPr="00E1549F">
        <w:rPr>
          <w:lang w:eastAsia="en-GB"/>
        </w:rPr>
        <w:t>The main causes of th</w:t>
      </w:r>
      <w:r>
        <w:rPr>
          <w:lang w:eastAsia="en-GB"/>
        </w:rPr>
        <w:t>e changes in Capital DEL</w:t>
      </w:r>
      <w:r w:rsidRPr="00E1549F">
        <w:rPr>
          <w:lang w:eastAsia="en-GB"/>
        </w:rPr>
        <w:t xml:space="preserve"> are:</w:t>
      </w:r>
    </w:p>
    <w:p w:rsidR="00EC29A2" w:rsidP="0007361C">
      <w:pPr>
        <w:pStyle w:val="ListParagraph"/>
        <w:numPr>
          <w:ilvl w:val="0"/>
          <w:numId w:val="11"/>
        </w:numPr>
        <w:rPr>
          <w:lang w:eastAsia="en-GB"/>
        </w:rPr>
      </w:pPr>
      <w:r>
        <w:rPr>
          <w:lang w:eastAsia="en-GB"/>
        </w:rPr>
        <w:t xml:space="preserve">Initial </w:t>
      </w:r>
      <w:r w:rsidR="0007361C">
        <w:rPr>
          <w:lang w:eastAsia="en-GB"/>
        </w:rPr>
        <w:t>funding for Operations and Peacekeeping driven by ongoing Counter-Daesh operations and an uplift in Afghanistan and operational activities in the Gulf;</w:t>
      </w:r>
    </w:p>
    <w:p w:rsidR="001A01EF" w:rsidP="0007361C">
      <w:pPr>
        <w:pStyle w:val="ListParagraph"/>
        <w:numPr>
          <w:ilvl w:val="0"/>
          <w:numId w:val="11"/>
        </w:numPr>
        <w:rPr>
          <w:lang w:eastAsia="en-GB"/>
        </w:rPr>
      </w:pPr>
      <w:r>
        <w:rPr>
          <w:lang w:eastAsia="en-GB"/>
        </w:rPr>
        <w:t>Additional budget uplift to cover investment in Equipment Programme, including Dreadnought;</w:t>
      </w:r>
    </w:p>
    <w:p w:rsidR="00066DDB" w:rsidP="0007361C">
      <w:pPr>
        <w:pStyle w:val="ListParagraph"/>
        <w:numPr>
          <w:ilvl w:val="0"/>
          <w:numId w:val="11"/>
        </w:numPr>
        <w:rPr>
          <w:lang w:eastAsia="en-GB"/>
        </w:rPr>
      </w:pPr>
      <w:r>
        <w:rPr>
          <w:lang w:eastAsia="en-GB"/>
        </w:rPr>
        <w:t>Additional funding for infrastructure projects</w:t>
      </w:r>
      <w:r w:rsidR="00670D0F">
        <w:rPr>
          <w:lang w:eastAsia="en-GB"/>
        </w:rPr>
        <w:t xml:space="preserve"> announced </w:t>
      </w:r>
      <w:r w:rsidR="00622297">
        <w:rPr>
          <w:lang w:eastAsia="en-GB"/>
        </w:rPr>
        <w:t xml:space="preserve">in the Chancellor’s </w:t>
      </w:r>
      <w:r>
        <w:rPr>
          <w:lang w:eastAsia="en-GB"/>
        </w:rPr>
        <w:t xml:space="preserve">Fiscal stimulus </w:t>
      </w:r>
      <w:r w:rsidR="00622297">
        <w:rPr>
          <w:lang w:eastAsia="en-GB"/>
        </w:rPr>
        <w:t>package</w:t>
      </w:r>
      <w:r w:rsidR="00307BAF">
        <w:rPr>
          <w:lang w:eastAsia="en-GB"/>
        </w:rPr>
        <w:t>;</w:t>
      </w:r>
    </w:p>
    <w:p w:rsidR="0007361C">
      <w:pPr>
        <w:pStyle w:val="ListParagraph"/>
        <w:numPr>
          <w:ilvl w:val="0"/>
          <w:numId w:val="11"/>
        </w:numPr>
        <w:rPr>
          <w:lang w:eastAsia="en-GB"/>
        </w:rPr>
      </w:pPr>
      <w:r>
        <w:rPr>
          <w:lang w:eastAsia="en-GB"/>
        </w:rPr>
        <w:t xml:space="preserve">Resource to Capital DEL switch to reflect the department’s forecast spending plans for the current financial year; </w:t>
      </w:r>
      <w:r w:rsidR="00D502AE">
        <w:rPr>
          <w:lang w:eastAsia="en-GB"/>
        </w:rPr>
        <w:t>and</w:t>
      </w:r>
    </w:p>
    <w:p w:rsidR="0007361C" w:rsidP="00E3013C">
      <w:pPr>
        <w:pStyle w:val="ListParagraph"/>
        <w:numPr>
          <w:ilvl w:val="0"/>
          <w:numId w:val="11"/>
        </w:numPr>
        <w:rPr>
          <w:lang w:eastAsia="en-GB"/>
        </w:rPr>
      </w:pPr>
      <w:r>
        <w:rPr>
          <w:lang w:eastAsia="en-GB"/>
        </w:rPr>
        <w:t>Budget cover transfers to/from other government departments due to transfer of responsibilities.</w:t>
      </w:r>
    </w:p>
    <w:p w:rsidR="00854131" w:rsidP="003C6870">
      <w:pPr>
        <w:rPr>
          <w:lang w:eastAsia="en-GB"/>
        </w:rPr>
      </w:pPr>
      <w:r w:rsidRPr="00E1549F">
        <w:rPr>
          <w:lang w:eastAsia="en-GB"/>
        </w:rPr>
        <w:t>The</w:t>
      </w:r>
      <w:r w:rsidR="00A42A09">
        <w:rPr>
          <w:lang w:eastAsia="en-GB"/>
        </w:rPr>
        <w:t xml:space="preserve">re </w:t>
      </w:r>
      <w:r w:rsidR="00AB5949">
        <w:rPr>
          <w:lang w:eastAsia="en-GB"/>
        </w:rPr>
        <w:t xml:space="preserve">is a net addition of </w:t>
      </w:r>
      <w:r w:rsidR="008D2660">
        <w:rPr>
          <w:lang w:eastAsia="en-GB"/>
        </w:rPr>
        <w:t>£</w:t>
      </w:r>
      <w:r w:rsidR="00D57EEC">
        <w:rPr>
          <w:lang w:eastAsia="en-GB"/>
        </w:rPr>
        <w:t>1</w:t>
      </w:r>
      <w:r w:rsidR="00056743">
        <w:rPr>
          <w:lang w:eastAsia="en-GB"/>
        </w:rPr>
        <w:t>.</w:t>
      </w:r>
      <w:r w:rsidR="00D57EEC">
        <w:rPr>
          <w:lang w:eastAsia="en-GB"/>
        </w:rPr>
        <w:t>2Bn</w:t>
      </w:r>
      <w:r w:rsidR="008D2660">
        <w:rPr>
          <w:lang w:eastAsia="en-GB"/>
        </w:rPr>
        <w:t xml:space="preserve"> to the AME</w:t>
      </w:r>
      <w:r w:rsidR="00276F29">
        <w:rPr>
          <w:lang w:eastAsia="en-GB"/>
        </w:rPr>
        <w:t xml:space="preserve"> requirement</w:t>
      </w:r>
      <w:r w:rsidR="002C56EA">
        <w:rPr>
          <w:lang w:eastAsia="en-GB"/>
        </w:rPr>
        <w:t xml:space="preserve"> as a result of </w:t>
      </w:r>
      <w:r w:rsidR="00F60AF4">
        <w:rPr>
          <w:lang w:eastAsia="en-GB"/>
        </w:rPr>
        <w:t>c</w:t>
      </w:r>
      <w:r w:rsidR="008D4483">
        <w:rPr>
          <w:lang w:eastAsia="en-GB"/>
        </w:rPr>
        <w:t xml:space="preserve">hanges </w:t>
      </w:r>
      <w:r w:rsidR="00F60AF4">
        <w:rPr>
          <w:lang w:eastAsia="en-GB"/>
        </w:rPr>
        <w:t>in Treasury</w:t>
      </w:r>
      <w:r w:rsidR="00850385">
        <w:rPr>
          <w:lang w:eastAsia="en-GB"/>
        </w:rPr>
        <w:t>’s Discount Rates</w:t>
      </w:r>
      <w:r w:rsidR="00056743">
        <w:rPr>
          <w:lang w:eastAsia="en-GB"/>
        </w:rPr>
        <w:t xml:space="preserve"> </w:t>
      </w:r>
      <w:r w:rsidR="006C07E2">
        <w:rPr>
          <w:lang w:eastAsia="en-GB"/>
        </w:rPr>
        <w:t>a</w:t>
      </w:r>
      <w:r w:rsidR="00056743">
        <w:rPr>
          <w:lang w:eastAsia="en-GB"/>
        </w:rPr>
        <w:t>nd</w:t>
      </w:r>
      <w:r w:rsidR="00F03696">
        <w:rPr>
          <w:lang w:eastAsia="en-GB"/>
        </w:rPr>
        <w:t xml:space="preserve"> </w:t>
      </w:r>
      <w:r w:rsidR="009130A0">
        <w:rPr>
          <w:lang w:eastAsia="en-GB"/>
        </w:rPr>
        <w:t xml:space="preserve">revisions in estimates </w:t>
      </w:r>
      <w:r w:rsidR="00850385">
        <w:rPr>
          <w:lang w:eastAsia="en-GB"/>
        </w:rPr>
        <w:t>for provisions</w:t>
      </w:r>
      <w:r w:rsidR="00BE5B23">
        <w:rPr>
          <w:lang w:eastAsia="en-GB"/>
        </w:rPr>
        <w:t>.</w:t>
      </w:r>
    </w:p>
    <w:p w:rsidR="006E31F1" w:rsidP="003C6870">
      <w:pPr>
        <w:rPr>
          <w:lang w:eastAsia="en-GB"/>
        </w:rPr>
      </w:pPr>
      <w:r>
        <w:rPr>
          <w:lang w:eastAsia="en-GB"/>
        </w:rPr>
        <w:t xml:space="preserve">An </w:t>
      </w:r>
      <w:r w:rsidR="00020ED7">
        <w:rPr>
          <w:lang w:eastAsia="en-GB"/>
        </w:rPr>
        <w:t>additional</w:t>
      </w:r>
      <w:r w:rsidR="00AE6F4A">
        <w:rPr>
          <w:lang w:eastAsia="en-GB"/>
        </w:rPr>
        <w:t xml:space="preserve"> Net Cash Requirement of</w:t>
      </w:r>
      <w:r w:rsidR="00020ED7">
        <w:rPr>
          <w:lang w:eastAsia="en-GB"/>
        </w:rPr>
        <w:t xml:space="preserve"> </w:t>
      </w:r>
      <w:r w:rsidRPr="002C732D" w:rsidR="003912E3">
        <w:rPr>
          <w:lang w:eastAsia="en-GB"/>
        </w:rPr>
        <w:t>£</w:t>
      </w:r>
      <w:r w:rsidRPr="002C732D" w:rsidR="002A764B">
        <w:rPr>
          <w:lang w:eastAsia="en-GB"/>
        </w:rPr>
        <w:t>1</w:t>
      </w:r>
      <w:r w:rsidR="00360DE7">
        <w:rPr>
          <w:lang w:eastAsia="en-GB"/>
        </w:rPr>
        <w:t>.</w:t>
      </w:r>
      <w:r w:rsidR="00F03696">
        <w:rPr>
          <w:lang w:eastAsia="en-GB"/>
        </w:rPr>
        <w:t>5</w:t>
      </w:r>
      <w:r w:rsidR="00360DE7">
        <w:rPr>
          <w:lang w:eastAsia="en-GB"/>
        </w:rPr>
        <w:t>Bn</w:t>
      </w:r>
      <w:r w:rsidRPr="002C732D" w:rsidR="002A764B">
        <w:rPr>
          <w:lang w:eastAsia="en-GB"/>
        </w:rPr>
        <w:t xml:space="preserve"> </w:t>
      </w:r>
      <w:r w:rsidR="00980E6E">
        <w:rPr>
          <w:lang w:eastAsia="en-GB"/>
        </w:rPr>
        <w:t>ha</w:t>
      </w:r>
      <w:r w:rsidR="00AE6F4A">
        <w:rPr>
          <w:lang w:eastAsia="en-GB"/>
        </w:rPr>
        <w:t>s</w:t>
      </w:r>
      <w:r w:rsidR="00980E6E">
        <w:rPr>
          <w:lang w:eastAsia="en-GB"/>
        </w:rPr>
        <w:t xml:space="preserve"> been requested to meet supp</w:t>
      </w:r>
      <w:r w:rsidR="008A204C">
        <w:rPr>
          <w:lang w:eastAsia="en-GB"/>
        </w:rPr>
        <w:t xml:space="preserve">lementary </w:t>
      </w:r>
      <w:r w:rsidR="00806061">
        <w:rPr>
          <w:lang w:eastAsia="en-GB"/>
        </w:rPr>
        <w:t xml:space="preserve">estimate changes. This reflects </w:t>
      </w:r>
      <w:r w:rsidR="000661A2">
        <w:rPr>
          <w:lang w:eastAsia="en-GB"/>
        </w:rPr>
        <w:t xml:space="preserve">the cash </w:t>
      </w:r>
      <w:r w:rsidR="00CE36FE">
        <w:rPr>
          <w:lang w:eastAsia="en-GB"/>
        </w:rPr>
        <w:t xml:space="preserve">requirement due to the change in resources </w:t>
      </w:r>
      <w:r w:rsidR="00691B7F">
        <w:rPr>
          <w:lang w:eastAsia="en-GB"/>
        </w:rPr>
        <w:t xml:space="preserve">for the additional </w:t>
      </w:r>
      <w:r w:rsidR="00A32FBF">
        <w:rPr>
          <w:lang w:eastAsia="en-GB"/>
        </w:rPr>
        <w:t>budget cover</w:t>
      </w:r>
      <w:r w:rsidR="006C35C5">
        <w:rPr>
          <w:lang w:eastAsia="en-GB"/>
        </w:rPr>
        <w:t>,</w:t>
      </w:r>
      <w:r w:rsidR="00A32FBF">
        <w:rPr>
          <w:lang w:eastAsia="en-GB"/>
        </w:rPr>
        <w:t xml:space="preserve"> the increase for </w:t>
      </w:r>
      <w:r>
        <w:rPr>
          <w:lang w:eastAsia="en-GB"/>
        </w:rPr>
        <w:t>Operational Spend</w:t>
      </w:r>
      <w:r w:rsidR="006C35C5">
        <w:rPr>
          <w:lang w:eastAsia="en-GB"/>
        </w:rPr>
        <w:t xml:space="preserve"> and</w:t>
      </w:r>
      <w:r w:rsidR="00137DB4">
        <w:rPr>
          <w:lang w:eastAsia="en-GB"/>
        </w:rPr>
        <w:t xml:space="preserve"> the </w:t>
      </w:r>
      <w:r w:rsidR="006C35C5">
        <w:rPr>
          <w:lang w:eastAsia="en-GB"/>
        </w:rPr>
        <w:t>current forecast</w:t>
      </w:r>
      <w:r>
        <w:rPr>
          <w:lang w:eastAsia="en-GB"/>
        </w:rPr>
        <w:t>.</w:t>
      </w:r>
    </w:p>
    <w:p w:rsidR="0082666C" w:rsidP="0082666C">
      <w:pPr>
        <w:rPr>
          <w:rFonts w:ascii="Arial" w:hAnsi="Arial" w:cs="Arial"/>
          <w:i/>
          <w:iCs/>
        </w:rPr>
      </w:pPr>
      <w:r>
        <w:rPr>
          <w:lang w:eastAsia="en-GB"/>
        </w:rPr>
        <w:t xml:space="preserve">The Department has also </w:t>
      </w:r>
      <w:r w:rsidRPr="0082666C">
        <w:rPr>
          <w:rFonts w:cs="Arial"/>
        </w:rPr>
        <w:t xml:space="preserve">been forward leaning in its support of HMG’s response to </w:t>
      </w:r>
      <w:r w:rsidRPr="003262FD">
        <w:rPr>
          <w:rFonts w:cs="Arial"/>
          <w:b/>
          <w:bCs/>
        </w:rPr>
        <w:t>COVID-19</w:t>
      </w:r>
      <w:r w:rsidRPr="0082666C">
        <w:rPr>
          <w:rFonts w:cs="Arial"/>
        </w:rPr>
        <w:t xml:space="preserve"> and </w:t>
      </w:r>
      <w:r w:rsidR="00F77042">
        <w:rPr>
          <w:rFonts w:cs="Arial"/>
        </w:rPr>
        <w:t xml:space="preserve">this </w:t>
      </w:r>
      <w:r w:rsidRPr="0082666C">
        <w:rPr>
          <w:rFonts w:cs="Arial"/>
        </w:rPr>
        <w:t xml:space="preserve">remains as the department’s highest priority. Throughout the last year, other government departments and </w:t>
      </w:r>
      <w:r w:rsidR="00F77042">
        <w:rPr>
          <w:rFonts w:cs="Arial"/>
        </w:rPr>
        <w:t>public</w:t>
      </w:r>
      <w:r w:rsidRPr="0082666C" w:rsidR="00F77042">
        <w:rPr>
          <w:rFonts w:cs="Arial"/>
        </w:rPr>
        <w:t xml:space="preserve"> </w:t>
      </w:r>
      <w:r w:rsidRPr="0082666C">
        <w:rPr>
          <w:rFonts w:cs="Arial"/>
        </w:rPr>
        <w:t xml:space="preserve">authorities have sought the support of the military through the Military Aid to Civil Authorities (MACA) process. This has resulted in Defence and HMT agreeing that any support </w:t>
      </w:r>
      <w:r w:rsidR="00F77042">
        <w:rPr>
          <w:rFonts w:cs="Arial"/>
        </w:rPr>
        <w:t>provided under the MACA arrangements would be charged, by default, at marginal cost.  This is a change to the standard policy under which author</w:t>
      </w:r>
      <w:r w:rsidR="00C20100">
        <w:rPr>
          <w:rFonts w:cs="Arial"/>
        </w:rPr>
        <w:t>i</w:t>
      </w:r>
      <w:r w:rsidR="00F77042">
        <w:rPr>
          <w:rFonts w:cs="Arial"/>
        </w:rPr>
        <w:t xml:space="preserve">ties are charged at full cost.  This change in policy has been made to make sure Defence can </w:t>
      </w:r>
      <w:r w:rsidRPr="0082666C">
        <w:rPr>
          <w:rFonts w:cs="Arial"/>
        </w:rPr>
        <w:t xml:space="preserve">best support the NHS, testing programmes and any provision of planning, logistical and medical support to the Vaccine Task Force. </w:t>
      </w:r>
    </w:p>
    <w:p w:rsidR="00D76BE3" w:rsidP="003C6870">
      <w:pPr>
        <w:rPr>
          <w:lang w:eastAsia="en-GB"/>
        </w:rPr>
      </w:pPr>
    </w:p>
    <w:p w:rsidR="00DF1527" w:rsidP="00DF1527">
      <w:pPr>
        <w:pStyle w:val="NoSpacing"/>
        <w:rPr>
          <w:lang w:eastAsia="en-GB"/>
        </w:rPr>
      </w:pPr>
    </w:p>
    <w:p w:rsidR="00DF1527" w:rsidRPr="001110F1" w:rsidP="00DF1527">
      <w:pPr>
        <w:pStyle w:val="Heading2"/>
        <w:rPr>
          <w:rFonts w:asciiTheme="minorHAnsi" w:hAnsiTheme="minorHAnsi"/>
        </w:rPr>
      </w:pPr>
      <w:r w:rsidRPr="001110F1">
        <w:rPr>
          <w:rFonts w:asciiTheme="minorHAnsi" w:hAnsiTheme="minorHAnsi"/>
        </w:rPr>
        <w:t>New policies and programme; ambit changes</w:t>
      </w:r>
    </w:p>
    <w:p w:rsidR="004D4617" w:rsidP="00DF1527">
      <w:r>
        <w:t>The</w:t>
      </w:r>
      <w:r w:rsidR="00123C23">
        <w:t xml:space="preserve">re </w:t>
      </w:r>
      <w:r w:rsidR="00E00BC1">
        <w:t xml:space="preserve">are no changes to the ambit in </w:t>
      </w:r>
      <w:r w:rsidR="00115011">
        <w:t>this Supplementary Estimate.</w:t>
      </w:r>
      <w:r w:rsidR="00115011">
        <w:t xml:space="preserve"> </w:t>
      </w:r>
    </w:p>
    <w:p w:rsidR="004B606A" w:rsidP="00747623">
      <w:pPr>
        <w:rPr>
          <w:lang w:eastAsia="en-GB"/>
        </w:rPr>
      </w:pPr>
    </w:p>
    <w:p w:rsidR="002A25F8" w:rsidRPr="001110F1" w:rsidP="000E0F4E">
      <w:pPr>
        <w:pStyle w:val="Heading2"/>
        <w:rPr>
          <w:rFonts w:asciiTheme="minorHAnsi" w:hAnsiTheme="minorHAnsi"/>
        </w:rPr>
      </w:pPr>
      <w:r w:rsidRPr="001110F1">
        <w:rPr>
          <w:rFonts w:asciiTheme="minorHAnsi" w:hAnsiTheme="minorHAnsi"/>
        </w:rPr>
        <w:t>Spending trends</w:t>
      </w:r>
    </w:p>
    <w:p w:rsidR="00D26B74" w:rsidP="00BE3DFE">
      <w:r>
        <w:t xml:space="preserve">The charts below show </w:t>
      </w:r>
      <w:r w:rsidR="008A6C5E">
        <w:t xml:space="preserve">overall </w:t>
      </w:r>
      <w:r w:rsidR="002B2029">
        <w:t>spending trends for the last f</w:t>
      </w:r>
      <w:r w:rsidR="00DB3682">
        <w:t>ive</w:t>
      </w:r>
      <w:r>
        <w:t xml:space="preserve"> years, plans presented in Estimates for 201</w:t>
      </w:r>
      <w:r w:rsidR="00D56287">
        <w:t>9</w:t>
      </w:r>
      <w:r>
        <w:t>-</w:t>
      </w:r>
      <w:r w:rsidR="00D56287">
        <w:t>20</w:t>
      </w:r>
      <w:r w:rsidR="005828C5">
        <w:t xml:space="preserve"> and 20</w:t>
      </w:r>
      <w:r w:rsidR="00D56287">
        <w:t>20</w:t>
      </w:r>
      <w:r w:rsidR="005828C5">
        <w:t>-2</w:t>
      </w:r>
      <w:r w:rsidR="000135DF">
        <w:t>1</w:t>
      </w:r>
      <w:r>
        <w:t>.</w:t>
      </w:r>
      <w:r w:rsidRPr="0090007B" w:rsidR="0090007B">
        <w:rPr>
          <w:noProof/>
        </w:rPr>
        <w:t xml:space="preserve"> </w:t>
      </w:r>
      <w:r w:rsidR="0090007B">
        <w:rPr>
          <w:noProof/>
        </w:rPr>
        <w:drawing>
          <wp:inline distT="0" distB="0" distL="0" distR="0">
            <wp:extent cx="5562600" cy="2905125"/>
            <wp:effectExtent l="0" t="0" r="0" b="9525"/>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E3AFA" w:rsidP="00E97097">
      <w:pPr>
        <w:jc w:val="center"/>
      </w:pPr>
    </w:p>
    <w:p w:rsidR="00B200EF" w:rsidRPr="002637A2" w:rsidP="002637A2">
      <w:pPr>
        <w:pStyle w:val="ListParagraph"/>
        <w:numPr>
          <w:ilvl w:val="0"/>
          <w:numId w:val="12"/>
        </w:numPr>
        <w:rPr>
          <w:i/>
          <w:sz w:val="20"/>
          <w:szCs w:val="20"/>
          <w:lang w:eastAsia="en-GB"/>
        </w:rPr>
      </w:pPr>
      <w:r w:rsidRPr="002637A2">
        <w:rPr>
          <w:i/>
          <w:sz w:val="20"/>
          <w:szCs w:val="20"/>
          <w:lang w:eastAsia="en-GB"/>
        </w:rPr>
        <w:t xml:space="preserve">Totals include spends for Operations and Peacekeeping. </w:t>
      </w:r>
      <w:r w:rsidRPr="001E5C53" w:rsidR="00037049">
        <w:rPr>
          <w:i/>
          <w:sz w:val="20"/>
          <w:szCs w:val="20"/>
          <w:lang w:eastAsia="en-GB"/>
        </w:rPr>
        <w:t xml:space="preserve">For </w:t>
      </w:r>
      <w:r w:rsidRPr="001E5C53">
        <w:rPr>
          <w:i/>
          <w:sz w:val="20"/>
          <w:szCs w:val="20"/>
          <w:lang w:eastAsia="en-GB"/>
        </w:rPr>
        <w:t>2014-15</w:t>
      </w:r>
      <w:r w:rsidRPr="001E5C53" w:rsidR="00037049">
        <w:rPr>
          <w:i/>
          <w:sz w:val="20"/>
          <w:szCs w:val="20"/>
          <w:lang w:eastAsia="en-GB"/>
        </w:rPr>
        <w:t>,</w:t>
      </w:r>
      <w:r w:rsidRPr="001E5C53">
        <w:rPr>
          <w:i/>
          <w:sz w:val="20"/>
          <w:szCs w:val="20"/>
          <w:lang w:eastAsia="en-GB"/>
        </w:rPr>
        <w:t xml:space="preserve"> AME includes War Pension Benefits</w:t>
      </w:r>
      <w:r w:rsidR="00944083">
        <w:rPr>
          <w:i/>
          <w:sz w:val="20"/>
          <w:szCs w:val="20"/>
          <w:lang w:eastAsia="en-GB"/>
        </w:rPr>
        <w:t>.</w:t>
      </w:r>
    </w:p>
    <w:p w:rsidR="006B6104" w:rsidP="00A47498">
      <w:pPr>
        <w:pStyle w:val="ListParagraph"/>
        <w:numPr>
          <w:ilvl w:val="0"/>
          <w:numId w:val="12"/>
        </w:numPr>
      </w:pPr>
      <w:r w:rsidRPr="005935ED">
        <w:rPr>
          <w:i/>
          <w:sz w:val="20"/>
          <w:szCs w:val="20"/>
          <w:lang w:eastAsia="en-GB"/>
        </w:rPr>
        <w:t>Resource AME</w:t>
      </w:r>
      <w:r w:rsidRPr="005935ED" w:rsidR="008D4C74">
        <w:rPr>
          <w:i/>
          <w:sz w:val="20"/>
          <w:szCs w:val="20"/>
          <w:lang w:eastAsia="en-GB"/>
        </w:rPr>
        <w:t xml:space="preserve">, due to </w:t>
      </w:r>
      <w:r w:rsidRPr="005935ED" w:rsidR="00B416FF">
        <w:rPr>
          <w:i/>
          <w:sz w:val="20"/>
          <w:szCs w:val="20"/>
          <w:lang w:eastAsia="en-GB"/>
        </w:rPr>
        <w:t>its</w:t>
      </w:r>
      <w:r w:rsidRPr="005935ED" w:rsidR="008D4C74">
        <w:rPr>
          <w:i/>
          <w:sz w:val="20"/>
          <w:szCs w:val="20"/>
          <w:lang w:eastAsia="en-GB"/>
        </w:rPr>
        <w:t xml:space="preserve"> nature, </w:t>
      </w:r>
      <w:r w:rsidR="00944083">
        <w:rPr>
          <w:i/>
          <w:sz w:val="20"/>
          <w:szCs w:val="20"/>
          <w:lang w:eastAsia="en-GB"/>
        </w:rPr>
        <w:t>is</w:t>
      </w:r>
      <w:r w:rsidRPr="005935ED" w:rsidR="008D4C74">
        <w:rPr>
          <w:i/>
          <w:sz w:val="20"/>
          <w:szCs w:val="20"/>
          <w:lang w:eastAsia="en-GB"/>
        </w:rPr>
        <w:t xml:space="preserve"> volatile and reflect</w:t>
      </w:r>
      <w:r w:rsidR="00975053">
        <w:rPr>
          <w:i/>
          <w:sz w:val="20"/>
          <w:szCs w:val="20"/>
          <w:lang w:eastAsia="en-GB"/>
        </w:rPr>
        <w:t>s</w:t>
      </w:r>
      <w:r w:rsidRPr="005935ED" w:rsidR="008D4C74">
        <w:rPr>
          <w:i/>
          <w:sz w:val="20"/>
          <w:szCs w:val="20"/>
          <w:lang w:eastAsia="en-GB"/>
        </w:rPr>
        <w:t xml:space="preserve"> the changing Treasury Discount Rates on provision</w:t>
      </w:r>
      <w:r w:rsidR="00160EB5">
        <w:rPr>
          <w:i/>
          <w:sz w:val="20"/>
          <w:szCs w:val="20"/>
          <w:lang w:eastAsia="en-GB"/>
        </w:rPr>
        <w:t>s</w:t>
      </w:r>
      <w:r w:rsidR="00D807ED">
        <w:rPr>
          <w:i/>
          <w:sz w:val="20"/>
          <w:szCs w:val="20"/>
          <w:lang w:eastAsia="en-GB"/>
        </w:rPr>
        <w:t xml:space="preserve"> and</w:t>
      </w:r>
      <w:r w:rsidR="00B253A4">
        <w:rPr>
          <w:i/>
          <w:sz w:val="20"/>
          <w:szCs w:val="20"/>
          <w:lang w:eastAsia="en-GB"/>
        </w:rPr>
        <w:t xml:space="preserve"> </w:t>
      </w:r>
      <w:r w:rsidR="00D807ED">
        <w:rPr>
          <w:i/>
          <w:sz w:val="20"/>
          <w:szCs w:val="20"/>
          <w:lang w:eastAsia="en-GB"/>
        </w:rPr>
        <w:t xml:space="preserve">fluctuations </w:t>
      </w:r>
      <w:r w:rsidR="00BE3F54">
        <w:rPr>
          <w:i/>
          <w:sz w:val="20"/>
          <w:szCs w:val="20"/>
          <w:lang w:eastAsia="en-GB"/>
        </w:rPr>
        <w:t>in financial</w:t>
      </w:r>
      <w:r w:rsidR="00D807ED">
        <w:rPr>
          <w:i/>
          <w:sz w:val="20"/>
          <w:szCs w:val="20"/>
          <w:lang w:eastAsia="en-GB"/>
        </w:rPr>
        <w:t xml:space="preserve"> instrument</w:t>
      </w:r>
      <w:r w:rsidRPr="005935ED" w:rsidR="008D4C74">
        <w:rPr>
          <w:i/>
          <w:sz w:val="20"/>
          <w:szCs w:val="20"/>
          <w:lang w:eastAsia="en-GB"/>
        </w:rPr>
        <w:t>s.</w:t>
      </w:r>
      <w:r w:rsidR="008D4C74">
        <w:t xml:space="preserve"> </w:t>
      </w:r>
    </w:p>
    <w:p w:rsidR="0038073A" w:rsidP="00436D90">
      <w:pPr>
        <w:pStyle w:val="ListParagraph"/>
      </w:pPr>
    </w:p>
    <w:p w:rsidR="002A25F8" w:rsidRPr="001110F1" w:rsidP="000E0F4E">
      <w:pPr>
        <w:pStyle w:val="Heading2"/>
        <w:rPr>
          <w:rFonts w:asciiTheme="minorHAnsi" w:hAnsiTheme="minorHAnsi"/>
        </w:rPr>
      </w:pPr>
      <w:r w:rsidRPr="001110F1">
        <w:rPr>
          <w:rFonts w:asciiTheme="minorHAnsi" w:hAnsiTheme="minorHAnsi"/>
        </w:rPr>
        <w:t>Administration costs and e</w:t>
      </w:r>
      <w:r w:rsidRPr="001110F1">
        <w:rPr>
          <w:rFonts w:asciiTheme="minorHAnsi" w:hAnsiTheme="minorHAnsi"/>
        </w:rPr>
        <w:t>fficiency plans</w:t>
      </w:r>
    </w:p>
    <w:p w:rsidR="00662D2C" w:rsidP="00D807ED">
      <w:pPr>
        <w:rPr>
          <w:lang w:eastAsia="en-GB"/>
        </w:rPr>
      </w:pPr>
      <w:r w:rsidRPr="0079257D">
        <w:rPr>
          <w:lang w:eastAsia="en-GB"/>
        </w:rPr>
        <w:t xml:space="preserve">The Department </w:t>
      </w:r>
      <w:r>
        <w:rPr>
          <w:lang w:eastAsia="en-GB"/>
        </w:rPr>
        <w:t>SR1</w:t>
      </w:r>
      <w:r w:rsidR="00856CAB">
        <w:rPr>
          <w:lang w:eastAsia="en-GB"/>
        </w:rPr>
        <w:t>9</w:t>
      </w:r>
      <w:r>
        <w:rPr>
          <w:lang w:eastAsia="en-GB"/>
        </w:rPr>
        <w:t xml:space="preserve"> settlement set</w:t>
      </w:r>
      <w:r w:rsidR="00944083">
        <w:rPr>
          <w:lang w:eastAsia="en-GB"/>
        </w:rPr>
        <w:t>s</w:t>
      </w:r>
      <w:r>
        <w:rPr>
          <w:lang w:eastAsia="en-GB"/>
        </w:rPr>
        <w:t xml:space="preserve"> out the Administrative Cost Regime (ACR) budgets for the settlement years.</w:t>
      </w:r>
      <w:r w:rsidR="00207FD9">
        <w:rPr>
          <w:lang w:eastAsia="en-GB"/>
        </w:rPr>
        <w:t xml:space="preserve"> </w:t>
      </w:r>
    </w:p>
    <w:tbl>
      <w:tblPr>
        <w:tblW w:w="8557" w:type="dxa"/>
        <w:jc w:val="center"/>
        <w:tblLook w:val="04A0"/>
      </w:tblPr>
      <w:tblGrid>
        <w:gridCol w:w="3539"/>
        <w:gridCol w:w="945"/>
        <w:gridCol w:w="1018"/>
        <w:gridCol w:w="1018"/>
        <w:gridCol w:w="1018"/>
        <w:gridCol w:w="1019"/>
      </w:tblGrid>
      <w:tr w:rsidTr="00E97097">
        <w:tblPrEx>
          <w:tblW w:w="8557" w:type="dxa"/>
          <w:jc w:val="center"/>
          <w:tblLook w:val="04A0"/>
        </w:tblPrEx>
        <w:trPr>
          <w:trHeight w:val="304"/>
          <w:jc w:val="center"/>
        </w:trPr>
        <w:tc>
          <w:tcPr>
            <w:tcW w:w="8557" w:type="dxa"/>
            <w:gridSpan w:val="6"/>
            <w:tcBorders>
              <w:top w:val="nil"/>
              <w:left w:val="nil"/>
              <w:bottom w:val="nil"/>
              <w:right w:val="nil"/>
            </w:tcBorders>
            <w:shd w:val="clear" w:color="auto" w:fill="auto"/>
            <w:vAlign w:val="bottom"/>
            <w:hideMark/>
          </w:tcPr>
          <w:p w:rsidR="00797C18" w:rsidRPr="00797C18" w:rsidP="00FD2DDB">
            <w:pPr>
              <w:spacing w:after="0" w:line="240" w:lineRule="auto"/>
              <w:ind w:left="-250"/>
              <w:rPr>
                <w:rFonts w:ascii="Arial" w:eastAsia="Times New Roman" w:hAnsi="Arial" w:cs="Arial"/>
                <w:b/>
                <w:bCs/>
                <w:sz w:val="20"/>
                <w:szCs w:val="20"/>
                <w:lang w:eastAsia="en-GB"/>
              </w:rPr>
            </w:pPr>
            <w:r>
              <w:rPr>
                <w:rFonts w:ascii="Arial" w:eastAsia="Times New Roman" w:hAnsi="Arial" w:cs="Arial"/>
                <w:b/>
                <w:bCs/>
                <w:sz w:val="20"/>
                <w:szCs w:val="20"/>
                <w:lang w:eastAsia="en-GB"/>
              </w:rPr>
              <w:t xml:space="preserve">  </w:t>
            </w:r>
            <w:r w:rsidRPr="00797C18">
              <w:rPr>
                <w:rFonts w:ascii="Arial" w:eastAsia="Times New Roman" w:hAnsi="Arial" w:cs="Arial"/>
                <w:b/>
                <w:bCs/>
                <w:sz w:val="20"/>
                <w:szCs w:val="20"/>
                <w:lang w:eastAsia="en-GB"/>
              </w:rPr>
              <w:t>Table 2: Supplementary Estimate total sought for Administration Costs</w:t>
            </w:r>
          </w:p>
        </w:tc>
      </w:tr>
      <w:tr w:rsidTr="00E97097">
        <w:tblPrEx>
          <w:tblW w:w="8557" w:type="dxa"/>
          <w:jc w:val="center"/>
          <w:tblLook w:val="04A0"/>
        </w:tblPrEx>
        <w:trPr>
          <w:trHeight w:val="541"/>
          <w:jc w:val="center"/>
        </w:trPr>
        <w:tc>
          <w:tcPr>
            <w:tcW w:w="4484" w:type="dxa"/>
            <w:gridSpan w:val="2"/>
            <w:tcBorders>
              <w:top w:val="single" w:sz="8" w:space="0" w:color="auto"/>
              <w:left w:val="single" w:sz="8" w:space="0" w:color="auto"/>
              <w:bottom w:val="single" w:sz="4" w:space="0" w:color="000000"/>
              <w:right w:val="single" w:sz="8" w:space="0" w:color="000000"/>
            </w:tcBorders>
            <w:shd w:val="clear" w:color="000000" w:fill="DAEEF3"/>
            <w:vAlign w:val="center"/>
            <w:hideMark/>
          </w:tcPr>
          <w:p w:rsidR="00797C18" w:rsidRPr="00797C18" w:rsidP="00797C18">
            <w:pPr>
              <w:spacing w:after="0" w:line="240" w:lineRule="auto"/>
              <w:jc w:val="center"/>
              <w:rPr>
                <w:rFonts w:ascii="Arial" w:eastAsia="Times New Roman" w:hAnsi="Arial" w:cs="Arial"/>
                <w:b/>
                <w:bCs/>
                <w:sz w:val="18"/>
                <w:szCs w:val="18"/>
                <w:lang w:eastAsia="en-GB"/>
              </w:rPr>
            </w:pPr>
            <w:r w:rsidRPr="00797C18">
              <w:rPr>
                <w:rFonts w:ascii="Arial" w:eastAsia="Times New Roman" w:hAnsi="Arial" w:cs="Arial"/>
                <w:b/>
                <w:bCs/>
                <w:sz w:val="18"/>
                <w:szCs w:val="18"/>
                <w:lang w:eastAsia="en-GB"/>
              </w:rPr>
              <w:t>Spending total - Supplementary Estimate</w:t>
            </w:r>
            <w:r w:rsidRPr="00797C18">
              <w:rPr>
                <w:rFonts w:ascii="Arial" w:eastAsia="Times New Roman" w:hAnsi="Arial" w:cs="Arial"/>
                <w:b/>
                <w:bCs/>
                <w:sz w:val="18"/>
                <w:szCs w:val="18"/>
                <w:lang w:eastAsia="en-GB"/>
              </w:rPr>
              <w:br/>
              <w:t>2020-21</w:t>
            </w:r>
          </w:p>
        </w:tc>
        <w:tc>
          <w:tcPr>
            <w:tcW w:w="2036" w:type="dxa"/>
            <w:gridSpan w:val="2"/>
            <w:tcBorders>
              <w:top w:val="single" w:sz="8" w:space="0" w:color="auto"/>
              <w:left w:val="nil"/>
              <w:bottom w:val="single" w:sz="4" w:space="0" w:color="auto"/>
              <w:right w:val="single" w:sz="8" w:space="0" w:color="000000"/>
            </w:tcBorders>
            <w:shd w:val="clear" w:color="000000" w:fill="DAEEF3"/>
            <w:vAlign w:val="center"/>
            <w:hideMark/>
          </w:tcPr>
          <w:p w:rsidR="00797C18" w:rsidRPr="00797C18" w:rsidP="00797C18">
            <w:pPr>
              <w:spacing w:after="0" w:line="240" w:lineRule="auto"/>
              <w:jc w:val="center"/>
              <w:rPr>
                <w:rFonts w:ascii="Arial" w:eastAsia="Times New Roman" w:hAnsi="Arial" w:cs="Arial"/>
                <w:b/>
                <w:bCs/>
                <w:sz w:val="18"/>
                <w:szCs w:val="18"/>
                <w:lang w:eastAsia="en-GB"/>
              </w:rPr>
            </w:pPr>
            <w:r w:rsidRPr="00797C18">
              <w:rPr>
                <w:rFonts w:ascii="Arial" w:eastAsia="Times New Roman" w:hAnsi="Arial" w:cs="Arial"/>
                <w:b/>
                <w:bCs/>
                <w:sz w:val="18"/>
                <w:szCs w:val="18"/>
                <w:lang w:eastAsia="en-GB"/>
              </w:rPr>
              <w:t>Compared to</w:t>
            </w:r>
            <w:r w:rsidRPr="00797C18">
              <w:rPr>
                <w:rFonts w:ascii="Arial" w:eastAsia="Times New Roman" w:hAnsi="Arial" w:cs="Arial"/>
                <w:b/>
                <w:bCs/>
                <w:sz w:val="18"/>
                <w:szCs w:val="18"/>
                <w:lang w:eastAsia="en-GB"/>
              </w:rPr>
              <w:br/>
              <w:t>2020-21 ME</w:t>
            </w:r>
          </w:p>
        </w:tc>
        <w:tc>
          <w:tcPr>
            <w:tcW w:w="2036" w:type="dxa"/>
            <w:gridSpan w:val="2"/>
            <w:tcBorders>
              <w:top w:val="single" w:sz="8" w:space="0" w:color="auto"/>
              <w:left w:val="nil"/>
              <w:bottom w:val="single" w:sz="4" w:space="0" w:color="auto"/>
              <w:right w:val="single" w:sz="8" w:space="0" w:color="000000"/>
            </w:tcBorders>
            <w:shd w:val="clear" w:color="000000" w:fill="DAEEF3"/>
            <w:vAlign w:val="center"/>
            <w:hideMark/>
          </w:tcPr>
          <w:p w:rsidR="00797C18" w:rsidRPr="00797C18" w:rsidP="00797C18">
            <w:pPr>
              <w:spacing w:after="0" w:line="240" w:lineRule="auto"/>
              <w:jc w:val="center"/>
              <w:rPr>
                <w:rFonts w:ascii="Arial" w:eastAsia="Times New Roman" w:hAnsi="Arial" w:cs="Arial"/>
                <w:b/>
                <w:bCs/>
                <w:sz w:val="18"/>
                <w:szCs w:val="18"/>
                <w:lang w:eastAsia="en-GB"/>
              </w:rPr>
            </w:pPr>
            <w:r w:rsidRPr="00797C18">
              <w:rPr>
                <w:rFonts w:ascii="Arial" w:eastAsia="Times New Roman" w:hAnsi="Arial" w:cs="Arial"/>
                <w:b/>
                <w:bCs/>
                <w:sz w:val="18"/>
                <w:szCs w:val="18"/>
                <w:lang w:eastAsia="en-GB"/>
              </w:rPr>
              <w:t>Compared to</w:t>
            </w:r>
            <w:r w:rsidRPr="00797C18">
              <w:rPr>
                <w:rFonts w:ascii="Arial" w:eastAsia="Times New Roman" w:hAnsi="Arial" w:cs="Arial"/>
                <w:b/>
                <w:bCs/>
                <w:sz w:val="18"/>
                <w:szCs w:val="18"/>
                <w:lang w:eastAsia="en-GB"/>
              </w:rPr>
              <w:br/>
              <w:t>2019-20 Outturn</w:t>
            </w:r>
          </w:p>
        </w:tc>
      </w:tr>
      <w:tr w:rsidTr="00797C18">
        <w:tblPrEx>
          <w:tblW w:w="8557" w:type="dxa"/>
          <w:jc w:val="center"/>
          <w:tblLook w:val="04A0"/>
        </w:tblPrEx>
        <w:trPr>
          <w:trHeight w:val="293"/>
          <w:jc w:val="center"/>
        </w:trPr>
        <w:tc>
          <w:tcPr>
            <w:tcW w:w="3539" w:type="dxa"/>
            <w:tcBorders>
              <w:top w:val="nil"/>
              <w:left w:val="single" w:sz="8" w:space="0" w:color="auto"/>
              <w:bottom w:val="single" w:sz="8" w:space="0" w:color="auto"/>
              <w:right w:val="single" w:sz="4" w:space="0" w:color="auto"/>
            </w:tcBorders>
            <w:shd w:val="clear" w:color="000000" w:fill="DAEEF3"/>
            <w:vAlign w:val="center"/>
            <w:hideMark/>
          </w:tcPr>
          <w:p w:rsidR="00797C18" w:rsidRPr="00797C18" w:rsidP="00797C18">
            <w:pPr>
              <w:spacing w:after="0" w:line="240" w:lineRule="auto"/>
              <w:rPr>
                <w:rFonts w:ascii="Arial" w:eastAsia="Times New Roman" w:hAnsi="Arial" w:cs="Arial"/>
                <w:b/>
                <w:bCs/>
                <w:sz w:val="18"/>
                <w:szCs w:val="18"/>
                <w:lang w:eastAsia="en-GB"/>
              </w:rPr>
            </w:pPr>
            <w:r w:rsidRPr="00797C18">
              <w:rPr>
                <w:rFonts w:ascii="Arial" w:eastAsia="Times New Roman" w:hAnsi="Arial" w:cs="Arial"/>
                <w:b/>
                <w:bCs/>
                <w:sz w:val="18"/>
                <w:szCs w:val="18"/>
                <w:lang w:eastAsia="en-GB"/>
              </w:rPr>
              <w:t> </w:t>
            </w:r>
          </w:p>
        </w:tc>
        <w:tc>
          <w:tcPr>
            <w:tcW w:w="945" w:type="dxa"/>
            <w:tcBorders>
              <w:top w:val="nil"/>
              <w:left w:val="nil"/>
              <w:bottom w:val="single" w:sz="8" w:space="0" w:color="auto"/>
              <w:right w:val="single" w:sz="8" w:space="0" w:color="auto"/>
            </w:tcBorders>
            <w:shd w:val="clear" w:color="000000" w:fill="DAEEF3"/>
            <w:vAlign w:val="center"/>
            <w:hideMark/>
          </w:tcPr>
          <w:p w:rsidR="00797C18" w:rsidRPr="00797C18" w:rsidP="00797C18">
            <w:pPr>
              <w:spacing w:after="0" w:line="240" w:lineRule="auto"/>
              <w:jc w:val="center"/>
              <w:rPr>
                <w:rFonts w:ascii="Arial" w:eastAsia="Times New Roman" w:hAnsi="Arial" w:cs="Arial"/>
                <w:b/>
                <w:bCs/>
                <w:sz w:val="18"/>
                <w:szCs w:val="18"/>
                <w:lang w:eastAsia="en-GB"/>
              </w:rPr>
            </w:pPr>
            <w:r w:rsidRPr="00797C18">
              <w:rPr>
                <w:rFonts w:ascii="Arial" w:eastAsia="Times New Roman" w:hAnsi="Arial" w:cs="Arial"/>
                <w:b/>
                <w:bCs/>
                <w:sz w:val="18"/>
                <w:szCs w:val="18"/>
                <w:lang w:eastAsia="en-GB"/>
              </w:rPr>
              <w:t>£M</w:t>
            </w:r>
          </w:p>
        </w:tc>
        <w:tc>
          <w:tcPr>
            <w:tcW w:w="1018" w:type="dxa"/>
            <w:tcBorders>
              <w:top w:val="nil"/>
              <w:left w:val="nil"/>
              <w:bottom w:val="single" w:sz="8" w:space="0" w:color="auto"/>
              <w:right w:val="single" w:sz="4" w:space="0" w:color="auto"/>
            </w:tcBorders>
            <w:shd w:val="clear" w:color="000000" w:fill="DAEEF3"/>
            <w:vAlign w:val="center"/>
            <w:hideMark/>
          </w:tcPr>
          <w:p w:rsidR="00797C18" w:rsidRPr="00797C18" w:rsidP="00797C18">
            <w:pPr>
              <w:spacing w:after="0" w:line="240" w:lineRule="auto"/>
              <w:jc w:val="center"/>
              <w:rPr>
                <w:rFonts w:ascii="Arial" w:eastAsia="Times New Roman" w:hAnsi="Arial" w:cs="Arial"/>
                <w:b/>
                <w:bCs/>
                <w:sz w:val="18"/>
                <w:szCs w:val="18"/>
                <w:lang w:eastAsia="en-GB"/>
              </w:rPr>
            </w:pPr>
            <w:r w:rsidRPr="00797C18">
              <w:rPr>
                <w:rFonts w:ascii="Arial" w:eastAsia="Times New Roman" w:hAnsi="Arial" w:cs="Arial"/>
                <w:b/>
                <w:bCs/>
                <w:sz w:val="18"/>
                <w:szCs w:val="18"/>
                <w:lang w:eastAsia="en-GB"/>
              </w:rPr>
              <w:t>£M</w:t>
            </w:r>
          </w:p>
        </w:tc>
        <w:tc>
          <w:tcPr>
            <w:tcW w:w="1018" w:type="dxa"/>
            <w:tcBorders>
              <w:top w:val="nil"/>
              <w:left w:val="nil"/>
              <w:bottom w:val="single" w:sz="8" w:space="0" w:color="auto"/>
              <w:right w:val="single" w:sz="8" w:space="0" w:color="auto"/>
            </w:tcBorders>
            <w:shd w:val="clear" w:color="000000" w:fill="DAEEF3"/>
            <w:vAlign w:val="center"/>
            <w:hideMark/>
          </w:tcPr>
          <w:p w:rsidR="00797C18" w:rsidRPr="00797C18" w:rsidP="00797C18">
            <w:pPr>
              <w:spacing w:after="0" w:line="240" w:lineRule="auto"/>
              <w:jc w:val="center"/>
              <w:rPr>
                <w:rFonts w:ascii="Arial" w:eastAsia="Times New Roman" w:hAnsi="Arial" w:cs="Arial"/>
                <w:b/>
                <w:bCs/>
                <w:sz w:val="18"/>
                <w:szCs w:val="18"/>
                <w:lang w:eastAsia="en-GB"/>
              </w:rPr>
            </w:pPr>
            <w:r w:rsidRPr="00797C18">
              <w:rPr>
                <w:rFonts w:ascii="Arial" w:eastAsia="Times New Roman" w:hAnsi="Arial" w:cs="Arial"/>
                <w:b/>
                <w:bCs/>
                <w:sz w:val="18"/>
                <w:szCs w:val="18"/>
                <w:lang w:eastAsia="en-GB"/>
              </w:rPr>
              <w:t>%</w:t>
            </w:r>
          </w:p>
        </w:tc>
        <w:tc>
          <w:tcPr>
            <w:tcW w:w="1018" w:type="dxa"/>
            <w:tcBorders>
              <w:top w:val="nil"/>
              <w:left w:val="nil"/>
              <w:bottom w:val="single" w:sz="8" w:space="0" w:color="auto"/>
              <w:right w:val="single" w:sz="4" w:space="0" w:color="auto"/>
            </w:tcBorders>
            <w:shd w:val="clear" w:color="000000" w:fill="DAEEF3"/>
            <w:vAlign w:val="center"/>
            <w:hideMark/>
          </w:tcPr>
          <w:p w:rsidR="00797C18" w:rsidRPr="00797C18" w:rsidP="00797C18">
            <w:pPr>
              <w:spacing w:after="0" w:line="240" w:lineRule="auto"/>
              <w:jc w:val="center"/>
              <w:rPr>
                <w:rFonts w:ascii="Arial" w:eastAsia="Times New Roman" w:hAnsi="Arial" w:cs="Arial"/>
                <w:b/>
                <w:bCs/>
                <w:sz w:val="18"/>
                <w:szCs w:val="18"/>
                <w:lang w:eastAsia="en-GB"/>
              </w:rPr>
            </w:pPr>
            <w:r w:rsidRPr="00797C18">
              <w:rPr>
                <w:rFonts w:ascii="Arial" w:eastAsia="Times New Roman" w:hAnsi="Arial" w:cs="Arial"/>
                <w:b/>
                <w:bCs/>
                <w:sz w:val="18"/>
                <w:szCs w:val="18"/>
                <w:lang w:eastAsia="en-GB"/>
              </w:rPr>
              <w:t>£M</w:t>
            </w:r>
          </w:p>
        </w:tc>
        <w:tc>
          <w:tcPr>
            <w:tcW w:w="1018" w:type="dxa"/>
            <w:tcBorders>
              <w:top w:val="nil"/>
              <w:left w:val="nil"/>
              <w:bottom w:val="single" w:sz="8" w:space="0" w:color="auto"/>
              <w:right w:val="single" w:sz="8" w:space="0" w:color="auto"/>
            </w:tcBorders>
            <w:shd w:val="clear" w:color="000000" w:fill="DAEEF3"/>
            <w:vAlign w:val="center"/>
            <w:hideMark/>
          </w:tcPr>
          <w:p w:rsidR="00797C18" w:rsidRPr="00797C18" w:rsidP="00797C18">
            <w:pPr>
              <w:spacing w:after="0" w:line="240" w:lineRule="auto"/>
              <w:jc w:val="center"/>
              <w:rPr>
                <w:rFonts w:ascii="Arial" w:eastAsia="Times New Roman" w:hAnsi="Arial" w:cs="Arial"/>
                <w:b/>
                <w:bCs/>
                <w:sz w:val="18"/>
                <w:szCs w:val="18"/>
                <w:lang w:eastAsia="en-GB"/>
              </w:rPr>
            </w:pPr>
            <w:r w:rsidRPr="00797C18">
              <w:rPr>
                <w:rFonts w:ascii="Arial" w:eastAsia="Times New Roman" w:hAnsi="Arial" w:cs="Arial"/>
                <w:b/>
                <w:bCs/>
                <w:sz w:val="18"/>
                <w:szCs w:val="18"/>
                <w:lang w:eastAsia="en-GB"/>
              </w:rPr>
              <w:t>%</w:t>
            </w:r>
          </w:p>
        </w:tc>
      </w:tr>
      <w:tr w:rsidTr="00E97097">
        <w:tblPrEx>
          <w:tblW w:w="8557" w:type="dxa"/>
          <w:jc w:val="center"/>
          <w:tblLook w:val="04A0"/>
        </w:tblPrEx>
        <w:trPr>
          <w:trHeight w:val="293"/>
          <w:jc w:val="center"/>
        </w:trPr>
        <w:tc>
          <w:tcPr>
            <w:tcW w:w="3539" w:type="dxa"/>
            <w:tcBorders>
              <w:top w:val="nil"/>
              <w:left w:val="single" w:sz="8" w:space="0" w:color="auto"/>
              <w:bottom w:val="single" w:sz="8" w:space="0" w:color="auto"/>
              <w:right w:val="single" w:sz="4" w:space="0" w:color="auto"/>
            </w:tcBorders>
            <w:shd w:val="clear" w:color="auto" w:fill="auto"/>
            <w:vAlign w:val="bottom"/>
            <w:hideMark/>
          </w:tcPr>
          <w:p w:rsidR="00797C18" w:rsidRPr="00797C18" w:rsidP="00797C18">
            <w:pPr>
              <w:spacing w:after="0" w:line="240" w:lineRule="auto"/>
              <w:rPr>
                <w:rFonts w:ascii="Arial" w:eastAsia="Times New Roman" w:hAnsi="Arial" w:cs="Arial"/>
                <w:sz w:val="16"/>
                <w:szCs w:val="16"/>
                <w:lang w:eastAsia="en-GB"/>
              </w:rPr>
            </w:pPr>
            <w:r w:rsidRPr="00797C18">
              <w:rPr>
                <w:rFonts w:ascii="Arial" w:eastAsia="Times New Roman" w:hAnsi="Arial" w:cs="Arial"/>
                <w:sz w:val="16"/>
                <w:szCs w:val="16"/>
                <w:lang w:eastAsia="en-GB"/>
              </w:rPr>
              <w:t>Administration costs</w:t>
            </w:r>
          </w:p>
        </w:tc>
        <w:tc>
          <w:tcPr>
            <w:tcW w:w="945" w:type="dxa"/>
            <w:tcBorders>
              <w:top w:val="nil"/>
              <w:left w:val="single" w:sz="8" w:space="0" w:color="auto"/>
              <w:bottom w:val="single" w:sz="8" w:space="0" w:color="auto"/>
              <w:right w:val="single" w:sz="8" w:space="0" w:color="auto"/>
            </w:tcBorders>
            <w:shd w:val="clear" w:color="auto" w:fill="auto"/>
            <w:vAlign w:val="bottom"/>
            <w:hideMark/>
          </w:tcPr>
          <w:p w:rsidR="00797C18" w:rsidRPr="00797C18" w:rsidP="00797C18">
            <w:pPr>
              <w:spacing w:after="0" w:line="240" w:lineRule="auto"/>
              <w:jc w:val="center"/>
              <w:rPr>
                <w:rFonts w:ascii="Arial" w:eastAsia="Times New Roman" w:hAnsi="Arial" w:cs="Arial"/>
                <w:sz w:val="16"/>
                <w:szCs w:val="16"/>
                <w:lang w:eastAsia="en-GB"/>
              </w:rPr>
            </w:pPr>
            <w:r w:rsidRPr="00797C18">
              <w:rPr>
                <w:rFonts w:ascii="Arial" w:eastAsia="Times New Roman" w:hAnsi="Arial" w:cs="Arial"/>
                <w:sz w:val="16"/>
                <w:szCs w:val="16"/>
                <w:lang w:eastAsia="en-GB"/>
              </w:rPr>
              <w:t xml:space="preserve"> 1,982 </w:t>
            </w:r>
          </w:p>
        </w:tc>
        <w:tc>
          <w:tcPr>
            <w:tcW w:w="1018" w:type="dxa"/>
            <w:tcBorders>
              <w:top w:val="nil"/>
              <w:left w:val="single" w:sz="4" w:space="0" w:color="auto"/>
              <w:bottom w:val="single" w:sz="8" w:space="0" w:color="auto"/>
              <w:right w:val="single" w:sz="4" w:space="0" w:color="auto"/>
            </w:tcBorders>
            <w:shd w:val="clear" w:color="auto" w:fill="auto"/>
            <w:vAlign w:val="bottom"/>
            <w:hideMark/>
          </w:tcPr>
          <w:p w:rsidR="00797C18" w:rsidRPr="00797C18" w:rsidP="00797C18">
            <w:pPr>
              <w:spacing w:after="0" w:line="240" w:lineRule="auto"/>
              <w:jc w:val="center"/>
              <w:rPr>
                <w:rFonts w:ascii="Arial" w:eastAsia="Times New Roman" w:hAnsi="Arial" w:cs="Arial"/>
                <w:sz w:val="16"/>
                <w:szCs w:val="16"/>
                <w:lang w:eastAsia="en-GB"/>
              </w:rPr>
            </w:pPr>
            <w:r w:rsidRPr="00797C18">
              <w:rPr>
                <w:rFonts w:ascii="Arial" w:eastAsia="Times New Roman" w:hAnsi="Arial" w:cs="Arial"/>
                <w:color w:val="000000"/>
                <w:sz w:val="16"/>
                <w:szCs w:val="16"/>
                <w:lang w:eastAsia="en-GB"/>
              </w:rPr>
              <w:t>(0)</w:t>
            </w:r>
          </w:p>
        </w:tc>
        <w:tc>
          <w:tcPr>
            <w:tcW w:w="1018" w:type="dxa"/>
            <w:tcBorders>
              <w:top w:val="nil"/>
              <w:left w:val="nil"/>
              <w:bottom w:val="single" w:sz="8" w:space="0" w:color="auto"/>
              <w:right w:val="single" w:sz="8" w:space="0" w:color="auto"/>
            </w:tcBorders>
            <w:shd w:val="clear" w:color="auto" w:fill="auto"/>
            <w:vAlign w:val="bottom"/>
            <w:hideMark/>
          </w:tcPr>
          <w:p w:rsidR="00797C18" w:rsidRPr="00797C18" w:rsidP="00797C18">
            <w:pPr>
              <w:spacing w:after="0" w:line="240" w:lineRule="auto"/>
              <w:jc w:val="center"/>
              <w:rPr>
                <w:rFonts w:ascii="Arial" w:eastAsia="Times New Roman" w:hAnsi="Arial" w:cs="Arial"/>
                <w:sz w:val="16"/>
                <w:szCs w:val="16"/>
                <w:lang w:eastAsia="en-GB"/>
              </w:rPr>
            </w:pPr>
            <w:r w:rsidRPr="00797C18">
              <w:rPr>
                <w:rFonts w:ascii="Arial" w:eastAsia="Times New Roman" w:hAnsi="Arial" w:cs="Arial"/>
                <w:sz w:val="16"/>
                <w:szCs w:val="16"/>
                <w:lang w:eastAsia="en-GB"/>
              </w:rPr>
              <w:t>0.0%</w:t>
            </w:r>
          </w:p>
        </w:tc>
        <w:tc>
          <w:tcPr>
            <w:tcW w:w="1018" w:type="dxa"/>
            <w:tcBorders>
              <w:top w:val="nil"/>
              <w:left w:val="nil"/>
              <w:bottom w:val="single" w:sz="8" w:space="0" w:color="auto"/>
              <w:right w:val="single" w:sz="4" w:space="0" w:color="auto"/>
            </w:tcBorders>
            <w:shd w:val="clear" w:color="auto" w:fill="auto"/>
            <w:vAlign w:val="bottom"/>
            <w:hideMark/>
          </w:tcPr>
          <w:p w:rsidR="00797C18" w:rsidRPr="00797C18" w:rsidP="00797C18">
            <w:pPr>
              <w:spacing w:after="0" w:line="240" w:lineRule="auto"/>
              <w:jc w:val="center"/>
              <w:rPr>
                <w:rFonts w:ascii="Arial" w:eastAsia="Times New Roman" w:hAnsi="Arial" w:cs="Arial"/>
                <w:sz w:val="16"/>
                <w:szCs w:val="16"/>
                <w:lang w:eastAsia="en-GB"/>
              </w:rPr>
            </w:pPr>
            <w:r w:rsidRPr="00797C18">
              <w:rPr>
                <w:rFonts w:ascii="Arial" w:eastAsia="Times New Roman" w:hAnsi="Arial" w:cs="Arial"/>
                <w:sz w:val="16"/>
                <w:szCs w:val="16"/>
                <w:lang w:eastAsia="en-GB"/>
              </w:rPr>
              <w:t xml:space="preserve"> 74 </w:t>
            </w:r>
          </w:p>
        </w:tc>
        <w:tc>
          <w:tcPr>
            <w:tcW w:w="1018" w:type="dxa"/>
            <w:tcBorders>
              <w:top w:val="nil"/>
              <w:left w:val="nil"/>
              <w:bottom w:val="single" w:sz="8" w:space="0" w:color="auto"/>
              <w:right w:val="single" w:sz="8" w:space="0" w:color="auto"/>
            </w:tcBorders>
            <w:shd w:val="clear" w:color="auto" w:fill="auto"/>
            <w:vAlign w:val="bottom"/>
            <w:hideMark/>
          </w:tcPr>
          <w:p w:rsidR="00797C18" w:rsidRPr="00797C18" w:rsidP="00797C18">
            <w:pPr>
              <w:spacing w:after="0" w:line="240" w:lineRule="auto"/>
              <w:jc w:val="center"/>
              <w:rPr>
                <w:rFonts w:ascii="Arial" w:eastAsia="Times New Roman" w:hAnsi="Arial" w:cs="Arial"/>
                <w:sz w:val="16"/>
                <w:szCs w:val="16"/>
                <w:lang w:eastAsia="en-GB"/>
              </w:rPr>
            </w:pPr>
            <w:r w:rsidRPr="00797C18">
              <w:rPr>
                <w:rFonts w:ascii="Arial" w:eastAsia="Times New Roman" w:hAnsi="Arial" w:cs="Arial"/>
                <w:sz w:val="16"/>
                <w:szCs w:val="16"/>
                <w:lang w:eastAsia="en-GB"/>
              </w:rPr>
              <w:t>3.9%</w:t>
            </w:r>
          </w:p>
        </w:tc>
      </w:tr>
    </w:tbl>
    <w:p w:rsidR="0038073A" w:rsidP="00D807ED">
      <w:pPr>
        <w:rPr>
          <w:lang w:eastAsia="en-GB"/>
        </w:rPr>
      </w:pPr>
    </w:p>
    <w:p w:rsidR="00332D46" w:rsidP="00EF63D2">
      <w:pPr>
        <w:rPr>
          <w:lang w:eastAsia="en-GB"/>
        </w:rPr>
      </w:pPr>
    </w:p>
    <w:p w:rsidR="00464D21" w:rsidRPr="001110F1" w:rsidP="007656A6">
      <w:pPr>
        <w:pStyle w:val="Heading2"/>
        <w:rPr>
          <w:rFonts w:asciiTheme="minorHAnsi" w:hAnsiTheme="minorHAnsi"/>
        </w:rPr>
      </w:pPr>
      <w:r w:rsidRPr="001110F1">
        <w:rPr>
          <w:rFonts w:asciiTheme="minorHAnsi" w:hAnsiTheme="minorHAnsi"/>
        </w:rPr>
        <w:t>Funding</w:t>
      </w:r>
      <w:r w:rsidRPr="001110F1" w:rsidR="00E22BAE">
        <w:rPr>
          <w:rFonts w:asciiTheme="minorHAnsi" w:hAnsiTheme="minorHAnsi"/>
        </w:rPr>
        <w:t xml:space="preserve">: Spending Review and Budgets </w:t>
      </w:r>
    </w:p>
    <w:p w:rsidR="00484623" w:rsidP="008E3326">
      <w:pPr>
        <w:rPr>
          <w:lang w:eastAsia="en-GB"/>
        </w:rPr>
      </w:pPr>
      <w:r>
        <w:rPr>
          <w:lang w:eastAsia="en-GB"/>
        </w:rPr>
        <w:t xml:space="preserve">The levels of DEL funding for </w:t>
      </w:r>
      <w:r w:rsidR="00B16F93">
        <w:rPr>
          <w:lang w:eastAsia="en-GB"/>
        </w:rPr>
        <w:t>MOD</w:t>
      </w:r>
      <w:r w:rsidR="00683980">
        <w:rPr>
          <w:lang w:eastAsia="en-GB"/>
        </w:rPr>
        <w:t>,</w:t>
      </w:r>
      <w:r w:rsidR="00B16F93">
        <w:rPr>
          <w:lang w:eastAsia="en-GB"/>
        </w:rPr>
        <w:t xml:space="preserve"> </w:t>
      </w:r>
      <w:r w:rsidR="00683980">
        <w:rPr>
          <w:lang w:eastAsia="en-GB"/>
        </w:rPr>
        <w:t>in</w:t>
      </w:r>
      <w:r>
        <w:rPr>
          <w:lang w:eastAsia="en-GB"/>
        </w:rPr>
        <w:t xml:space="preserve"> 20</w:t>
      </w:r>
      <w:r w:rsidR="00D00646">
        <w:rPr>
          <w:lang w:eastAsia="en-GB"/>
        </w:rPr>
        <w:t>20-21</w:t>
      </w:r>
      <w:r w:rsidR="00683980">
        <w:rPr>
          <w:lang w:eastAsia="en-GB"/>
        </w:rPr>
        <w:t>,</w:t>
      </w:r>
      <w:r>
        <w:rPr>
          <w:lang w:eastAsia="en-GB"/>
        </w:rPr>
        <w:t xml:space="preserve"> are based on plans published in the Spending Review </w:t>
      </w:r>
      <w:r w:rsidR="00DE535F">
        <w:rPr>
          <w:lang w:eastAsia="en-GB"/>
        </w:rPr>
        <w:t>2015 and as confirmed</w:t>
      </w:r>
      <w:r w:rsidR="001207A9">
        <w:rPr>
          <w:lang w:eastAsia="en-GB"/>
        </w:rPr>
        <w:t xml:space="preserve"> with the 2019</w:t>
      </w:r>
      <w:r w:rsidR="004A4BAD">
        <w:rPr>
          <w:lang w:eastAsia="en-GB"/>
        </w:rPr>
        <w:t xml:space="preserve"> Spending Round settlement for the</w:t>
      </w:r>
      <w:r>
        <w:rPr>
          <w:lang w:eastAsia="en-GB"/>
        </w:rPr>
        <w:t xml:space="preserve"> </w:t>
      </w:r>
      <w:r w:rsidR="00B16F93">
        <w:rPr>
          <w:lang w:eastAsia="en-GB"/>
        </w:rPr>
        <w:t>Ministry of Defence</w:t>
      </w:r>
      <w:r>
        <w:rPr>
          <w:lang w:eastAsia="en-GB"/>
        </w:rPr>
        <w:t>.</w:t>
      </w:r>
      <w:r w:rsidR="00A51082">
        <w:rPr>
          <w:lang w:eastAsia="en-GB"/>
        </w:rPr>
        <w:t xml:space="preserve"> </w:t>
      </w:r>
      <w:r w:rsidR="00013F20">
        <w:rPr>
          <w:lang w:eastAsia="en-GB"/>
        </w:rPr>
        <w:t xml:space="preserve">Details </w:t>
      </w:r>
      <w:r w:rsidR="007E2A25">
        <w:rPr>
          <w:lang w:eastAsia="en-GB"/>
        </w:rPr>
        <w:t xml:space="preserve">of funding changes </w:t>
      </w:r>
      <w:r w:rsidR="006E7E20">
        <w:rPr>
          <w:lang w:eastAsia="en-GB"/>
        </w:rPr>
        <w:t xml:space="preserve">since Main Estimates </w:t>
      </w:r>
      <w:r w:rsidR="007E2A25">
        <w:rPr>
          <w:lang w:eastAsia="en-GB"/>
        </w:rPr>
        <w:t>are set out in</w:t>
      </w:r>
      <w:r w:rsidR="00141D1B">
        <w:rPr>
          <w:lang w:eastAsia="en-GB"/>
        </w:rPr>
        <w:t xml:space="preserve"> </w:t>
      </w:r>
      <w:r w:rsidR="007E2A25">
        <w:rPr>
          <w:lang w:eastAsia="en-GB"/>
        </w:rPr>
        <w:t>Table</w:t>
      </w:r>
      <w:r w:rsidR="0032525D">
        <w:rPr>
          <w:lang w:eastAsia="en-GB"/>
        </w:rPr>
        <w:t xml:space="preserve"> </w:t>
      </w:r>
      <w:r w:rsidR="00AD6C6C">
        <w:rPr>
          <w:lang w:eastAsia="en-GB"/>
        </w:rPr>
        <w:t>9</w:t>
      </w:r>
      <w:r w:rsidR="00216CEF">
        <w:rPr>
          <w:lang w:eastAsia="en-GB"/>
        </w:rPr>
        <w:t xml:space="preserve"> of this document</w:t>
      </w:r>
      <w:r w:rsidR="00141D1B">
        <w:rPr>
          <w:lang w:eastAsia="en-GB"/>
        </w:rPr>
        <w:t>.</w:t>
      </w:r>
    </w:p>
    <w:p w:rsidR="005D6384" w:rsidRPr="001110F1" w:rsidP="005D6384">
      <w:pPr>
        <w:pStyle w:val="Heading2"/>
        <w:rPr>
          <w:rFonts w:asciiTheme="minorHAnsi" w:hAnsiTheme="minorHAnsi"/>
        </w:rPr>
      </w:pPr>
      <w:r w:rsidRPr="001110F1">
        <w:rPr>
          <w:rFonts w:asciiTheme="minorHAnsi" w:hAnsiTheme="minorHAnsi"/>
        </w:rPr>
        <w:t xml:space="preserve">Other funding announcements </w:t>
      </w:r>
    </w:p>
    <w:p w:rsidR="0051309B" w:rsidP="005D6384">
      <w:pPr>
        <w:rPr>
          <w:lang w:eastAsia="en-GB"/>
        </w:rPr>
      </w:pPr>
      <w:r>
        <w:rPr>
          <w:lang w:eastAsia="en-GB"/>
        </w:rPr>
        <w:t>Table 9 includes all budget changes for 20/21.</w:t>
      </w:r>
    </w:p>
    <w:p w:rsidR="0058209B" w:rsidRPr="00EC4227" w:rsidP="0058209B">
      <w:r w:rsidRPr="00EC4227">
        <w:t>The Spending Review 20 confirmed an increase the Defence Budget by £16.5Bn above the manifesto commitment to increase spending by 0.5% above inflation each year of this Parliament. Further details can be fou</w:t>
      </w:r>
      <w:r w:rsidR="00F35A87">
        <w:t>nd at:</w:t>
      </w:r>
      <w:r w:rsidR="009B59EA">
        <w:t xml:space="preserve"> </w:t>
      </w:r>
      <w:r>
        <w:fldChar w:fldCharType="begin"/>
      </w:r>
      <w:r>
        <w:instrText xml:space="preserve"> HYPERLINK "https://www.gov.uk/government/publications/spending-review-2020-documents/spending-review-2020" </w:instrText>
      </w:r>
      <w:r>
        <w:fldChar w:fldCharType="separate"/>
      </w:r>
      <w:r w:rsidRPr="009B59EA" w:rsidR="009B59EA">
        <w:rPr>
          <w:rStyle w:val="Hyperlink"/>
        </w:rPr>
        <w:t>Spending Review 2020 - GOV.UK</w:t>
      </w:r>
      <w:r>
        <w:fldChar w:fldCharType="end"/>
      </w:r>
    </w:p>
    <w:p w:rsidR="00F92F23" w:rsidP="005D6384"/>
    <w:p w:rsidR="00740C96" w:rsidRPr="001110F1" w:rsidP="00C33F82">
      <w:pPr>
        <w:pStyle w:val="Heading1"/>
        <w:rPr>
          <w:rFonts w:asciiTheme="minorHAnsi" w:hAnsiTheme="minorHAnsi"/>
        </w:rPr>
      </w:pPr>
      <w:r w:rsidRPr="001110F1">
        <w:rPr>
          <w:rFonts w:asciiTheme="minorHAnsi" w:hAnsiTheme="minorHAnsi"/>
        </w:rPr>
        <w:t>Spending detail</w:t>
      </w:r>
    </w:p>
    <w:p w:rsidR="006F30CB" w:rsidRPr="001110F1" w:rsidP="00C33F82">
      <w:pPr>
        <w:pStyle w:val="Heading2"/>
        <w:rPr>
          <w:rFonts w:asciiTheme="minorHAnsi" w:hAnsiTheme="minorHAnsi"/>
        </w:rPr>
      </w:pPr>
      <w:r w:rsidRPr="001110F1">
        <w:rPr>
          <w:rFonts w:asciiTheme="minorHAnsi" w:hAnsiTheme="minorHAnsi"/>
        </w:rPr>
        <w:t>Explanation</w:t>
      </w:r>
      <w:r w:rsidRPr="001110F1" w:rsidR="00EE5BFD">
        <w:rPr>
          <w:rFonts w:asciiTheme="minorHAnsi" w:hAnsiTheme="minorHAnsi"/>
        </w:rPr>
        <w:t>s</w:t>
      </w:r>
      <w:r w:rsidRPr="001110F1">
        <w:rPr>
          <w:rFonts w:asciiTheme="minorHAnsi" w:hAnsiTheme="minorHAnsi"/>
        </w:rPr>
        <w:t xml:space="preserve"> of changes in spending </w:t>
      </w:r>
    </w:p>
    <w:p w:rsidR="000720A2" w:rsidRPr="001110F1" w:rsidP="005935ED">
      <w:pPr>
        <w:pStyle w:val="Heading3"/>
        <w:rPr>
          <w:rFonts w:asciiTheme="minorHAnsi" w:hAnsiTheme="minorHAnsi"/>
        </w:rPr>
      </w:pPr>
      <w:r w:rsidRPr="001110F1">
        <w:rPr>
          <w:rFonts w:asciiTheme="minorHAnsi" w:hAnsiTheme="minorHAnsi"/>
        </w:rPr>
        <w:t>Resource DEL</w:t>
      </w:r>
      <w:r w:rsidRPr="001110F1" w:rsidR="00EC2B9F">
        <w:rPr>
          <w:rFonts w:asciiTheme="minorHAnsi" w:hAnsiTheme="minorHAnsi"/>
        </w:rPr>
        <w:t xml:space="preserve"> </w:t>
      </w:r>
    </w:p>
    <w:p w:rsidR="000720A2" w:rsidP="000720A2">
      <w:r>
        <w:t xml:space="preserve">The table below shows how </w:t>
      </w:r>
      <w:r w:rsidR="008E3326">
        <w:t>MOD</w:t>
      </w:r>
      <w:r w:rsidR="00594756">
        <w:t xml:space="preserve">’s </w:t>
      </w:r>
      <w:r>
        <w:t>spending plans for Resource DEL compare with</w:t>
      </w:r>
      <w:r w:rsidR="00D45C9A">
        <w:t xml:space="preserve"> </w:t>
      </w:r>
      <w:r w:rsidR="00D66F25">
        <w:t xml:space="preserve">earlier </w:t>
      </w:r>
      <w:r w:rsidR="00E44078">
        <w:t>this year</w:t>
      </w:r>
      <w:r>
        <w:t xml:space="preserve">.  </w:t>
      </w:r>
    </w:p>
    <w:tbl>
      <w:tblPr>
        <w:tblW w:w="9419" w:type="dxa"/>
        <w:tblLook w:val="04A0"/>
      </w:tblPr>
      <w:tblGrid>
        <w:gridCol w:w="1675"/>
        <w:gridCol w:w="3480"/>
        <w:gridCol w:w="1070"/>
        <w:gridCol w:w="1071"/>
        <w:gridCol w:w="1064"/>
        <w:gridCol w:w="1059"/>
      </w:tblGrid>
      <w:tr w:rsidTr="00E97097">
        <w:tblPrEx>
          <w:tblW w:w="9419" w:type="dxa"/>
          <w:tblLook w:val="04A0"/>
        </w:tblPrEx>
        <w:trPr>
          <w:trHeight w:val="285"/>
        </w:trPr>
        <w:tc>
          <w:tcPr>
            <w:tcW w:w="9419" w:type="dxa"/>
            <w:gridSpan w:val="6"/>
            <w:tcBorders>
              <w:top w:val="nil"/>
              <w:left w:val="nil"/>
              <w:bottom w:val="nil"/>
              <w:right w:val="nil"/>
            </w:tcBorders>
            <w:shd w:val="clear" w:color="auto" w:fill="auto"/>
            <w:vAlign w:val="bottom"/>
            <w:hideMark/>
          </w:tcPr>
          <w:p w:rsidR="00281A74" w:rsidRPr="00281A74" w:rsidP="00FD2DDB">
            <w:pPr>
              <w:spacing w:after="0" w:line="240" w:lineRule="auto"/>
              <w:ind w:left="-108"/>
              <w:rPr>
                <w:rFonts w:ascii="Arial" w:eastAsia="Times New Roman" w:hAnsi="Arial" w:cs="Arial"/>
                <w:b/>
                <w:bCs/>
                <w:sz w:val="20"/>
                <w:szCs w:val="20"/>
                <w:lang w:eastAsia="en-GB"/>
              </w:rPr>
            </w:pPr>
            <w:r>
              <w:rPr>
                <w:rFonts w:ascii="Arial" w:eastAsia="Times New Roman" w:hAnsi="Arial" w:cs="Arial"/>
                <w:b/>
                <w:bCs/>
                <w:sz w:val="20"/>
                <w:szCs w:val="20"/>
                <w:lang w:eastAsia="en-GB"/>
              </w:rPr>
              <w:t>T</w:t>
            </w:r>
            <w:r w:rsidRPr="00281A74">
              <w:rPr>
                <w:rFonts w:ascii="Arial" w:eastAsia="Times New Roman" w:hAnsi="Arial" w:cs="Arial"/>
                <w:b/>
                <w:bCs/>
                <w:sz w:val="20"/>
                <w:szCs w:val="20"/>
                <w:lang w:eastAsia="en-GB"/>
              </w:rPr>
              <w:t>able 3: Supplementary Estimate total sought for MOD compare</w:t>
            </w:r>
            <w:r w:rsidR="00133A55">
              <w:rPr>
                <w:rFonts w:ascii="Arial" w:eastAsia="Times New Roman" w:hAnsi="Arial" w:cs="Arial"/>
                <w:b/>
                <w:bCs/>
                <w:sz w:val="20"/>
                <w:szCs w:val="20"/>
                <w:lang w:eastAsia="en-GB"/>
              </w:rPr>
              <w:t>d</w:t>
            </w:r>
            <w:r w:rsidRPr="00281A74">
              <w:rPr>
                <w:rFonts w:ascii="Arial" w:eastAsia="Times New Roman" w:hAnsi="Arial" w:cs="Arial"/>
                <w:b/>
                <w:bCs/>
                <w:sz w:val="20"/>
                <w:szCs w:val="20"/>
                <w:lang w:eastAsia="en-GB"/>
              </w:rPr>
              <w:t xml:space="preserve"> with 2020-21 Main Estimate</w:t>
            </w:r>
          </w:p>
        </w:tc>
      </w:tr>
      <w:tr w:rsidTr="00A47770">
        <w:tblPrEx>
          <w:tblW w:w="9419" w:type="dxa"/>
          <w:tblLook w:val="04A0"/>
        </w:tblPrEx>
        <w:trPr>
          <w:trHeight w:val="506"/>
        </w:trPr>
        <w:tc>
          <w:tcPr>
            <w:tcW w:w="5136" w:type="dxa"/>
            <w:gridSpan w:val="2"/>
            <w:tcBorders>
              <w:top w:val="single" w:sz="8" w:space="0" w:color="auto"/>
              <w:left w:val="single" w:sz="8" w:space="0" w:color="auto"/>
              <w:bottom w:val="nil"/>
              <w:right w:val="nil"/>
            </w:tcBorders>
            <w:shd w:val="clear" w:color="000000" w:fill="DAEEF3"/>
            <w:vAlign w:val="center"/>
            <w:hideMark/>
          </w:tcPr>
          <w:p w:rsidR="00281A74" w:rsidRPr="00281A74" w:rsidP="00281A74">
            <w:pPr>
              <w:spacing w:after="0" w:line="240" w:lineRule="auto"/>
              <w:jc w:val="center"/>
              <w:rPr>
                <w:rFonts w:ascii="Arial" w:eastAsia="Times New Roman" w:hAnsi="Arial" w:cs="Arial"/>
                <w:b/>
                <w:bCs/>
                <w:sz w:val="18"/>
                <w:szCs w:val="18"/>
                <w:lang w:eastAsia="en-GB"/>
              </w:rPr>
            </w:pPr>
            <w:r w:rsidRPr="00281A74">
              <w:rPr>
                <w:rFonts w:ascii="Arial" w:eastAsia="Times New Roman" w:hAnsi="Arial" w:cs="Arial"/>
                <w:b/>
                <w:bCs/>
                <w:sz w:val="18"/>
                <w:szCs w:val="18"/>
                <w:lang w:eastAsia="en-GB"/>
              </w:rPr>
              <w:t>Resource DEL</w:t>
            </w:r>
          </w:p>
        </w:tc>
        <w:tc>
          <w:tcPr>
            <w:tcW w:w="1074" w:type="dxa"/>
            <w:tcBorders>
              <w:top w:val="single" w:sz="8" w:space="0" w:color="auto"/>
              <w:left w:val="single" w:sz="4" w:space="0" w:color="auto"/>
              <w:bottom w:val="single" w:sz="4" w:space="0" w:color="auto"/>
              <w:right w:val="single" w:sz="4" w:space="0" w:color="auto"/>
            </w:tcBorders>
            <w:shd w:val="clear" w:color="000000" w:fill="DAEEF3"/>
            <w:vAlign w:val="center"/>
            <w:hideMark/>
          </w:tcPr>
          <w:p w:rsidR="00281A74" w:rsidRPr="00281A74" w:rsidP="00281A74">
            <w:pPr>
              <w:spacing w:after="0" w:line="240" w:lineRule="auto"/>
              <w:jc w:val="center"/>
              <w:rPr>
                <w:rFonts w:ascii="Arial" w:eastAsia="Times New Roman" w:hAnsi="Arial" w:cs="Arial"/>
                <w:b/>
                <w:bCs/>
                <w:sz w:val="18"/>
                <w:szCs w:val="18"/>
                <w:lang w:eastAsia="en-GB"/>
              </w:rPr>
            </w:pPr>
            <w:r w:rsidRPr="00281A74">
              <w:rPr>
                <w:rFonts w:ascii="Arial" w:eastAsia="Times New Roman" w:hAnsi="Arial" w:cs="Arial"/>
                <w:b/>
                <w:bCs/>
                <w:sz w:val="18"/>
                <w:szCs w:val="18"/>
                <w:lang w:eastAsia="en-GB"/>
              </w:rPr>
              <w:t>2020-21</w:t>
            </w:r>
            <w:r w:rsidRPr="00281A74">
              <w:rPr>
                <w:rFonts w:ascii="Arial" w:eastAsia="Times New Roman" w:hAnsi="Arial" w:cs="Arial"/>
                <w:b/>
                <w:bCs/>
                <w:sz w:val="18"/>
                <w:szCs w:val="18"/>
                <w:lang w:eastAsia="en-GB"/>
              </w:rPr>
              <w:br/>
              <w:t>SE</w:t>
            </w:r>
          </w:p>
        </w:tc>
        <w:tc>
          <w:tcPr>
            <w:tcW w:w="1075" w:type="dxa"/>
            <w:tcBorders>
              <w:top w:val="single" w:sz="8" w:space="0" w:color="auto"/>
              <w:left w:val="nil"/>
              <w:bottom w:val="single" w:sz="4" w:space="0" w:color="auto"/>
              <w:right w:val="single" w:sz="4" w:space="0" w:color="auto"/>
            </w:tcBorders>
            <w:shd w:val="clear" w:color="000000" w:fill="DAEEF3"/>
            <w:vAlign w:val="center"/>
            <w:hideMark/>
          </w:tcPr>
          <w:p w:rsidR="00281A74" w:rsidRPr="00281A74" w:rsidP="00281A74">
            <w:pPr>
              <w:spacing w:after="0" w:line="240" w:lineRule="auto"/>
              <w:jc w:val="center"/>
              <w:rPr>
                <w:rFonts w:ascii="Arial" w:eastAsia="Times New Roman" w:hAnsi="Arial" w:cs="Arial"/>
                <w:b/>
                <w:bCs/>
                <w:sz w:val="18"/>
                <w:szCs w:val="18"/>
                <w:lang w:eastAsia="en-GB"/>
              </w:rPr>
            </w:pPr>
            <w:r w:rsidRPr="00281A74">
              <w:rPr>
                <w:rFonts w:ascii="Arial" w:eastAsia="Times New Roman" w:hAnsi="Arial" w:cs="Arial"/>
                <w:b/>
                <w:bCs/>
                <w:sz w:val="18"/>
                <w:szCs w:val="18"/>
                <w:lang w:eastAsia="en-GB"/>
              </w:rPr>
              <w:t>2020-21</w:t>
            </w:r>
            <w:r w:rsidRPr="00281A74">
              <w:rPr>
                <w:rFonts w:ascii="Arial" w:eastAsia="Times New Roman" w:hAnsi="Arial" w:cs="Arial"/>
                <w:b/>
                <w:bCs/>
                <w:sz w:val="18"/>
                <w:szCs w:val="18"/>
                <w:lang w:eastAsia="en-GB"/>
              </w:rPr>
              <w:br/>
              <w:t>ME</w:t>
            </w:r>
          </w:p>
        </w:tc>
        <w:tc>
          <w:tcPr>
            <w:tcW w:w="2131" w:type="dxa"/>
            <w:gridSpan w:val="2"/>
            <w:tcBorders>
              <w:top w:val="single" w:sz="8" w:space="0" w:color="auto"/>
              <w:left w:val="nil"/>
              <w:bottom w:val="single" w:sz="4" w:space="0" w:color="auto"/>
              <w:right w:val="single" w:sz="8" w:space="0" w:color="000000"/>
            </w:tcBorders>
            <w:shd w:val="clear" w:color="000000" w:fill="DAEEF3"/>
            <w:vAlign w:val="center"/>
            <w:hideMark/>
          </w:tcPr>
          <w:p w:rsidR="00281A74" w:rsidRPr="00281A74" w:rsidP="00281A74">
            <w:pPr>
              <w:spacing w:after="0" w:line="240" w:lineRule="auto"/>
              <w:jc w:val="center"/>
              <w:rPr>
                <w:rFonts w:ascii="Arial" w:eastAsia="Times New Roman" w:hAnsi="Arial" w:cs="Arial"/>
                <w:b/>
                <w:bCs/>
                <w:sz w:val="18"/>
                <w:szCs w:val="18"/>
                <w:lang w:eastAsia="en-GB"/>
              </w:rPr>
            </w:pPr>
            <w:r w:rsidRPr="00281A74">
              <w:rPr>
                <w:rFonts w:ascii="Arial" w:eastAsia="Times New Roman" w:hAnsi="Arial" w:cs="Arial"/>
                <w:b/>
                <w:bCs/>
                <w:sz w:val="18"/>
                <w:szCs w:val="18"/>
                <w:lang w:eastAsia="en-GB"/>
              </w:rPr>
              <w:t>Change from</w:t>
            </w:r>
            <w:r w:rsidRPr="00281A74">
              <w:rPr>
                <w:rFonts w:ascii="Arial" w:eastAsia="Times New Roman" w:hAnsi="Arial" w:cs="Arial"/>
                <w:b/>
                <w:bCs/>
                <w:sz w:val="18"/>
                <w:szCs w:val="18"/>
                <w:lang w:eastAsia="en-GB"/>
              </w:rPr>
              <w:br/>
              <w:t>Main Estimate</w:t>
            </w:r>
          </w:p>
        </w:tc>
      </w:tr>
      <w:tr w:rsidTr="00A47770">
        <w:tblPrEx>
          <w:tblW w:w="9419" w:type="dxa"/>
          <w:tblLook w:val="04A0"/>
        </w:tblPrEx>
        <w:trPr>
          <w:trHeight w:val="274"/>
        </w:trPr>
        <w:tc>
          <w:tcPr>
            <w:tcW w:w="1656" w:type="dxa"/>
            <w:tcBorders>
              <w:top w:val="single" w:sz="4" w:space="0" w:color="auto"/>
              <w:left w:val="single" w:sz="8" w:space="0" w:color="auto"/>
              <w:bottom w:val="single" w:sz="8" w:space="0" w:color="auto"/>
              <w:right w:val="single" w:sz="4" w:space="0" w:color="auto"/>
            </w:tcBorders>
            <w:shd w:val="clear" w:color="000000" w:fill="DAEEF3"/>
            <w:vAlign w:val="center"/>
            <w:hideMark/>
          </w:tcPr>
          <w:p w:rsidR="00281A74" w:rsidRPr="00281A74" w:rsidP="00281A74">
            <w:pPr>
              <w:spacing w:after="0" w:line="240" w:lineRule="auto"/>
              <w:rPr>
                <w:rFonts w:ascii="Arial" w:eastAsia="Times New Roman" w:hAnsi="Arial" w:cs="Arial"/>
                <w:b/>
                <w:bCs/>
                <w:sz w:val="18"/>
                <w:szCs w:val="18"/>
                <w:lang w:eastAsia="en-GB"/>
              </w:rPr>
            </w:pPr>
            <w:r w:rsidRPr="00281A74">
              <w:rPr>
                <w:rFonts w:ascii="Arial" w:eastAsia="Times New Roman" w:hAnsi="Arial" w:cs="Arial"/>
                <w:b/>
                <w:bCs/>
                <w:sz w:val="18"/>
                <w:szCs w:val="18"/>
                <w:lang w:eastAsia="en-GB"/>
              </w:rPr>
              <w:t>Subheads</w:t>
            </w:r>
          </w:p>
        </w:tc>
        <w:tc>
          <w:tcPr>
            <w:tcW w:w="3480" w:type="dxa"/>
            <w:tcBorders>
              <w:top w:val="single" w:sz="4" w:space="0" w:color="auto"/>
              <w:left w:val="single" w:sz="8" w:space="0" w:color="auto"/>
              <w:bottom w:val="single" w:sz="8" w:space="0" w:color="auto"/>
              <w:right w:val="single" w:sz="4" w:space="0" w:color="auto"/>
            </w:tcBorders>
            <w:shd w:val="clear" w:color="000000" w:fill="DAEEF3"/>
            <w:vAlign w:val="center"/>
            <w:hideMark/>
          </w:tcPr>
          <w:p w:rsidR="00281A74" w:rsidRPr="00281A74" w:rsidP="00281A74">
            <w:pPr>
              <w:spacing w:after="0" w:line="240" w:lineRule="auto"/>
              <w:rPr>
                <w:rFonts w:ascii="Arial" w:eastAsia="Times New Roman" w:hAnsi="Arial" w:cs="Arial"/>
                <w:b/>
                <w:bCs/>
                <w:sz w:val="18"/>
                <w:szCs w:val="18"/>
                <w:lang w:eastAsia="en-GB"/>
              </w:rPr>
            </w:pPr>
            <w:r w:rsidRPr="00281A74">
              <w:rPr>
                <w:rFonts w:ascii="Arial" w:eastAsia="Times New Roman" w:hAnsi="Arial" w:cs="Arial"/>
                <w:b/>
                <w:bCs/>
                <w:sz w:val="18"/>
                <w:szCs w:val="18"/>
                <w:lang w:eastAsia="en-GB"/>
              </w:rPr>
              <w:t>Commodity Block</w:t>
            </w:r>
          </w:p>
        </w:tc>
        <w:tc>
          <w:tcPr>
            <w:tcW w:w="1074" w:type="dxa"/>
            <w:tcBorders>
              <w:top w:val="nil"/>
              <w:left w:val="nil"/>
              <w:bottom w:val="single" w:sz="8" w:space="0" w:color="auto"/>
              <w:right w:val="single" w:sz="4" w:space="0" w:color="auto"/>
            </w:tcBorders>
            <w:shd w:val="clear" w:color="000000" w:fill="DAEEF3"/>
            <w:vAlign w:val="center"/>
            <w:hideMark/>
          </w:tcPr>
          <w:p w:rsidR="00281A74" w:rsidRPr="00281A74" w:rsidP="00281A74">
            <w:pPr>
              <w:spacing w:after="0" w:line="240" w:lineRule="auto"/>
              <w:jc w:val="center"/>
              <w:rPr>
                <w:rFonts w:ascii="Arial" w:eastAsia="Times New Roman" w:hAnsi="Arial" w:cs="Arial"/>
                <w:b/>
                <w:bCs/>
                <w:sz w:val="18"/>
                <w:szCs w:val="18"/>
                <w:lang w:eastAsia="en-GB"/>
              </w:rPr>
            </w:pPr>
            <w:r w:rsidRPr="00281A74">
              <w:rPr>
                <w:rFonts w:ascii="Arial" w:eastAsia="Times New Roman" w:hAnsi="Arial" w:cs="Arial"/>
                <w:b/>
                <w:bCs/>
                <w:sz w:val="18"/>
                <w:szCs w:val="18"/>
                <w:lang w:eastAsia="en-GB"/>
              </w:rPr>
              <w:t>£M</w:t>
            </w:r>
          </w:p>
        </w:tc>
        <w:tc>
          <w:tcPr>
            <w:tcW w:w="1075" w:type="dxa"/>
            <w:tcBorders>
              <w:top w:val="nil"/>
              <w:left w:val="nil"/>
              <w:bottom w:val="single" w:sz="8" w:space="0" w:color="auto"/>
              <w:right w:val="single" w:sz="4" w:space="0" w:color="auto"/>
            </w:tcBorders>
            <w:shd w:val="clear" w:color="000000" w:fill="DAEEF3"/>
            <w:vAlign w:val="center"/>
            <w:hideMark/>
          </w:tcPr>
          <w:p w:rsidR="00281A74" w:rsidRPr="00281A74" w:rsidP="00281A74">
            <w:pPr>
              <w:spacing w:after="0" w:line="240" w:lineRule="auto"/>
              <w:jc w:val="center"/>
              <w:rPr>
                <w:rFonts w:ascii="Arial" w:eastAsia="Times New Roman" w:hAnsi="Arial" w:cs="Arial"/>
                <w:b/>
                <w:bCs/>
                <w:sz w:val="18"/>
                <w:szCs w:val="18"/>
                <w:lang w:eastAsia="en-GB"/>
              </w:rPr>
            </w:pPr>
            <w:r w:rsidRPr="00281A74">
              <w:rPr>
                <w:rFonts w:ascii="Arial" w:eastAsia="Times New Roman" w:hAnsi="Arial" w:cs="Arial"/>
                <w:b/>
                <w:bCs/>
                <w:sz w:val="18"/>
                <w:szCs w:val="18"/>
                <w:lang w:eastAsia="en-GB"/>
              </w:rPr>
              <w:t>£M</w:t>
            </w:r>
          </w:p>
        </w:tc>
        <w:tc>
          <w:tcPr>
            <w:tcW w:w="1069" w:type="dxa"/>
            <w:tcBorders>
              <w:top w:val="nil"/>
              <w:left w:val="nil"/>
              <w:bottom w:val="single" w:sz="8" w:space="0" w:color="auto"/>
              <w:right w:val="single" w:sz="4" w:space="0" w:color="auto"/>
            </w:tcBorders>
            <w:shd w:val="clear" w:color="000000" w:fill="DAEEF3"/>
            <w:vAlign w:val="center"/>
            <w:hideMark/>
          </w:tcPr>
          <w:p w:rsidR="00281A74" w:rsidRPr="00281A74" w:rsidP="00281A74">
            <w:pPr>
              <w:spacing w:after="0" w:line="240" w:lineRule="auto"/>
              <w:jc w:val="center"/>
              <w:rPr>
                <w:rFonts w:ascii="Arial" w:eastAsia="Times New Roman" w:hAnsi="Arial" w:cs="Arial"/>
                <w:b/>
                <w:bCs/>
                <w:sz w:val="18"/>
                <w:szCs w:val="18"/>
                <w:lang w:eastAsia="en-GB"/>
              </w:rPr>
            </w:pPr>
            <w:r w:rsidRPr="00281A74">
              <w:rPr>
                <w:rFonts w:ascii="Arial" w:eastAsia="Times New Roman" w:hAnsi="Arial" w:cs="Arial"/>
                <w:b/>
                <w:bCs/>
                <w:sz w:val="18"/>
                <w:szCs w:val="18"/>
                <w:lang w:eastAsia="en-GB"/>
              </w:rPr>
              <w:t>£M</w:t>
            </w:r>
          </w:p>
        </w:tc>
        <w:tc>
          <w:tcPr>
            <w:tcW w:w="1062" w:type="dxa"/>
            <w:tcBorders>
              <w:top w:val="nil"/>
              <w:left w:val="nil"/>
              <w:bottom w:val="single" w:sz="8" w:space="0" w:color="auto"/>
              <w:right w:val="single" w:sz="8" w:space="0" w:color="auto"/>
            </w:tcBorders>
            <w:shd w:val="clear" w:color="000000" w:fill="DAEEF3"/>
            <w:vAlign w:val="center"/>
            <w:hideMark/>
          </w:tcPr>
          <w:p w:rsidR="00281A74" w:rsidRPr="00281A74" w:rsidP="00281A74">
            <w:pPr>
              <w:spacing w:after="0" w:line="240" w:lineRule="auto"/>
              <w:jc w:val="center"/>
              <w:rPr>
                <w:rFonts w:ascii="Arial" w:eastAsia="Times New Roman" w:hAnsi="Arial" w:cs="Arial"/>
                <w:b/>
                <w:bCs/>
                <w:sz w:val="18"/>
                <w:szCs w:val="18"/>
                <w:lang w:eastAsia="en-GB"/>
              </w:rPr>
            </w:pPr>
            <w:r w:rsidRPr="00281A74">
              <w:rPr>
                <w:rFonts w:ascii="Arial" w:eastAsia="Times New Roman" w:hAnsi="Arial" w:cs="Arial"/>
                <w:b/>
                <w:bCs/>
                <w:sz w:val="18"/>
                <w:szCs w:val="18"/>
                <w:lang w:eastAsia="en-GB"/>
              </w:rPr>
              <w:t>%</w:t>
            </w:r>
          </w:p>
        </w:tc>
      </w:tr>
      <w:tr w:rsidTr="00A47770">
        <w:tblPrEx>
          <w:tblW w:w="9419" w:type="dxa"/>
          <w:tblLook w:val="04A0"/>
        </w:tblPrEx>
        <w:trPr>
          <w:trHeight w:val="263"/>
        </w:trPr>
        <w:tc>
          <w:tcPr>
            <w:tcW w:w="1656" w:type="dxa"/>
            <w:tcBorders>
              <w:top w:val="nil"/>
              <w:left w:val="single" w:sz="8" w:space="0" w:color="auto"/>
              <w:bottom w:val="single" w:sz="4" w:space="0" w:color="auto"/>
              <w:right w:val="single" w:sz="4" w:space="0" w:color="auto"/>
            </w:tcBorders>
            <w:shd w:val="clear" w:color="auto" w:fill="auto"/>
            <w:hideMark/>
          </w:tcPr>
          <w:p w:rsidR="00281A74" w:rsidRPr="00281A74" w:rsidP="00281A74">
            <w:pPr>
              <w:spacing w:after="0" w:line="240" w:lineRule="auto"/>
              <w:jc w:val="center"/>
              <w:rPr>
                <w:rFonts w:ascii="Arial" w:eastAsia="Times New Roman" w:hAnsi="Arial" w:cs="Arial"/>
                <w:sz w:val="16"/>
                <w:szCs w:val="16"/>
                <w:lang w:eastAsia="en-GB"/>
              </w:rPr>
            </w:pPr>
            <w:r w:rsidRPr="00281A74">
              <w:rPr>
                <w:rFonts w:ascii="Arial" w:eastAsia="Times New Roman" w:hAnsi="Arial" w:cs="Arial"/>
                <w:sz w:val="16"/>
                <w:szCs w:val="16"/>
                <w:lang w:eastAsia="en-GB"/>
              </w:rPr>
              <w:t>A, B</w:t>
            </w:r>
          </w:p>
        </w:tc>
        <w:tc>
          <w:tcPr>
            <w:tcW w:w="3480" w:type="dxa"/>
            <w:tcBorders>
              <w:top w:val="nil"/>
              <w:left w:val="single" w:sz="8" w:space="0" w:color="auto"/>
              <w:bottom w:val="single" w:sz="4" w:space="0" w:color="auto"/>
              <w:right w:val="single" w:sz="4" w:space="0" w:color="auto"/>
            </w:tcBorders>
            <w:shd w:val="clear" w:color="auto" w:fill="auto"/>
            <w:hideMark/>
          </w:tcPr>
          <w:p w:rsidR="00281A74" w:rsidRPr="00281A74" w:rsidP="00281A74">
            <w:pPr>
              <w:spacing w:after="0" w:line="240" w:lineRule="auto"/>
              <w:rPr>
                <w:rFonts w:ascii="Arial" w:eastAsia="Times New Roman" w:hAnsi="Arial" w:cs="Arial"/>
                <w:sz w:val="16"/>
                <w:szCs w:val="16"/>
                <w:lang w:eastAsia="en-GB"/>
              </w:rPr>
            </w:pPr>
            <w:r w:rsidRPr="00281A74">
              <w:rPr>
                <w:rFonts w:ascii="Arial" w:eastAsia="Times New Roman" w:hAnsi="Arial" w:cs="Arial"/>
                <w:sz w:val="16"/>
                <w:szCs w:val="16"/>
                <w:lang w:eastAsia="en-GB"/>
              </w:rPr>
              <w:t>Personnel Costs</w:t>
            </w:r>
          </w:p>
        </w:tc>
        <w:tc>
          <w:tcPr>
            <w:tcW w:w="1074" w:type="dxa"/>
            <w:tcBorders>
              <w:top w:val="nil"/>
              <w:left w:val="single" w:sz="8" w:space="0" w:color="auto"/>
              <w:bottom w:val="single" w:sz="4" w:space="0" w:color="auto"/>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12,138.5 </w:t>
            </w:r>
          </w:p>
        </w:tc>
        <w:tc>
          <w:tcPr>
            <w:tcW w:w="1075" w:type="dxa"/>
            <w:tcBorders>
              <w:top w:val="nil"/>
              <w:left w:val="single" w:sz="8" w:space="0" w:color="auto"/>
              <w:bottom w:val="single" w:sz="4" w:space="0" w:color="auto"/>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12,461.0 </w:t>
            </w:r>
          </w:p>
        </w:tc>
        <w:tc>
          <w:tcPr>
            <w:tcW w:w="1069" w:type="dxa"/>
            <w:tcBorders>
              <w:top w:val="nil"/>
              <w:left w:val="nil"/>
              <w:bottom w:val="single" w:sz="4" w:space="0" w:color="auto"/>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color w:val="000000"/>
                <w:sz w:val="16"/>
                <w:szCs w:val="16"/>
                <w:lang w:eastAsia="en-GB"/>
              </w:rPr>
              <w:t>(322.5)</w:t>
            </w:r>
          </w:p>
        </w:tc>
        <w:tc>
          <w:tcPr>
            <w:tcW w:w="1062" w:type="dxa"/>
            <w:tcBorders>
              <w:top w:val="nil"/>
              <w:left w:val="nil"/>
              <w:bottom w:val="single" w:sz="4" w:space="0" w:color="auto"/>
              <w:right w:val="single" w:sz="8"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-2.6%</w:t>
            </w:r>
          </w:p>
        </w:tc>
      </w:tr>
      <w:tr w:rsidTr="00A47770">
        <w:tblPrEx>
          <w:tblW w:w="9419" w:type="dxa"/>
          <w:tblLook w:val="04A0"/>
        </w:tblPrEx>
        <w:trPr>
          <w:trHeight w:val="263"/>
        </w:trPr>
        <w:tc>
          <w:tcPr>
            <w:tcW w:w="1656" w:type="dxa"/>
            <w:tcBorders>
              <w:top w:val="nil"/>
              <w:left w:val="single" w:sz="8" w:space="0" w:color="auto"/>
              <w:bottom w:val="nil"/>
              <w:right w:val="single" w:sz="4" w:space="0" w:color="auto"/>
            </w:tcBorders>
            <w:shd w:val="clear" w:color="auto" w:fill="auto"/>
            <w:hideMark/>
          </w:tcPr>
          <w:p w:rsidR="00281A74" w:rsidRPr="00281A74" w:rsidP="00281A74">
            <w:pPr>
              <w:spacing w:after="0" w:line="240" w:lineRule="auto"/>
              <w:jc w:val="center"/>
              <w:rPr>
                <w:rFonts w:ascii="Arial" w:eastAsia="Times New Roman" w:hAnsi="Arial" w:cs="Arial"/>
                <w:sz w:val="16"/>
                <w:szCs w:val="16"/>
                <w:lang w:eastAsia="en-GB"/>
              </w:rPr>
            </w:pPr>
            <w:r w:rsidRPr="00281A74">
              <w:rPr>
                <w:rFonts w:ascii="Arial" w:eastAsia="Times New Roman" w:hAnsi="Arial" w:cs="Arial"/>
                <w:sz w:val="16"/>
                <w:szCs w:val="16"/>
                <w:lang w:eastAsia="en-GB"/>
              </w:rPr>
              <w:t>C</w:t>
            </w:r>
          </w:p>
        </w:tc>
        <w:tc>
          <w:tcPr>
            <w:tcW w:w="3480" w:type="dxa"/>
            <w:tcBorders>
              <w:top w:val="nil"/>
              <w:left w:val="single" w:sz="8" w:space="0" w:color="auto"/>
              <w:bottom w:val="nil"/>
              <w:right w:val="single" w:sz="4" w:space="0" w:color="auto"/>
            </w:tcBorders>
            <w:shd w:val="clear" w:color="auto" w:fill="auto"/>
            <w:hideMark/>
          </w:tcPr>
          <w:p w:rsidR="00281A74" w:rsidRPr="00281A74" w:rsidP="00281A74">
            <w:pPr>
              <w:spacing w:after="0" w:line="240" w:lineRule="auto"/>
              <w:rPr>
                <w:rFonts w:ascii="Arial" w:eastAsia="Times New Roman" w:hAnsi="Arial" w:cs="Arial"/>
                <w:sz w:val="16"/>
                <w:szCs w:val="16"/>
                <w:lang w:eastAsia="en-GB"/>
              </w:rPr>
            </w:pPr>
            <w:r w:rsidRPr="00281A74">
              <w:rPr>
                <w:rFonts w:ascii="Arial" w:eastAsia="Times New Roman" w:hAnsi="Arial" w:cs="Arial"/>
                <w:sz w:val="16"/>
                <w:szCs w:val="16"/>
                <w:lang w:eastAsia="en-GB"/>
              </w:rPr>
              <w:t>Infrastructure Costs</w:t>
            </w:r>
          </w:p>
        </w:tc>
        <w:tc>
          <w:tcPr>
            <w:tcW w:w="1074" w:type="dxa"/>
            <w:tcBorders>
              <w:top w:val="nil"/>
              <w:left w:val="single" w:sz="8" w:space="0" w:color="auto"/>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5,152.1 </w:t>
            </w:r>
          </w:p>
        </w:tc>
        <w:tc>
          <w:tcPr>
            <w:tcW w:w="1075" w:type="dxa"/>
            <w:tcBorders>
              <w:top w:val="nil"/>
              <w:left w:val="single" w:sz="8" w:space="0" w:color="auto"/>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5,142.3 </w:t>
            </w:r>
          </w:p>
        </w:tc>
        <w:tc>
          <w:tcPr>
            <w:tcW w:w="1069" w:type="dxa"/>
            <w:tcBorders>
              <w:top w:val="nil"/>
              <w:left w:val="nil"/>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9.9 </w:t>
            </w:r>
          </w:p>
        </w:tc>
        <w:tc>
          <w:tcPr>
            <w:tcW w:w="1062" w:type="dxa"/>
            <w:tcBorders>
              <w:top w:val="nil"/>
              <w:left w:val="nil"/>
              <w:bottom w:val="single" w:sz="4" w:space="0" w:color="auto"/>
              <w:right w:val="single" w:sz="8"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0.2%</w:t>
            </w:r>
          </w:p>
        </w:tc>
      </w:tr>
      <w:tr w:rsidTr="00A47770">
        <w:tblPrEx>
          <w:tblW w:w="9419" w:type="dxa"/>
          <w:tblLook w:val="04A0"/>
        </w:tblPrEx>
        <w:trPr>
          <w:trHeight w:val="263"/>
        </w:trPr>
        <w:tc>
          <w:tcPr>
            <w:tcW w:w="1656"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jc w:val="center"/>
              <w:rPr>
                <w:rFonts w:ascii="Arial" w:eastAsia="Times New Roman" w:hAnsi="Arial" w:cs="Arial"/>
                <w:sz w:val="16"/>
                <w:szCs w:val="16"/>
                <w:lang w:eastAsia="en-GB"/>
              </w:rPr>
            </w:pPr>
            <w:r w:rsidRPr="00281A74">
              <w:rPr>
                <w:rFonts w:ascii="Arial" w:eastAsia="Times New Roman" w:hAnsi="Arial" w:cs="Arial"/>
                <w:sz w:val="16"/>
                <w:szCs w:val="16"/>
                <w:lang w:eastAsia="en-GB"/>
              </w:rPr>
              <w:t>D</w:t>
            </w:r>
          </w:p>
        </w:tc>
        <w:tc>
          <w:tcPr>
            <w:tcW w:w="3480"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rPr>
                <w:rFonts w:ascii="Arial" w:eastAsia="Times New Roman" w:hAnsi="Arial" w:cs="Arial"/>
                <w:sz w:val="16"/>
                <w:szCs w:val="16"/>
                <w:lang w:eastAsia="en-GB"/>
              </w:rPr>
            </w:pPr>
            <w:r w:rsidRPr="00281A74">
              <w:rPr>
                <w:rFonts w:ascii="Arial" w:eastAsia="Times New Roman" w:hAnsi="Arial" w:cs="Arial"/>
                <w:sz w:val="16"/>
                <w:szCs w:val="16"/>
                <w:lang w:eastAsia="en-GB"/>
              </w:rPr>
              <w:t>Inventory Consumption</w:t>
            </w:r>
          </w:p>
        </w:tc>
        <w:tc>
          <w:tcPr>
            <w:tcW w:w="1074"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1,188.3 </w:t>
            </w:r>
          </w:p>
        </w:tc>
        <w:tc>
          <w:tcPr>
            <w:tcW w:w="1075"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1,219.7 </w:t>
            </w:r>
          </w:p>
        </w:tc>
        <w:tc>
          <w:tcPr>
            <w:tcW w:w="1069" w:type="dxa"/>
            <w:tcBorders>
              <w:top w:val="single" w:sz="4" w:space="0" w:color="auto"/>
              <w:left w:val="nil"/>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color w:val="000000"/>
                <w:sz w:val="16"/>
                <w:szCs w:val="16"/>
                <w:lang w:eastAsia="en-GB"/>
              </w:rPr>
              <w:t>(31.4)</w:t>
            </w:r>
          </w:p>
        </w:tc>
        <w:tc>
          <w:tcPr>
            <w:tcW w:w="1062" w:type="dxa"/>
            <w:tcBorders>
              <w:top w:val="nil"/>
              <w:left w:val="nil"/>
              <w:bottom w:val="single" w:sz="4" w:space="0" w:color="auto"/>
              <w:right w:val="single" w:sz="8"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-2.6%</w:t>
            </w:r>
          </w:p>
        </w:tc>
      </w:tr>
      <w:tr w:rsidTr="00A47770">
        <w:tblPrEx>
          <w:tblW w:w="9419" w:type="dxa"/>
          <w:tblLook w:val="04A0"/>
        </w:tblPrEx>
        <w:trPr>
          <w:trHeight w:val="263"/>
        </w:trPr>
        <w:tc>
          <w:tcPr>
            <w:tcW w:w="1656"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jc w:val="center"/>
              <w:rPr>
                <w:rFonts w:ascii="Arial" w:eastAsia="Times New Roman" w:hAnsi="Arial" w:cs="Arial"/>
                <w:sz w:val="16"/>
                <w:szCs w:val="16"/>
                <w:lang w:eastAsia="en-GB"/>
              </w:rPr>
            </w:pPr>
            <w:r w:rsidRPr="00281A74">
              <w:rPr>
                <w:rFonts w:ascii="Arial" w:eastAsia="Times New Roman" w:hAnsi="Arial" w:cs="Arial"/>
                <w:sz w:val="16"/>
                <w:szCs w:val="16"/>
                <w:lang w:eastAsia="en-GB"/>
              </w:rPr>
              <w:t>E</w:t>
            </w:r>
          </w:p>
        </w:tc>
        <w:tc>
          <w:tcPr>
            <w:tcW w:w="3480"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rPr>
                <w:rFonts w:ascii="Arial" w:eastAsia="Times New Roman" w:hAnsi="Arial" w:cs="Arial"/>
                <w:sz w:val="16"/>
                <w:szCs w:val="16"/>
                <w:lang w:eastAsia="en-GB"/>
              </w:rPr>
            </w:pPr>
            <w:r w:rsidRPr="00281A74">
              <w:rPr>
                <w:rFonts w:ascii="Arial" w:eastAsia="Times New Roman" w:hAnsi="Arial" w:cs="Arial"/>
                <w:sz w:val="16"/>
                <w:szCs w:val="16"/>
                <w:lang w:eastAsia="en-GB"/>
              </w:rPr>
              <w:t>Equipment Support Costs</w:t>
            </w:r>
          </w:p>
        </w:tc>
        <w:tc>
          <w:tcPr>
            <w:tcW w:w="1074"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7,387.0 </w:t>
            </w:r>
          </w:p>
        </w:tc>
        <w:tc>
          <w:tcPr>
            <w:tcW w:w="1075"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7,166.2 </w:t>
            </w:r>
          </w:p>
        </w:tc>
        <w:tc>
          <w:tcPr>
            <w:tcW w:w="1069" w:type="dxa"/>
            <w:tcBorders>
              <w:top w:val="single" w:sz="4" w:space="0" w:color="auto"/>
              <w:left w:val="nil"/>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220.8 </w:t>
            </w:r>
          </w:p>
        </w:tc>
        <w:tc>
          <w:tcPr>
            <w:tcW w:w="1062" w:type="dxa"/>
            <w:tcBorders>
              <w:top w:val="nil"/>
              <w:left w:val="nil"/>
              <w:bottom w:val="single" w:sz="4" w:space="0" w:color="auto"/>
              <w:right w:val="single" w:sz="8"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3.1%</w:t>
            </w:r>
          </w:p>
        </w:tc>
      </w:tr>
      <w:tr w:rsidTr="00A47770">
        <w:tblPrEx>
          <w:tblW w:w="9419" w:type="dxa"/>
          <w:tblLook w:val="04A0"/>
        </w:tblPrEx>
        <w:trPr>
          <w:trHeight w:val="263"/>
        </w:trPr>
        <w:tc>
          <w:tcPr>
            <w:tcW w:w="1656"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jc w:val="center"/>
              <w:rPr>
                <w:rFonts w:ascii="Arial" w:eastAsia="Times New Roman" w:hAnsi="Arial" w:cs="Arial"/>
                <w:sz w:val="16"/>
                <w:szCs w:val="16"/>
                <w:lang w:eastAsia="en-GB"/>
              </w:rPr>
            </w:pPr>
            <w:r w:rsidRPr="00281A74">
              <w:rPr>
                <w:rFonts w:ascii="Arial" w:eastAsia="Times New Roman" w:hAnsi="Arial" w:cs="Arial"/>
                <w:sz w:val="16"/>
                <w:szCs w:val="16"/>
                <w:lang w:eastAsia="en-GB"/>
              </w:rPr>
              <w:t>F,G,I,N,AA,AC,AD</w:t>
            </w:r>
            <w:r w:rsidR="003F235C">
              <w:rPr>
                <w:rFonts w:ascii="Arial" w:eastAsia="Times New Roman" w:hAnsi="Arial" w:cs="Arial"/>
                <w:sz w:val="16"/>
                <w:szCs w:val="16"/>
                <w:lang w:eastAsia="en-GB"/>
              </w:rPr>
              <w:t>,Y</w:t>
            </w:r>
          </w:p>
        </w:tc>
        <w:tc>
          <w:tcPr>
            <w:tcW w:w="3480"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rPr>
                <w:rFonts w:ascii="Arial" w:eastAsia="Times New Roman" w:hAnsi="Arial" w:cs="Arial"/>
                <w:sz w:val="16"/>
                <w:szCs w:val="16"/>
                <w:lang w:eastAsia="en-GB"/>
              </w:rPr>
            </w:pPr>
            <w:r w:rsidRPr="00281A74">
              <w:rPr>
                <w:rFonts w:ascii="Arial" w:eastAsia="Times New Roman" w:hAnsi="Arial" w:cs="Arial"/>
                <w:sz w:val="16"/>
                <w:szCs w:val="16"/>
                <w:lang w:eastAsia="en-GB"/>
              </w:rPr>
              <w:t>Other Costs and Services*</w:t>
            </w:r>
          </w:p>
        </w:tc>
        <w:tc>
          <w:tcPr>
            <w:tcW w:w="1074"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2,381.3 </w:t>
            </w:r>
          </w:p>
        </w:tc>
        <w:tc>
          <w:tcPr>
            <w:tcW w:w="1075"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2,382.9 </w:t>
            </w:r>
          </w:p>
        </w:tc>
        <w:tc>
          <w:tcPr>
            <w:tcW w:w="1069" w:type="dxa"/>
            <w:tcBorders>
              <w:top w:val="single" w:sz="4" w:space="0" w:color="auto"/>
              <w:left w:val="nil"/>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color w:val="000000"/>
                <w:sz w:val="16"/>
                <w:szCs w:val="16"/>
                <w:lang w:eastAsia="en-GB"/>
              </w:rPr>
              <w:t>(1.6)</w:t>
            </w:r>
          </w:p>
        </w:tc>
        <w:tc>
          <w:tcPr>
            <w:tcW w:w="1062" w:type="dxa"/>
            <w:tcBorders>
              <w:top w:val="nil"/>
              <w:left w:val="nil"/>
              <w:bottom w:val="single" w:sz="4" w:space="0" w:color="auto"/>
              <w:right w:val="single" w:sz="8"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-0.1%</w:t>
            </w:r>
          </w:p>
        </w:tc>
      </w:tr>
      <w:tr w:rsidTr="00A47770">
        <w:tblPrEx>
          <w:tblW w:w="9419" w:type="dxa"/>
          <w:tblLook w:val="04A0"/>
        </w:tblPrEx>
        <w:trPr>
          <w:trHeight w:val="274"/>
        </w:trPr>
        <w:tc>
          <w:tcPr>
            <w:tcW w:w="1656" w:type="dxa"/>
            <w:tcBorders>
              <w:top w:val="single" w:sz="4" w:space="0" w:color="auto"/>
              <w:left w:val="single" w:sz="8" w:space="0" w:color="auto"/>
              <w:bottom w:val="single" w:sz="8" w:space="0" w:color="auto"/>
              <w:right w:val="single" w:sz="4" w:space="0" w:color="auto"/>
            </w:tcBorders>
            <w:shd w:val="clear" w:color="auto" w:fill="auto"/>
            <w:hideMark/>
          </w:tcPr>
          <w:p w:rsidR="00281A74" w:rsidRPr="00281A74" w:rsidP="00281A74">
            <w:pPr>
              <w:spacing w:after="0" w:line="240" w:lineRule="auto"/>
              <w:jc w:val="center"/>
              <w:rPr>
                <w:rFonts w:ascii="Arial" w:eastAsia="Times New Roman" w:hAnsi="Arial" w:cs="Arial"/>
                <w:sz w:val="16"/>
                <w:szCs w:val="16"/>
                <w:lang w:eastAsia="en-GB"/>
              </w:rPr>
            </w:pPr>
            <w:r w:rsidRPr="00281A74">
              <w:rPr>
                <w:rFonts w:ascii="Arial" w:eastAsia="Times New Roman" w:hAnsi="Arial" w:cs="Arial"/>
                <w:sz w:val="16"/>
                <w:szCs w:val="16"/>
                <w:lang w:eastAsia="en-GB"/>
              </w:rPr>
              <w:t>O,P,Z,AD</w:t>
            </w:r>
          </w:p>
        </w:tc>
        <w:tc>
          <w:tcPr>
            <w:tcW w:w="3480"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rPr>
                <w:rFonts w:ascii="Arial" w:eastAsia="Times New Roman" w:hAnsi="Arial" w:cs="Arial"/>
                <w:sz w:val="16"/>
                <w:szCs w:val="16"/>
                <w:lang w:eastAsia="en-GB"/>
              </w:rPr>
            </w:pPr>
            <w:r w:rsidRPr="00281A74">
              <w:rPr>
                <w:rFonts w:ascii="Arial" w:eastAsia="Times New Roman" w:hAnsi="Arial" w:cs="Arial"/>
                <w:sz w:val="16"/>
                <w:szCs w:val="16"/>
                <w:lang w:eastAsia="en-GB"/>
              </w:rPr>
              <w:t>Administration Costs</w:t>
            </w:r>
          </w:p>
        </w:tc>
        <w:tc>
          <w:tcPr>
            <w:tcW w:w="1074"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1,982.0 </w:t>
            </w:r>
          </w:p>
        </w:tc>
        <w:tc>
          <w:tcPr>
            <w:tcW w:w="1075"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1,982.5 </w:t>
            </w:r>
          </w:p>
        </w:tc>
        <w:tc>
          <w:tcPr>
            <w:tcW w:w="1069" w:type="dxa"/>
            <w:tcBorders>
              <w:top w:val="single" w:sz="4" w:space="0" w:color="auto"/>
              <w:left w:val="nil"/>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color w:val="000000"/>
                <w:sz w:val="16"/>
                <w:szCs w:val="16"/>
                <w:lang w:eastAsia="en-GB"/>
              </w:rPr>
              <w:t>(0.5)</w:t>
            </w:r>
          </w:p>
        </w:tc>
        <w:tc>
          <w:tcPr>
            <w:tcW w:w="1062" w:type="dxa"/>
            <w:tcBorders>
              <w:top w:val="nil"/>
              <w:left w:val="nil"/>
              <w:bottom w:val="single" w:sz="4" w:space="0" w:color="auto"/>
              <w:right w:val="single" w:sz="8"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0.0%</w:t>
            </w:r>
          </w:p>
        </w:tc>
      </w:tr>
      <w:tr w:rsidTr="00A47770">
        <w:tblPrEx>
          <w:tblW w:w="9419" w:type="dxa"/>
          <w:tblLook w:val="04A0"/>
        </w:tblPrEx>
        <w:trPr>
          <w:trHeight w:val="263"/>
        </w:trPr>
        <w:tc>
          <w:tcPr>
            <w:tcW w:w="1656"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jc w:val="center"/>
              <w:rPr>
                <w:rFonts w:ascii="Arial" w:eastAsia="Times New Roman" w:hAnsi="Arial" w:cs="Arial"/>
                <w:sz w:val="16"/>
                <w:szCs w:val="16"/>
                <w:lang w:eastAsia="en-GB"/>
              </w:rPr>
            </w:pPr>
            <w:r w:rsidRPr="00281A74">
              <w:rPr>
                <w:rFonts w:ascii="Arial" w:eastAsia="Times New Roman" w:hAnsi="Arial" w:cs="Arial"/>
                <w:sz w:val="16"/>
                <w:szCs w:val="16"/>
                <w:lang w:eastAsia="en-GB"/>
              </w:rPr>
              <w:t>Q-W,AC</w:t>
            </w:r>
          </w:p>
        </w:tc>
        <w:tc>
          <w:tcPr>
            <w:tcW w:w="3480"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rPr>
                <w:rFonts w:ascii="Arial" w:eastAsia="Times New Roman" w:hAnsi="Arial" w:cs="Arial"/>
                <w:sz w:val="16"/>
                <w:szCs w:val="16"/>
                <w:lang w:eastAsia="en-GB"/>
              </w:rPr>
            </w:pPr>
            <w:r w:rsidRPr="00281A74">
              <w:rPr>
                <w:rFonts w:ascii="Arial" w:eastAsia="Times New Roman" w:hAnsi="Arial" w:cs="Arial"/>
                <w:sz w:val="16"/>
                <w:szCs w:val="16"/>
                <w:lang w:eastAsia="en-GB"/>
              </w:rPr>
              <w:t>Operations and Peacekeeping (incl. CSSF)</w:t>
            </w:r>
          </w:p>
        </w:tc>
        <w:tc>
          <w:tcPr>
            <w:tcW w:w="1074"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531.0 </w:t>
            </w:r>
          </w:p>
        </w:tc>
        <w:tc>
          <w:tcPr>
            <w:tcW w:w="1075" w:type="dxa"/>
            <w:tcBorders>
              <w:top w:val="single" w:sz="4" w:space="0" w:color="auto"/>
              <w:left w:val="single" w:sz="8" w:space="0" w:color="auto"/>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397.6 </w:t>
            </w:r>
          </w:p>
        </w:tc>
        <w:tc>
          <w:tcPr>
            <w:tcW w:w="1069" w:type="dxa"/>
            <w:tcBorders>
              <w:top w:val="single" w:sz="4" w:space="0" w:color="auto"/>
              <w:left w:val="nil"/>
              <w:bottom w:val="nil"/>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133.5 </w:t>
            </w:r>
          </w:p>
        </w:tc>
        <w:tc>
          <w:tcPr>
            <w:tcW w:w="1062" w:type="dxa"/>
            <w:tcBorders>
              <w:top w:val="nil"/>
              <w:left w:val="nil"/>
              <w:bottom w:val="single" w:sz="4" w:space="0" w:color="auto"/>
              <w:right w:val="single" w:sz="8"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33.6%</w:t>
            </w:r>
          </w:p>
        </w:tc>
      </w:tr>
      <w:tr w:rsidTr="00A47770">
        <w:tblPrEx>
          <w:tblW w:w="9419" w:type="dxa"/>
          <w:tblLook w:val="04A0"/>
        </w:tblPrEx>
        <w:trPr>
          <w:trHeight w:val="274"/>
        </w:trPr>
        <w:tc>
          <w:tcPr>
            <w:tcW w:w="1656" w:type="dxa"/>
            <w:tcBorders>
              <w:top w:val="single" w:sz="4" w:space="0" w:color="auto"/>
              <w:left w:val="single" w:sz="8" w:space="0" w:color="auto"/>
              <w:bottom w:val="single" w:sz="8" w:space="0" w:color="auto"/>
              <w:right w:val="single" w:sz="4" w:space="0" w:color="auto"/>
            </w:tcBorders>
            <w:shd w:val="clear" w:color="auto" w:fill="auto"/>
            <w:hideMark/>
          </w:tcPr>
          <w:p w:rsidR="00281A74" w:rsidRPr="00281A74" w:rsidP="00281A74">
            <w:pPr>
              <w:spacing w:after="0" w:line="240" w:lineRule="auto"/>
              <w:jc w:val="center"/>
              <w:rPr>
                <w:rFonts w:ascii="Arial" w:eastAsia="Times New Roman" w:hAnsi="Arial" w:cs="Arial"/>
                <w:sz w:val="16"/>
                <w:szCs w:val="16"/>
                <w:lang w:eastAsia="en-GB"/>
              </w:rPr>
            </w:pPr>
            <w:r w:rsidRPr="00281A74">
              <w:rPr>
                <w:rFonts w:ascii="Arial" w:eastAsia="Times New Roman" w:hAnsi="Arial" w:cs="Arial"/>
                <w:sz w:val="16"/>
                <w:szCs w:val="16"/>
                <w:lang w:eastAsia="en-GB"/>
              </w:rPr>
              <w:t>H</w:t>
            </w:r>
          </w:p>
        </w:tc>
        <w:tc>
          <w:tcPr>
            <w:tcW w:w="3480" w:type="dxa"/>
            <w:tcBorders>
              <w:top w:val="single" w:sz="4" w:space="0" w:color="auto"/>
              <w:left w:val="single" w:sz="8" w:space="0" w:color="auto"/>
              <w:bottom w:val="single" w:sz="8" w:space="0" w:color="auto"/>
              <w:right w:val="single" w:sz="4" w:space="0" w:color="auto"/>
            </w:tcBorders>
            <w:shd w:val="clear" w:color="auto" w:fill="auto"/>
            <w:hideMark/>
          </w:tcPr>
          <w:p w:rsidR="00281A74" w:rsidRPr="00281A74" w:rsidP="00281A74">
            <w:pPr>
              <w:spacing w:after="0" w:line="240" w:lineRule="auto"/>
              <w:rPr>
                <w:rFonts w:ascii="Arial" w:eastAsia="Times New Roman" w:hAnsi="Arial" w:cs="Arial"/>
                <w:sz w:val="16"/>
                <w:szCs w:val="16"/>
                <w:lang w:eastAsia="en-GB"/>
              </w:rPr>
            </w:pPr>
            <w:r w:rsidRPr="00281A74">
              <w:rPr>
                <w:rFonts w:ascii="Arial" w:eastAsia="Times New Roman" w:hAnsi="Arial" w:cs="Arial"/>
                <w:sz w:val="16"/>
                <w:szCs w:val="16"/>
                <w:lang w:eastAsia="en-GB"/>
              </w:rPr>
              <w:t>Depreciation and Impairments Costs</w:t>
            </w:r>
          </w:p>
        </w:tc>
        <w:tc>
          <w:tcPr>
            <w:tcW w:w="1074" w:type="dxa"/>
            <w:tcBorders>
              <w:top w:val="single" w:sz="4" w:space="0" w:color="auto"/>
              <w:left w:val="single" w:sz="8" w:space="0" w:color="auto"/>
              <w:bottom w:val="single" w:sz="8" w:space="0" w:color="auto"/>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10,496.5 </w:t>
            </w:r>
          </w:p>
        </w:tc>
        <w:tc>
          <w:tcPr>
            <w:tcW w:w="1075" w:type="dxa"/>
            <w:tcBorders>
              <w:top w:val="single" w:sz="4" w:space="0" w:color="auto"/>
              <w:left w:val="single" w:sz="8" w:space="0" w:color="auto"/>
              <w:bottom w:val="single" w:sz="8" w:space="0" w:color="auto"/>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8,496.7 </w:t>
            </w:r>
          </w:p>
        </w:tc>
        <w:tc>
          <w:tcPr>
            <w:tcW w:w="1069" w:type="dxa"/>
            <w:tcBorders>
              <w:top w:val="single" w:sz="4" w:space="0" w:color="auto"/>
              <w:left w:val="nil"/>
              <w:bottom w:val="single" w:sz="8" w:space="0" w:color="auto"/>
              <w:right w:val="single" w:sz="4"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 xml:space="preserve"> 1,999.7 </w:t>
            </w:r>
          </w:p>
        </w:tc>
        <w:tc>
          <w:tcPr>
            <w:tcW w:w="1062" w:type="dxa"/>
            <w:tcBorders>
              <w:top w:val="nil"/>
              <w:left w:val="nil"/>
              <w:bottom w:val="single" w:sz="4" w:space="0" w:color="auto"/>
              <w:right w:val="single" w:sz="8" w:space="0" w:color="auto"/>
            </w:tcBorders>
            <w:shd w:val="clear" w:color="auto" w:fill="auto"/>
            <w:hideMark/>
          </w:tcPr>
          <w:p w:rsidR="00281A74" w:rsidRPr="00281A74" w:rsidP="00281A74">
            <w:pPr>
              <w:spacing w:after="0" w:line="240" w:lineRule="auto"/>
              <w:jc w:val="right"/>
              <w:rPr>
                <w:rFonts w:ascii="Arial" w:eastAsia="Times New Roman" w:hAnsi="Arial" w:cs="Arial"/>
                <w:sz w:val="16"/>
                <w:szCs w:val="16"/>
                <w:lang w:eastAsia="en-GB"/>
              </w:rPr>
            </w:pPr>
            <w:r w:rsidRPr="00281A74">
              <w:rPr>
                <w:rFonts w:ascii="Arial" w:eastAsia="Times New Roman" w:hAnsi="Arial" w:cs="Arial"/>
                <w:sz w:val="16"/>
                <w:szCs w:val="16"/>
                <w:lang w:eastAsia="en-GB"/>
              </w:rPr>
              <w:t>23.5%</w:t>
            </w:r>
          </w:p>
        </w:tc>
      </w:tr>
      <w:tr w:rsidTr="00A47770">
        <w:tblPrEx>
          <w:tblW w:w="9419" w:type="dxa"/>
          <w:tblLook w:val="04A0"/>
        </w:tblPrEx>
        <w:trPr>
          <w:trHeight w:val="274"/>
        </w:trPr>
        <w:tc>
          <w:tcPr>
            <w:tcW w:w="1656" w:type="dxa"/>
            <w:tcBorders>
              <w:top w:val="nil"/>
              <w:left w:val="nil"/>
              <w:bottom w:val="nil"/>
              <w:right w:val="nil"/>
            </w:tcBorders>
            <w:shd w:val="clear" w:color="auto" w:fill="auto"/>
            <w:noWrap/>
            <w:vAlign w:val="bottom"/>
            <w:hideMark/>
          </w:tcPr>
          <w:p w:rsidR="00281A74" w:rsidRPr="00281A74" w:rsidP="00281A74">
            <w:pPr>
              <w:spacing w:after="0" w:line="240" w:lineRule="auto"/>
              <w:jc w:val="right"/>
              <w:rPr>
                <w:rFonts w:ascii="Arial" w:eastAsia="Times New Roman" w:hAnsi="Arial" w:cs="Arial"/>
                <w:sz w:val="16"/>
                <w:szCs w:val="16"/>
                <w:lang w:eastAsia="en-GB"/>
              </w:rPr>
            </w:pPr>
          </w:p>
        </w:tc>
        <w:tc>
          <w:tcPr>
            <w:tcW w:w="3480" w:type="dxa"/>
            <w:tcBorders>
              <w:top w:val="nil"/>
              <w:left w:val="nil"/>
              <w:bottom w:val="nil"/>
              <w:right w:val="nil"/>
            </w:tcBorders>
            <w:shd w:val="clear" w:color="auto" w:fill="auto"/>
            <w:noWrap/>
            <w:vAlign w:val="bottom"/>
            <w:hideMark/>
          </w:tcPr>
          <w:p w:rsidR="00281A74" w:rsidRPr="00281A74" w:rsidP="00281A74">
            <w:pPr>
              <w:spacing w:after="0" w:line="240" w:lineRule="auto"/>
              <w:rPr>
                <w:rFonts w:ascii="Times New Roman" w:eastAsia="Times New Roman" w:hAnsi="Times New Roman" w:cs="Times New Roman"/>
                <w:sz w:val="20"/>
                <w:szCs w:val="20"/>
                <w:lang w:eastAsia="en-GB"/>
              </w:rPr>
            </w:pPr>
          </w:p>
        </w:tc>
        <w:tc>
          <w:tcPr>
            <w:tcW w:w="1074" w:type="dxa"/>
            <w:tcBorders>
              <w:top w:val="nil"/>
              <w:left w:val="single" w:sz="8" w:space="0" w:color="auto"/>
              <w:bottom w:val="single" w:sz="8" w:space="0" w:color="auto"/>
              <w:right w:val="single" w:sz="4" w:space="0" w:color="auto"/>
            </w:tcBorders>
            <w:shd w:val="clear" w:color="000000" w:fill="DAEEF3"/>
            <w:vAlign w:val="bottom"/>
            <w:hideMark/>
          </w:tcPr>
          <w:p w:rsidR="00281A74" w:rsidRPr="00281A74" w:rsidP="00281A74">
            <w:pPr>
              <w:spacing w:after="0" w:line="240" w:lineRule="auto"/>
              <w:jc w:val="right"/>
              <w:rPr>
                <w:rFonts w:ascii="Arial" w:eastAsia="Times New Roman" w:hAnsi="Arial" w:cs="Arial"/>
                <w:b/>
                <w:bCs/>
                <w:sz w:val="16"/>
                <w:szCs w:val="16"/>
                <w:lang w:eastAsia="en-GB"/>
              </w:rPr>
            </w:pPr>
            <w:r w:rsidRPr="00281A74">
              <w:rPr>
                <w:rFonts w:ascii="Arial" w:eastAsia="Times New Roman" w:hAnsi="Arial" w:cs="Arial"/>
                <w:b/>
                <w:bCs/>
                <w:sz w:val="16"/>
                <w:szCs w:val="16"/>
                <w:lang w:eastAsia="en-GB"/>
              </w:rPr>
              <w:t xml:space="preserve"> 41,256.6 </w:t>
            </w:r>
          </w:p>
        </w:tc>
        <w:tc>
          <w:tcPr>
            <w:tcW w:w="1075" w:type="dxa"/>
            <w:tcBorders>
              <w:top w:val="nil"/>
              <w:left w:val="nil"/>
              <w:bottom w:val="single" w:sz="8" w:space="0" w:color="auto"/>
              <w:right w:val="single" w:sz="4" w:space="0" w:color="auto"/>
            </w:tcBorders>
            <w:shd w:val="clear" w:color="000000" w:fill="DAEEF3"/>
            <w:vAlign w:val="bottom"/>
            <w:hideMark/>
          </w:tcPr>
          <w:p w:rsidR="00281A74" w:rsidRPr="00281A74" w:rsidP="00281A74">
            <w:pPr>
              <w:spacing w:after="0" w:line="240" w:lineRule="auto"/>
              <w:jc w:val="right"/>
              <w:rPr>
                <w:rFonts w:ascii="Arial" w:eastAsia="Times New Roman" w:hAnsi="Arial" w:cs="Arial"/>
                <w:b/>
                <w:bCs/>
                <w:sz w:val="16"/>
                <w:szCs w:val="16"/>
                <w:lang w:eastAsia="en-GB"/>
              </w:rPr>
            </w:pPr>
            <w:r w:rsidRPr="00281A74">
              <w:rPr>
                <w:rFonts w:ascii="Arial" w:eastAsia="Times New Roman" w:hAnsi="Arial" w:cs="Arial"/>
                <w:b/>
                <w:bCs/>
                <w:sz w:val="16"/>
                <w:szCs w:val="16"/>
                <w:lang w:eastAsia="en-GB"/>
              </w:rPr>
              <w:t xml:space="preserve"> 39,248.8 </w:t>
            </w:r>
          </w:p>
        </w:tc>
        <w:tc>
          <w:tcPr>
            <w:tcW w:w="1069" w:type="dxa"/>
            <w:tcBorders>
              <w:top w:val="nil"/>
              <w:left w:val="nil"/>
              <w:bottom w:val="single" w:sz="8" w:space="0" w:color="auto"/>
              <w:right w:val="single" w:sz="4" w:space="0" w:color="auto"/>
            </w:tcBorders>
            <w:shd w:val="clear" w:color="000000" w:fill="DAEEF3"/>
            <w:vAlign w:val="bottom"/>
            <w:hideMark/>
          </w:tcPr>
          <w:p w:rsidR="00281A74" w:rsidRPr="00281A74" w:rsidP="00281A74">
            <w:pPr>
              <w:spacing w:after="0" w:line="240" w:lineRule="auto"/>
              <w:jc w:val="right"/>
              <w:rPr>
                <w:rFonts w:ascii="Arial" w:eastAsia="Times New Roman" w:hAnsi="Arial" w:cs="Arial"/>
                <w:b/>
                <w:bCs/>
                <w:sz w:val="16"/>
                <w:szCs w:val="16"/>
                <w:lang w:eastAsia="en-GB"/>
              </w:rPr>
            </w:pPr>
            <w:r w:rsidRPr="00281A74">
              <w:rPr>
                <w:rFonts w:ascii="Arial" w:eastAsia="Times New Roman" w:hAnsi="Arial" w:cs="Arial"/>
                <w:b/>
                <w:bCs/>
                <w:sz w:val="16"/>
                <w:szCs w:val="16"/>
                <w:lang w:eastAsia="en-GB"/>
              </w:rPr>
              <w:t xml:space="preserve"> 2,007.8 </w:t>
            </w:r>
          </w:p>
        </w:tc>
        <w:tc>
          <w:tcPr>
            <w:tcW w:w="1062" w:type="dxa"/>
            <w:tcBorders>
              <w:top w:val="nil"/>
              <w:left w:val="nil"/>
              <w:bottom w:val="single" w:sz="8" w:space="0" w:color="auto"/>
              <w:right w:val="single" w:sz="8" w:space="0" w:color="auto"/>
            </w:tcBorders>
            <w:shd w:val="clear" w:color="000000" w:fill="DAEEF3"/>
            <w:vAlign w:val="bottom"/>
            <w:hideMark/>
          </w:tcPr>
          <w:p w:rsidR="00281A74" w:rsidRPr="00281A74" w:rsidP="00281A74">
            <w:pPr>
              <w:spacing w:after="0" w:line="240" w:lineRule="auto"/>
              <w:jc w:val="right"/>
              <w:rPr>
                <w:rFonts w:ascii="Arial" w:eastAsia="Times New Roman" w:hAnsi="Arial" w:cs="Arial"/>
                <w:b/>
                <w:bCs/>
                <w:sz w:val="16"/>
                <w:szCs w:val="16"/>
                <w:lang w:eastAsia="en-GB"/>
              </w:rPr>
            </w:pPr>
            <w:r>
              <w:rPr>
                <w:rFonts w:ascii="Arial" w:eastAsia="Times New Roman" w:hAnsi="Arial" w:cs="Arial"/>
                <w:b/>
                <w:bCs/>
                <w:sz w:val="16"/>
                <w:szCs w:val="16"/>
                <w:lang w:eastAsia="en-GB"/>
              </w:rPr>
              <w:t>5</w:t>
            </w:r>
            <w:r w:rsidRPr="00281A74">
              <w:rPr>
                <w:rFonts w:ascii="Arial" w:eastAsia="Times New Roman" w:hAnsi="Arial" w:cs="Arial"/>
                <w:b/>
                <w:bCs/>
                <w:sz w:val="16"/>
                <w:szCs w:val="16"/>
                <w:lang w:eastAsia="en-GB"/>
              </w:rPr>
              <w:t>.</w:t>
            </w:r>
            <w:r>
              <w:rPr>
                <w:rFonts w:ascii="Arial" w:eastAsia="Times New Roman" w:hAnsi="Arial" w:cs="Arial"/>
                <w:b/>
                <w:bCs/>
                <w:sz w:val="16"/>
                <w:szCs w:val="16"/>
                <w:lang w:eastAsia="en-GB"/>
              </w:rPr>
              <w:t>1</w:t>
            </w:r>
            <w:r w:rsidRPr="00281A74">
              <w:rPr>
                <w:rFonts w:ascii="Arial" w:eastAsia="Times New Roman" w:hAnsi="Arial" w:cs="Arial"/>
                <w:b/>
                <w:bCs/>
                <w:sz w:val="16"/>
                <w:szCs w:val="16"/>
                <w:lang w:eastAsia="en-GB"/>
              </w:rPr>
              <w:t>%</w:t>
            </w:r>
          </w:p>
        </w:tc>
      </w:tr>
    </w:tbl>
    <w:p w:rsidR="001F3E9D" w:rsidP="001F3E9D">
      <w:r>
        <w:rPr>
          <w:i/>
          <w:sz w:val="20"/>
          <w:szCs w:val="20"/>
          <w:lang w:eastAsia="en-GB"/>
        </w:rPr>
        <w:t>*</w:t>
      </w:r>
      <w:r w:rsidRPr="003A4F61">
        <w:rPr>
          <w:i/>
          <w:sz w:val="20"/>
          <w:szCs w:val="20"/>
          <w:lang w:eastAsia="en-GB"/>
        </w:rPr>
        <w:t xml:space="preserve"> </w:t>
      </w:r>
      <w:r w:rsidRPr="001110F1">
        <w:rPr>
          <w:sz w:val="16"/>
        </w:rPr>
        <w:t>Includes Other Costs and Services, Receipts and Other Income, Cash Release of Provisions, Research and Development Costs related to Provision of Defence Capability, DE&amp;S (BTE) Costs</w:t>
      </w:r>
      <w:r w:rsidR="003F235C">
        <w:rPr>
          <w:sz w:val="16"/>
        </w:rPr>
        <w:t xml:space="preserve">, </w:t>
      </w:r>
      <w:r w:rsidR="00D12D2C">
        <w:rPr>
          <w:sz w:val="16"/>
        </w:rPr>
        <w:t>Arm's Length</w:t>
      </w:r>
      <w:r w:rsidR="003F235C">
        <w:rPr>
          <w:sz w:val="16"/>
        </w:rPr>
        <w:t xml:space="preserve"> Bodies</w:t>
      </w:r>
      <w:r w:rsidRPr="001110F1">
        <w:rPr>
          <w:sz w:val="16"/>
        </w:rPr>
        <w:t xml:space="preserve"> and War Pension Benefits Programme Costs</w:t>
      </w:r>
      <w:r w:rsidRPr="003A4F61">
        <w:rPr>
          <w:i/>
          <w:sz w:val="20"/>
          <w:szCs w:val="20"/>
          <w:lang w:eastAsia="en-GB"/>
        </w:rPr>
        <w:t>.</w:t>
      </w:r>
      <w:r>
        <w:t xml:space="preserve"> </w:t>
      </w:r>
    </w:p>
    <w:p w:rsidR="003229EE">
      <w:r>
        <w:t xml:space="preserve">With this </w:t>
      </w:r>
      <w:r w:rsidR="00004C12">
        <w:t>Supplementary</w:t>
      </w:r>
      <w:r w:rsidR="00872E8F">
        <w:t xml:space="preserve"> E</w:t>
      </w:r>
      <w:r w:rsidR="00FD4119">
        <w:t>stimate</w:t>
      </w:r>
      <w:r w:rsidR="00480FA0">
        <w:t xml:space="preserve">, the </w:t>
      </w:r>
      <w:r w:rsidR="00674AF0">
        <w:t>Resource DEL</w:t>
      </w:r>
      <w:r w:rsidR="00384EF1">
        <w:t xml:space="preserve"> has remained </w:t>
      </w:r>
      <w:r w:rsidR="00880C65">
        <w:t xml:space="preserve">relatively stable </w:t>
      </w:r>
      <w:r w:rsidR="004F0CD6">
        <w:t>after</w:t>
      </w:r>
      <w:r w:rsidR="00BD28ED">
        <w:t xml:space="preserve"> addressing </w:t>
      </w:r>
      <w:r w:rsidR="00715D47">
        <w:t xml:space="preserve">the cash resource </w:t>
      </w:r>
      <w:r w:rsidR="00784B6C">
        <w:t>and capital DEL imbalance.</w:t>
      </w:r>
      <w:r>
        <w:t xml:space="preserve"> </w:t>
      </w:r>
      <w:r w:rsidR="007B4A52">
        <w:t xml:space="preserve">Changes have been made to the commodity </w:t>
      </w:r>
      <w:r w:rsidR="007076E4">
        <w:t>block cost allocations</w:t>
      </w:r>
      <w:r w:rsidR="006031E7">
        <w:t xml:space="preserve">. As stated </w:t>
      </w:r>
      <w:r w:rsidR="005A707A">
        <w:t xml:space="preserve">in the Main Estimate </w:t>
      </w:r>
      <w:r w:rsidR="00E5122A">
        <w:t>memorandum</w:t>
      </w:r>
      <w:r w:rsidR="00CF4DE1">
        <w:t xml:space="preserve">, the initial </w:t>
      </w:r>
      <w:r w:rsidR="004C03C6">
        <w:t xml:space="preserve">commodity </w:t>
      </w:r>
      <w:r w:rsidR="0063220D">
        <w:t xml:space="preserve">block cost </w:t>
      </w:r>
      <w:r w:rsidR="004A32D4">
        <w:t xml:space="preserve">allocations reflected </w:t>
      </w:r>
      <w:r w:rsidR="003B394A">
        <w:t xml:space="preserve">the latest </w:t>
      </w:r>
      <w:r w:rsidR="002A56F8">
        <w:t>information</w:t>
      </w:r>
      <w:r w:rsidR="009C2275">
        <w:t xml:space="preserve"> based</w:t>
      </w:r>
      <w:r w:rsidR="002A56F8">
        <w:t xml:space="preserve"> on</w:t>
      </w:r>
      <w:r w:rsidR="00F83E8B">
        <w:t xml:space="preserve"> the Department</w:t>
      </w:r>
      <w:r w:rsidR="00E8750E">
        <w:t>’s spending plans</w:t>
      </w:r>
      <w:r w:rsidR="00514DDD">
        <w:t xml:space="preserve"> for 20</w:t>
      </w:r>
      <w:r w:rsidR="00732473">
        <w:t>20</w:t>
      </w:r>
      <w:r w:rsidR="00514DDD">
        <w:t>-</w:t>
      </w:r>
      <w:r w:rsidR="00DB6970">
        <w:t>2</w:t>
      </w:r>
      <w:r w:rsidR="00732473">
        <w:t>1</w:t>
      </w:r>
      <w:r w:rsidR="00B97928">
        <w:t>,</w:t>
      </w:r>
      <w:r w:rsidR="00DB6970">
        <w:t xml:space="preserve"> as </w:t>
      </w:r>
      <w:r w:rsidR="00C41FE4">
        <w:t xml:space="preserve">per </w:t>
      </w:r>
      <w:r w:rsidR="00DB2070">
        <w:t xml:space="preserve">the </w:t>
      </w:r>
      <w:r w:rsidR="0071721C">
        <w:t>Spending R</w:t>
      </w:r>
      <w:r w:rsidR="0052554E">
        <w:t>ound</w:t>
      </w:r>
      <w:r w:rsidR="0071721C">
        <w:t xml:space="preserve"> (C</w:t>
      </w:r>
      <w:r w:rsidR="00AE2C2A">
        <w:t>P 170</w:t>
      </w:r>
      <w:r w:rsidR="008A0F93">
        <w:t>)</w:t>
      </w:r>
      <w:r w:rsidR="00E66B80">
        <w:t xml:space="preserve"> published </w:t>
      </w:r>
      <w:r w:rsidR="00992944">
        <w:t xml:space="preserve">in </w:t>
      </w:r>
      <w:r w:rsidR="00AE2C2A">
        <w:t>September</w:t>
      </w:r>
      <w:r w:rsidR="00992944">
        <w:t xml:space="preserve"> 201</w:t>
      </w:r>
      <w:r w:rsidR="00AE2C2A">
        <w:t>9</w:t>
      </w:r>
      <w:r w:rsidR="00A74335">
        <w:t xml:space="preserve"> and the changes </w:t>
      </w:r>
      <w:r w:rsidR="008B041E">
        <w:t xml:space="preserve">made </w:t>
      </w:r>
      <w:r w:rsidR="00D16B58">
        <w:t xml:space="preserve">during </w:t>
      </w:r>
      <w:r w:rsidR="00A1475F">
        <w:t xml:space="preserve">the </w:t>
      </w:r>
      <w:r w:rsidR="00FF414D">
        <w:t>201</w:t>
      </w:r>
      <w:r w:rsidR="002D3071">
        <w:t>9</w:t>
      </w:r>
      <w:r w:rsidR="00FF414D">
        <w:t>-</w:t>
      </w:r>
      <w:r w:rsidR="002D3071">
        <w:t>20</w:t>
      </w:r>
      <w:r w:rsidR="00925287">
        <w:t xml:space="preserve"> </w:t>
      </w:r>
      <w:r w:rsidR="002A56F8">
        <w:t>Estimates.</w:t>
      </w:r>
      <w:r w:rsidR="00365592">
        <w:t xml:space="preserve"> The </w:t>
      </w:r>
      <w:r w:rsidR="00D13547">
        <w:t>changes in th</w:t>
      </w:r>
      <w:r w:rsidR="0039257D">
        <w:t xml:space="preserve">e Supplementary Estimate reflect the </w:t>
      </w:r>
      <w:r w:rsidR="0038208A">
        <w:t>current in-year forecast</w:t>
      </w:r>
      <w:r w:rsidR="00604F32">
        <w:t xml:space="preserve">, </w:t>
      </w:r>
      <w:r w:rsidR="00A76A74">
        <w:t xml:space="preserve">along with </w:t>
      </w:r>
      <w:r w:rsidR="00CD2D3C">
        <w:t xml:space="preserve">subsequent </w:t>
      </w:r>
      <w:r w:rsidR="00007ACA">
        <w:t xml:space="preserve">funding </w:t>
      </w:r>
      <w:r w:rsidR="00C058C3">
        <w:t>adjustments</w:t>
      </w:r>
      <w:r w:rsidR="00FA7D57">
        <w:t xml:space="preserve">. </w:t>
      </w:r>
      <w:r w:rsidR="00BC0517">
        <w:t>The main elements of these changes are:</w:t>
      </w:r>
    </w:p>
    <w:p w:rsidR="008112DB" w:rsidRPr="00E97097" w:rsidP="008112DB">
      <w:pPr>
        <w:pStyle w:val="ListParagraph"/>
        <w:numPr>
          <w:ilvl w:val="0"/>
          <w:numId w:val="35"/>
        </w:numPr>
      </w:pPr>
      <w:r w:rsidRPr="00E97097">
        <w:t>A</w:t>
      </w:r>
      <w:r w:rsidRPr="00E97097" w:rsidR="00E41FE0">
        <w:t xml:space="preserve"> </w:t>
      </w:r>
      <w:r w:rsidRPr="00E97097" w:rsidR="00CC1C86">
        <w:t xml:space="preserve">Reserve increase </w:t>
      </w:r>
      <w:r w:rsidRPr="00E97097">
        <w:t>for Operations and Peacekeeping of £</w:t>
      </w:r>
      <w:r w:rsidRPr="00E97097" w:rsidR="00592EA8">
        <w:t>1</w:t>
      </w:r>
      <w:r w:rsidRPr="00E97097" w:rsidR="008F73D6">
        <w:t>3</w:t>
      </w:r>
      <w:r w:rsidR="00594333">
        <w:t>4</w:t>
      </w:r>
      <w:r w:rsidR="00FC12C6">
        <w:t>m</w:t>
      </w:r>
      <w:r w:rsidRPr="00E97097">
        <w:t xml:space="preserve"> </w:t>
      </w:r>
      <w:r w:rsidRPr="00E97097" w:rsidR="00F230F6">
        <w:t>(cash RDEL)</w:t>
      </w:r>
      <w:r w:rsidRPr="00E97097" w:rsidR="00A573A0">
        <w:t xml:space="preserve"> </w:t>
      </w:r>
      <w:r w:rsidRPr="00E97097">
        <w:t>to cover additional costs of operations.</w:t>
      </w:r>
    </w:p>
    <w:p w:rsidR="00BB234A" w:rsidRPr="00E97097" w:rsidP="008112DB">
      <w:pPr>
        <w:pStyle w:val="ListParagraph"/>
        <w:numPr>
          <w:ilvl w:val="0"/>
          <w:numId w:val="35"/>
        </w:numPr>
      </w:pPr>
      <w:r w:rsidRPr="00E97097">
        <w:t xml:space="preserve">Budget cover transfers </w:t>
      </w:r>
      <w:r w:rsidRPr="00E97097" w:rsidR="002D278F">
        <w:t>to</w:t>
      </w:r>
      <w:r w:rsidRPr="00E97097">
        <w:t>/from Other Government Departments (OGD</w:t>
      </w:r>
      <w:r w:rsidRPr="00E97097" w:rsidR="004E7F83">
        <w:t>s</w:t>
      </w:r>
      <w:r w:rsidRPr="00E97097">
        <w:t>) totalling (£</w:t>
      </w:r>
      <w:r w:rsidRPr="00E97097" w:rsidR="00CB7953">
        <w:t>7</w:t>
      </w:r>
      <w:r w:rsidRPr="00E97097" w:rsidR="004152EA">
        <w:t>8</w:t>
      </w:r>
      <w:r w:rsidR="00FC12C6">
        <w:t>m</w:t>
      </w:r>
      <w:r w:rsidRPr="00E97097">
        <w:t>).</w:t>
      </w:r>
    </w:p>
    <w:p w:rsidR="00910181" w:rsidRPr="00E97097" w:rsidP="008112DB">
      <w:pPr>
        <w:pStyle w:val="ListParagraph"/>
        <w:numPr>
          <w:ilvl w:val="0"/>
          <w:numId w:val="35"/>
        </w:numPr>
      </w:pPr>
      <w:r w:rsidRPr="00E97097">
        <w:t xml:space="preserve">An allocation </w:t>
      </w:r>
      <w:r w:rsidRPr="00E97097" w:rsidR="003A518D">
        <w:t>of £</w:t>
      </w:r>
      <w:r w:rsidRPr="00E97097" w:rsidR="00856107">
        <w:t>10</w:t>
      </w:r>
      <w:r w:rsidR="00FC12C6">
        <w:t>m</w:t>
      </w:r>
      <w:r w:rsidRPr="00E97097" w:rsidR="003A518D">
        <w:t xml:space="preserve"> to support </w:t>
      </w:r>
      <w:r w:rsidRPr="00E97097" w:rsidR="00365719">
        <w:t>the Armed Forces community</w:t>
      </w:r>
      <w:r w:rsidRPr="00E97097" w:rsidR="00CD0696">
        <w:t xml:space="preserve">, funded by </w:t>
      </w:r>
      <w:r w:rsidRPr="00E97097" w:rsidR="00780F8C">
        <w:t>L</w:t>
      </w:r>
      <w:r w:rsidRPr="00E97097" w:rsidR="003F5059">
        <w:t>ondon Inter Bank Offered Rate</w:t>
      </w:r>
      <w:r w:rsidRPr="00E97097" w:rsidR="00780F8C">
        <w:t xml:space="preserve"> (LIBOR)</w:t>
      </w:r>
      <w:r w:rsidRPr="00E97097" w:rsidR="001C456D">
        <w:t xml:space="preserve"> fines payable </w:t>
      </w:r>
      <w:r w:rsidRPr="00E97097" w:rsidR="0083601F">
        <w:t xml:space="preserve">to HMT </w:t>
      </w:r>
      <w:r w:rsidRPr="00E97097" w:rsidR="00AF3658">
        <w:t>by the finance sector.</w:t>
      </w:r>
    </w:p>
    <w:p w:rsidR="003367AC" w:rsidP="003367AC">
      <w:pPr>
        <w:pStyle w:val="ListParagraph"/>
        <w:numPr>
          <w:ilvl w:val="0"/>
          <w:numId w:val="35"/>
        </w:numPr>
      </w:pPr>
      <w:r w:rsidRPr="00E97097">
        <w:t xml:space="preserve">Various re-allocations to Arm’s Length Bodies (Grant in Aid), with no overall impact on DEL, to reflect the </w:t>
      </w:r>
      <w:r w:rsidRPr="00E97097" w:rsidR="00F30E6F">
        <w:t>additional £</w:t>
      </w:r>
      <w:r w:rsidRPr="00E97097" w:rsidR="00C147A6">
        <w:t>7</w:t>
      </w:r>
      <w:r w:rsidR="00FC12C6">
        <w:t>m</w:t>
      </w:r>
      <w:r w:rsidRPr="00E97097" w:rsidR="004F3CD6">
        <w:t xml:space="preserve"> </w:t>
      </w:r>
      <w:r w:rsidRPr="00E97097" w:rsidR="005F4CE5">
        <w:t>Grant-in-Aid funding</w:t>
      </w:r>
      <w:r w:rsidRPr="00E97097" w:rsidR="004C6D5F">
        <w:t>.</w:t>
      </w:r>
    </w:p>
    <w:p w:rsidR="00625AAF" w:rsidP="00E97097">
      <w:pPr>
        <w:pStyle w:val="ListParagraph"/>
        <w:numPr>
          <w:ilvl w:val="0"/>
          <w:numId w:val="35"/>
        </w:numPr>
      </w:pPr>
      <w:r>
        <w:t xml:space="preserve">A movement from RDEL to </w:t>
      </w:r>
      <w:r w:rsidRPr="00EA76D3">
        <w:t>CDEL of £30</w:t>
      </w:r>
      <w:r w:rsidR="00DC5F17">
        <w:t>0</w:t>
      </w:r>
      <w:r w:rsidR="00FC12C6">
        <w:t>m</w:t>
      </w:r>
      <w:r w:rsidRPr="00EA76D3">
        <w:t xml:space="preserve"> to align </w:t>
      </w:r>
      <w:r>
        <w:t>the Department’s control totals with the forecast cost of the Defence programme.</w:t>
      </w:r>
    </w:p>
    <w:p w:rsidR="005766DD" w:rsidRPr="00E97097" w:rsidP="00E97097">
      <w:pPr>
        <w:pStyle w:val="ListParagraph"/>
        <w:numPr>
          <w:ilvl w:val="0"/>
          <w:numId w:val="35"/>
        </w:numPr>
      </w:pPr>
      <w:bookmarkStart w:id="1" w:name="_Hlk64370221"/>
      <w:r>
        <w:t>Budget adjustments</w:t>
      </w:r>
      <w:r w:rsidR="00D535D4">
        <w:t xml:space="preserve"> of </w:t>
      </w:r>
      <w:r w:rsidR="002417F8">
        <w:t>£24</w:t>
      </w:r>
      <w:r w:rsidR="00C75D36">
        <w:t>5</w:t>
      </w:r>
      <w:r w:rsidR="002417F8">
        <w:t>m</w:t>
      </w:r>
      <w:r>
        <w:t xml:space="preserve"> to reflect untaken leave accruals</w:t>
      </w:r>
      <w:r w:rsidR="00D535D4">
        <w:t>, partly driven by the impact of COVID-19</w:t>
      </w:r>
      <w:r w:rsidR="003E2B5B">
        <w:t xml:space="preserve"> </w:t>
      </w:r>
      <w:bookmarkEnd w:id="1"/>
      <w:r w:rsidR="003E2B5B">
        <w:t xml:space="preserve">and other minor movements </w:t>
      </w:r>
      <w:r w:rsidR="00EC43B2">
        <w:t>(</w:t>
      </w:r>
      <w:r w:rsidR="003E2B5B">
        <w:t>£3m</w:t>
      </w:r>
      <w:r w:rsidR="00EC43B2">
        <w:t>)</w:t>
      </w:r>
      <w:r w:rsidR="003E2B5B">
        <w:t>.</w:t>
      </w:r>
    </w:p>
    <w:p w:rsidR="003650A6" w:rsidP="003650A6">
      <w:pPr>
        <w:pStyle w:val="ListParagraph"/>
        <w:numPr>
          <w:ilvl w:val="0"/>
          <w:numId w:val="35"/>
        </w:numPr>
      </w:pPr>
      <w:r w:rsidRPr="00E97097">
        <w:t>A</w:t>
      </w:r>
      <w:r w:rsidRPr="00E97097" w:rsidR="00EC7BD8">
        <w:t>n increase</w:t>
      </w:r>
      <w:r w:rsidRPr="00E97097" w:rsidR="004D2ECF">
        <w:t xml:space="preserve"> by £</w:t>
      </w:r>
      <w:r w:rsidRPr="00E97097" w:rsidR="00395896">
        <w:t>2Bn</w:t>
      </w:r>
      <w:r w:rsidRPr="00E97097" w:rsidR="004D2ECF">
        <w:t xml:space="preserve"> </w:t>
      </w:r>
      <w:r w:rsidRPr="00E97097" w:rsidR="00387AC4">
        <w:t xml:space="preserve">for depreciation and </w:t>
      </w:r>
      <w:r w:rsidRPr="00E97097" w:rsidR="00F009ED">
        <w:t>impairment</w:t>
      </w:r>
      <w:r w:rsidRPr="00E97097" w:rsidR="006D7F4B">
        <w:t xml:space="preserve">s </w:t>
      </w:r>
      <w:r w:rsidRPr="00E97097" w:rsidR="00CC6427">
        <w:t>in line with latest forecast</w:t>
      </w:r>
      <w:r w:rsidRPr="00E97097" w:rsidR="00395896">
        <w:t xml:space="preserve"> and </w:t>
      </w:r>
      <w:r w:rsidRPr="00E97097" w:rsidR="008D177B">
        <w:t>SR directives</w:t>
      </w:r>
      <w:r w:rsidRPr="00E97097" w:rsidR="00AE250E">
        <w:t>.</w:t>
      </w:r>
    </w:p>
    <w:p w:rsidR="00D3272A" w:rsidRPr="001110F1" w:rsidP="001C24B7">
      <w:pPr>
        <w:pStyle w:val="Heading3"/>
        <w:rPr>
          <w:rFonts w:asciiTheme="minorHAnsi" w:hAnsiTheme="minorHAnsi"/>
        </w:rPr>
      </w:pPr>
      <w:r w:rsidRPr="001110F1">
        <w:rPr>
          <w:rFonts w:asciiTheme="minorHAnsi" w:hAnsiTheme="minorHAnsi"/>
        </w:rPr>
        <w:t>Capital DEL</w:t>
      </w:r>
    </w:p>
    <w:p w:rsidR="00D3272A" w:rsidP="00D3272A">
      <w:r>
        <w:t xml:space="preserve">The table below shows how spending plans for </w:t>
      </w:r>
      <w:r w:rsidR="00EE5BFD">
        <w:t>Capital DEL</w:t>
      </w:r>
      <w:r>
        <w:t xml:space="preserve"> compare with </w:t>
      </w:r>
      <w:r w:rsidR="0059727C">
        <w:t>the M</w:t>
      </w:r>
      <w:r w:rsidR="00C93C31">
        <w:t>ain</w:t>
      </w:r>
      <w:r w:rsidR="00D45C9A">
        <w:t xml:space="preserve"> Estimate</w:t>
      </w:r>
      <w:r>
        <w:t xml:space="preserve">.  </w:t>
      </w:r>
    </w:p>
    <w:p w:rsidR="00CD11A8" w:rsidRPr="00CD11A8" w:rsidP="00CD11A8">
      <w:pPr>
        <w:spacing w:after="0" w:line="240" w:lineRule="auto"/>
        <w:rPr>
          <w:rFonts w:ascii="Arial" w:eastAsia="Times New Roman" w:hAnsi="Arial" w:cs="Arial"/>
          <w:b/>
          <w:bCs/>
          <w:sz w:val="20"/>
          <w:szCs w:val="20"/>
          <w:lang w:eastAsia="en-GB"/>
        </w:rPr>
      </w:pPr>
      <w:r w:rsidRPr="00CD11A8">
        <w:rPr>
          <w:rFonts w:ascii="Arial" w:eastAsia="Times New Roman" w:hAnsi="Arial" w:cs="Arial"/>
          <w:b/>
          <w:bCs/>
          <w:sz w:val="20"/>
          <w:szCs w:val="20"/>
          <w:lang w:eastAsia="en-GB"/>
        </w:rPr>
        <w:t>Table 4: Supplementary Estimate total sought for MOD compared with 2020-21 Main Estimate</w:t>
      </w:r>
    </w:p>
    <w:tbl>
      <w:tblPr>
        <w:tblW w:w="8500" w:type="dxa"/>
        <w:tblLook w:val="04A0"/>
      </w:tblPr>
      <w:tblGrid>
        <w:gridCol w:w="1360"/>
        <w:gridCol w:w="3220"/>
        <w:gridCol w:w="980"/>
        <w:gridCol w:w="980"/>
        <w:gridCol w:w="980"/>
        <w:gridCol w:w="980"/>
      </w:tblGrid>
      <w:tr w:rsidTr="0085064D">
        <w:tblPrEx>
          <w:tblW w:w="8500" w:type="dxa"/>
          <w:tblLook w:val="04A0"/>
        </w:tblPrEx>
        <w:trPr>
          <w:trHeight w:val="480"/>
        </w:trPr>
        <w:tc>
          <w:tcPr>
            <w:tcW w:w="4580" w:type="dxa"/>
            <w:gridSpan w:val="2"/>
            <w:tcBorders>
              <w:top w:val="single" w:sz="8" w:space="0" w:color="auto"/>
              <w:left w:val="single" w:sz="8" w:space="0" w:color="auto"/>
              <w:bottom w:val="nil"/>
              <w:right w:val="nil"/>
            </w:tcBorders>
            <w:shd w:val="clear" w:color="000000" w:fill="DAEEF3"/>
            <w:vAlign w:val="center"/>
            <w:hideMark/>
          </w:tcPr>
          <w:p w:rsidR="0085064D" w:rsidRPr="0085064D" w:rsidP="0085064D">
            <w:pPr>
              <w:spacing w:after="0" w:line="240" w:lineRule="auto"/>
              <w:jc w:val="center"/>
              <w:rPr>
                <w:rFonts w:ascii="Arial" w:eastAsia="Times New Roman" w:hAnsi="Arial" w:cs="Arial"/>
                <w:b/>
                <w:bCs/>
                <w:sz w:val="18"/>
                <w:szCs w:val="18"/>
                <w:lang w:eastAsia="en-GB"/>
              </w:rPr>
            </w:pPr>
            <w:r w:rsidRPr="0085064D">
              <w:rPr>
                <w:rFonts w:ascii="Arial" w:eastAsia="Times New Roman" w:hAnsi="Arial" w:cs="Arial"/>
                <w:b/>
                <w:bCs/>
                <w:sz w:val="18"/>
                <w:szCs w:val="18"/>
                <w:lang w:eastAsia="en-GB"/>
              </w:rPr>
              <w:t>Capital DEL</w:t>
            </w:r>
          </w:p>
        </w:tc>
        <w:tc>
          <w:tcPr>
            <w:tcW w:w="980" w:type="dxa"/>
            <w:tcBorders>
              <w:top w:val="single" w:sz="8" w:space="0" w:color="auto"/>
              <w:left w:val="single" w:sz="4" w:space="0" w:color="auto"/>
              <w:bottom w:val="single" w:sz="4" w:space="0" w:color="auto"/>
              <w:right w:val="single" w:sz="4" w:space="0" w:color="auto"/>
            </w:tcBorders>
            <w:shd w:val="clear" w:color="000000" w:fill="DAEEF3"/>
            <w:vAlign w:val="center"/>
            <w:hideMark/>
          </w:tcPr>
          <w:p w:rsidR="0085064D" w:rsidRPr="0085064D" w:rsidP="0085064D">
            <w:pPr>
              <w:spacing w:after="0" w:line="240" w:lineRule="auto"/>
              <w:jc w:val="center"/>
              <w:rPr>
                <w:rFonts w:ascii="Arial" w:eastAsia="Times New Roman" w:hAnsi="Arial" w:cs="Arial"/>
                <w:b/>
                <w:bCs/>
                <w:sz w:val="18"/>
                <w:szCs w:val="18"/>
                <w:lang w:eastAsia="en-GB"/>
              </w:rPr>
            </w:pPr>
            <w:r w:rsidRPr="0085064D">
              <w:rPr>
                <w:rFonts w:ascii="Arial" w:eastAsia="Times New Roman" w:hAnsi="Arial" w:cs="Arial"/>
                <w:b/>
                <w:bCs/>
                <w:sz w:val="18"/>
                <w:szCs w:val="18"/>
                <w:lang w:eastAsia="en-GB"/>
              </w:rPr>
              <w:t>2020-21</w:t>
            </w:r>
            <w:r w:rsidRPr="0085064D">
              <w:rPr>
                <w:rFonts w:ascii="Arial" w:eastAsia="Times New Roman" w:hAnsi="Arial" w:cs="Arial"/>
                <w:b/>
                <w:bCs/>
                <w:sz w:val="18"/>
                <w:szCs w:val="18"/>
                <w:lang w:eastAsia="en-GB"/>
              </w:rPr>
              <w:br/>
              <w:t>SE</w:t>
            </w:r>
          </w:p>
        </w:tc>
        <w:tc>
          <w:tcPr>
            <w:tcW w:w="980" w:type="dxa"/>
            <w:tcBorders>
              <w:top w:val="single" w:sz="8" w:space="0" w:color="auto"/>
              <w:left w:val="nil"/>
              <w:bottom w:val="single" w:sz="4" w:space="0" w:color="auto"/>
              <w:right w:val="single" w:sz="4" w:space="0" w:color="auto"/>
            </w:tcBorders>
            <w:shd w:val="clear" w:color="000000" w:fill="DAEEF3"/>
            <w:vAlign w:val="center"/>
            <w:hideMark/>
          </w:tcPr>
          <w:p w:rsidR="0085064D" w:rsidRPr="0085064D" w:rsidP="0085064D">
            <w:pPr>
              <w:spacing w:after="0" w:line="240" w:lineRule="auto"/>
              <w:jc w:val="center"/>
              <w:rPr>
                <w:rFonts w:ascii="Arial" w:eastAsia="Times New Roman" w:hAnsi="Arial" w:cs="Arial"/>
                <w:b/>
                <w:bCs/>
                <w:sz w:val="18"/>
                <w:szCs w:val="18"/>
                <w:lang w:eastAsia="en-GB"/>
              </w:rPr>
            </w:pPr>
            <w:r w:rsidRPr="0085064D">
              <w:rPr>
                <w:rFonts w:ascii="Arial" w:eastAsia="Times New Roman" w:hAnsi="Arial" w:cs="Arial"/>
                <w:b/>
                <w:bCs/>
                <w:sz w:val="18"/>
                <w:szCs w:val="18"/>
                <w:lang w:eastAsia="en-GB"/>
              </w:rPr>
              <w:t>2020-21</w:t>
            </w:r>
            <w:r w:rsidRPr="0085064D">
              <w:rPr>
                <w:rFonts w:ascii="Arial" w:eastAsia="Times New Roman" w:hAnsi="Arial" w:cs="Arial"/>
                <w:b/>
                <w:bCs/>
                <w:sz w:val="18"/>
                <w:szCs w:val="18"/>
                <w:lang w:eastAsia="en-GB"/>
              </w:rPr>
              <w:br/>
              <w:t>ME</w:t>
            </w:r>
          </w:p>
        </w:tc>
        <w:tc>
          <w:tcPr>
            <w:tcW w:w="1960" w:type="dxa"/>
            <w:gridSpan w:val="2"/>
            <w:tcBorders>
              <w:top w:val="single" w:sz="8" w:space="0" w:color="auto"/>
              <w:left w:val="nil"/>
              <w:bottom w:val="single" w:sz="4" w:space="0" w:color="auto"/>
              <w:right w:val="single" w:sz="8" w:space="0" w:color="000000"/>
            </w:tcBorders>
            <w:shd w:val="clear" w:color="000000" w:fill="DAEEF3"/>
            <w:vAlign w:val="center"/>
            <w:hideMark/>
          </w:tcPr>
          <w:p w:rsidR="0085064D" w:rsidRPr="0085064D" w:rsidP="0085064D">
            <w:pPr>
              <w:spacing w:after="0" w:line="240" w:lineRule="auto"/>
              <w:jc w:val="center"/>
              <w:rPr>
                <w:rFonts w:ascii="Arial" w:eastAsia="Times New Roman" w:hAnsi="Arial" w:cs="Arial"/>
                <w:b/>
                <w:bCs/>
                <w:sz w:val="18"/>
                <w:szCs w:val="18"/>
                <w:lang w:eastAsia="en-GB"/>
              </w:rPr>
            </w:pPr>
            <w:r w:rsidRPr="0085064D">
              <w:rPr>
                <w:rFonts w:ascii="Arial" w:eastAsia="Times New Roman" w:hAnsi="Arial" w:cs="Arial"/>
                <w:b/>
                <w:bCs/>
                <w:sz w:val="18"/>
                <w:szCs w:val="18"/>
                <w:lang w:eastAsia="en-GB"/>
              </w:rPr>
              <w:t>Change from</w:t>
            </w:r>
            <w:r w:rsidRPr="0085064D">
              <w:rPr>
                <w:rFonts w:ascii="Arial" w:eastAsia="Times New Roman" w:hAnsi="Arial" w:cs="Arial"/>
                <w:b/>
                <w:bCs/>
                <w:sz w:val="18"/>
                <w:szCs w:val="18"/>
                <w:lang w:eastAsia="en-GB"/>
              </w:rPr>
              <w:br/>
              <w:t>ME</w:t>
            </w:r>
          </w:p>
        </w:tc>
      </w:tr>
      <w:tr w:rsidTr="0085064D">
        <w:tblPrEx>
          <w:tblW w:w="8500" w:type="dxa"/>
          <w:tblLook w:val="04A0"/>
        </w:tblPrEx>
        <w:trPr>
          <w:trHeight w:val="276"/>
        </w:trPr>
        <w:tc>
          <w:tcPr>
            <w:tcW w:w="1360" w:type="dxa"/>
            <w:tcBorders>
              <w:top w:val="single" w:sz="4" w:space="0" w:color="auto"/>
              <w:left w:val="single" w:sz="8" w:space="0" w:color="auto"/>
              <w:bottom w:val="single" w:sz="8" w:space="0" w:color="auto"/>
              <w:right w:val="single" w:sz="4" w:space="0" w:color="auto"/>
            </w:tcBorders>
            <w:shd w:val="clear" w:color="000000" w:fill="DAEEF3"/>
            <w:vAlign w:val="center"/>
            <w:hideMark/>
          </w:tcPr>
          <w:p w:rsidR="0085064D" w:rsidRPr="0085064D" w:rsidP="0085064D">
            <w:pPr>
              <w:spacing w:after="0" w:line="240" w:lineRule="auto"/>
              <w:rPr>
                <w:rFonts w:ascii="Arial" w:eastAsia="Times New Roman" w:hAnsi="Arial" w:cs="Arial"/>
                <w:b/>
                <w:bCs/>
                <w:sz w:val="18"/>
                <w:szCs w:val="18"/>
                <w:lang w:eastAsia="en-GB"/>
              </w:rPr>
            </w:pPr>
            <w:r w:rsidRPr="0085064D">
              <w:rPr>
                <w:rFonts w:ascii="Arial" w:eastAsia="Times New Roman" w:hAnsi="Arial" w:cs="Arial"/>
                <w:b/>
                <w:bCs/>
                <w:sz w:val="18"/>
                <w:szCs w:val="18"/>
                <w:lang w:eastAsia="en-GB"/>
              </w:rPr>
              <w:t>Subheads</w:t>
            </w:r>
          </w:p>
        </w:tc>
        <w:tc>
          <w:tcPr>
            <w:tcW w:w="3220" w:type="dxa"/>
            <w:tcBorders>
              <w:top w:val="single" w:sz="4" w:space="0" w:color="auto"/>
              <w:left w:val="single" w:sz="8" w:space="0" w:color="auto"/>
              <w:bottom w:val="single" w:sz="8" w:space="0" w:color="auto"/>
              <w:right w:val="single" w:sz="4" w:space="0" w:color="auto"/>
            </w:tcBorders>
            <w:shd w:val="clear" w:color="000000" w:fill="DAEEF3"/>
            <w:vAlign w:val="center"/>
            <w:hideMark/>
          </w:tcPr>
          <w:p w:rsidR="0085064D" w:rsidRPr="0085064D" w:rsidP="0085064D">
            <w:pPr>
              <w:spacing w:after="0" w:line="240" w:lineRule="auto"/>
              <w:rPr>
                <w:rFonts w:ascii="Arial" w:eastAsia="Times New Roman" w:hAnsi="Arial" w:cs="Arial"/>
                <w:b/>
                <w:bCs/>
                <w:sz w:val="18"/>
                <w:szCs w:val="18"/>
                <w:lang w:eastAsia="en-GB"/>
              </w:rPr>
            </w:pPr>
            <w:r w:rsidRPr="0085064D">
              <w:rPr>
                <w:rFonts w:ascii="Arial" w:eastAsia="Times New Roman" w:hAnsi="Arial" w:cs="Arial"/>
                <w:b/>
                <w:bCs/>
                <w:sz w:val="18"/>
                <w:szCs w:val="18"/>
                <w:lang w:eastAsia="en-GB"/>
              </w:rPr>
              <w:t>Commodity Block</w:t>
            </w:r>
          </w:p>
        </w:tc>
        <w:tc>
          <w:tcPr>
            <w:tcW w:w="980" w:type="dxa"/>
            <w:tcBorders>
              <w:top w:val="nil"/>
              <w:left w:val="nil"/>
              <w:bottom w:val="single" w:sz="8" w:space="0" w:color="auto"/>
              <w:right w:val="single" w:sz="4" w:space="0" w:color="auto"/>
            </w:tcBorders>
            <w:shd w:val="clear" w:color="000000" w:fill="DAEEF3"/>
            <w:vAlign w:val="center"/>
            <w:hideMark/>
          </w:tcPr>
          <w:p w:rsidR="0085064D" w:rsidRPr="0085064D" w:rsidP="0085064D">
            <w:pPr>
              <w:spacing w:after="0" w:line="240" w:lineRule="auto"/>
              <w:jc w:val="center"/>
              <w:rPr>
                <w:rFonts w:ascii="Arial" w:eastAsia="Times New Roman" w:hAnsi="Arial" w:cs="Arial"/>
                <w:b/>
                <w:bCs/>
                <w:sz w:val="18"/>
                <w:szCs w:val="18"/>
                <w:lang w:eastAsia="en-GB"/>
              </w:rPr>
            </w:pPr>
            <w:r w:rsidRPr="0085064D">
              <w:rPr>
                <w:rFonts w:ascii="Arial" w:eastAsia="Times New Roman" w:hAnsi="Arial" w:cs="Arial"/>
                <w:b/>
                <w:bCs/>
                <w:sz w:val="18"/>
                <w:szCs w:val="18"/>
                <w:lang w:eastAsia="en-GB"/>
              </w:rPr>
              <w:t>£M</w:t>
            </w:r>
          </w:p>
        </w:tc>
        <w:tc>
          <w:tcPr>
            <w:tcW w:w="980" w:type="dxa"/>
            <w:tcBorders>
              <w:top w:val="nil"/>
              <w:left w:val="nil"/>
              <w:bottom w:val="single" w:sz="8" w:space="0" w:color="auto"/>
              <w:right w:val="single" w:sz="4" w:space="0" w:color="auto"/>
            </w:tcBorders>
            <w:shd w:val="clear" w:color="000000" w:fill="DAEEF3"/>
            <w:vAlign w:val="center"/>
            <w:hideMark/>
          </w:tcPr>
          <w:p w:rsidR="0085064D" w:rsidRPr="0085064D" w:rsidP="0085064D">
            <w:pPr>
              <w:spacing w:after="0" w:line="240" w:lineRule="auto"/>
              <w:jc w:val="center"/>
              <w:rPr>
                <w:rFonts w:ascii="Arial" w:eastAsia="Times New Roman" w:hAnsi="Arial" w:cs="Arial"/>
                <w:b/>
                <w:bCs/>
                <w:sz w:val="18"/>
                <w:szCs w:val="18"/>
                <w:lang w:eastAsia="en-GB"/>
              </w:rPr>
            </w:pPr>
            <w:r w:rsidRPr="0085064D">
              <w:rPr>
                <w:rFonts w:ascii="Arial" w:eastAsia="Times New Roman" w:hAnsi="Arial" w:cs="Arial"/>
                <w:b/>
                <w:bCs/>
                <w:sz w:val="18"/>
                <w:szCs w:val="18"/>
                <w:lang w:eastAsia="en-GB"/>
              </w:rPr>
              <w:t>£M</w:t>
            </w:r>
          </w:p>
        </w:tc>
        <w:tc>
          <w:tcPr>
            <w:tcW w:w="980" w:type="dxa"/>
            <w:tcBorders>
              <w:top w:val="nil"/>
              <w:left w:val="nil"/>
              <w:bottom w:val="single" w:sz="8" w:space="0" w:color="auto"/>
              <w:right w:val="single" w:sz="4" w:space="0" w:color="auto"/>
            </w:tcBorders>
            <w:shd w:val="clear" w:color="000000" w:fill="DAEEF3"/>
            <w:vAlign w:val="center"/>
            <w:hideMark/>
          </w:tcPr>
          <w:p w:rsidR="0085064D" w:rsidRPr="0085064D" w:rsidP="0085064D">
            <w:pPr>
              <w:spacing w:after="0" w:line="240" w:lineRule="auto"/>
              <w:jc w:val="center"/>
              <w:rPr>
                <w:rFonts w:ascii="Arial" w:eastAsia="Times New Roman" w:hAnsi="Arial" w:cs="Arial"/>
                <w:b/>
                <w:bCs/>
                <w:sz w:val="18"/>
                <w:szCs w:val="18"/>
                <w:lang w:eastAsia="en-GB"/>
              </w:rPr>
            </w:pPr>
            <w:r w:rsidRPr="0085064D">
              <w:rPr>
                <w:rFonts w:ascii="Arial" w:eastAsia="Times New Roman" w:hAnsi="Arial" w:cs="Arial"/>
                <w:b/>
                <w:bCs/>
                <w:sz w:val="18"/>
                <w:szCs w:val="18"/>
                <w:lang w:eastAsia="en-GB"/>
              </w:rPr>
              <w:t>£M</w:t>
            </w:r>
          </w:p>
        </w:tc>
        <w:tc>
          <w:tcPr>
            <w:tcW w:w="980" w:type="dxa"/>
            <w:tcBorders>
              <w:top w:val="nil"/>
              <w:left w:val="nil"/>
              <w:bottom w:val="single" w:sz="8" w:space="0" w:color="auto"/>
              <w:right w:val="single" w:sz="8" w:space="0" w:color="auto"/>
            </w:tcBorders>
            <w:shd w:val="clear" w:color="000000" w:fill="DAEEF3"/>
            <w:vAlign w:val="center"/>
            <w:hideMark/>
          </w:tcPr>
          <w:p w:rsidR="0085064D" w:rsidRPr="0085064D" w:rsidP="0085064D">
            <w:pPr>
              <w:spacing w:after="0" w:line="240" w:lineRule="auto"/>
              <w:jc w:val="center"/>
              <w:rPr>
                <w:rFonts w:ascii="Arial" w:eastAsia="Times New Roman" w:hAnsi="Arial" w:cs="Arial"/>
                <w:b/>
                <w:bCs/>
                <w:sz w:val="18"/>
                <w:szCs w:val="18"/>
                <w:lang w:eastAsia="en-GB"/>
              </w:rPr>
            </w:pPr>
            <w:r w:rsidRPr="0085064D">
              <w:rPr>
                <w:rFonts w:ascii="Arial" w:eastAsia="Times New Roman" w:hAnsi="Arial" w:cs="Arial"/>
                <w:b/>
                <w:bCs/>
                <w:sz w:val="18"/>
                <w:szCs w:val="18"/>
                <w:lang w:eastAsia="en-GB"/>
              </w:rPr>
              <w:t>%</w:t>
            </w:r>
          </w:p>
        </w:tc>
      </w:tr>
      <w:tr w:rsidTr="0085064D">
        <w:tblPrEx>
          <w:tblW w:w="8500" w:type="dxa"/>
          <w:tblLook w:val="04A0"/>
        </w:tblPrEx>
        <w:trPr>
          <w:trHeight w:val="264"/>
        </w:trPr>
        <w:tc>
          <w:tcPr>
            <w:tcW w:w="1360" w:type="dxa"/>
            <w:tcBorders>
              <w:top w:val="nil"/>
              <w:left w:val="single" w:sz="8" w:space="0" w:color="auto"/>
              <w:bottom w:val="single" w:sz="4" w:space="0" w:color="auto"/>
              <w:right w:val="single" w:sz="4" w:space="0" w:color="auto"/>
            </w:tcBorders>
            <w:shd w:val="clear" w:color="auto" w:fill="auto"/>
            <w:vAlign w:val="bottom"/>
            <w:hideMark/>
          </w:tcPr>
          <w:p w:rsidR="0085064D" w:rsidRPr="0085064D" w:rsidP="0085064D">
            <w:pPr>
              <w:spacing w:after="0" w:line="240" w:lineRule="auto"/>
              <w:jc w:val="center"/>
              <w:rPr>
                <w:rFonts w:ascii="Arial" w:eastAsia="Times New Roman" w:hAnsi="Arial" w:cs="Arial"/>
                <w:sz w:val="16"/>
                <w:szCs w:val="16"/>
                <w:lang w:eastAsia="en-GB"/>
              </w:rPr>
            </w:pPr>
            <w:r w:rsidRPr="0085064D">
              <w:rPr>
                <w:rFonts w:ascii="Arial" w:eastAsia="Times New Roman" w:hAnsi="Arial" w:cs="Arial"/>
                <w:sz w:val="16"/>
                <w:szCs w:val="16"/>
                <w:lang w:eastAsia="en-GB"/>
              </w:rPr>
              <w:t>J</w:t>
            </w:r>
          </w:p>
        </w:tc>
        <w:tc>
          <w:tcPr>
            <w:tcW w:w="3220" w:type="dxa"/>
            <w:tcBorders>
              <w:top w:val="nil"/>
              <w:left w:val="single" w:sz="8" w:space="0" w:color="auto"/>
              <w:bottom w:val="single" w:sz="4" w:space="0" w:color="auto"/>
              <w:right w:val="single" w:sz="4" w:space="0" w:color="auto"/>
            </w:tcBorders>
            <w:shd w:val="clear" w:color="auto" w:fill="auto"/>
            <w:vAlign w:val="bottom"/>
            <w:hideMark/>
          </w:tcPr>
          <w:p w:rsidR="0085064D" w:rsidRPr="0085064D" w:rsidP="0085064D">
            <w:pPr>
              <w:spacing w:after="0" w:line="240" w:lineRule="auto"/>
              <w:rPr>
                <w:rFonts w:ascii="Arial" w:eastAsia="Times New Roman" w:hAnsi="Arial" w:cs="Arial"/>
                <w:sz w:val="16"/>
                <w:szCs w:val="16"/>
                <w:lang w:eastAsia="en-GB"/>
              </w:rPr>
            </w:pPr>
            <w:r w:rsidRPr="0085064D">
              <w:rPr>
                <w:rFonts w:ascii="Arial" w:eastAsia="Times New Roman" w:hAnsi="Arial" w:cs="Arial"/>
                <w:sz w:val="16"/>
                <w:szCs w:val="16"/>
                <w:lang w:eastAsia="en-GB"/>
              </w:rPr>
              <w:t>Single Use Military Equipment</w:t>
            </w:r>
          </w:p>
        </w:tc>
        <w:tc>
          <w:tcPr>
            <w:tcW w:w="980" w:type="dxa"/>
            <w:tcBorders>
              <w:top w:val="nil"/>
              <w:left w:val="single" w:sz="8" w:space="0" w:color="auto"/>
              <w:bottom w:val="single" w:sz="4" w:space="0" w:color="auto"/>
              <w:right w:val="single" w:sz="4"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sz w:val="16"/>
                <w:szCs w:val="16"/>
                <w:lang w:eastAsia="en-GB"/>
              </w:rPr>
              <w:t xml:space="preserve"> 7,780.5 </w:t>
            </w:r>
          </w:p>
        </w:tc>
        <w:tc>
          <w:tcPr>
            <w:tcW w:w="980" w:type="dxa"/>
            <w:tcBorders>
              <w:top w:val="nil"/>
              <w:left w:val="single" w:sz="8" w:space="0" w:color="auto"/>
              <w:bottom w:val="single" w:sz="4" w:space="0" w:color="auto"/>
              <w:right w:val="single" w:sz="4"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sz w:val="16"/>
                <w:szCs w:val="16"/>
                <w:lang w:eastAsia="en-GB"/>
              </w:rPr>
              <w:t xml:space="preserve"> 6,730.5 </w:t>
            </w:r>
          </w:p>
        </w:tc>
        <w:tc>
          <w:tcPr>
            <w:tcW w:w="980" w:type="dxa"/>
            <w:tcBorders>
              <w:top w:val="nil"/>
              <w:left w:val="nil"/>
              <w:bottom w:val="single" w:sz="4" w:space="0" w:color="auto"/>
              <w:right w:val="single" w:sz="4"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sz w:val="16"/>
                <w:szCs w:val="16"/>
                <w:lang w:eastAsia="en-GB"/>
              </w:rPr>
              <w:t xml:space="preserve"> 1,050.0 </w:t>
            </w:r>
          </w:p>
        </w:tc>
        <w:tc>
          <w:tcPr>
            <w:tcW w:w="980" w:type="dxa"/>
            <w:tcBorders>
              <w:top w:val="nil"/>
              <w:left w:val="nil"/>
              <w:bottom w:val="single" w:sz="4" w:space="0" w:color="auto"/>
              <w:right w:val="single" w:sz="8"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sz w:val="16"/>
                <w:szCs w:val="16"/>
                <w:lang w:eastAsia="en-GB"/>
              </w:rPr>
              <w:t>15.6%</w:t>
            </w:r>
          </w:p>
        </w:tc>
      </w:tr>
      <w:tr w:rsidTr="0085064D">
        <w:tblPrEx>
          <w:tblW w:w="8500" w:type="dxa"/>
          <w:tblLook w:val="04A0"/>
        </w:tblPrEx>
        <w:trPr>
          <w:trHeight w:val="264"/>
        </w:trPr>
        <w:tc>
          <w:tcPr>
            <w:tcW w:w="1360" w:type="dxa"/>
            <w:tcBorders>
              <w:top w:val="nil"/>
              <w:left w:val="single" w:sz="8" w:space="0" w:color="auto"/>
              <w:bottom w:val="single" w:sz="4" w:space="0" w:color="auto"/>
              <w:right w:val="single" w:sz="4" w:space="0" w:color="auto"/>
            </w:tcBorders>
            <w:shd w:val="clear" w:color="auto" w:fill="auto"/>
            <w:vAlign w:val="bottom"/>
            <w:hideMark/>
          </w:tcPr>
          <w:p w:rsidR="0085064D" w:rsidRPr="0085064D" w:rsidP="0085064D">
            <w:pPr>
              <w:spacing w:after="0" w:line="240" w:lineRule="auto"/>
              <w:jc w:val="center"/>
              <w:rPr>
                <w:rFonts w:ascii="Arial" w:eastAsia="Times New Roman" w:hAnsi="Arial" w:cs="Arial"/>
                <w:sz w:val="16"/>
                <w:szCs w:val="16"/>
                <w:lang w:eastAsia="en-GB"/>
              </w:rPr>
            </w:pPr>
            <w:r w:rsidRPr="0085064D">
              <w:rPr>
                <w:rFonts w:ascii="Arial" w:eastAsia="Times New Roman" w:hAnsi="Arial" w:cs="Arial"/>
                <w:sz w:val="16"/>
                <w:szCs w:val="16"/>
                <w:lang w:eastAsia="en-GB"/>
              </w:rPr>
              <w:t>K,M,Y,AA,L</w:t>
            </w:r>
          </w:p>
        </w:tc>
        <w:tc>
          <w:tcPr>
            <w:tcW w:w="3220" w:type="dxa"/>
            <w:tcBorders>
              <w:top w:val="nil"/>
              <w:left w:val="single" w:sz="8" w:space="0" w:color="auto"/>
              <w:bottom w:val="single" w:sz="4" w:space="0" w:color="auto"/>
              <w:right w:val="single" w:sz="4" w:space="0" w:color="auto"/>
            </w:tcBorders>
            <w:shd w:val="clear" w:color="auto" w:fill="auto"/>
            <w:vAlign w:val="bottom"/>
            <w:hideMark/>
          </w:tcPr>
          <w:p w:rsidR="0085064D" w:rsidRPr="0085064D" w:rsidP="0085064D">
            <w:pPr>
              <w:spacing w:after="0" w:line="240" w:lineRule="auto"/>
              <w:rPr>
                <w:rFonts w:ascii="Arial" w:eastAsia="Times New Roman" w:hAnsi="Arial" w:cs="Arial"/>
                <w:sz w:val="16"/>
                <w:szCs w:val="16"/>
                <w:lang w:eastAsia="en-GB"/>
              </w:rPr>
            </w:pPr>
            <w:r w:rsidRPr="0085064D">
              <w:rPr>
                <w:rFonts w:ascii="Arial" w:eastAsia="Times New Roman" w:hAnsi="Arial" w:cs="Arial"/>
                <w:sz w:val="16"/>
                <w:szCs w:val="16"/>
                <w:lang w:eastAsia="en-GB"/>
              </w:rPr>
              <w:t>Other Capital (Fiscal)</w:t>
            </w:r>
          </w:p>
        </w:tc>
        <w:tc>
          <w:tcPr>
            <w:tcW w:w="980" w:type="dxa"/>
            <w:tcBorders>
              <w:top w:val="nil"/>
              <w:left w:val="single" w:sz="8" w:space="0" w:color="auto"/>
              <w:bottom w:val="single" w:sz="4" w:space="0" w:color="auto"/>
              <w:right w:val="single" w:sz="4"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sz w:val="16"/>
                <w:szCs w:val="16"/>
                <w:lang w:eastAsia="en-GB"/>
              </w:rPr>
              <w:t xml:space="preserve"> 2,849.3 </w:t>
            </w:r>
          </w:p>
        </w:tc>
        <w:tc>
          <w:tcPr>
            <w:tcW w:w="980" w:type="dxa"/>
            <w:tcBorders>
              <w:top w:val="nil"/>
              <w:left w:val="single" w:sz="8" w:space="0" w:color="auto"/>
              <w:bottom w:val="single" w:sz="4" w:space="0" w:color="auto"/>
              <w:right w:val="single" w:sz="4"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sz w:val="16"/>
                <w:szCs w:val="16"/>
                <w:lang w:eastAsia="en-GB"/>
              </w:rPr>
              <w:t xml:space="preserve"> 2,636.4 </w:t>
            </w:r>
          </w:p>
        </w:tc>
        <w:tc>
          <w:tcPr>
            <w:tcW w:w="980" w:type="dxa"/>
            <w:tcBorders>
              <w:top w:val="nil"/>
              <w:left w:val="nil"/>
              <w:bottom w:val="single" w:sz="4" w:space="0" w:color="auto"/>
              <w:right w:val="single" w:sz="4"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sz w:val="16"/>
                <w:szCs w:val="16"/>
                <w:lang w:eastAsia="en-GB"/>
              </w:rPr>
              <w:t xml:space="preserve"> 212.9 </w:t>
            </w:r>
          </w:p>
        </w:tc>
        <w:tc>
          <w:tcPr>
            <w:tcW w:w="980" w:type="dxa"/>
            <w:tcBorders>
              <w:top w:val="nil"/>
              <w:left w:val="nil"/>
              <w:bottom w:val="single" w:sz="4" w:space="0" w:color="auto"/>
              <w:right w:val="single" w:sz="8"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sz w:val="16"/>
                <w:szCs w:val="16"/>
                <w:lang w:eastAsia="en-GB"/>
              </w:rPr>
              <w:t>8.1%</w:t>
            </w:r>
          </w:p>
        </w:tc>
      </w:tr>
      <w:tr w:rsidTr="0085064D">
        <w:tblPrEx>
          <w:tblW w:w="8500" w:type="dxa"/>
          <w:tblLook w:val="04A0"/>
        </w:tblPrEx>
        <w:trPr>
          <w:trHeight w:val="264"/>
        </w:trPr>
        <w:tc>
          <w:tcPr>
            <w:tcW w:w="1360" w:type="dxa"/>
            <w:tcBorders>
              <w:top w:val="nil"/>
              <w:left w:val="single" w:sz="8" w:space="0" w:color="auto"/>
              <w:bottom w:val="nil"/>
              <w:right w:val="single" w:sz="4" w:space="0" w:color="auto"/>
            </w:tcBorders>
            <w:shd w:val="clear" w:color="auto" w:fill="auto"/>
            <w:vAlign w:val="bottom"/>
            <w:hideMark/>
          </w:tcPr>
          <w:p w:rsidR="0085064D" w:rsidRPr="0085064D" w:rsidP="0085064D">
            <w:pPr>
              <w:spacing w:after="0" w:line="240" w:lineRule="auto"/>
              <w:jc w:val="center"/>
              <w:rPr>
                <w:rFonts w:ascii="Arial" w:eastAsia="Times New Roman" w:hAnsi="Arial" w:cs="Arial"/>
                <w:sz w:val="16"/>
                <w:szCs w:val="16"/>
                <w:lang w:eastAsia="en-GB"/>
              </w:rPr>
            </w:pPr>
            <w:r w:rsidRPr="0085064D">
              <w:rPr>
                <w:rFonts w:ascii="Arial" w:eastAsia="Times New Roman" w:hAnsi="Arial" w:cs="Arial"/>
                <w:sz w:val="16"/>
                <w:szCs w:val="16"/>
                <w:lang w:eastAsia="en-GB"/>
              </w:rPr>
              <w:t>N</w:t>
            </w:r>
          </w:p>
        </w:tc>
        <w:tc>
          <w:tcPr>
            <w:tcW w:w="3220" w:type="dxa"/>
            <w:tcBorders>
              <w:top w:val="nil"/>
              <w:left w:val="single" w:sz="8" w:space="0" w:color="auto"/>
              <w:bottom w:val="nil"/>
              <w:right w:val="single" w:sz="4" w:space="0" w:color="auto"/>
            </w:tcBorders>
            <w:shd w:val="clear" w:color="auto" w:fill="auto"/>
            <w:vAlign w:val="bottom"/>
            <w:hideMark/>
          </w:tcPr>
          <w:p w:rsidR="0085064D" w:rsidRPr="0085064D" w:rsidP="0085064D">
            <w:pPr>
              <w:spacing w:after="0" w:line="240" w:lineRule="auto"/>
              <w:rPr>
                <w:rFonts w:ascii="Arial" w:eastAsia="Times New Roman" w:hAnsi="Arial" w:cs="Arial"/>
                <w:sz w:val="16"/>
                <w:szCs w:val="16"/>
                <w:lang w:eastAsia="en-GB"/>
              </w:rPr>
            </w:pPr>
            <w:r w:rsidRPr="0085064D">
              <w:rPr>
                <w:rFonts w:ascii="Arial" w:eastAsia="Times New Roman" w:hAnsi="Arial" w:cs="Arial"/>
                <w:sz w:val="16"/>
                <w:szCs w:val="16"/>
                <w:lang w:eastAsia="en-GB"/>
              </w:rPr>
              <w:t>Research and Development</w:t>
            </w:r>
          </w:p>
        </w:tc>
        <w:tc>
          <w:tcPr>
            <w:tcW w:w="980" w:type="dxa"/>
            <w:tcBorders>
              <w:top w:val="nil"/>
              <w:left w:val="single" w:sz="8" w:space="0" w:color="auto"/>
              <w:bottom w:val="nil"/>
              <w:right w:val="single" w:sz="4"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sz w:val="16"/>
                <w:szCs w:val="16"/>
                <w:lang w:eastAsia="en-GB"/>
              </w:rPr>
              <w:t xml:space="preserve"> 1,050.1 </w:t>
            </w:r>
          </w:p>
        </w:tc>
        <w:tc>
          <w:tcPr>
            <w:tcW w:w="980" w:type="dxa"/>
            <w:tcBorders>
              <w:top w:val="nil"/>
              <w:left w:val="single" w:sz="8" w:space="0" w:color="auto"/>
              <w:bottom w:val="nil"/>
              <w:right w:val="single" w:sz="4"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sz w:val="16"/>
                <w:szCs w:val="16"/>
                <w:lang w:eastAsia="en-GB"/>
              </w:rPr>
              <w:t xml:space="preserve"> 1,150.1 </w:t>
            </w:r>
          </w:p>
        </w:tc>
        <w:tc>
          <w:tcPr>
            <w:tcW w:w="980" w:type="dxa"/>
            <w:tcBorders>
              <w:top w:val="nil"/>
              <w:left w:val="nil"/>
              <w:bottom w:val="nil"/>
              <w:right w:val="single" w:sz="4"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color w:val="000000"/>
                <w:sz w:val="16"/>
                <w:szCs w:val="16"/>
                <w:lang w:eastAsia="en-GB"/>
              </w:rPr>
              <w:t>(100.0)</w:t>
            </w:r>
          </w:p>
        </w:tc>
        <w:tc>
          <w:tcPr>
            <w:tcW w:w="980" w:type="dxa"/>
            <w:tcBorders>
              <w:top w:val="nil"/>
              <w:left w:val="nil"/>
              <w:bottom w:val="single" w:sz="4" w:space="0" w:color="auto"/>
              <w:right w:val="single" w:sz="8"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sz w:val="16"/>
                <w:szCs w:val="16"/>
                <w:lang w:eastAsia="en-GB"/>
              </w:rPr>
              <w:t>-8.7%</w:t>
            </w:r>
          </w:p>
        </w:tc>
      </w:tr>
      <w:tr w:rsidTr="0085064D">
        <w:tblPrEx>
          <w:tblW w:w="8500" w:type="dxa"/>
          <w:tblLook w:val="04A0"/>
        </w:tblPrEx>
        <w:trPr>
          <w:trHeight w:val="276"/>
        </w:trPr>
        <w:tc>
          <w:tcPr>
            <w:tcW w:w="1360" w:type="dxa"/>
            <w:tcBorders>
              <w:top w:val="single" w:sz="4" w:space="0" w:color="auto"/>
              <w:left w:val="single" w:sz="8" w:space="0" w:color="auto"/>
              <w:bottom w:val="single" w:sz="8" w:space="0" w:color="auto"/>
              <w:right w:val="single" w:sz="4" w:space="0" w:color="auto"/>
            </w:tcBorders>
            <w:shd w:val="clear" w:color="auto" w:fill="auto"/>
            <w:vAlign w:val="bottom"/>
            <w:hideMark/>
          </w:tcPr>
          <w:p w:rsidR="0085064D" w:rsidRPr="0085064D" w:rsidP="0085064D">
            <w:pPr>
              <w:spacing w:after="0" w:line="240" w:lineRule="auto"/>
              <w:jc w:val="center"/>
              <w:rPr>
                <w:rFonts w:ascii="Arial" w:eastAsia="Times New Roman" w:hAnsi="Arial" w:cs="Arial"/>
                <w:sz w:val="16"/>
                <w:szCs w:val="16"/>
                <w:lang w:eastAsia="en-GB"/>
              </w:rPr>
            </w:pPr>
            <w:r w:rsidRPr="0085064D">
              <w:rPr>
                <w:rFonts w:ascii="Arial" w:eastAsia="Times New Roman" w:hAnsi="Arial" w:cs="Arial"/>
                <w:sz w:val="16"/>
                <w:szCs w:val="16"/>
                <w:lang w:eastAsia="en-GB"/>
              </w:rPr>
              <w:t>X,AC</w:t>
            </w:r>
          </w:p>
        </w:tc>
        <w:tc>
          <w:tcPr>
            <w:tcW w:w="3220" w:type="dxa"/>
            <w:tcBorders>
              <w:top w:val="single" w:sz="4" w:space="0" w:color="auto"/>
              <w:left w:val="single" w:sz="8" w:space="0" w:color="auto"/>
              <w:bottom w:val="single" w:sz="8" w:space="0" w:color="auto"/>
              <w:right w:val="single" w:sz="4" w:space="0" w:color="auto"/>
            </w:tcBorders>
            <w:shd w:val="clear" w:color="auto" w:fill="auto"/>
            <w:vAlign w:val="bottom"/>
            <w:hideMark/>
          </w:tcPr>
          <w:p w:rsidR="0085064D" w:rsidRPr="0085064D" w:rsidP="0085064D">
            <w:pPr>
              <w:spacing w:after="0" w:line="240" w:lineRule="auto"/>
              <w:rPr>
                <w:rFonts w:ascii="Arial" w:eastAsia="Times New Roman" w:hAnsi="Arial" w:cs="Arial"/>
                <w:sz w:val="16"/>
                <w:szCs w:val="16"/>
                <w:lang w:eastAsia="en-GB"/>
              </w:rPr>
            </w:pPr>
            <w:r w:rsidRPr="0085064D">
              <w:rPr>
                <w:rFonts w:ascii="Arial" w:eastAsia="Times New Roman" w:hAnsi="Arial" w:cs="Arial"/>
                <w:sz w:val="16"/>
                <w:szCs w:val="16"/>
                <w:lang w:eastAsia="en-GB"/>
              </w:rPr>
              <w:t>Operations and Peacekeeping (incl. CSSF)</w:t>
            </w:r>
          </w:p>
        </w:tc>
        <w:tc>
          <w:tcPr>
            <w:tcW w:w="980" w:type="dxa"/>
            <w:tcBorders>
              <w:top w:val="single" w:sz="4" w:space="0" w:color="auto"/>
              <w:left w:val="single" w:sz="8" w:space="0" w:color="auto"/>
              <w:bottom w:val="single" w:sz="8" w:space="0" w:color="auto"/>
              <w:right w:val="single" w:sz="4"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sz w:val="16"/>
                <w:szCs w:val="16"/>
                <w:lang w:eastAsia="en-GB"/>
              </w:rPr>
              <w:t xml:space="preserve"> 36.5 </w:t>
            </w:r>
          </w:p>
        </w:tc>
        <w:tc>
          <w:tcPr>
            <w:tcW w:w="980" w:type="dxa"/>
            <w:tcBorders>
              <w:top w:val="single" w:sz="4" w:space="0" w:color="auto"/>
              <w:left w:val="single" w:sz="8" w:space="0" w:color="auto"/>
              <w:bottom w:val="single" w:sz="8" w:space="0" w:color="auto"/>
              <w:right w:val="single" w:sz="4"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sz w:val="16"/>
                <w:szCs w:val="16"/>
                <w:lang w:eastAsia="en-GB"/>
              </w:rPr>
              <w:t xml:space="preserve"> 18.0 </w:t>
            </w:r>
          </w:p>
        </w:tc>
        <w:tc>
          <w:tcPr>
            <w:tcW w:w="980" w:type="dxa"/>
            <w:tcBorders>
              <w:top w:val="single" w:sz="4" w:space="0" w:color="auto"/>
              <w:left w:val="nil"/>
              <w:bottom w:val="single" w:sz="8" w:space="0" w:color="auto"/>
              <w:right w:val="single" w:sz="4"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sz w:val="16"/>
                <w:szCs w:val="16"/>
                <w:lang w:eastAsia="en-GB"/>
              </w:rPr>
              <w:t xml:space="preserve"> 18.5 </w:t>
            </w:r>
          </w:p>
        </w:tc>
        <w:tc>
          <w:tcPr>
            <w:tcW w:w="980" w:type="dxa"/>
            <w:tcBorders>
              <w:top w:val="nil"/>
              <w:left w:val="nil"/>
              <w:bottom w:val="single" w:sz="8" w:space="0" w:color="auto"/>
              <w:right w:val="single" w:sz="8" w:space="0" w:color="auto"/>
            </w:tcBorders>
            <w:shd w:val="clear" w:color="auto" w:fill="auto"/>
            <w:vAlign w:val="bottom"/>
            <w:hideMark/>
          </w:tcPr>
          <w:p w:rsidR="0085064D" w:rsidRPr="0085064D" w:rsidP="0085064D">
            <w:pPr>
              <w:spacing w:after="0" w:line="240" w:lineRule="auto"/>
              <w:jc w:val="right"/>
              <w:rPr>
                <w:rFonts w:ascii="Arial" w:eastAsia="Times New Roman" w:hAnsi="Arial" w:cs="Arial"/>
                <w:sz w:val="16"/>
                <w:szCs w:val="16"/>
                <w:lang w:eastAsia="en-GB"/>
              </w:rPr>
            </w:pPr>
            <w:r w:rsidRPr="0085064D">
              <w:rPr>
                <w:rFonts w:ascii="Arial" w:eastAsia="Times New Roman" w:hAnsi="Arial" w:cs="Arial"/>
                <w:sz w:val="16"/>
                <w:szCs w:val="16"/>
                <w:lang w:eastAsia="en-GB"/>
              </w:rPr>
              <w:t>102.7%</w:t>
            </w:r>
          </w:p>
        </w:tc>
      </w:tr>
      <w:tr w:rsidTr="0085064D">
        <w:tblPrEx>
          <w:tblW w:w="8500" w:type="dxa"/>
          <w:tblLook w:val="04A0"/>
        </w:tblPrEx>
        <w:trPr>
          <w:trHeight w:val="276"/>
        </w:trPr>
        <w:tc>
          <w:tcPr>
            <w:tcW w:w="1360" w:type="dxa"/>
            <w:tcBorders>
              <w:top w:val="nil"/>
              <w:left w:val="nil"/>
              <w:bottom w:val="nil"/>
              <w:right w:val="nil"/>
            </w:tcBorders>
            <w:shd w:val="clear" w:color="auto" w:fill="auto"/>
            <w:noWrap/>
            <w:vAlign w:val="bottom"/>
            <w:hideMark/>
          </w:tcPr>
          <w:p w:rsidR="0085064D" w:rsidRPr="0085064D" w:rsidP="0085064D">
            <w:pPr>
              <w:spacing w:after="0" w:line="240" w:lineRule="auto"/>
              <w:jc w:val="right"/>
              <w:rPr>
                <w:rFonts w:ascii="Arial" w:eastAsia="Times New Roman" w:hAnsi="Arial" w:cs="Arial"/>
                <w:sz w:val="16"/>
                <w:szCs w:val="16"/>
                <w:lang w:eastAsia="en-GB"/>
              </w:rPr>
            </w:pPr>
          </w:p>
        </w:tc>
        <w:tc>
          <w:tcPr>
            <w:tcW w:w="3220" w:type="dxa"/>
            <w:tcBorders>
              <w:top w:val="nil"/>
              <w:left w:val="nil"/>
              <w:bottom w:val="nil"/>
              <w:right w:val="nil"/>
            </w:tcBorders>
            <w:shd w:val="clear" w:color="auto" w:fill="auto"/>
            <w:noWrap/>
            <w:vAlign w:val="bottom"/>
            <w:hideMark/>
          </w:tcPr>
          <w:p w:rsidR="0085064D" w:rsidRPr="0085064D" w:rsidP="0085064D">
            <w:pPr>
              <w:spacing w:after="0" w:line="240" w:lineRule="auto"/>
              <w:rPr>
                <w:rFonts w:ascii="Times New Roman" w:eastAsia="Times New Roman" w:hAnsi="Times New Roman" w:cs="Times New Roman"/>
                <w:sz w:val="20"/>
                <w:szCs w:val="20"/>
                <w:lang w:eastAsia="en-GB"/>
              </w:rPr>
            </w:pPr>
          </w:p>
        </w:tc>
        <w:tc>
          <w:tcPr>
            <w:tcW w:w="980" w:type="dxa"/>
            <w:tcBorders>
              <w:top w:val="nil"/>
              <w:left w:val="single" w:sz="8" w:space="0" w:color="auto"/>
              <w:bottom w:val="single" w:sz="8" w:space="0" w:color="auto"/>
              <w:right w:val="single" w:sz="4" w:space="0" w:color="auto"/>
            </w:tcBorders>
            <w:shd w:val="clear" w:color="000000" w:fill="DAEEF3"/>
            <w:vAlign w:val="bottom"/>
            <w:hideMark/>
          </w:tcPr>
          <w:p w:rsidR="0085064D" w:rsidRPr="0085064D" w:rsidP="0085064D">
            <w:pPr>
              <w:spacing w:after="0" w:line="240" w:lineRule="auto"/>
              <w:jc w:val="right"/>
              <w:rPr>
                <w:rFonts w:ascii="Arial" w:eastAsia="Times New Roman" w:hAnsi="Arial" w:cs="Arial"/>
                <w:b/>
                <w:bCs/>
                <w:sz w:val="16"/>
                <w:szCs w:val="16"/>
                <w:lang w:eastAsia="en-GB"/>
              </w:rPr>
            </w:pPr>
            <w:r w:rsidRPr="0085064D">
              <w:rPr>
                <w:rFonts w:ascii="Arial" w:eastAsia="Times New Roman" w:hAnsi="Arial" w:cs="Arial"/>
                <w:b/>
                <w:bCs/>
                <w:sz w:val="16"/>
                <w:szCs w:val="16"/>
                <w:lang w:eastAsia="en-GB"/>
              </w:rPr>
              <w:t xml:space="preserve"> 11,716.4 </w:t>
            </w:r>
          </w:p>
        </w:tc>
        <w:tc>
          <w:tcPr>
            <w:tcW w:w="980" w:type="dxa"/>
            <w:tcBorders>
              <w:top w:val="nil"/>
              <w:left w:val="nil"/>
              <w:bottom w:val="single" w:sz="8" w:space="0" w:color="auto"/>
              <w:right w:val="single" w:sz="4" w:space="0" w:color="auto"/>
            </w:tcBorders>
            <w:shd w:val="clear" w:color="000000" w:fill="DAEEF3"/>
            <w:vAlign w:val="bottom"/>
            <w:hideMark/>
          </w:tcPr>
          <w:p w:rsidR="0085064D" w:rsidRPr="0085064D" w:rsidP="0085064D">
            <w:pPr>
              <w:spacing w:after="0" w:line="240" w:lineRule="auto"/>
              <w:jc w:val="right"/>
              <w:rPr>
                <w:rFonts w:ascii="Arial" w:eastAsia="Times New Roman" w:hAnsi="Arial" w:cs="Arial"/>
                <w:b/>
                <w:bCs/>
                <w:sz w:val="16"/>
                <w:szCs w:val="16"/>
                <w:lang w:eastAsia="en-GB"/>
              </w:rPr>
            </w:pPr>
            <w:r w:rsidRPr="0085064D">
              <w:rPr>
                <w:rFonts w:ascii="Arial" w:eastAsia="Times New Roman" w:hAnsi="Arial" w:cs="Arial"/>
                <w:b/>
                <w:bCs/>
                <w:sz w:val="16"/>
                <w:szCs w:val="16"/>
                <w:lang w:eastAsia="en-GB"/>
              </w:rPr>
              <w:t xml:space="preserve"> 10,535.0 </w:t>
            </w:r>
          </w:p>
        </w:tc>
        <w:tc>
          <w:tcPr>
            <w:tcW w:w="980" w:type="dxa"/>
            <w:tcBorders>
              <w:top w:val="nil"/>
              <w:left w:val="nil"/>
              <w:bottom w:val="single" w:sz="8" w:space="0" w:color="auto"/>
              <w:right w:val="single" w:sz="4" w:space="0" w:color="auto"/>
            </w:tcBorders>
            <w:shd w:val="clear" w:color="000000" w:fill="DAEEF3"/>
            <w:vAlign w:val="bottom"/>
            <w:hideMark/>
          </w:tcPr>
          <w:p w:rsidR="0085064D" w:rsidRPr="0085064D" w:rsidP="0085064D">
            <w:pPr>
              <w:spacing w:after="0" w:line="240" w:lineRule="auto"/>
              <w:jc w:val="right"/>
              <w:rPr>
                <w:rFonts w:ascii="Arial" w:eastAsia="Times New Roman" w:hAnsi="Arial" w:cs="Arial"/>
                <w:b/>
                <w:bCs/>
                <w:sz w:val="16"/>
                <w:szCs w:val="16"/>
                <w:lang w:eastAsia="en-GB"/>
              </w:rPr>
            </w:pPr>
            <w:r w:rsidRPr="0085064D">
              <w:rPr>
                <w:rFonts w:ascii="Arial" w:eastAsia="Times New Roman" w:hAnsi="Arial" w:cs="Arial"/>
                <w:b/>
                <w:bCs/>
                <w:sz w:val="16"/>
                <w:szCs w:val="16"/>
                <w:lang w:eastAsia="en-GB"/>
              </w:rPr>
              <w:t xml:space="preserve"> 1,181.4 </w:t>
            </w:r>
          </w:p>
        </w:tc>
        <w:tc>
          <w:tcPr>
            <w:tcW w:w="980" w:type="dxa"/>
            <w:tcBorders>
              <w:top w:val="nil"/>
              <w:left w:val="nil"/>
              <w:bottom w:val="single" w:sz="8" w:space="0" w:color="auto"/>
              <w:right w:val="single" w:sz="8" w:space="0" w:color="auto"/>
            </w:tcBorders>
            <w:shd w:val="clear" w:color="000000" w:fill="DAEEF3"/>
            <w:vAlign w:val="bottom"/>
            <w:hideMark/>
          </w:tcPr>
          <w:p w:rsidR="0085064D" w:rsidRPr="0085064D" w:rsidP="0085064D">
            <w:pPr>
              <w:spacing w:after="0" w:line="240" w:lineRule="auto"/>
              <w:jc w:val="right"/>
              <w:rPr>
                <w:rFonts w:ascii="Arial" w:eastAsia="Times New Roman" w:hAnsi="Arial" w:cs="Arial"/>
                <w:b/>
                <w:bCs/>
                <w:sz w:val="16"/>
                <w:szCs w:val="16"/>
                <w:lang w:eastAsia="en-GB"/>
              </w:rPr>
            </w:pPr>
            <w:r w:rsidRPr="0085064D">
              <w:rPr>
                <w:rFonts w:ascii="Arial" w:eastAsia="Times New Roman" w:hAnsi="Arial" w:cs="Arial"/>
                <w:b/>
                <w:bCs/>
                <w:sz w:val="16"/>
                <w:szCs w:val="16"/>
                <w:lang w:eastAsia="en-GB"/>
              </w:rPr>
              <w:t>11.2%</w:t>
            </w:r>
          </w:p>
        </w:tc>
      </w:tr>
    </w:tbl>
    <w:p w:rsidR="003D1C11" w:rsidP="00E41281"/>
    <w:p w:rsidR="00C9747E" w:rsidRPr="008112DB" w:rsidP="00E41281">
      <w:r>
        <w:t>With this</w:t>
      </w:r>
      <w:r w:rsidR="00CA52F4">
        <w:t xml:space="preserve"> Supplementary </w:t>
      </w:r>
      <w:r w:rsidR="003007D1">
        <w:t xml:space="preserve">Estimate, </w:t>
      </w:r>
      <w:r w:rsidR="0030253E">
        <w:t xml:space="preserve">the Capital </w:t>
      </w:r>
      <w:r w:rsidR="00515176">
        <w:t xml:space="preserve">DEL has been uplifted </w:t>
      </w:r>
      <w:r w:rsidR="005B7660">
        <w:t xml:space="preserve">after addressing </w:t>
      </w:r>
      <w:r w:rsidR="00957E06">
        <w:t xml:space="preserve">the cash </w:t>
      </w:r>
      <w:r w:rsidR="000971A7">
        <w:t xml:space="preserve">resource and </w:t>
      </w:r>
      <w:r w:rsidR="00BE3BC2">
        <w:t>capital DEL</w:t>
      </w:r>
      <w:r w:rsidR="00C7189B">
        <w:t xml:space="preserve"> imbalance</w:t>
      </w:r>
      <w:r w:rsidR="00563455">
        <w:t xml:space="preserve">. The </w:t>
      </w:r>
      <w:r w:rsidR="00971277">
        <w:t xml:space="preserve">change in the Supplementary </w:t>
      </w:r>
      <w:r w:rsidR="00DE63A1">
        <w:t>Estimate reflect</w:t>
      </w:r>
      <w:r w:rsidR="001B0823">
        <w:t>s</w:t>
      </w:r>
      <w:r w:rsidR="00DE63A1">
        <w:t xml:space="preserve"> </w:t>
      </w:r>
      <w:r w:rsidR="00836D71">
        <w:t>the current in-year forecast</w:t>
      </w:r>
      <w:r w:rsidR="00F22D7D">
        <w:t xml:space="preserve">, along with subsequent </w:t>
      </w:r>
      <w:r w:rsidR="00066716">
        <w:t xml:space="preserve">funding adjustments. </w:t>
      </w:r>
      <w:r w:rsidR="009F1181">
        <w:t>The main elements of these changes are:</w:t>
      </w:r>
    </w:p>
    <w:p w:rsidR="008112DB" w:rsidP="008112DB">
      <w:pPr>
        <w:pStyle w:val="ListParagraph"/>
        <w:numPr>
          <w:ilvl w:val="0"/>
          <w:numId w:val="35"/>
        </w:numPr>
      </w:pPr>
      <w:r w:rsidRPr="00E97097">
        <w:t>£</w:t>
      </w:r>
      <w:r w:rsidRPr="00E97097" w:rsidR="003A18AD">
        <w:t>1</w:t>
      </w:r>
      <w:r w:rsidR="00C51BE2">
        <w:t>9</w:t>
      </w:r>
      <w:r w:rsidR="00DA2001">
        <w:t>m</w:t>
      </w:r>
      <w:r w:rsidRPr="00E97097">
        <w:t xml:space="preserve"> </w:t>
      </w:r>
      <w:r w:rsidR="00F77042">
        <w:t xml:space="preserve">from the Reserve </w:t>
      </w:r>
      <w:r w:rsidRPr="00E97097">
        <w:t xml:space="preserve">to </w:t>
      </w:r>
      <w:r>
        <w:t>cover</w:t>
      </w:r>
      <w:r w:rsidR="00F77042">
        <w:t xml:space="preserve"> the</w:t>
      </w:r>
      <w:r>
        <w:t xml:space="preserve"> </w:t>
      </w:r>
      <w:r w:rsidR="00374ADD">
        <w:t>additional</w:t>
      </w:r>
      <w:r>
        <w:t xml:space="preserve"> costs of operations.</w:t>
      </w:r>
    </w:p>
    <w:p w:rsidR="00374ADD" w:rsidP="008112DB">
      <w:pPr>
        <w:pStyle w:val="ListParagraph"/>
        <w:numPr>
          <w:ilvl w:val="0"/>
          <w:numId w:val="35"/>
        </w:numPr>
      </w:pPr>
      <w:r>
        <w:t>A budget uplift</w:t>
      </w:r>
      <w:r w:rsidR="00770F1F">
        <w:t xml:space="preserve"> of £</w:t>
      </w:r>
      <w:r w:rsidR="009D510F">
        <w:t>724</w:t>
      </w:r>
      <w:r w:rsidR="00DF18D8">
        <w:t>m</w:t>
      </w:r>
      <w:r>
        <w:t xml:space="preserve"> to reflect the Capital Equipment Programme</w:t>
      </w:r>
      <w:r w:rsidR="004E1D9E">
        <w:t>,</w:t>
      </w:r>
      <w:r>
        <w:t xml:space="preserve"> including Dreadnought</w:t>
      </w:r>
      <w:r w:rsidR="00DF18D8">
        <w:t>.</w:t>
      </w:r>
      <w:r w:rsidR="00770F1F">
        <w:t xml:space="preserve"> </w:t>
      </w:r>
    </w:p>
    <w:p w:rsidR="00B93767" w:rsidP="008112DB">
      <w:pPr>
        <w:pStyle w:val="ListParagraph"/>
        <w:numPr>
          <w:ilvl w:val="0"/>
          <w:numId w:val="35"/>
        </w:numPr>
      </w:pPr>
      <w:r>
        <w:t>A</w:t>
      </w:r>
      <w:r w:rsidR="006148EA">
        <w:t xml:space="preserve">n </w:t>
      </w:r>
      <w:r>
        <w:t>uplift</w:t>
      </w:r>
      <w:r w:rsidR="00DF18D8">
        <w:t xml:space="preserve"> of £109m</w:t>
      </w:r>
      <w:r>
        <w:t xml:space="preserve"> in the Infrastructure Programme</w:t>
      </w:r>
      <w:r w:rsidR="006148EA">
        <w:t xml:space="preserve"> from the Chancellor’s fiscal stimulus announcement</w:t>
      </w:r>
      <w:r w:rsidR="00DF18D8">
        <w:t>.</w:t>
      </w:r>
      <w:r w:rsidRPr="000B03A3" w:rsidR="000B03A3">
        <w:t xml:space="preserve"> </w:t>
      </w:r>
      <w:r>
        <w:fldChar w:fldCharType="begin"/>
      </w:r>
      <w:r>
        <w:instrText xml:space="preserve"> HYPERLINK "https://gbr01.safelinks.protection.outlook.com/?url=https%3A%2F%2Fwww.gov.uk%2Fgovernment%2Fnews%2F200-million-announced-for-vital-improvements-to-troops-accommodation&amp;data=04%7C01%7CTina.Whiteland330%40mod.gov.uk%7C7810e505620f4a205b3508d8d26969d1%7Cbe7760ed5953484bae95d0a16dfa09e5%7C0%7C0%7C637490697465644204%7CUnknown%7CTWFpbGZsb3d8eyJWIjoiMC4wLjAwMDAiLCJQIjoiV2luMzIiLCJBTiI6Ik1haWwiLCJXVCI6Mn0%3D%7C1000&amp;sdata=rJnM4e0ysPXVUHkhiZC%2Fi5pfD2gzQtc2%2FqAkDcIq4tA%3D&amp;reserved=0" </w:instrText>
      </w:r>
      <w:r>
        <w:fldChar w:fldCharType="separate"/>
      </w:r>
      <w:r w:rsidR="000B03A3">
        <w:rPr>
          <w:rStyle w:val="Hyperlink"/>
        </w:rPr>
        <w:t>https://www.gov.uk/government/news/200-million-announced-for-vital-improvements-to-troops-accommodation</w:t>
      </w:r>
      <w:r>
        <w:fldChar w:fldCharType="end"/>
      </w:r>
    </w:p>
    <w:p w:rsidR="00D03C6C" w:rsidP="008112DB">
      <w:pPr>
        <w:pStyle w:val="ListParagraph"/>
        <w:numPr>
          <w:ilvl w:val="0"/>
          <w:numId w:val="35"/>
        </w:numPr>
      </w:pPr>
      <w:r>
        <w:t>A</w:t>
      </w:r>
      <w:r w:rsidR="00CA3347">
        <w:t xml:space="preserve"> </w:t>
      </w:r>
      <w:r w:rsidR="00E32247">
        <w:t>movement from RDEL</w:t>
      </w:r>
      <w:r w:rsidR="003C46D4">
        <w:t xml:space="preserve"> to </w:t>
      </w:r>
      <w:r w:rsidRPr="00E97097" w:rsidR="003C46D4">
        <w:t>CDEL</w:t>
      </w:r>
      <w:r w:rsidRPr="00E97097" w:rsidR="003B7496">
        <w:t xml:space="preserve"> </w:t>
      </w:r>
      <w:r w:rsidRPr="00E97097" w:rsidR="00AC7EA3">
        <w:t>of £</w:t>
      </w:r>
      <w:r w:rsidRPr="00E97097" w:rsidR="003A18AD">
        <w:t>30</w:t>
      </w:r>
      <w:r w:rsidR="00A612F9">
        <w:t>0</w:t>
      </w:r>
      <w:r w:rsidR="00FC12C6">
        <w:t>m</w:t>
      </w:r>
      <w:r w:rsidRPr="00E97097" w:rsidR="000B7C92">
        <w:t xml:space="preserve"> to align </w:t>
      </w:r>
      <w:r w:rsidR="005E5825">
        <w:t>the Department</w:t>
      </w:r>
      <w:r w:rsidR="0040427D">
        <w:t xml:space="preserve">’s control totals </w:t>
      </w:r>
      <w:r w:rsidR="00A314ED">
        <w:t xml:space="preserve">with the forecast </w:t>
      </w:r>
      <w:r w:rsidR="006040B9">
        <w:t>cost of the</w:t>
      </w:r>
      <w:r w:rsidR="008E61C0">
        <w:t xml:space="preserve"> Defence </w:t>
      </w:r>
      <w:r w:rsidR="0026434F">
        <w:t>programme</w:t>
      </w:r>
      <w:r w:rsidR="00DC2F8C">
        <w:t>.</w:t>
      </w:r>
    </w:p>
    <w:p w:rsidR="009D137E" w:rsidP="00000265">
      <w:pPr>
        <w:pStyle w:val="ListParagraph"/>
        <w:numPr>
          <w:ilvl w:val="0"/>
          <w:numId w:val="35"/>
        </w:numPr>
      </w:pPr>
      <w:r>
        <w:t>Budget cover transfers to</w:t>
      </w:r>
      <w:r w:rsidR="002951C3">
        <w:t>/from Other Government Departments (OGDs)</w:t>
      </w:r>
      <w:r w:rsidR="00DA2001">
        <w:t xml:space="preserve"> totalling £</w:t>
      </w:r>
      <w:r w:rsidR="000D3E55">
        <w:t>29m</w:t>
      </w:r>
      <w:r w:rsidR="00FC12C6">
        <w:t>.</w:t>
      </w:r>
    </w:p>
    <w:p w:rsidR="00D3272A" w:rsidRPr="001110F1" w:rsidP="001C24B7">
      <w:pPr>
        <w:pStyle w:val="Heading3"/>
        <w:rPr>
          <w:rFonts w:asciiTheme="minorHAnsi" w:hAnsiTheme="minorHAnsi"/>
        </w:rPr>
      </w:pPr>
      <w:r w:rsidRPr="001110F1">
        <w:rPr>
          <w:rFonts w:asciiTheme="minorHAnsi" w:hAnsiTheme="minorHAnsi"/>
        </w:rPr>
        <w:t xml:space="preserve">AME </w:t>
      </w:r>
    </w:p>
    <w:p w:rsidR="00CF3131" w:rsidP="00CF3131">
      <w:pPr>
        <w:spacing w:after="0" w:line="240" w:lineRule="auto"/>
      </w:pPr>
      <w:r>
        <w:t xml:space="preserve">The table below shows how spending plans for Resource AME compared with Main Estimate.  Additional provisions </w:t>
      </w:r>
      <w:r w:rsidRPr="00E97097">
        <w:t>of £</w:t>
      </w:r>
      <w:r w:rsidRPr="00E97097" w:rsidR="00CE6899">
        <w:t>1.2</w:t>
      </w:r>
      <w:r w:rsidRPr="00E97097">
        <w:t xml:space="preserve">Bn is required for current provisions to bring our forecast in line with the recent change in HM Treasury’s Discount </w:t>
      </w:r>
      <w:r>
        <w:t>Rates for Post Employment Benefits and General Provisions</w:t>
      </w:r>
      <w:r w:rsidR="00EE2D28">
        <w:t xml:space="preserve"> and revisions of estimates</w:t>
      </w:r>
      <w:r>
        <w:t>. These changes take a realistic view based on the latest forecasts.</w:t>
      </w:r>
    </w:p>
    <w:p w:rsidR="00BA3872" w:rsidP="00CF3131">
      <w:pPr>
        <w:spacing w:after="0" w:line="240" w:lineRule="auto"/>
        <w:rPr>
          <w:b/>
          <w:bCs/>
        </w:rPr>
      </w:pPr>
    </w:p>
    <w:p w:rsidR="00A36736" w:rsidP="00CF3131">
      <w:pPr>
        <w:spacing w:after="0" w:line="240" w:lineRule="auto"/>
      </w:pPr>
      <w:r w:rsidRPr="00156CA3">
        <w:rPr>
          <w:b/>
          <w:bCs/>
        </w:rPr>
        <w:t xml:space="preserve">Table 5: </w:t>
      </w:r>
      <w:r w:rsidRPr="00CD11A8" w:rsidR="00156CA3">
        <w:rPr>
          <w:rFonts w:ascii="Arial" w:eastAsia="Times New Roman" w:hAnsi="Arial" w:cs="Arial"/>
          <w:b/>
          <w:bCs/>
          <w:sz w:val="20"/>
          <w:szCs w:val="20"/>
          <w:lang w:eastAsia="en-GB"/>
        </w:rPr>
        <w:t>Supplementary Estimate total sought for MOD compared with 2020-21 Main Estimate</w:t>
      </w:r>
    </w:p>
    <w:tbl>
      <w:tblPr>
        <w:tblW w:w="6560" w:type="dxa"/>
        <w:tblInd w:w="-10" w:type="dxa"/>
        <w:tblLook w:val="04A0"/>
      </w:tblPr>
      <w:tblGrid>
        <w:gridCol w:w="1880"/>
        <w:gridCol w:w="980"/>
        <w:gridCol w:w="980"/>
        <w:gridCol w:w="980"/>
        <w:gridCol w:w="980"/>
        <w:gridCol w:w="760"/>
      </w:tblGrid>
      <w:tr w:rsidTr="00A36736">
        <w:tblPrEx>
          <w:tblW w:w="6560" w:type="dxa"/>
          <w:tblInd w:w="-10" w:type="dxa"/>
          <w:tblLook w:val="04A0"/>
        </w:tblPrEx>
        <w:trPr>
          <w:trHeight w:val="480"/>
        </w:trPr>
        <w:tc>
          <w:tcPr>
            <w:tcW w:w="1880" w:type="dxa"/>
            <w:tcBorders>
              <w:top w:val="single" w:sz="8" w:space="0" w:color="auto"/>
              <w:left w:val="single" w:sz="8" w:space="0" w:color="auto"/>
              <w:bottom w:val="nil"/>
              <w:right w:val="nil"/>
            </w:tcBorders>
            <w:shd w:val="clear" w:color="000000" w:fill="DAEEF3"/>
            <w:vAlign w:val="center"/>
            <w:hideMark/>
          </w:tcPr>
          <w:p w:rsidR="007B443D" w:rsidRPr="007B443D" w:rsidP="007B443D">
            <w:pPr>
              <w:spacing w:after="0" w:line="240" w:lineRule="auto"/>
              <w:jc w:val="center"/>
              <w:rPr>
                <w:rFonts w:ascii="Arial" w:eastAsia="Times New Roman" w:hAnsi="Arial" w:cs="Arial"/>
                <w:b/>
                <w:bCs/>
                <w:sz w:val="18"/>
                <w:szCs w:val="18"/>
                <w:lang w:eastAsia="en-GB"/>
              </w:rPr>
            </w:pPr>
            <w:r w:rsidRPr="007B443D">
              <w:rPr>
                <w:rFonts w:ascii="Arial" w:eastAsia="Times New Roman" w:hAnsi="Arial" w:cs="Arial"/>
                <w:b/>
                <w:bCs/>
                <w:sz w:val="18"/>
                <w:szCs w:val="18"/>
                <w:lang w:eastAsia="en-GB"/>
              </w:rPr>
              <w:t>AME</w:t>
            </w:r>
          </w:p>
        </w:tc>
        <w:tc>
          <w:tcPr>
            <w:tcW w:w="980" w:type="dxa"/>
            <w:tcBorders>
              <w:top w:val="single" w:sz="8" w:space="0" w:color="auto"/>
              <w:left w:val="single" w:sz="4" w:space="0" w:color="auto"/>
              <w:bottom w:val="single" w:sz="4" w:space="0" w:color="auto"/>
              <w:right w:val="single" w:sz="4" w:space="0" w:color="auto"/>
            </w:tcBorders>
            <w:shd w:val="clear" w:color="000000" w:fill="DAEEF3"/>
            <w:vAlign w:val="center"/>
            <w:hideMark/>
          </w:tcPr>
          <w:p w:rsidR="007B443D" w:rsidRPr="007B443D" w:rsidP="007B443D">
            <w:pPr>
              <w:spacing w:after="0" w:line="240" w:lineRule="auto"/>
              <w:jc w:val="center"/>
              <w:rPr>
                <w:rFonts w:ascii="Arial" w:eastAsia="Times New Roman" w:hAnsi="Arial" w:cs="Arial"/>
                <w:b/>
                <w:bCs/>
                <w:sz w:val="18"/>
                <w:szCs w:val="18"/>
                <w:lang w:eastAsia="en-GB"/>
              </w:rPr>
            </w:pPr>
            <w:r w:rsidRPr="007B443D">
              <w:rPr>
                <w:rFonts w:ascii="Arial" w:eastAsia="Times New Roman" w:hAnsi="Arial" w:cs="Arial"/>
                <w:b/>
                <w:bCs/>
                <w:sz w:val="18"/>
                <w:szCs w:val="18"/>
                <w:lang w:eastAsia="en-GB"/>
              </w:rPr>
              <w:t>2020-21</w:t>
            </w:r>
            <w:r w:rsidRPr="007B443D">
              <w:rPr>
                <w:rFonts w:ascii="Arial" w:eastAsia="Times New Roman" w:hAnsi="Arial" w:cs="Arial"/>
                <w:b/>
                <w:bCs/>
                <w:sz w:val="18"/>
                <w:szCs w:val="18"/>
                <w:lang w:eastAsia="en-GB"/>
              </w:rPr>
              <w:br/>
              <w:t>SE</w:t>
            </w:r>
          </w:p>
        </w:tc>
        <w:tc>
          <w:tcPr>
            <w:tcW w:w="980" w:type="dxa"/>
            <w:tcBorders>
              <w:top w:val="single" w:sz="8" w:space="0" w:color="auto"/>
              <w:left w:val="nil"/>
              <w:bottom w:val="single" w:sz="4" w:space="0" w:color="auto"/>
              <w:right w:val="single" w:sz="4" w:space="0" w:color="auto"/>
            </w:tcBorders>
            <w:shd w:val="clear" w:color="000000" w:fill="DAEEF3"/>
            <w:vAlign w:val="center"/>
            <w:hideMark/>
          </w:tcPr>
          <w:p w:rsidR="007B443D" w:rsidRPr="007B443D" w:rsidP="007B443D">
            <w:pPr>
              <w:spacing w:after="0" w:line="240" w:lineRule="auto"/>
              <w:jc w:val="center"/>
              <w:rPr>
                <w:rFonts w:ascii="Arial" w:eastAsia="Times New Roman" w:hAnsi="Arial" w:cs="Arial"/>
                <w:b/>
                <w:bCs/>
                <w:sz w:val="18"/>
                <w:szCs w:val="18"/>
                <w:lang w:eastAsia="en-GB"/>
              </w:rPr>
            </w:pPr>
            <w:r w:rsidRPr="007B443D">
              <w:rPr>
                <w:rFonts w:ascii="Arial" w:eastAsia="Times New Roman" w:hAnsi="Arial" w:cs="Arial"/>
                <w:b/>
                <w:bCs/>
                <w:sz w:val="18"/>
                <w:szCs w:val="18"/>
                <w:lang w:eastAsia="en-GB"/>
              </w:rPr>
              <w:t>2020-21</w:t>
            </w:r>
            <w:r w:rsidRPr="007B443D">
              <w:rPr>
                <w:rFonts w:ascii="Arial" w:eastAsia="Times New Roman" w:hAnsi="Arial" w:cs="Arial"/>
                <w:b/>
                <w:bCs/>
                <w:sz w:val="18"/>
                <w:szCs w:val="18"/>
                <w:lang w:eastAsia="en-GB"/>
              </w:rPr>
              <w:br/>
              <w:t>ME</w:t>
            </w:r>
          </w:p>
        </w:tc>
        <w:tc>
          <w:tcPr>
            <w:tcW w:w="1960" w:type="dxa"/>
            <w:gridSpan w:val="2"/>
            <w:tcBorders>
              <w:top w:val="single" w:sz="8" w:space="0" w:color="auto"/>
              <w:left w:val="nil"/>
              <w:bottom w:val="single" w:sz="4" w:space="0" w:color="auto"/>
              <w:right w:val="single" w:sz="8" w:space="0" w:color="000000"/>
            </w:tcBorders>
            <w:shd w:val="clear" w:color="000000" w:fill="DAEEF3"/>
            <w:vAlign w:val="center"/>
            <w:hideMark/>
          </w:tcPr>
          <w:p w:rsidR="007B443D" w:rsidRPr="007B443D" w:rsidP="007B443D">
            <w:pPr>
              <w:spacing w:after="0" w:line="240" w:lineRule="auto"/>
              <w:jc w:val="center"/>
              <w:rPr>
                <w:rFonts w:ascii="Arial" w:eastAsia="Times New Roman" w:hAnsi="Arial" w:cs="Arial"/>
                <w:b/>
                <w:bCs/>
                <w:sz w:val="18"/>
                <w:szCs w:val="18"/>
                <w:lang w:eastAsia="en-GB"/>
              </w:rPr>
            </w:pPr>
            <w:r w:rsidRPr="007B443D">
              <w:rPr>
                <w:rFonts w:ascii="Arial" w:eastAsia="Times New Roman" w:hAnsi="Arial" w:cs="Arial"/>
                <w:b/>
                <w:bCs/>
                <w:sz w:val="18"/>
                <w:szCs w:val="18"/>
                <w:lang w:eastAsia="en-GB"/>
              </w:rPr>
              <w:t>Change from</w:t>
            </w:r>
            <w:r w:rsidRPr="007B443D">
              <w:rPr>
                <w:rFonts w:ascii="Arial" w:eastAsia="Times New Roman" w:hAnsi="Arial" w:cs="Arial"/>
                <w:b/>
                <w:bCs/>
                <w:sz w:val="18"/>
                <w:szCs w:val="18"/>
                <w:lang w:eastAsia="en-GB"/>
              </w:rPr>
              <w:br/>
              <w:t>Main Estimate</w:t>
            </w:r>
          </w:p>
        </w:tc>
        <w:tc>
          <w:tcPr>
            <w:tcW w:w="760" w:type="dxa"/>
            <w:tcBorders>
              <w:top w:val="nil"/>
              <w:left w:val="nil"/>
              <w:bottom w:val="nil"/>
              <w:right w:val="nil"/>
            </w:tcBorders>
            <w:shd w:val="clear" w:color="auto" w:fill="auto"/>
            <w:noWrap/>
            <w:vAlign w:val="bottom"/>
            <w:hideMark/>
          </w:tcPr>
          <w:p w:rsidR="007B443D" w:rsidRPr="007B443D" w:rsidP="007B443D">
            <w:pPr>
              <w:spacing w:after="0" w:line="240" w:lineRule="auto"/>
              <w:jc w:val="center"/>
              <w:rPr>
                <w:rFonts w:ascii="Arial" w:eastAsia="Times New Roman" w:hAnsi="Arial" w:cs="Arial"/>
                <w:b/>
                <w:bCs/>
                <w:sz w:val="18"/>
                <w:szCs w:val="18"/>
                <w:lang w:eastAsia="en-GB"/>
              </w:rPr>
            </w:pPr>
          </w:p>
        </w:tc>
      </w:tr>
      <w:tr w:rsidTr="00A36736">
        <w:tblPrEx>
          <w:tblW w:w="6560" w:type="dxa"/>
          <w:tblInd w:w="-10" w:type="dxa"/>
          <w:tblLook w:val="04A0"/>
        </w:tblPrEx>
        <w:trPr>
          <w:trHeight w:val="276"/>
        </w:trPr>
        <w:tc>
          <w:tcPr>
            <w:tcW w:w="1880" w:type="dxa"/>
            <w:tcBorders>
              <w:top w:val="single" w:sz="4" w:space="0" w:color="auto"/>
              <w:left w:val="single" w:sz="8" w:space="0" w:color="auto"/>
              <w:bottom w:val="single" w:sz="8" w:space="0" w:color="auto"/>
              <w:right w:val="single" w:sz="4" w:space="0" w:color="auto"/>
            </w:tcBorders>
            <w:shd w:val="clear" w:color="000000" w:fill="DAEEF3"/>
            <w:vAlign w:val="center"/>
            <w:hideMark/>
          </w:tcPr>
          <w:p w:rsidR="007B443D" w:rsidRPr="007B443D" w:rsidP="007B443D">
            <w:pPr>
              <w:spacing w:after="0" w:line="240" w:lineRule="auto"/>
              <w:rPr>
                <w:rFonts w:ascii="Arial" w:eastAsia="Times New Roman" w:hAnsi="Arial" w:cs="Arial"/>
                <w:b/>
                <w:bCs/>
                <w:sz w:val="18"/>
                <w:szCs w:val="18"/>
                <w:lang w:eastAsia="en-GB"/>
              </w:rPr>
            </w:pPr>
            <w:r w:rsidRPr="007B443D">
              <w:rPr>
                <w:rFonts w:ascii="Arial" w:eastAsia="Times New Roman" w:hAnsi="Arial" w:cs="Arial"/>
                <w:b/>
                <w:bCs/>
                <w:sz w:val="18"/>
                <w:szCs w:val="18"/>
                <w:lang w:eastAsia="en-GB"/>
              </w:rPr>
              <w:t> </w:t>
            </w:r>
          </w:p>
        </w:tc>
        <w:tc>
          <w:tcPr>
            <w:tcW w:w="980" w:type="dxa"/>
            <w:tcBorders>
              <w:top w:val="nil"/>
              <w:left w:val="nil"/>
              <w:bottom w:val="single" w:sz="8" w:space="0" w:color="auto"/>
              <w:right w:val="single" w:sz="4" w:space="0" w:color="auto"/>
            </w:tcBorders>
            <w:shd w:val="clear" w:color="000000" w:fill="DAEEF3"/>
            <w:vAlign w:val="center"/>
            <w:hideMark/>
          </w:tcPr>
          <w:p w:rsidR="007B443D" w:rsidRPr="007B443D" w:rsidP="007B443D">
            <w:pPr>
              <w:spacing w:after="0" w:line="240" w:lineRule="auto"/>
              <w:jc w:val="center"/>
              <w:rPr>
                <w:rFonts w:ascii="Arial" w:eastAsia="Times New Roman" w:hAnsi="Arial" w:cs="Arial"/>
                <w:b/>
                <w:bCs/>
                <w:sz w:val="18"/>
                <w:szCs w:val="18"/>
                <w:lang w:eastAsia="en-GB"/>
              </w:rPr>
            </w:pPr>
            <w:r w:rsidRPr="007B443D">
              <w:rPr>
                <w:rFonts w:ascii="Arial" w:eastAsia="Times New Roman" w:hAnsi="Arial" w:cs="Arial"/>
                <w:b/>
                <w:bCs/>
                <w:sz w:val="18"/>
                <w:szCs w:val="18"/>
                <w:lang w:eastAsia="en-GB"/>
              </w:rPr>
              <w:t>£M</w:t>
            </w:r>
          </w:p>
        </w:tc>
        <w:tc>
          <w:tcPr>
            <w:tcW w:w="980" w:type="dxa"/>
            <w:tcBorders>
              <w:top w:val="nil"/>
              <w:left w:val="nil"/>
              <w:bottom w:val="single" w:sz="8" w:space="0" w:color="auto"/>
              <w:right w:val="single" w:sz="4" w:space="0" w:color="auto"/>
            </w:tcBorders>
            <w:shd w:val="clear" w:color="000000" w:fill="DAEEF3"/>
            <w:vAlign w:val="center"/>
            <w:hideMark/>
          </w:tcPr>
          <w:p w:rsidR="007B443D" w:rsidRPr="007B443D" w:rsidP="007B443D">
            <w:pPr>
              <w:spacing w:after="0" w:line="240" w:lineRule="auto"/>
              <w:jc w:val="center"/>
              <w:rPr>
                <w:rFonts w:ascii="Arial" w:eastAsia="Times New Roman" w:hAnsi="Arial" w:cs="Arial"/>
                <w:b/>
                <w:bCs/>
                <w:sz w:val="18"/>
                <w:szCs w:val="18"/>
                <w:lang w:eastAsia="en-GB"/>
              </w:rPr>
            </w:pPr>
            <w:r w:rsidRPr="007B443D">
              <w:rPr>
                <w:rFonts w:ascii="Arial" w:eastAsia="Times New Roman" w:hAnsi="Arial" w:cs="Arial"/>
                <w:b/>
                <w:bCs/>
                <w:sz w:val="18"/>
                <w:szCs w:val="18"/>
                <w:lang w:eastAsia="en-GB"/>
              </w:rPr>
              <w:t>£M</w:t>
            </w:r>
          </w:p>
        </w:tc>
        <w:tc>
          <w:tcPr>
            <w:tcW w:w="980" w:type="dxa"/>
            <w:tcBorders>
              <w:top w:val="nil"/>
              <w:left w:val="nil"/>
              <w:bottom w:val="single" w:sz="8" w:space="0" w:color="auto"/>
              <w:right w:val="single" w:sz="4" w:space="0" w:color="auto"/>
            </w:tcBorders>
            <w:shd w:val="clear" w:color="000000" w:fill="DAEEF3"/>
            <w:vAlign w:val="center"/>
            <w:hideMark/>
          </w:tcPr>
          <w:p w:rsidR="007B443D" w:rsidRPr="007B443D" w:rsidP="007B443D">
            <w:pPr>
              <w:spacing w:after="0" w:line="240" w:lineRule="auto"/>
              <w:jc w:val="center"/>
              <w:rPr>
                <w:rFonts w:ascii="Arial" w:eastAsia="Times New Roman" w:hAnsi="Arial" w:cs="Arial"/>
                <w:b/>
                <w:bCs/>
                <w:sz w:val="18"/>
                <w:szCs w:val="18"/>
                <w:lang w:eastAsia="en-GB"/>
              </w:rPr>
            </w:pPr>
            <w:r w:rsidRPr="007B443D">
              <w:rPr>
                <w:rFonts w:ascii="Arial" w:eastAsia="Times New Roman" w:hAnsi="Arial" w:cs="Arial"/>
                <w:b/>
                <w:bCs/>
                <w:sz w:val="18"/>
                <w:szCs w:val="18"/>
                <w:lang w:eastAsia="en-GB"/>
              </w:rPr>
              <w:t>£M</w:t>
            </w:r>
          </w:p>
        </w:tc>
        <w:tc>
          <w:tcPr>
            <w:tcW w:w="980" w:type="dxa"/>
            <w:tcBorders>
              <w:top w:val="nil"/>
              <w:left w:val="nil"/>
              <w:bottom w:val="single" w:sz="8" w:space="0" w:color="auto"/>
              <w:right w:val="single" w:sz="8" w:space="0" w:color="auto"/>
            </w:tcBorders>
            <w:shd w:val="clear" w:color="000000" w:fill="DAEEF3"/>
            <w:vAlign w:val="center"/>
            <w:hideMark/>
          </w:tcPr>
          <w:p w:rsidR="007B443D" w:rsidRPr="007B443D" w:rsidP="007B443D">
            <w:pPr>
              <w:spacing w:after="0" w:line="240" w:lineRule="auto"/>
              <w:jc w:val="center"/>
              <w:rPr>
                <w:rFonts w:ascii="Arial" w:eastAsia="Times New Roman" w:hAnsi="Arial" w:cs="Arial"/>
                <w:b/>
                <w:bCs/>
                <w:sz w:val="18"/>
                <w:szCs w:val="18"/>
                <w:lang w:eastAsia="en-GB"/>
              </w:rPr>
            </w:pPr>
            <w:r w:rsidRPr="007B443D">
              <w:rPr>
                <w:rFonts w:ascii="Arial" w:eastAsia="Times New Roman" w:hAnsi="Arial" w:cs="Arial"/>
                <w:b/>
                <w:bCs/>
                <w:sz w:val="18"/>
                <w:szCs w:val="18"/>
                <w:lang w:eastAsia="en-GB"/>
              </w:rPr>
              <w:t>%</w:t>
            </w:r>
          </w:p>
        </w:tc>
        <w:tc>
          <w:tcPr>
            <w:tcW w:w="760" w:type="dxa"/>
            <w:tcBorders>
              <w:top w:val="nil"/>
              <w:left w:val="nil"/>
              <w:bottom w:val="nil"/>
              <w:right w:val="nil"/>
            </w:tcBorders>
            <w:shd w:val="clear" w:color="auto" w:fill="auto"/>
            <w:noWrap/>
            <w:vAlign w:val="bottom"/>
            <w:hideMark/>
          </w:tcPr>
          <w:p w:rsidR="007B443D" w:rsidRPr="007B443D" w:rsidP="007B443D">
            <w:pPr>
              <w:spacing w:after="0" w:line="240" w:lineRule="auto"/>
              <w:jc w:val="center"/>
              <w:rPr>
                <w:rFonts w:ascii="Arial" w:eastAsia="Times New Roman" w:hAnsi="Arial" w:cs="Arial"/>
                <w:b/>
                <w:bCs/>
                <w:sz w:val="18"/>
                <w:szCs w:val="18"/>
                <w:lang w:eastAsia="en-GB"/>
              </w:rPr>
            </w:pPr>
          </w:p>
        </w:tc>
      </w:tr>
      <w:tr w:rsidTr="00A36736">
        <w:tblPrEx>
          <w:tblW w:w="6560" w:type="dxa"/>
          <w:tblInd w:w="-10" w:type="dxa"/>
          <w:tblLook w:val="04A0"/>
        </w:tblPrEx>
        <w:trPr>
          <w:trHeight w:val="276"/>
        </w:trPr>
        <w:tc>
          <w:tcPr>
            <w:tcW w:w="1880" w:type="dxa"/>
            <w:tcBorders>
              <w:top w:val="single" w:sz="4" w:space="0" w:color="auto"/>
              <w:left w:val="single" w:sz="8" w:space="0" w:color="auto"/>
              <w:bottom w:val="single" w:sz="8" w:space="0" w:color="auto"/>
              <w:right w:val="single" w:sz="4" w:space="0" w:color="auto"/>
            </w:tcBorders>
            <w:shd w:val="clear" w:color="auto" w:fill="auto"/>
            <w:vAlign w:val="bottom"/>
            <w:hideMark/>
          </w:tcPr>
          <w:p w:rsidR="007B443D" w:rsidRPr="007B443D" w:rsidP="007B443D">
            <w:pPr>
              <w:spacing w:after="0" w:line="240" w:lineRule="auto"/>
              <w:rPr>
                <w:rFonts w:ascii="Arial" w:eastAsia="Times New Roman" w:hAnsi="Arial" w:cs="Arial"/>
                <w:sz w:val="16"/>
                <w:szCs w:val="16"/>
                <w:lang w:eastAsia="en-GB"/>
              </w:rPr>
            </w:pPr>
            <w:r w:rsidRPr="007B443D">
              <w:rPr>
                <w:rFonts w:ascii="Arial" w:eastAsia="Times New Roman" w:hAnsi="Arial" w:cs="Arial"/>
                <w:sz w:val="16"/>
                <w:szCs w:val="16"/>
                <w:lang w:eastAsia="en-GB"/>
              </w:rPr>
              <w:t>Total Resource AME</w:t>
            </w:r>
          </w:p>
        </w:tc>
        <w:tc>
          <w:tcPr>
            <w:tcW w:w="980" w:type="dxa"/>
            <w:tcBorders>
              <w:top w:val="single" w:sz="4" w:space="0" w:color="auto"/>
              <w:left w:val="single" w:sz="8" w:space="0" w:color="auto"/>
              <w:bottom w:val="single" w:sz="8" w:space="0" w:color="auto"/>
              <w:right w:val="single" w:sz="4" w:space="0" w:color="auto"/>
            </w:tcBorders>
            <w:shd w:val="clear" w:color="auto" w:fill="auto"/>
            <w:vAlign w:val="bottom"/>
            <w:hideMark/>
          </w:tcPr>
          <w:p w:rsidR="007B443D" w:rsidRPr="007B443D" w:rsidP="007B443D">
            <w:pPr>
              <w:spacing w:after="0" w:line="240" w:lineRule="auto"/>
              <w:jc w:val="center"/>
              <w:rPr>
                <w:rFonts w:ascii="Arial" w:eastAsia="Times New Roman" w:hAnsi="Arial" w:cs="Arial"/>
                <w:sz w:val="16"/>
                <w:szCs w:val="16"/>
                <w:lang w:eastAsia="en-GB"/>
              </w:rPr>
            </w:pPr>
            <w:r w:rsidRPr="007B443D">
              <w:rPr>
                <w:rFonts w:ascii="Arial" w:eastAsia="Times New Roman" w:hAnsi="Arial" w:cs="Arial"/>
                <w:sz w:val="16"/>
                <w:szCs w:val="16"/>
                <w:lang w:eastAsia="en-GB"/>
              </w:rPr>
              <w:t xml:space="preserve"> 2,719.3 </w:t>
            </w:r>
          </w:p>
        </w:tc>
        <w:tc>
          <w:tcPr>
            <w:tcW w:w="980" w:type="dxa"/>
            <w:tcBorders>
              <w:top w:val="single" w:sz="4" w:space="0" w:color="auto"/>
              <w:left w:val="nil"/>
              <w:bottom w:val="single" w:sz="8" w:space="0" w:color="auto"/>
              <w:right w:val="single" w:sz="4" w:space="0" w:color="auto"/>
            </w:tcBorders>
            <w:shd w:val="clear" w:color="auto" w:fill="auto"/>
            <w:vAlign w:val="bottom"/>
            <w:hideMark/>
          </w:tcPr>
          <w:p w:rsidR="007B443D" w:rsidRPr="007B443D" w:rsidP="007B443D">
            <w:pPr>
              <w:spacing w:after="0" w:line="240" w:lineRule="auto"/>
              <w:jc w:val="center"/>
              <w:rPr>
                <w:rFonts w:ascii="Arial" w:eastAsia="Times New Roman" w:hAnsi="Arial" w:cs="Arial"/>
                <w:sz w:val="16"/>
                <w:szCs w:val="16"/>
                <w:lang w:eastAsia="en-GB"/>
              </w:rPr>
            </w:pPr>
            <w:r w:rsidRPr="007B443D">
              <w:rPr>
                <w:rFonts w:ascii="Arial" w:eastAsia="Times New Roman" w:hAnsi="Arial" w:cs="Arial"/>
                <w:sz w:val="16"/>
                <w:szCs w:val="16"/>
                <w:lang w:eastAsia="en-GB"/>
              </w:rPr>
              <w:t xml:space="preserve"> 1,519.3 </w:t>
            </w:r>
          </w:p>
        </w:tc>
        <w:tc>
          <w:tcPr>
            <w:tcW w:w="980" w:type="dxa"/>
            <w:tcBorders>
              <w:top w:val="single" w:sz="4" w:space="0" w:color="auto"/>
              <w:left w:val="nil"/>
              <w:bottom w:val="single" w:sz="8" w:space="0" w:color="auto"/>
              <w:right w:val="single" w:sz="4" w:space="0" w:color="auto"/>
            </w:tcBorders>
            <w:shd w:val="clear" w:color="auto" w:fill="auto"/>
            <w:vAlign w:val="bottom"/>
            <w:hideMark/>
          </w:tcPr>
          <w:p w:rsidR="007B443D" w:rsidRPr="007B443D" w:rsidP="007B443D">
            <w:pPr>
              <w:spacing w:after="0" w:line="240" w:lineRule="auto"/>
              <w:jc w:val="center"/>
              <w:rPr>
                <w:rFonts w:ascii="Arial" w:eastAsia="Times New Roman" w:hAnsi="Arial" w:cs="Arial"/>
                <w:sz w:val="16"/>
                <w:szCs w:val="16"/>
                <w:lang w:eastAsia="en-GB"/>
              </w:rPr>
            </w:pPr>
            <w:r w:rsidRPr="007B443D">
              <w:rPr>
                <w:rFonts w:ascii="Arial" w:eastAsia="Times New Roman" w:hAnsi="Arial" w:cs="Arial"/>
                <w:sz w:val="16"/>
                <w:szCs w:val="16"/>
                <w:lang w:eastAsia="en-GB"/>
              </w:rPr>
              <w:t xml:space="preserve"> 1,200.0 </w:t>
            </w:r>
          </w:p>
        </w:tc>
        <w:tc>
          <w:tcPr>
            <w:tcW w:w="980" w:type="dxa"/>
            <w:tcBorders>
              <w:top w:val="nil"/>
              <w:left w:val="nil"/>
              <w:bottom w:val="single" w:sz="8" w:space="0" w:color="auto"/>
              <w:right w:val="single" w:sz="8" w:space="0" w:color="auto"/>
            </w:tcBorders>
            <w:shd w:val="clear" w:color="auto" w:fill="auto"/>
            <w:vAlign w:val="bottom"/>
            <w:hideMark/>
          </w:tcPr>
          <w:p w:rsidR="007B443D" w:rsidRPr="007B443D" w:rsidP="007B443D">
            <w:pPr>
              <w:spacing w:after="0" w:line="240" w:lineRule="auto"/>
              <w:jc w:val="center"/>
              <w:rPr>
                <w:rFonts w:ascii="Arial" w:eastAsia="Times New Roman" w:hAnsi="Arial" w:cs="Arial"/>
                <w:sz w:val="16"/>
                <w:szCs w:val="16"/>
                <w:lang w:eastAsia="en-GB"/>
              </w:rPr>
            </w:pPr>
            <w:r w:rsidRPr="007B443D">
              <w:rPr>
                <w:rFonts w:ascii="Arial" w:eastAsia="Times New Roman" w:hAnsi="Arial" w:cs="Arial"/>
                <w:sz w:val="16"/>
                <w:szCs w:val="16"/>
                <w:lang w:eastAsia="en-GB"/>
              </w:rPr>
              <w:t>79.0%</w:t>
            </w:r>
          </w:p>
        </w:tc>
        <w:tc>
          <w:tcPr>
            <w:tcW w:w="760" w:type="dxa"/>
            <w:tcBorders>
              <w:top w:val="nil"/>
              <w:left w:val="nil"/>
              <w:bottom w:val="nil"/>
              <w:right w:val="nil"/>
            </w:tcBorders>
            <w:shd w:val="clear" w:color="auto" w:fill="auto"/>
            <w:noWrap/>
            <w:vAlign w:val="bottom"/>
            <w:hideMark/>
          </w:tcPr>
          <w:p w:rsidR="007B443D" w:rsidRPr="007B443D" w:rsidP="007B443D">
            <w:pPr>
              <w:spacing w:after="0" w:line="240" w:lineRule="auto"/>
              <w:jc w:val="center"/>
              <w:rPr>
                <w:rFonts w:ascii="Arial" w:eastAsia="Times New Roman" w:hAnsi="Arial" w:cs="Arial"/>
                <w:sz w:val="16"/>
                <w:szCs w:val="16"/>
                <w:lang w:eastAsia="en-GB"/>
              </w:rPr>
            </w:pPr>
          </w:p>
        </w:tc>
      </w:tr>
    </w:tbl>
    <w:p w:rsidR="000A6DE0" w:rsidP="001110F1">
      <w:pPr>
        <w:autoSpaceDE w:val="0"/>
        <w:autoSpaceDN w:val="0"/>
        <w:adjustRightInd w:val="0"/>
        <w:ind w:right="113"/>
        <w:mirrorIndents/>
      </w:pPr>
    </w:p>
    <w:p w:rsidR="00E346ED" w:rsidRPr="001110F1" w:rsidP="00E346ED">
      <w:pPr>
        <w:pStyle w:val="Heading3"/>
        <w:rPr>
          <w:rFonts w:asciiTheme="minorHAnsi" w:hAnsiTheme="minorHAnsi"/>
        </w:rPr>
      </w:pPr>
      <w:r>
        <w:rPr>
          <w:rFonts w:asciiTheme="minorHAnsi" w:hAnsiTheme="minorHAnsi"/>
        </w:rPr>
        <w:t>Net Cash Requirement (NCR)</w:t>
      </w:r>
      <w:r w:rsidRPr="001110F1">
        <w:rPr>
          <w:rFonts w:asciiTheme="minorHAnsi" w:hAnsiTheme="minorHAnsi"/>
        </w:rPr>
        <w:t xml:space="preserve"> </w:t>
      </w:r>
    </w:p>
    <w:p w:rsidR="003E0EB9" w:rsidP="003E0EB9">
      <w:pPr>
        <w:spacing w:after="0" w:line="240" w:lineRule="auto"/>
      </w:pPr>
      <w:r>
        <w:t xml:space="preserve">The table below set out the current net cash requirement starting with the Main Estimate. The reconciliation between the changes in the Estimate and the NCR is shown in Part II of the Estimate, </w:t>
      </w:r>
      <w:r>
        <w:t xml:space="preserve">“Resource to cash reconciliation”. The underlying working capital forecast indicates that the NCR is set at the required level. </w:t>
      </w:r>
    </w:p>
    <w:p w:rsidR="00201569" w:rsidP="003E0EB9">
      <w:pPr>
        <w:spacing w:after="0" w:line="240" w:lineRule="auto"/>
      </w:pPr>
    </w:p>
    <w:p w:rsidR="00201569" w:rsidP="003E0EB9">
      <w:pPr>
        <w:spacing w:after="0" w:line="240" w:lineRule="auto"/>
      </w:pPr>
    </w:p>
    <w:tbl>
      <w:tblPr>
        <w:tblW w:w="5126" w:type="dxa"/>
        <w:tblLook w:val="04A0"/>
      </w:tblPr>
      <w:tblGrid>
        <w:gridCol w:w="3749"/>
        <w:gridCol w:w="1377"/>
      </w:tblGrid>
      <w:tr w:rsidTr="00E97097">
        <w:tblPrEx>
          <w:tblW w:w="5126" w:type="dxa"/>
          <w:tblLook w:val="04A0"/>
        </w:tblPrEx>
        <w:trPr>
          <w:trHeight w:val="56"/>
        </w:trPr>
        <w:tc>
          <w:tcPr>
            <w:tcW w:w="3749" w:type="dxa"/>
            <w:tcBorders>
              <w:top w:val="nil"/>
              <w:left w:val="nil"/>
              <w:bottom w:val="nil"/>
              <w:right w:val="nil"/>
            </w:tcBorders>
            <w:shd w:val="clear" w:color="auto" w:fill="auto"/>
            <w:noWrap/>
            <w:vAlign w:val="bottom"/>
            <w:hideMark/>
          </w:tcPr>
          <w:p w:rsidR="004B0F47" w:rsidRPr="004B0F47" w:rsidP="004B0F47">
            <w:pPr>
              <w:spacing w:after="0" w:line="240" w:lineRule="auto"/>
              <w:rPr>
                <w:rFonts w:ascii="Times New Roman" w:eastAsia="Times New Roman" w:hAnsi="Times New Roman" w:cs="Times New Roman"/>
                <w:sz w:val="24"/>
                <w:szCs w:val="24"/>
                <w:lang w:eastAsia="en-GB"/>
              </w:rPr>
            </w:pPr>
          </w:p>
        </w:tc>
        <w:tc>
          <w:tcPr>
            <w:tcW w:w="1377" w:type="dxa"/>
            <w:tcBorders>
              <w:top w:val="nil"/>
              <w:left w:val="nil"/>
              <w:bottom w:val="nil"/>
              <w:right w:val="nil"/>
            </w:tcBorders>
            <w:shd w:val="clear" w:color="auto" w:fill="auto"/>
            <w:noWrap/>
            <w:vAlign w:val="bottom"/>
            <w:hideMark/>
          </w:tcPr>
          <w:p w:rsidR="004B0F47" w:rsidRPr="004B0F47" w:rsidP="004B0F47">
            <w:pPr>
              <w:spacing w:after="0" w:line="240" w:lineRule="auto"/>
              <w:rPr>
                <w:rFonts w:ascii="Times New Roman" w:eastAsia="Times New Roman" w:hAnsi="Times New Roman" w:cs="Times New Roman"/>
                <w:sz w:val="20"/>
                <w:szCs w:val="20"/>
                <w:lang w:eastAsia="en-GB"/>
              </w:rPr>
            </w:pPr>
          </w:p>
        </w:tc>
      </w:tr>
      <w:tr w:rsidTr="00E97097">
        <w:tblPrEx>
          <w:tblW w:w="5126" w:type="dxa"/>
          <w:tblLook w:val="04A0"/>
        </w:tblPrEx>
        <w:trPr>
          <w:trHeight w:val="262"/>
        </w:trPr>
        <w:tc>
          <w:tcPr>
            <w:tcW w:w="3749" w:type="dxa"/>
            <w:tcBorders>
              <w:top w:val="single" w:sz="8" w:space="0" w:color="auto"/>
              <w:left w:val="single" w:sz="8" w:space="0" w:color="auto"/>
              <w:bottom w:val="single" w:sz="4" w:space="0" w:color="auto"/>
              <w:right w:val="single" w:sz="4" w:space="0" w:color="auto"/>
            </w:tcBorders>
            <w:shd w:val="clear" w:color="000000" w:fill="DAEEF3"/>
            <w:vAlign w:val="center"/>
            <w:hideMark/>
          </w:tcPr>
          <w:p w:rsidR="004B0F47" w:rsidRPr="004B0F47" w:rsidP="004B0F47">
            <w:pPr>
              <w:spacing w:after="0" w:line="240" w:lineRule="auto"/>
              <w:rPr>
                <w:rFonts w:ascii="Arial" w:eastAsia="Times New Roman" w:hAnsi="Arial" w:cs="Arial"/>
                <w:b/>
                <w:bCs/>
                <w:sz w:val="18"/>
                <w:szCs w:val="18"/>
                <w:lang w:eastAsia="en-GB"/>
              </w:rPr>
            </w:pPr>
            <w:r w:rsidRPr="004B0F47">
              <w:rPr>
                <w:rFonts w:ascii="Arial" w:eastAsia="Times New Roman" w:hAnsi="Arial" w:cs="Arial"/>
                <w:b/>
                <w:bCs/>
                <w:sz w:val="18"/>
                <w:szCs w:val="18"/>
                <w:lang w:eastAsia="en-GB"/>
              </w:rPr>
              <w:t>Net Cash Requirement</w:t>
            </w:r>
          </w:p>
        </w:tc>
        <w:tc>
          <w:tcPr>
            <w:tcW w:w="1377" w:type="dxa"/>
            <w:tcBorders>
              <w:top w:val="single" w:sz="8" w:space="0" w:color="auto"/>
              <w:left w:val="nil"/>
              <w:bottom w:val="single" w:sz="4" w:space="0" w:color="auto"/>
              <w:right w:val="single" w:sz="8" w:space="0" w:color="auto"/>
            </w:tcBorders>
            <w:shd w:val="clear" w:color="000000" w:fill="DAEEF3"/>
            <w:vAlign w:val="center"/>
            <w:hideMark/>
          </w:tcPr>
          <w:p w:rsidR="004B0F47" w:rsidRPr="004B0F47" w:rsidP="004B0F47">
            <w:pPr>
              <w:spacing w:after="0" w:line="240" w:lineRule="auto"/>
              <w:jc w:val="right"/>
              <w:rPr>
                <w:rFonts w:ascii="Arial" w:eastAsia="Times New Roman" w:hAnsi="Arial" w:cs="Arial"/>
                <w:b/>
                <w:bCs/>
                <w:sz w:val="18"/>
                <w:szCs w:val="18"/>
                <w:lang w:eastAsia="en-GB"/>
              </w:rPr>
            </w:pPr>
            <w:r w:rsidRPr="004B0F47">
              <w:rPr>
                <w:rFonts w:ascii="Arial" w:eastAsia="Times New Roman" w:hAnsi="Arial" w:cs="Arial"/>
                <w:b/>
                <w:bCs/>
                <w:sz w:val="18"/>
                <w:szCs w:val="18"/>
                <w:lang w:eastAsia="en-GB"/>
              </w:rPr>
              <w:t>£M</w:t>
            </w:r>
          </w:p>
        </w:tc>
      </w:tr>
      <w:tr w:rsidTr="00E97097">
        <w:tblPrEx>
          <w:tblW w:w="5126" w:type="dxa"/>
          <w:tblLook w:val="04A0"/>
        </w:tblPrEx>
        <w:trPr>
          <w:trHeight w:val="262"/>
        </w:trPr>
        <w:tc>
          <w:tcPr>
            <w:tcW w:w="3749" w:type="dxa"/>
            <w:tcBorders>
              <w:top w:val="nil"/>
              <w:left w:val="single" w:sz="8" w:space="0" w:color="auto"/>
              <w:bottom w:val="single" w:sz="4" w:space="0" w:color="auto"/>
              <w:right w:val="single" w:sz="4" w:space="0" w:color="auto"/>
            </w:tcBorders>
            <w:shd w:val="clear" w:color="auto" w:fill="auto"/>
            <w:vAlign w:val="bottom"/>
            <w:hideMark/>
          </w:tcPr>
          <w:p w:rsidR="004B0F47" w:rsidRPr="003239C1" w:rsidP="004B0F47">
            <w:pPr>
              <w:spacing w:after="0" w:line="240" w:lineRule="auto"/>
              <w:rPr>
                <w:rFonts w:ascii="Arial" w:eastAsia="Times New Roman" w:hAnsi="Arial" w:cs="Arial"/>
                <w:sz w:val="16"/>
                <w:szCs w:val="16"/>
                <w:lang w:eastAsia="en-GB"/>
              </w:rPr>
            </w:pPr>
            <w:r w:rsidRPr="003239C1">
              <w:rPr>
                <w:rFonts w:ascii="Arial" w:eastAsia="Times New Roman" w:hAnsi="Arial" w:cs="Arial"/>
                <w:sz w:val="16"/>
                <w:szCs w:val="16"/>
                <w:lang w:eastAsia="en-GB"/>
              </w:rPr>
              <w:t>Position at 2020-21 Main Estimate</w:t>
            </w:r>
          </w:p>
        </w:tc>
        <w:tc>
          <w:tcPr>
            <w:tcW w:w="1377" w:type="dxa"/>
            <w:tcBorders>
              <w:top w:val="nil"/>
              <w:left w:val="nil"/>
              <w:bottom w:val="single" w:sz="4" w:space="0" w:color="auto"/>
              <w:right w:val="single" w:sz="8" w:space="0" w:color="auto"/>
            </w:tcBorders>
            <w:shd w:val="clear" w:color="auto" w:fill="auto"/>
            <w:vAlign w:val="bottom"/>
            <w:hideMark/>
          </w:tcPr>
          <w:p w:rsidR="004B0F47" w:rsidRPr="003239C1" w:rsidP="004B0F47">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42,043.8 </w:t>
            </w:r>
          </w:p>
        </w:tc>
      </w:tr>
      <w:tr w:rsidTr="00E97097">
        <w:tblPrEx>
          <w:tblW w:w="5126" w:type="dxa"/>
          <w:tblLook w:val="04A0"/>
        </w:tblPrEx>
        <w:trPr>
          <w:trHeight w:val="262"/>
        </w:trPr>
        <w:tc>
          <w:tcPr>
            <w:tcW w:w="3749" w:type="dxa"/>
            <w:tcBorders>
              <w:top w:val="nil"/>
              <w:left w:val="single" w:sz="8" w:space="0" w:color="auto"/>
              <w:bottom w:val="single" w:sz="4" w:space="0" w:color="auto"/>
              <w:right w:val="single" w:sz="4" w:space="0" w:color="auto"/>
            </w:tcBorders>
            <w:shd w:val="clear" w:color="auto" w:fill="auto"/>
            <w:vAlign w:val="bottom"/>
            <w:hideMark/>
          </w:tcPr>
          <w:p w:rsidR="004B0F47" w:rsidRPr="003239C1" w:rsidP="004B0F47">
            <w:pPr>
              <w:spacing w:after="0" w:line="240" w:lineRule="auto"/>
              <w:rPr>
                <w:rFonts w:ascii="Arial" w:eastAsia="Times New Roman" w:hAnsi="Arial" w:cs="Arial"/>
                <w:sz w:val="16"/>
                <w:szCs w:val="16"/>
                <w:lang w:eastAsia="en-GB"/>
              </w:rPr>
            </w:pPr>
            <w:r w:rsidRPr="003239C1">
              <w:rPr>
                <w:rFonts w:ascii="Arial" w:eastAsia="Times New Roman" w:hAnsi="Arial" w:cs="Arial"/>
                <w:sz w:val="16"/>
                <w:szCs w:val="16"/>
                <w:lang w:eastAsia="en-GB"/>
              </w:rPr>
              <w:t>Net Cash Requirement Increase</w:t>
            </w:r>
          </w:p>
        </w:tc>
        <w:tc>
          <w:tcPr>
            <w:tcW w:w="1377" w:type="dxa"/>
            <w:tcBorders>
              <w:top w:val="nil"/>
              <w:left w:val="nil"/>
              <w:bottom w:val="single" w:sz="4" w:space="0" w:color="auto"/>
              <w:right w:val="single" w:sz="8" w:space="0" w:color="auto"/>
            </w:tcBorders>
            <w:shd w:val="clear" w:color="auto" w:fill="auto"/>
            <w:vAlign w:val="bottom"/>
            <w:hideMark/>
          </w:tcPr>
          <w:p w:rsidR="004B0F47" w:rsidRPr="003239C1" w:rsidP="004B0F47">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1,500.0 </w:t>
            </w:r>
          </w:p>
        </w:tc>
      </w:tr>
      <w:tr w:rsidTr="00E97097">
        <w:tblPrEx>
          <w:tblW w:w="5126" w:type="dxa"/>
          <w:tblLook w:val="04A0"/>
        </w:tblPrEx>
        <w:trPr>
          <w:trHeight w:val="262"/>
        </w:trPr>
        <w:tc>
          <w:tcPr>
            <w:tcW w:w="3749" w:type="dxa"/>
            <w:tcBorders>
              <w:top w:val="nil"/>
              <w:left w:val="single" w:sz="8" w:space="0" w:color="auto"/>
              <w:bottom w:val="single" w:sz="4" w:space="0" w:color="auto"/>
              <w:right w:val="single" w:sz="4" w:space="0" w:color="auto"/>
            </w:tcBorders>
            <w:shd w:val="clear" w:color="000000" w:fill="DAEEF3"/>
            <w:vAlign w:val="center"/>
            <w:hideMark/>
          </w:tcPr>
          <w:p w:rsidR="004B0F47" w:rsidRPr="004B0F47" w:rsidP="004B0F47">
            <w:pPr>
              <w:spacing w:after="0" w:line="240" w:lineRule="auto"/>
              <w:rPr>
                <w:rFonts w:ascii="Arial" w:eastAsia="Times New Roman" w:hAnsi="Arial" w:cs="Arial"/>
                <w:b/>
                <w:bCs/>
                <w:sz w:val="18"/>
                <w:szCs w:val="18"/>
                <w:lang w:eastAsia="en-GB"/>
              </w:rPr>
            </w:pPr>
            <w:r w:rsidRPr="004B0F47">
              <w:rPr>
                <w:rFonts w:ascii="Arial" w:eastAsia="Times New Roman" w:hAnsi="Arial" w:cs="Arial"/>
                <w:b/>
                <w:bCs/>
                <w:sz w:val="18"/>
                <w:szCs w:val="18"/>
                <w:lang w:eastAsia="en-GB"/>
              </w:rPr>
              <w:t> </w:t>
            </w:r>
          </w:p>
        </w:tc>
        <w:tc>
          <w:tcPr>
            <w:tcW w:w="1377" w:type="dxa"/>
            <w:tcBorders>
              <w:top w:val="nil"/>
              <w:left w:val="nil"/>
              <w:bottom w:val="single" w:sz="4" w:space="0" w:color="auto"/>
              <w:right w:val="single" w:sz="8" w:space="0" w:color="auto"/>
            </w:tcBorders>
            <w:shd w:val="clear" w:color="000000" w:fill="DAEEF3"/>
            <w:vAlign w:val="center"/>
            <w:hideMark/>
          </w:tcPr>
          <w:p w:rsidR="004B0F47" w:rsidRPr="004B0F47" w:rsidP="004B0F47">
            <w:pPr>
              <w:spacing w:after="0" w:line="240" w:lineRule="auto"/>
              <w:jc w:val="right"/>
              <w:rPr>
                <w:rFonts w:ascii="Arial" w:eastAsia="Times New Roman" w:hAnsi="Arial" w:cs="Arial"/>
                <w:b/>
                <w:bCs/>
                <w:sz w:val="18"/>
                <w:szCs w:val="18"/>
                <w:lang w:eastAsia="en-GB"/>
              </w:rPr>
            </w:pPr>
            <w:r w:rsidRPr="004B0F47">
              <w:rPr>
                <w:rFonts w:ascii="Arial" w:eastAsia="Times New Roman" w:hAnsi="Arial" w:cs="Arial"/>
                <w:b/>
                <w:bCs/>
                <w:sz w:val="18"/>
                <w:szCs w:val="18"/>
                <w:lang w:eastAsia="en-GB"/>
              </w:rPr>
              <w:t xml:space="preserve"> 43,543.8 </w:t>
            </w:r>
          </w:p>
        </w:tc>
      </w:tr>
    </w:tbl>
    <w:p w:rsidR="00293DAB" w:rsidP="000D6FE7">
      <w:pPr>
        <w:pStyle w:val="Heading2"/>
        <w:numPr>
          <w:ilvl w:val="0"/>
          <w:numId w:val="0"/>
        </w:numPr>
        <w:ind w:left="576"/>
        <w:rPr>
          <w:rFonts w:asciiTheme="minorHAnsi" w:hAnsiTheme="minorHAnsi"/>
        </w:rPr>
      </w:pPr>
    </w:p>
    <w:p w:rsidR="00A10A91" w:rsidRPr="001110F1" w:rsidP="00A10A91">
      <w:pPr>
        <w:pStyle w:val="Heading2"/>
        <w:rPr>
          <w:rFonts w:asciiTheme="minorHAnsi" w:hAnsiTheme="minorHAnsi"/>
        </w:rPr>
      </w:pPr>
      <w:r w:rsidRPr="001110F1">
        <w:rPr>
          <w:rFonts w:asciiTheme="minorHAnsi" w:hAnsiTheme="minorHAnsi"/>
        </w:rPr>
        <w:t xml:space="preserve">Restructuring </w:t>
      </w:r>
    </w:p>
    <w:p w:rsidR="004A1569" w:rsidRPr="007B443D" w:rsidP="00A10A91">
      <w:r w:rsidRPr="007B443D">
        <w:t xml:space="preserve">In 2018, MOD launched the Modernising Defence Programme (MDP) and builds on the foundations of the 2015 Strategic Defence Security Review (SDSR15) and the National Security Capability Review (NSCR). The Defence Secretary made an oral statement to the Parliament on MDP in December 2018, outlining the key priorities Defence will pursue to meet future threats and deter adversaries. More details on MDP priorities and the final report can be found </w:t>
      </w:r>
      <w:r w:rsidRPr="007B443D" w:rsidR="00D0788C">
        <w:t>at</w:t>
      </w:r>
      <w:r w:rsidRPr="007B443D">
        <w:t xml:space="preserve"> -  </w:t>
      </w:r>
      <w:r>
        <w:fldChar w:fldCharType="begin"/>
      </w:r>
      <w:r>
        <w:instrText xml:space="preserve"> HYPERLINK "https://www.gov.uk/government/speeches/modernising-defence-programme-update" </w:instrText>
      </w:r>
      <w:r>
        <w:fldChar w:fldCharType="separate"/>
      </w:r>
      <w:r w:rsidRPr="007B443D">
        <w:rPr>
          <w:rStyle w:val="Hyperlink"/>
          <w:color w:val="auto"/>
        </w:rPr>
        <w:t>https://www.gov.uk/government/speeches/modernising-defence-programme-update</w:t>
      </w:r>
      <w:r>
        <w:fldChar w:fldCharType="end"/>
      </w:r>
    </w:p>
    <w:p w:rsidR="00127BA4" w:rsidP="00EB2C7B"/>
    <w:p w:rsidR="00137ED6" w:rsidRPr="001110F1" w:rsidP="001C24B7">
      <w:pPr>
        <w:pStyle w:val="Heading2"/>
        <w:rPr>
          <w:rFonts w:asciiTheme="minorHAnsi" w:hAnsiTheme="minorHAnsi"/>
        </w:rPr>
      </w:pPr>
      <w:r w:rsidRPr="001110F1">
        <w:rPr>
          <w:rFonts w:asciiTheme="minorHAnsi" w:hAnsiTheme="minorHAnsi"/>
        </w:rPr>
        <w:t>Ring fenced budgets</w:t>
      </w:r>
    </w:p>
    <w:p w:rsidR="00A51AAF" w:rsidP="00E216A1">
      <w:r w:rsidRPr="00E216A1">
        <w:t>Within the totals, the following elements are ring fenced</w:t>
      </w:r>
      <w:r w:rsidRPr="00E216A1" w:rsidR="001F0284">
        <w:t>,</w:t>
      </w:r>
      <w:r w:rsidRPr="00E216A1">
        <w:t xml:space="preserve"> i</w:t>
      </w:r>
      <w:r w:rsidRPr="00E216A1" w:rsidR="001F0284">
        <w:t>.</w:t>
      </w:r>
      <w:r w:rsidRPr="00E216A1">
        <w:t>e</w:t>
      </w:r>
      <w:r w:rsidRPr="00E216A1" w:rsidR="001F0284">
        <w:t>.</w:t>
      </w:r>
      <w:r w:rsidRPr="00E216A1">
        <w:t xml:space="preserve"> savings in these budgets may not be used to fund pressures on other</w:t>
      </w:r>
      <w:r w:rsidR="00C43AD5">
        <w:t xml:space="preserve"> elements of the</w:t>
      </w:r>
      <w:r w:rsidRPr="00E216A1">
        <w:t xml:space="preserve"> budgets</w:t>
      </w:r>
      <w:r w:rsidR="00E17B2D">
        <w:t>.</w:t>
      </w:r>
    </w:p>
    <w:tbl>
      <w:tblPr>
        <w:tblW w:w="8818" w:type="dxa"/>
        <w:tblLook w:val="04A0"/>
      </w:tblPr>
      <w:tblGrid>
        <w:gridCol w:w="3380"/>
        <w:gridCol w:w="980"/>
        <w:gridCol w:w="800"/>
        <w:gridCol w:w="700"/>
        <w:gridCol w:w="750"/>
        <w:gridCol w:w="750"/>
        <w:gridCol w:w="1458"/>
      </w:tblGrid>
      <w:tr w:rsidTr="00486F47">
        <w:tblPrEx>
          <w:tblW w:w="8818" w:type="dxa"/>
          <w:tblLook w:val="04A0"/>
        </w:tblPrEx>
        <w:trPr>
          <w:trHeight w:val="204"/>
        </w:trPr>
        <w:tc>
          <w:tcPr>
            <w:tcW w:w="8818" w:type="dxa"/>
            <w:gridSpan w:val="7"/>
            <w:tcBorders>
              <w:top w:val="nil"/>
              <w:left w:val="nil"/>
              <w:bottom w:val="nil"/>
              <w:right w:val="nil"/>
            </w:tcBorders>
            <w:shd w:val="clear" w:color="auto" w:fill="auto"/>
            <w:vAlign w:val="bottom"/>
            <w:hideMark/>
          </w:tcPr>
          <w:p w:rsidR="006046B6" w:rsidRPr="006046B6" w:rsidP="006046B6">
            <w:pPr>
              <w:spacing w:after="0" w:line="240" w:lineRule="auto"/>
              <w:rPr>
                <w:rFonts w:ascii="Arial" w:eastAsia="Times New Roman" w:hAnsi="Arial" w:cs="Arial"/>
                <w:b/>
                <w:bCs/>
                <w:sz w:val="20"/>
                <w:szCs w:val="20"/>
                <w:lang w:eastAsia="en-GB"/>
              </w:rPr>
            </w:pPr>
          </w:p>
        </w:tc>
      </w:tr>
      <w:tr w:rsidTr="00486F47">
        <w:tblPrEx>
          <w:tblW w:w="8818" w:type="dxa"/>
          <w:tblLook w:val="04A0"/>
        </w:tblPrEx>
        <w:trPr>
          <w:gridAfter w:val="1"/>
          <w:wAfter w:w="1458" w:type="dxa"/>
          <w:trHeight w:val="276"/>
        </w:trPr>
        <w:tc>
          <w:tcPr>
            <w:tcW w:w="7360" w:type="dxa"/>
            <w:gridSpan w:val="6"/>
            <w:tcBorders>
              <w:top w:val="nil"/>
              <w:left w:val="nil"/>
              <w:bottom w:val="nil"/>
              <w:right w:val="nil"/>
            </w:tcBorders>
            <w:shd w:val="clear" w:color="auto" w:fill="auto"/>
            <w:vAlign w:val="bottom"/>
            <w:hideMark/>
          </w:tcPr>
          <w:p w:rsidR="00486F47" w:rsidRPr="00486F47" w:rsidP="00486F47">
            <w:pPr>
              <w:spacing w:after="0" w:line="240" w:lineRule="auto"/>
              <w:ind w:left="-108"/>
              <w:rPr>
                <w:rFonts w:ascii="Arial" w:eastAsia="Times New Roman" w:hAnsi="Arial" w:cs="Arial"/>
                <w:b/>
                <w:bCs/>
                <w:sz w:val="20"/>
                <w:szCs w:val="20"/>
                <w:lang w:eastAsia="en-GB"/>
              </w:rPr>
            </w:pPr>
            <w:r w:rsidRPr="00486F47">
              <w:rPr>
                <w:rFonts w:ascii="Arial" w:eastAsia="Times New Roman" w:hAnsi="Arial" w:cs="Arial"/>
                <w:b/>
                <w:bCs/>
                <w:sz w:val="20"/>
                <w:szCs w:val="20"/>
                <w:lang w:eastAsia="en-GB"/>
              </w:rPr>
              <w:t>Table 7: Supplementary Estimate total Ring fenced budgets</w:t>
            </w:r>
          </w:p>
        </w:tc>
      </w:tr>
      <w:tr w:rsidTr="00486F47">
        <w:tblPrEx>
          <w:tblW w:w="8818" w:type="dxa"/>
          <w:tblLook w:val="04A0"/>
        </w:tblPrEx>
        <w:trPr>
          <w:gridAfter w:val="1"/>
          <w:wAfter w:w="1458" w:type="dxa"/>
          <w:trHeight w:val="480"/>
        </w:trPr>
        <w:tc>
          <w:tcPr>
            <w:tcW w:w="4360" w:type="dxa"/>
            <w:gridSpan w:val="2"/>
            <w:tcBorders>
              <w:top w:val="single" w:sz="8" w:space="0" w:color="auto"/>
              <w:left w:val="single" w:sz="8" w:space="0" w:color="auto"/>
              <w:bottom w:val="single" w:sz="4" w:space="0" w:color="000000"/>
              <w:right w:val="single" w:sz="8" w:space="0" w:color="000000"/>
            </w:tcBorders>
            <w:shd w:val="clear" w:color="000000" w:fill="DAEEF3"/>
            <w:vAlign w:val="center"/>
            <w:hideMark/>
          </w:tcPr>
          <w:p w:rsidR="00486F47" w:rsidRPr="00486F47" w:rsidP="00486F47">
            <w:pPr>
              <w:spacing w:after="0" w:line="240" w:lineRule="auto"/>
              <w:jc w:val="center"/>
              <w:rPr>
                <w:rFonts w:ascii="Arial" w:eastAsia="Times New Roman" w:hAnsi="Arial" w:cs="Arial"/>
                <w:b/>
                <w:bCs/>
                <w:sz w:val="18"/>
                <w:szCs w:val="18"/>
                <w:lang w:eastAsia="en-GB"/>
              </w:rPr>
            </w:pPr>
            <w:r w:rsidRPr="00486F47">
              <w:rPr>
                <w:rFonts w:ascii="Arial" w:eastAsia="Times New Roman" w:hAnsi="Arial" w:cs="Arial"/>
                <w:b/>
                <w:bCs/>
                <w:sz w:val="18"/>
                <w:szCs w:val="18"/>
                <w:lang w:eastAsia="en-GB"/>
              </w:rPr>
              <w:t>Spending total - Supplementary Estimate</w:t>
            </w:r>
            <w:r w:rsidRPr="00486F47">
              <w:rPr>
                <w:rFonts w:ascii="Arial" w:eastAsia="Times New Roman" w:hAnsi="Arial" w:cs="Arial"/>
                <w:b/>
                <w:bCs/>
                <w:sz w:val="18"/>
                <w:szCs w:val="18"/>
                <w:lang w:eastAsia="en-GB"/>
              </w:rPr>
              <w:br/>
              <w:t>2020-21</w:t>
            </w:r>
          </w:p>
        </w:tc>
        <w:tc>
          <w:tcPr>
            <w:tcW w:w="1500" w:type="dxa"/>
            <w:gridSpan w:val="2"/>
            <w:tcBorders>
              <w:top w:val="single" w:sz="8" w:space="0" w:color="auto"/>
              <w:left w:val="nil"/>
              <w:bottom w:val="single" w:sz="4" w:space="0" w:color="auto"/>
              <w:right w:val="single" w:sz="8" w:space="0" w:color="000000"/>
            </w:tcBorders>
            <w:shd w:val="clear" w:color="000000" w:fill="DAEEF3"/>
            <w:vAlign w:val="center"/>
            <w:hideMark/>
          </w:tcPr>
          <w:p w:rsidR="00486F47" w:rsidRPr="00486F47" w:rsidP="00486F47">
            <w:pPr>
              <w:spacing w:after="0" w:line="240" w:lineRule="auto"/>
              <w:jc w:val="center"/>
              <w:rPr>
                <w:rFonts w:ascii="Arial" w:eastAsia="Times New Roman" w:hAnsi="Arial" w:cs="Arial"/>
                <w:b/>
                <w:bCs/>
                <w:sz w:val="18"/>
                <w:szCs w:val="18"/>
                <w:lang w:eastAsia="en-GB"/>
              </w:rPr>
            </w:pPr>
            <w:r w:rsidRPr="00486F47">
              <w:rPr>
                <w:rFonts w:ascii="Arial" w:eastAsia="Times New Roman" w:hAnsi="Arial" w:cs="Arial"/>
                <w:b/>
                <w:bCs/>
                <w:sz w:val="18"/>
                <w:szCs w:val="18"/>
                <w:lang w:eastAsia="en-GB"/>
              </w:rPr>
              <w:t>Compared to</w:t>
            </w:r>
            <w:r w:rsidRPr="00486F47">
              <w:rPr>
                <w:rFonts w:ascii="Arial" w:eastAsia="Times New Roman" w:hAnsi="Arial" w:cs="Arial"/>
                <w:b/>
                <w:bCs/>
                <w:sz w:val="18"/>
                <w:szCs w:val="18"/>
                <w:lang w:eastAsia="en-GB"/>
              </w:rPr>
              <w:br/>
              <w:t>2020-21 ME</w:t>
            </w:r>
          </w:p>
        </w:tc>
        <w:tc>
          <w:tcPr>
            <w:tcW w:w="750" w:type="dxa"/>
            <w:tcBorders>
              <w:top w:val="nil"/>
              <w:left w:val="nil"/>
              <w:bottom w:val="nil"/>
              <w:right w:val="nil"/>
            </w:tcBorders>
            <w:shd w:val="clear" w:color="auto" w:fill="auto"/>
            <w:noWrap/>
            <w:vAlign w:val="bottom"/>
            <w:hideMark/>
          </w:tcPr>
          <w:p w:rsidR="00486F47" w:rsidRPr="00486F47" w:rsidP="00486F47">
            <w:pPr>
              <w:spacing w:after="0" w:line="240" w:lineRule="auto"/>
              <w:jc w:val="center"/>
              <w:rPr>
                <w:rFonts w:ascii="Arial" w:eastAsia="Times New Roman" w:hAnsi="Arial" w:cs="Arial"/>
                <w:b/>
                <w:bCs/>
                <w:sz w:val="18"/>
                <w:szCs w:val="18"/>
                <w:lang w:eastAsia="en-GB"/>
              </w:rPr>
            </w:pPr>
          </w:p>
        </w:tc>
        <w:tc>
          <w:tcPr>
            <w:tcW w:w="750" w:type="dxa"/>
            <w:tcBorders>
              <w:top w:val="nil"/>
              <w:left w:val="nil"/>
              <w:bottom w:val="nil"/>
              <w:right w:val="nil"/>
            </w:tcBorders>
            <w:shd w:val="clear" w:color="auto" w:fill="auto"/>
            <w:noWrap/>
            <w:vAlign w:val="bottom"/>
            <w:hideMark/>
          </w:tcPr>
          <w:p w:rsidR="00486F47" w:rsidRPr="00486F47" w:rsidP="00486F47">
            <w:pPr>
              <w:spacing w:after="0" w:line="240" w:lineRule="auto"/>
              <w:rPr>
                <w:rFonts w:ascii="Times New Roman" w:eastAsia="Times New Roman" w:hAnsi="Times New Roman" w:cs="Times New Roman"/>
                <w:sz w:val="20"/>
                <w:szCs w:val="20"/>
                <w:lang w:eastAsia="en-GB"/>
              </w:rPr>
            </w:pPr>
          </w:p>
        </w:tc>
      </w:tr>
      <w:tr w:rsidTr="00486F47">
        <w:tblPrEx>
          <w:tblW w:w="8818" w:type="dxa"/>
          <w:tblLook w:val="04A0"/>
        </w:tblPrEx>
        <w:trPr>
          <w:gridAfter w:val="1"/>
          <w:wAfter w:w="1458" w:type="dxa"/>
          <w:trHeight w:val="276"/>
        </w:trPr>
        <w:tc>
          <w:tcPr>
            <w:tcW w:w="3380" w:type="dxa"/>
            <w:tcBorders>
              <w:top w:val="nil"/>
              <w:left w:val="single" w:sz="8" w:space="0" w:color="auto"/>
              <w:bottom w:val="single" w:sz="8" w:space="0" w:color="auto"/>
              <w:right w:val="single" w:sz="4" w:space="0" w:color="auto"/>
            </w:tcBorders>
            <w:shd w:val="clear" w:color="000000" w:fill="DAEEF3"/>
            <w:vAlign w:val="center"/>
            <w:hideMark/>
          </w:tcPr>
          <w:p w:rsidR="00486F47" w:rsidRPr="00486F47" w:rsidP="00486F47">
            <w:pPr>
              <w:spacing w:after="0" w:line="240" w:lineRule="auto"/>
              <w:rPr>
                <w:rFonts w:ascii="Arial" w:eastAsia="Times New Roman" w:hAnsi="Arial" w:cs="Arial"/>
                <w:b/>
                <w:bCs/>
                <w:sz w:val="18"/>
                <w:szCs w:val="18"/>
                <w:lang w:eastAsia="en-GB"/>
              </w:rPr>
            </w:pPr>
            <w:r w:rsidRPr="00486F47">
              <w:rPr>
                <w:rFonts w:ascii="Arial" w:eastAsia="Times New Roman" w:hAnsi="Arial" w:cs="Arial"/>
                <w:b/>
                <w:bCs/>
                <w:sz w:val="18"/>
                <w:szCs w:val="18"/>
                <w:lang w:eastAsia="en-GB"/>
              </w:rPr>
              <w:t> </w:t>
            </w:r>
          </w:p>
        </w:tc>
        <w:tc>
          <w:tcPr>
            <w:tcW w:w="980" w:type="dxa"/>
            <w:tcBorders>
              <w:top w:val="nil"/>
              <w:left w:val="nil"/>
              <w:bottom w:val="single" w:sz="8" w:space="0" w:color="auto"/>
              <w:right w:val="single" w:sz="8" w:space="0" w:color="auto"/>
            </w:tcBorders>
            <w:shd w:val="clear" w:color="000000" w:fill="DAEEF3"/>
            <w:vAlign w:val="center"/>
            <w:hideMark/>
          </w:tcPr>
          <w:p w:rsidR="00486F47" w:rsidRPr="00486F47" w:rsidP="00486F47">
            <w:pPr>
              <w:spacing w:after="0" w:line="240" w:lineRule="auto"/>
              <w:jc w:val="center"/>
              <w:rPr>
                <w:rFonts w:ascii="Arial" w:eastAsia="Times New Roman" w:hAnsi="Arial" w:cs="Arial"/>
                <w:b/>
                <w:bCs/>
                <w:sz w:val="18"/>
                <w:szCs w:val="18"/>
                <w:lang w:eastAsia="en-GB"/>
              </w:rPr>
            </w:pPr>
            <w:r w:rsidRPr="00486F47">
              <w:rPr>
                <w:rFonts w:ascii="Arial" w:eastAsia="Times New Roman" w:hAnsi="Arial" w:cs="Arial"/>
                <w:b/>
                <w:bCs/>
                <w:sz w:val="18"/>
                <w:szCs w:val="18"/>
                <w:lang w:eastAsia="en-GB"/>
              </w:rPr>
              <w:t>£M</w:t>
            </w:r>
          </w:p>
        </w:tc>
        <w:tc>
          <w:tcPr>
            <w:tcW w:w="800" w:type="dxa"/>
            <w:tcBorders>
              <w:top w:val="nil"/>
              <w:left w:val="nil"/>
              <w:bottom w:val="single" w:sz="8" w:space="0" w:color="auto"/>
              <w:right w:val="single" w:sz="4" w:space="0" w:color="auto"/>
            </w:tcBorders>
            <w:shd w:val="clear" w:color="000000" w:fill="DAEEF3"/>
            <w:vAlign w:val="center"/>
            <w:hideMark/>
          </w:tcPr>
          <w:p w:rsidR="00486F47" w:rsidRPr="00486F47" w:rsidP="00486F47">
            <w:pPr>
              <w:spacing w:after="0" w:line="240" w:lineRule="auto"/>
              <w:jc w:val="center"/>
              <w:rPr>
                <w:rFonts w:ascii="Arial" w:eastAsia="Times New Roman" w:hAnsi="Arial" w:cs="Arial"/>
                <w:b/>
                <w:bCs/>
                <w:sz w:val="18"/>
                <w:szCs w:val="18"/>
                <w:lang w:eastAsia="en-GB"/>
              </w:rPr>
            </w:pPr>
            <w:r w:rsidRPr="00486F47">
              <w:rPr>
                <w:rFonts w:ascii="Arial" w:eastAsia="Times New Roman" w:hAnsi="Arial" w:cs="Arial"/>
                <w:b/>
                <w:bCs/>
                <w:sz w:val="18"/>
                <w:szCs w:val="18"/>
                <w:lang w:eastAsia="en-GB"/>
              </w:rPr>
              <w:t>£M</w:t>
            </w:r>
          </w:p>
        </w:tc>
        <w:tc>
          <w:tcPr>
            <w:tcW w:w="700" w:type="dxa"/>
            <w:tcBorders>
              <w:top w:val="nil"/>
              <w:left w:val="nil"/>
              <w:bottom w:val="single" w:sz="8" w:space="0" w:color="auto"/>
              <w:right w:val="single" w:sz="8" w:space="0" w:color="auto"/>
            </w:tcBorders>
            <w:shd w:val="clear" w:color="000000" w:fill="DAEEF3"/>
            <w:vAlign w:val="center"/>
            <w:hideMark/>
          </w:tcPr>
          <w:p w:rsidR="00486F47" w:rsidRPr="00486F47" w:rsidP="00486F47">
            <w:pPr>
              <w:spacing w:after="0" w:line="240" w:lineRule="auto"/>
              <w:jc w:val="center"/>
              <w:rPr>
                <w:rFonts w:ascii="Arial" w:eastAsia="Times New Roman" w:hAnsi="Arial" w:cs="Arial"/>
                <w:b/>
                <w:bCs/>
                <w:sz w:val="18"/>
                <w:szCs w:val="18"/>
                <w:lang w:eastAsia="en-GB"/>
              </w:rPr>
            </w:pPr>
            <w:r w:rsidRPr="00486F47">
              <w:rPr>
                <w:rFonts w:ascii="Arial" w:eastAsia="Times New Roman" w:hAnsi="Arial" w:cs="Arial"/>
                <w:b/>
                <w:bCs/>
                <w:sz w:val="18"/>
                <w:szCs w:val="18"/>
                <w:lang w:eastAsia="en-GB"/>
              </w:rPr>
              <w:t>%</w:t>
            </w:r>
          </w:p>
        </w:tc>
        <w:tc>
          <w:tcPr>
            <w:tcW w:w="750" w:type="dxa"/>
            <w:tcBorders>
              <w:top w:val="nil"/>
              <w:left w:val="nil"/>
              <w:bottom w:val="nil"/>
              <w:right w:val="nil"/>
            </w:tcBorders>
            <w:shd w:val="clear" w:color="auto" w:fill="auto"/>
            <w:noWrap/>
            <w:vAlign w:val="bottom"/>
            <w:hideMark/>
          </w:tcPr>
          <w:p w:rsidR="00486F47" w:rsidRPr="00486F47" w:rsidP="00486F47">
            <w:pPr>
              <w:spacing w:after="0" w:line="240" w:lineRule="auto"/>
              <w:jc w:val="center"/>
              <w:rPr>
                <w:rFonts w:ascii="Arial" w:eastAsia="Times New Roman" w:hAnsi="Arial" w:cs="Arial"/>
                <w:b/>
                <w:bCs/>
                <w:sz w:val="18"/>
                <w:szCs w:val="18"/>
                <w:lang w:eastAsia="en-GB"/>
              </w:rPr>
            </w:pPr>
          </w:p>
        </w:tc>
        <w:tc>
          <w:tcPr>
            <w:tcW w:w="750" w:type="dxa"/>
            <w:tcBorders>
              <w:top w:val="nil"/>
              <w:left w:val="nil"/>
              <w:bottom w:val="nil"/>
              <w:right w:val="nil"/>
            </w:tcBorders>
            <w:shd w:val="clear" w:color="auto" w:fill="auto"/>
            <w:noWrap/>
            <w:vAlign w:val="bottom"/>
            <w:hideMark/>
          </w:tcPr>
          <w:p w:rsidR="00486F47" w:rsidRPr="00486F47" w:rsidP="00486F47">
            <w:pPr>
              <w:spacing w:after="0" w:line="240" w:lineRule="auto"/>
              <w:rPr>
                <w:rFonts w:ascii="Times New Roman" w:eastAsia="Times New Roman" w:hAnsi="Times New Roman" w:cs="Times New Roman"/>
                <w:sz w:val="20"/>
                <w:szCs w:val="20"/>
                <w:lang w:eastAsia="en-GB"/>
              </w:rPr>
            </w:pPr>
          </w:p>
        </w:tc>
      </w:tr>
      <w:tr w:rsidTr="00486F47">
        <w:tblPrEx>
          <w:tblW w:w="8818" w:type="dxa"/>
          <w:tblLook w:val="04A0"/>
        </w:tblPrEx>
        <w:trPr>
          <w:gridAfter w:val="1"/>
          <w:wAfter w:w="1458" w:type="dxa"/>
          <w:trHeight w:val="264"/>
        </w:trPr>
        <w:tc>
          <w:tcPr>
            <w:tcW w:w="3380" w:type="dxa"/>
            <w:tcBorders>
              <w:top w:val="nil"/>
              <w:left w:val="single" w:sz="8" w:space="0" w:color="auto"/>
              <w:bottom w:val="single" w:sz="4" w:space="0" w:color="auto"/>
              <w:right w:val="single" w:sz="4" w:space="0" w:color="auto"/>
            </w:tcBorders>
            <w:shd w:val="clear" w:color="auto" w:fill="auto"/>
            <w:vAlign w:val="bottom"/>
            <w:hideMark/>
          </w:tcPr>
          <w:p w:rsidR="00486F47" w:rsidRPr="00486F47" w:rsidP="00486F47">
            <w:pPr>
              <w:spacing w:after="0" w:line="240" w:lineRule="auto"/>
              <w:rPr>
                <w:rFonts w:ascii="Arial" w:eastAsia="Times New Roman" w:hAnsi="Arial" w:cs="Arial"/>
                <w:sz w:val="16"/>
                <w:szCs w:val="16"/>
                <w:lang w:eastAsia="en-GB"/>
              </w:rPr>
            </w:pPr>
            <w:r w:rsidRPr="00486F47">
              <w:rPr>
                <w:rFonts w:ascii="Arial" w:eastAsia="Times New Roman" w:hAnsi="Arial" w:cs="Arial"/>
                <w:sz w:val="16"/>
                <w:szCs w:val="16"/>
                <w:lang w:eastAsia="en-GB"/>
              </w:rPr>
              <w:t>Operations - Cash RDEL and CDEL</w:t>
            </w:r>
          </w:p>
        </w:tc>
        <w:tc>
          <w:tcPr>
            <w:tcW w:w="980" w:type="dxa"/>
            <w:tcBorders>
              <w:top w:val="nil"/>
              <w:left w:val="single" w:sz="8" w:space="0" w:color="auto"/>
              <w:bottom w:val="single" w:sz="4" w:space="0" w:color="auto"/>
              <w:right w:val="single" w:sz="8" w:space="0" w:color="auto"/>
            </w:tcBorders>
            <w:shd w:val="clear" w:color="auto" w:fill="auto"/>
            <w:vAlign w:val="bottom"/>
            <w:hideMark/>
          </w:tcPr>
          <w:p w:rsidR="00486F47" w:rsidRPr="00486F47" w:rsidP="00486F47">
            <w:pPr>
              <w:spacing w:after="0" w:line="240" w:lineRule="auto"/>
              <w:jc w:val="right"/>
              <w:rPr>
                <w:rFonts w:ascii="Arial" w:eastAsia="Times New Roman" w:hAnsi="Arial" w:cs="Arial"/>
                <w:sz w:val="16"/>
                <w:szCs w:val="16"/>
                <w:lang w:eastAsia="en-GB"/>
              </w:rPr>
            </w:pPr>
            <w:r w:rsidRPr="00486F47">
              <w:rPr>
                <w:rFonts w:ascii="Arial" w:eastAsia="Times New Roman" w:hAnsi="Arial" w:cs="Arial"/>
                <w:sz w:val="16"/>
                <w:szCs w:val="16"/>
                <w:lang w:eastAsia="en-GB"/>
              </w:rPr>
              <w:t xml:space="preserve"> 468.5 </w:t>
            </w:r>
          </w:p>
        </w:tc>
        <w:tc>
          <w:tcPr>
            <w:tcW w:w="800" w:type="dxa"/>
            <w:tcBorders>
              <w:top w:val="nil"/>
              <w:left w:val="nil"/>
              <w:bottom w:val="single" w:sz="4" w:space="0" w:color="auto"/>
              <w:right w:val="single" w:sz="4" w:space="0" w:color="auto"/>
            </w:tcBorders>
            <w:shd w:val="clear" w:color="auto" w:fill="auto"/>
            <w:vAlign w:val="bottom"/>
            <w:hideMark/>
          </w:tcPr>
          <w:p w:rsidR="00486F47" w:rsidRPr="00486F47" w:rsidP="00486F47">
            <w:pPr>
              <w:spacing w:after="0" w:line="240" w:lineRule="auto"/>
              <w:jc w:val="right"/>
              <w:rPr>
                <w:rFonts w:ascii="Arial" w:eastAsia="Times New Roman" w:hAnsi="Arial" w:cs="Arial"/>
                <w:sz w:val="16"/>
                <w:szCs w:val="16"/>
                <w:lang w:eastAsia="en-GB"/>
              </w:rPr>
            </w:pPr>
            <w:r w:rsidRPr="00486F47">
              <w:rPr>
                <w:rFonts w:ascii="Arial" w:eastAsia="Times New Roman" w:hAnsi="Arial" w:cs="Arial"/>
                <w:sz w:val="16"/>
                <w:szCs w:val="16"/>
                <w:lang w:eastAsia="en-GB"/>
              </w:rPr>
              <w:t xml:space="preserve"> 138.5 </w:t>
            </w:r>
          </w:p>
        </w:tc>
        <w:tc>
          <w:tcPr>
            <w:tcW w:w="700" w:type="dxa"/>
            <w:tcBorders>
              <w:top w:val="nil"/>
              <w:left w:val="nil"/>
              <w:bottom w:val="single" w:sz="4" w:space="0" w:color="auto"/>
              <w:right w:val="single" w:sz="8" w:space="0" w:color="auto"/>
            </w:tcBorders>
            <w:shd w:val="clear" w:color="auto" w:fill="auto"/>
            <w:vAlign w:val="bottom"/>
            <w:hideMark/>
          </w:tcPr>
          <w:p w:rsidR="00486F47" w:rsidRPr="00486F47" w:rsidP="00486F47">
            <w:pPr>
              <w:spacing w:after="0" w:line="240" w:lineRule="auto"/>
              <w:jc w:val="center"/>
              <w:rPr>
                <w:rFonts w:ascii="Arial" w:eastAsia="Times New Roman" w:hAnsi="Arial" w:cs="Arial"/>
                <w:sz w:val="16"/>
                <w:szCs w:val="16"/>
                <w:lang w:eastAsia="en-GB"/>
              </w:rPr>
            </w:pPr>
            <w:r w:rsidRPr="00486F47">
              <w:rPr>
                <w:rFonts w:ascii="Arial" w:eastAsia="Times New Roman" w:hAnsi="Arial" w:cs="Arial"/>
                <w:sz w:val="16"/>
                <w:szCs w:val="16"/>
                <w:lang w:eastAsia="en-GB"/>
              </w:rPr>
              <w:t>42%</w:t>
            </w:r>
          </w:p>
        </w:tc>
        <w:tc>
          <w:tcPr>
            <w:tcW w:w="750" w:type="dxa"/>
            <w:tcBorders>
              <w:top w:val="nil"/>
              <w:left w:val="nil"/>
              <w:bottom w:val="nil"/>
              <w:right w:val="nil"/>
            </w:tcBorders>
            <w:shd w:val="clear" w:color="auto" w:fill="auto"/>
            <w:noWrap/>
            <w:vAlign w:val="bottom"/>
            <w:hideMark/>
          </w:tcPr>
          <w:p w:rsidR="00486F47" w:rsidRPr="00486F47" w:rsidP="00486F47">
            <w:pPr>
              <w:spacing w:after="0" w:line="240" w:lineRule="auto"/>
              <w:jc w:val="center"/>
              <w:rPr>
                <w:rFonts w:ascii="Arial" w:eastAsia="Times New Roman" w:hAnsi="Arial" w:cs="Arial"/>
                <w:sz w:val="16"/>
                <w:szCs w:val="16"/>
                <w:lang w:eastAsia="en-GB"/>
              </w:rPr>
            </w:pPr>
          </w:p>
        </w:tc>
        <w:tc>
          <w:tcPr>
            <w:tcW w:w="750" w:type="dxa"/>
            <w:tcBorders>
              <w:top w:val="nil"/>
              <w:left w:val="nil"/>
              <w:bottom w:val="nil"/>
              <w:right w:val="nil"/>
            </w:tcBorders>
            <w:shd w:val="clear" w:color="auto" w:fill="auto"/>
            <w:noWrap/>
            <w:vAlign w:val="bottom"/>
            <w:hideMark/>
          </w:tcPr>
          <w:p w:rsidR="00486F47" w:rsidRPr="00486F47" w:rsidP="00486F47">
            <w:pPr>
              <w:spacing w:after="0" w:line="240" w:lineRule="auto"/>
              <w:rPr>
                <w:rFonts w:ascii="Times New Roman" w:eastAsia="Times New Roman" w:hAnsi="Times New Roman" w:cs="Times New Roman"/>
                <w:sz w:val="20"/>
                <w:szCs w:val="20"/>
                <w:lang w:eastAsia="en-GB"/>
              </w:rPr>
            </w:pPr>
          </w:p>
        </w:tc>
      </w:tr>
      <w:tr w:rsidTr="00486F47">
        <w:tblPrEx>
          <w:tblW w:w="8818" w:type="dxa"/>
          <w:tblLook w:val="04A0"/>
        </w:tblPrEx>
        <w:trPr>
          <w:gridAfter w:val="1"/>
          <w:wAfter w:w="1458" w:type="dxa"/>
          <w:trHeight w:val="264"/>
        </w:trPr>
        <w:tc>
          <w:tcPr>
            <w:tcW w:w="3380" w:type="dxa"/>
            <w:tcBorders>
              <w:top w:val="nil"/>
              <w:left w:val="single" w:sz="8" w:space="0" w:color="auto"/>
              <w:bottom w:val="nil"/>
              <w:right w:val="single" w:sz="4" w:space="0" w:color="auto"/>
            </w:tcBorders>
            <w:shd w:val="clear" w:color="auto" w:fill="auto"/>
            <w:vAlign w:val="bottom"/>
            <w:hideMark/>
          </w:tcPr>
          <w:p w:rsidR="00486F47" w:rsidRPr="00486F47" w:rsidP="00486F47">
            <w:pPr>
              <w:spacing w:after="0" w:line="240" w:lineRule="auto"/>
              <w:rPr>
                <w:rFonts w:ascii="Arial" w:eastAsia="Times New Roman" w:hAnsi="Arial" w:cs="Arial"/>
                <w:sz w:val="16"/>
                <w:szCs w:val="16"/>
                <w:lang w:eastAsia="en-GB"/>
              </w:rPr>
            </w:pPr>
            <w:r w:rsidRPr="00486F47">
              <w:rPr>
                <w:rFonts w:ascii="Arial" w:eastAsia="Times New Roman" w:hAnsi="Arial" w:cs="Arial"/>
                <w:sz w:val="16"/>
                <w:szCs w:val="16"/>
                <w:lang w:eastAsia="en-GB"/>
              </w:rPr>
              <w:t>Conflict, Stability and Security Fund</w:t>
            </w:r>
          </w:p>
        </w:tc>
        <w:tc>
          <w:tcPr>
            <w:tcW w:w="980" w:type="dxa"/>
            <w:tcBorders>
              <w:top w:val="nil"/>
              <w:left w:val="single" w:sz="8" w:space="0" w:color="auto"/>
              <w:bottom w:val="nil"/>
              <w:right w:val="single" w:sz="8" w:space="0" w:color="auto"/>
            </w:tcBorders>
            <w:shd w:val="clear" w:color="auto" w:fill="auto"/>
            <w:vAlign w:val="bottom"/>
            <w:hideMark/>
          </w:tcPr>
          <w:p w:rsidR="00486F47" w:rsidRPr="00486F47" w:rsidP="00486F47">
            <w:pPr>
              <w:spacing w:after="0" w:line="240" w:lineRule="auto"/>
              <w:jc w:val="right"/>
              <w:rPr>
                <w:rFonts w:ascii="Arial" w:eastAsia="Times New Roman" w:hAnsi="Arial" w:cs="Arial"/>
                <w:sz w:val="16"/>
                <w:szCs w:val="16"/>
                <w:lang w:eastAsia="en-GB"/>
              </w:rPr>
            </w:pPr>
            <w:r w:rsidRPr="00486F47">
              <w:rPr>
                <w:rFonts w:ascii="Arial" w:eastAsia="Times New Roman" w:hAnsi="Arial" w:cs="Arial"/>
                <w:sz w:val="16"/>
                <w:szCs w:val="16"/>
                <w:lang w:eastAsia="en-GB"/>
              </w:rPr>
              <w:t xml:space="preserve"> 88.7 </w:t>
            </w:r>
          </w:p>
        </w:tc>
        <w:tc>
          <w:tcPr>
            <w:tcW w:w="800" w:type="dxa"/>
            <w:tcBorders>
              <w:top w:val="nil"/>
              <w:left w:val="nil"/>
              <w:bottom w:val="nil"/>
              <w:right w:val="single" w:sz="4" w:space="0" w:color="auto"/>
            </w:tcBorders>
            <w:shd w:val="clear" w:color="auto" w:fill="auto"/>
            <w:vAlign w:val="bottom"/>
            <w:hideMark/>
          </w:tcPr>
          <w:p w:rsidR="00486F47" w:rsidRPr="00486F47" w:rsidP="00486F47">
            <w:pPr>
              <w:spacing w:after="0" w:line="240" w:lineRule="auto"/>
              <w:jc w:val="right"/>
              <w:rPr>
                <w:rFonts w:ascii="Arial" w:eastAsia="Times New Roman" w:hAnsi="Arial" w:cs="Arial"/>
                <w:sz w:val="16"/>
                <w:szCs w:val="16"/>
                <w:lang w:eastAsia="en-GB"/>
              </w:rPr>
            </w:pPr>
            <w:r w:rsidRPr="00486F47">
              <w:rPr>
                <w:rFonts w:ascii="Arial" w:eastAsia="Times New Roman" w:hAnsi="Arial" w:cs="Arial"/>
                <w:sz w:val="16"/>
                <w:szCs w:val="16"/>
                <w:lang w:eastAsia="en-GB"/>
              </w:rPr>
              <w:t xml:space="preserve"> 3.1 </w:t>
            </w:r>
          </w:p>
        </w:tc>
        <w:tc>
          <w:tcPr>
            <w:tcW w:w="700" w:type="dxa"/>
            <w:tcBorders>
              <w:top w:val="nil"/>
              <w:left w:val="nil"/>
              <w:bottom w:val="nil"/>
              <w:right w:val="single" w:sz="8" w:space="0" w:color="auto"/>
            </w:tcBorders>
            <w:shd w:val="clear" w:color="auto" w:fill="auto"/>
            <w:vAlign w:val="bottom"/>
            <w:hideMark/>
          </w:tcPr>
          <w:p w:rsidR="00486F47" w:rsidRPr="00486F47" w:rsidP="00486F47">
            <w:pPr>
              <w:spacing w:after="0" w:line="240" w:lineRule="auto"/>
              <w:jc w:val="center"/>
              <w:rPr>
                <w:rFonts w:ascii="Arial" w:eastAsia="Times New Roman" w:hAnsi="Arial" w:cs="Arial"/>
                <w:sz w:val="16"/>
                <w:szCs w:val="16"/>
                <w:lang w:eastAsia="en-GB"/>
              </w:rPr>
            </w:pPr>
            <w:r w:rsidRPr="00486F47">
              <w:rPr>
                <w:rFonts w:ascii="Arial" w:eastAsia="Times New Roman" w:hAnsi="Arial" w:cs="Arial"/>
                <w:sz w:val="16"/>
                <w:szCs w:val="16"/>
                <w:lang w:eastAsia="en-GB"/>
              </w:rPr>
              <w:t>4%</w:t>
            </w:r>
          </w:p>
        </w:tc>
        <w:tc>
          <w:tcPr>
            <w:tcW w:w="750" w:type="dxa"/>
            <w:tcBorders>
              <w:top w:val="nil"/>
              <w:left w:val="nil"/>
              <w:bottom w:val="nil"/>
              <w:right w:val="nil"/>
            </w:tcBorders>
            <w:shd w:val="clear" w:color="auto" w:fill="auto"/>
            <w:noWrap/>
            <w:vAlign w:val="bottom"/>
            <w:hideMark/>
          </w:tcPr>
          <w:p w:rsidR="00486F47" w:rsidRPr="00486F47" w:rsidP="00486F47">
            <w:pPr>
              <w:spacing w:after="0" w:line="240" w:lineRule="auto"/>
              <w:jc w:val="center"/>
              <w:rPr>
                <w:rFonts w:ascii="Arial" w:eastAsia="Times New Roman" w:hAnsi="Arial" w:cs="Arial"/>
                <w:sz w:val="16"/>
                <w:szCs w:val="16"/>
                <w:lang w:eastAsia="en-GB"/>
              </w:rPr>
            </w:pPr>
          </w:p>
        </w:tc>
        <w:tc>
          <w:tcPr>
            <w:tcW w:w="750" w:type="dxa"/>
            <w:tcBorders>
              <w:top w:val="nil"/>
              <w:left w:val="nil"/>
              <w:bottom w:val="nil"/>
              <w:right w:val="nil"/>
            </w:tcBorders>
            <w:shd w:val="clear" w:color="auto" w:fill="auto"/>
            <w:noWrap/>
            <w:vAlign w:val="bottom"/>
            <w:hideMark/>
          </w:tcPr>
          <w:p w:rsidR="00486F47" w:rsidRPr="00486F47" w:rsidP="00486F47">
            <w:pPr>
              <w:spacing w:after="0" w:line="240" w:lineRule="auto"/>
              <w:rPr>
                <w:rFonts w:ascii="Times New Roman" w:eastAsia="Times New Roman" w:hAnsi="Times New Roman" w:cs="Times New Roman"/>
                <w:sz w:val="20"/>
                <w:szCs w:val="20"/>
                <w:lang w:eastAsia="en-GB"/>
              </w:rPr>
            </w:pPr>
          </w:p>
        </w:tc>
      </w:tr>
      <w:tr w:rsidTr="00486F47">
        <w:tblPrEx>
          <w:tblW w:w="8818" w:type="dxa"/>
          <w:tblLook w:val="04A0"/>
        </w:tblPrEx>
        <w:trPr>
          <w:gridAfter w:val="1"/>
          <w:wAfter w:w="1458" w:type="dxa"/>
          <w:trHeight w:val="264"/>
        </w:trPr>
        <w:tc>
          <w:tcPr>
            <w:tcW w:w="3380" w:type="dxa"/>
            <w:tcBorders>
              <w:top w:val="single" w:sz="4" w:space="0" w:color="auto"/>
              <w:left w:val="single" w:sz="8" w:space="0" w:color="auto"/>
              <w:bottom w:val="nil"/>
              <w:right w:val="single" w:sz="4" w:space="0" w:color="auto"/>
            </w:tcBorders>
            <w:shd w:val="clear" w:color="auto" w:fill="auto"/>
            <w:vAlign w:val="bottom"/>
            <w:hideMark/>
          </w:tcPr>
          <w:p w:rsidR="00486F47" w:rsidRPr="00486F47" w:rsidP="00486F47">
            <w:pPr>
              <w:spacing w:after="0" w:line="240" w:lineRule="auto"/>
              <w:rPr>
                <w:rFonts w:ascii="Arial" w:eastAsia="Times New Roman" w:hAnsi="Arial" w:cs="Arial"/>
                <w:sz w:val="16"/>
                <w:szCs w:val="16"/>
                <w:lang w:eastAsia="en-GB"/>
              </w:rPr>
            </w:pPr>
            <w:r w:rsidRPr="00486F47">
              <w:rPr>
                <w:rFonts w:ascii="Arial" w:eastAsia="Times New Roman" w:hAnsi="Arial" w:cs="Arial"/>
                <w:sz w:val="16"/>
                <w:szCs w:val="16"/>
                <w:lang w:eastAsia="en-GB"/>
              </w:rPr>
              <w:t>War Pension Benefits*</w:t>
            </w:r>
          </w:p>
        </w:tc>
        <w:tc>
          <w:tcPr>
            <w:tcW w:w="980" w:type="dxa"/>
            <w:tcBorders>
              <w:top w:val="single" w:sz="4" w:space="0" w:color="auto"/>
              <w:left w:val="single" w:sz="8" w:space="0" w:color="auto"/>
              <w:bottom w:val="nil"/>
              <w:right w:val="single" w:sz="8" w:space="0" w:color="auto"/>
            </w:tcBorders>
            <w:shd w:val="clear" w:color="auto" w:fill="auto"/>
            <w:vAlign w:val="bottom"/>
            <w:hideMark/>
          </w:tcPr>
          <w:p w:rsidR="00486F47" w:rsidRPr="00486F47" w:rsidP="00486F47">
            <w:pPr>
              <w:spacing w:after="0" w:line="240" w:lineRule="auto"/>
              <w:jc w:val="right"/>
              <w:rPr>
                <w:rFonts w:ascii="Arial" w:eastAsia="Times New Roman" w:hAnsi="Arial" w:cs="Arial"/>
                <w:sz w:val="16"/>
                <w:szCs w:val="16"/>
                <w:lang w:eastAsia="en-GB"/>
              </w:rPr>
            </w:pPr>
            <w:r w:rsidRPr="00486F47">
              <w:rPr>
                <w:rFonts w:ascii="Arial" w:eastAsia="Times New Roman" w:hAnsi="Arial" w:cs="Arial"/>
                <w:sz w:val="16"/>
                <w:szCs w:val="16"/>
                <w:lang w:eastAsia="en-GB"/>
              </w:rPr>
              <w:t xml:space="preserve"> 670.1 </w:t>
            </w:r>
          </w:p>
        </w:tc>
        <w:tc>
          <w:tcPr>
            <w:tcW w:w="800" w:type="dxa"/>
            <w:tcBorders>
              <w:top w:val="single" w:sz="4" w:space="0" w:color="auto"/>
              <w:left w:val="nil"/>
              <w:bottom w:val="nil"/>
              <w:right w:val="single" w:sz="4" w:space="0" w:color="auto"/>
            </w:tcBorders>
            <w:shd w:val="clear" w:color="auto" w:fill="auto"/>
            <w:vAlign w:val="bottom"/>
            <w:hideMark/>
          </w:tcPr>
          <w:p w:rsidR="00486F47" w:rsidRPr="00486F47" w:rsidP="00486F47">
            <w:pPr>
              <w:spacing w:after="0" w:line="240" w:lineRule="auto"/>
              <w:jc w:val="right"/>
              <w:rPr>
                <w:rFonts w:ascii="Arial" w:eastAsia="Times New Roman" w:hAnsi="Arial" w:cs="Arial"/>
                <w:sz w:val="16"/>
                <w:szCs w:val="16"/>
                <w:lang w:eastAsia="en-GB"/>
              </w:rPr>
            </w:pPr>
            <w:r w:rsidRPr="00486F47">
              <w:rPr>
                <w:rFonts w:ascii="Arial" w:eastAsia="Times New Roman" w:hAnsi="Arial" w:cs="Arial"/>
                <w:color w:val="000000"/>
                <w:sz w:val="16"/>
                <w:szCs w:val="16"/>
                <w:lang w:eastAsia="en-GB"/>
              </w:rPr>
              <w:t>(30.0)</w:t>
            </w:r>
          </w:p>
        </w:tc>
        <w:tc>
          <w:tcPr>
            <w:tcW w:w="700" w:type="dxa"/>
            <w:tcBorders>
              <w:top w:val="single" w:sz="4" w:space="0" w:color="auto"/>
              <w:left w:val="nil"/>
              <w:bottom w:val="nil"/>
              <w:right w:val="single" w:sz="8" w:space="0" w:color="auto"/>
            </w:tcBorders>
            <w:shd w:val="clear" w:color="auto" w:fill="auto"/>
            <w:vAlign w:val="bottom"/>
            <w:hideMark/>
          </w:tcPr>
          <w:p w:rsidR="00486F47" w:rsidRPr="00486F47" w:rsidP="00486F47">
            <w:pPr>
              <w:spacing w:after="0" w:line="240" w:lineRule="auto"/>
              <w:jc w:val="center"/>
              <w:rPr>
                <w:rFonts w:ascii="Arial" w:eastAsia="Times New Roman" w:hAnsi="Arial" w:cs="Arial"/>
                <w:sz w:val="16"/>
                <w:szCs w:val="16"/>
                <w:lang w:eastAsia="en-GB"/>
              </w:rPr>
            </w:pPr>
            <w:r w:rsidRPr="00486F47">
              <w:rPr>
                <w:rFonts w:ascii="Arial" w:eastAsia="Times New Roman" w:hAnsi="Arial" w:cs="Arial"/>
                <w:sz w:val="16"/>
                <w:szCs w:val="16"/>
                <w:lang w:eastAsia="en-GB"/>
              </w:rPr>
              <w:t>-4%</w:t>
            </w:r>
          </w:p>
        </w:tc>
        <w:tc>
          <w:tcPr>
            <w:tcW w:w="750" w:type="dxa"/>
            <w:tcBorders>
              <w:top w:val="nil"/>
              <w:left w:val="nil"/>
              <w:bottom w:val="nil"/>
              <w:right w:val="nil"/>
            </w:tcBorders>
            <w:shd w:val="clear" w:color="auto" w:fill="auto"/>
            <w:noWrap/>
            <w:vAlign w:val="bottom"/>
            <w:hideMark/>
          </w:tcPr>
          <w:p w:rsidR="00486F47" w:rsidRPr="00486F47" w:rsidP="00486F47">
            <w:pPr>
              <w:spacing w:after="0" w:line="240" w:lineRule="auto"/>
              <w:jc w:val="center"/>
              <w:rPr>
                <w:rFonts w:ascii="Arial" w:eastAsia="Times New Roman" w:hAnsi="Arial" w:cs="Arial"/>
                <w:sz w:val="16"/>
                <w:szCs w:val="16"/>
                <w:lang w:eastAsia="en-GB"/>
              </w:rPr>
            </w:pPr>
          </w:p>
        </w:tc>
        <w:tc>
          <w:tcPr>
            <w:tcW w:w="750" w:type="dxa"/>
            <w:tcBorders>
              <w:top w:val="nil"/>
              <w:left w:val="nil"/>
              <w:bottom w:val="nil"/>
              <w:right w:val="nil"/>
            </w:tcBorders>
            <w:shd w:val="clear" w:color="auto" w:fill="auto"/>
            <w:noWrap/>
            <w:vAlign w:val="bottom"/>
            <w:hideMark/>
          </w:tcPr>
          <w:p w:rsidR="00486F47" w:rsidRPr="00486F47" w:rsidP="00486F47">
            <w:pPr>
              <w:spacing w:after="0" w:line="240" w:lineRule="auto"/>
              <w:rPr>
                <w:rFonts w:ascii="Times New Roman" w:eastAsia="Times New Roman" w:hAnsi="Times New Roman" w:cs="Times New Roman"/>
                <w:sz w:val="20"/>
                <w:szCs w:val="20"/>
                <w:lang w:eastAsia="en-GB"/>
              </w:rPr>
            </w:pPr>
          </w:p>
        </w:tc>
      </w:tr>
      <w:tr w:rsidTr="00486F47">
        <w:tblPrEx>
          <w:tblW w:w="8818" w:type="dxa"/>
          <w:tblLook w:val="04A0"/>
        </w:tblPrEx>
        <w:trPr>
          <w:gridAfter w:val="1"/>
          <w:wAfter w:w="1458" w:type="dxa"/>
          <w:trHeight w:val="276"/>
        </w:trPr>
        <w:tc>
          <w:tcPr>
            <w:tcW w:w="3380" w:type="dxa"/>
            <w:tcBorders>
              <w:top w:val="single" w:sz="4" w:space="0" w:color="auto"/>
              <w:left w:val="single" w:sz="8" w:space="0" w:color="auto"/>
              <w:bottom w:val="single" w:sz="8" w:space="0" w:color="auto"/>
              <w:right w:val="single" w:sz="4" w:space="0" w:color="auto"/>
            </w:tcBorders>
            <w:shd w:val="clear" w:color="auto" w:fill="auto"/>
            <w:vAlign w:val="bottom"/>
            <w:hideMark/>
          </w:tcPr>
          <w:p w:rsidR="00486F47" w:rsidRPr="00486F47" w:rsidP="00486F47">
            <w:pPr>
              <w:spacing w:after="0" w:line="240" w:lineRule="auto"/>
              <w:rPr>
                <w:rFonts w:ascii="Arial" w:eastAsia="Times New Roman" w:hAnsi="Arial" w:cs="Arial"/>
                <w:sz w:val="16"/>
                <w:szCs w:val="16"/>
                <w:lang w:eastAsia="en-GB"/>
              </w:rPr>
            </w:pPr>
            <w:r w:rsidRPr="00486F47">
              <w:rPr>
                <w:rFonts w:ascii="Arial" w:eastAsia="Times New Roman" w:hAnsi="Arial" w:cs="Arial"/>
                <w:sz w:val="16"/>
                <w:szCs w:val="16"/>
                <w:lang w:eastAsia="en-GB"/>
              </w:rPr>
              <w:t>Core Depreciation and Impairment Costs</w:t>
            </w:r>
          </w:p>
        </w:tc>
        <w:tc>
          <w:tcPr>
            <w:tcW w:w="980"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486F47" w:rsidRPr="00486F47" w:rsidP="00486F47">
            <w:pPr>
              <w:spacing w:after="0" w:line="240" w:lineRule="auto"/>
              <w:jc w:val="right"/>
              <w:rPr>
                <w:rFonts w:ascii="Arial" w:eastAsia="Times New Roman" w:hAnsi="Arial" w:cs="Arial"/>
                <w:sz w:val="16"/>
                <w:szCs w:val="16"/>
                <w:lang w:eastAsia="en-GB"/>
              </w:rPr>
            </w:pPr>
            <w:r w:rsidRPr="00486F47">
              <w:rPr>
                <w:rFonts w:ascii="Arial" w:eastAsia="Times New Roman" w:hAnsi="Arial" w:cs="Arial"/>
                <w:sz w:val="16"/>
                <w:szCs w:val="16"/>
                <w:lang w:eastAsia="en-GB"/>
              </w:rPr>
              <w:t xml:space="preserve"> 10,500.0 </w:t>
            </w:r>
          </w:p>
        </w:tc>
        <w:tc>
          <w:tcPr>
            <w:tcW w:w="800" w:type="dxa"/>
            <w:tcBorders>
              <w:top w:val="single" w:sz="4" w:space="0" w:color="auto"/>
              <w:left w:val="nil"/>
              <w:bottom w:val="single" w:sz="8" w:space="0" w:color="auto"/>
              <w:right w:val="single" w:sz="4" w:space="0" w:color="auto"/>
            </w:tcBorders>
            <w:shd w:val="clear" w:color="auto" w:fill="auto"/>
            <w:vAlign w:val="bottom"/>
            <w:hideMark/>
          </w:tcPr>
          <w:p w:rsidR="00486F47" w:rsidRPr="00486F47" w:rsidP="00486F47">
            <w:pPr>
              <w:spacing w:after="0" w:line="240" w:lineRule="auto"/>
              <w:jc w:val="right"/>
              <w:rPr>
                <w:rFonts w:ascii="Arial" w:eastAsia="Times New Roman" w:hAnsi="Arial" w:cs="Arial"/>
                <w:sz w:val="16"/>
                <w:szCs w:val="16"/>
                <w:lang w:eastAsia="en-GB"/>
              </w:rPr>
            </w:pPr>
            <w:r w:rsidRPr="00486F47">
              <w:rPr>
                <w:rFonts w:ascii="Arial" w:eastAsia="Times New Roman" w:hAnsi="Arial" w:cs="Arial"/>
                <w:sz w:val="16"/>
                <w:szCs w:val="16"/>
                <w:lang w:eastAsia="en-GB"/>
              </w:rPr>
              <w:t xml:space="preserve"> 2,000.0 </w:t>
            </w:r>
          </w:p>
        </w:tc>
        <w:tc>
          <w:tcPr>
            <w:tcW w:w="700" w:type="dxa"/>
            <w:tcBorders>
              <w:top w:val="single" w:sz="4" w:space="0" w:color="auto"/>
              <w:left w:val="nil"/>
              <w:bottom w:val="single" w:sz="8" w:space="0" w:color="auto"/>
              <w:right w:val="single" w:sz="8" w:space="0" w:color="auto"/>
            </w:tcBorders>
            <w:shd w:val="clear" w:color="auto" w:fill="auto"/>
            <w:vAlign w:val="bottom"/>
            <w:hideMark/>
          </w:tcPr>
          <w:p w:rsidR="00486F47" w:rsidRPr="00486F47" w:rsidP="00486F47">
            <w:pPr>
              <w:spacing w:after="0" w:line="240" w:lineRule="auto"/>
              <w:jc w:val="center"/>
              <w:rPr>
                <w:rFonts w:ascii="Arial" w:eastAsia="Times New Roman" w:hAnsi="Arial" w:cs="Arial"/>
                <w:sz w:val="16"/>
                <w:szCs w:val="16"/>
                <w:lang w:eastAsia="en-GB"/>
              </w:rPr>
            </w:pPr>
            <w:r w:rsidRPr="00486F47">
              <w:rPr>
                <w:rFonts w:ascii="Arial" w:eastAsia="Times New Roman" w:hAnsi="Arial" w:cs="Arial"/>
                <w:sz w:val="16"/>
                <w:szCs w:val="16"/>
                <w:lang w:eastAsia="en-GB"/>
              </w:rPr>
              <w:t>24%</w:t>
            </w:r>
          </w:p>
        </w:tc>
        <w:tc>
          <w:tcPr>
            <w:tcW w:w="750" w:type="dxa"/>
            <w:tcBorders>
              <w:top w:val="nil"/>
              <w:left w:val="nil"/>
              <w:bottom w:val="nil"/>
              <w:right w:val="nil"/>
            </w:tcBorders>
            <w:shd w:val="clear" w:color="auto" w:fill="auto"/>
            <w:noWrap/>
            <w:vAlign w:val="bottom"/>
            <w:hideMark/>
          </w:tcPr>
          <w:p w:rsidR="00486F47" w:rsidRPr="00486F47" w:rsidP="00486F47">
            <w:pPr>
              <w:spacing w:after="0" w:line="240" w:lineRule="auto"/>
              <w:jc w:val="center"/>
              <w:rPr>
                <w:rFonts w:ascii="Arial" w:eastAsia="Times New Roman" w:hAnsi="Arial" w:cs="Arial"/>
                <w:sz w:val="16"/>
                <w:szCs w:val="16"/>
                <w:lang w:eastAsia="en-GB"/>
              </w:rPr>
            </w:pPr>
          </w:p>
        </w:tc>
        <w:tc>
          <w:tcPr>
            <w:tcW w:w="750" w:type="dxa"/>
            <w:tcBorders>
              <w:top w:val="nil"/>
              <w:left w:val="nil"/>
              <w:bottom w:val="nil"/>
              <w:right w:val="nil"/>
            </w:tcBorders>
            <w:shd w:val="clear" w:color="auto" w:fill="auto"/>
            <w:noWrap/>
            <w:vAlign w:val="bottom"/>
            <w:hideMark/>
          </w:tcPr>
          <w:p w:rsidR="00486F47" w:rsidRPr="00486F47" w:rsidP="00486F47">
            <w:pPr>
              <w:spacing w:after="0" w:line="240" w:lineRule="auto"/>
              <w:rPr>
                <w:rFonts w:ascii="Times New Roman" w:eastAsia="Times New Roman" w:hAnsi="Times New Roman" w:cs="Times New Roman"/>
                <w:sz w:val="20"/>
                <w:szCs w:val="20"/>
                <w:lang w:eastAsia="en-GB"/>
              </w:rPr>
            </w:pPr>
          </w:p>
        </w:tc>
      </w:tr>
      <w:tr w:rsidTr="00486F47">
        <w:tblPrEx>
          <w:tblW w:w="8818" w:type="dxa"/>
          <w:tblLook w:val="04A0"/>
        </w:tblPrEx>
        <w:trPr>
          <w:gridAfter w:val="1"/>
          <w:wAfter w:w="1458" w:type="dxa"/>
          <w:trHeight w:val="264"/>
        </w:trPr>
        <w:tc>
          <w:tcPr>
            <w:tcW w:w="3380" w:type="dxa"/>
            <w:tcBorders>
              <w:top w:val="nil"/>
              <w:left w:val="nil"/>
              <w:bottom w:val="nil"/>
              <w:right w:val="nil"/>
            </w:tcBorders>
            <w:shd w:val="clear" w:color="auto" w:fill="auto"/>
            <w:noWrap/>
            <w:vAlign w:val="bottom"/>
            <w:hideMark/>
          </w:tcPr>
          <w:p w:rsidR="00486F47" w:rsidRPr="00486F47" w:rsidP="00486F47">
            <w:pPr>
              <w:spacing w:after="0" w:line="240" w:lineRule="auto"/>
              <w:rPr>
                <w:rFonts w:eastAsia="Times New Roman" w:cs="Arial"/>
                <w:sz w:val="16"/>
                <w:szCs w:val="16"/>
                <w:lang w:eastAsia="en-GB"/>
              </w:rPr>
            </w:pPr>
            <w:r w:rsidRPr="00486F47">
              <w:rPr>
                <w:rFonts w:eastAsia="Times New Roman" w:cs="Arial"/>
                <w:sz w:val="16"/>
                <w:szCs w:val="16"/>
                <w:lang w:eastAsia="en-GB"/>
              </w:rPr>
              <w:t>*S</w:t>
            </w:r>
            <w:r w:rsidR="00DE6BF8">
              <w:rPr>
                <w:rFonts w:eastAsia="Times New Roman" w:cs="Arial"/>
                <w:sz w:val="16"/>
                <w:szCs w:val="16"/>
                <w:lang w:eastAsia="en-GB"/>
              </w:rPr>
              <w:t xml:space="preserve">pending </w:t>
            </w:r>
            <w:r w:rsidRPr="00486F47">
              <w:rPr>
                <w:rFonts w:eastAsia="Times New Roman" w:cs="Arial"/>
                <w:sz w:val="16"/>
                <w:szCs w:val="16"/>
                <w:lang w:eastAsia="en-GB"/>
              </w:rPr>
              <w:t>R</w:t>
            </w:r>
            <w:r w:rsidR="00DE6BF8">
              <w:rPr>
                <w:rFonts w:eastAsia="Times New Roman" w:cs="Arial"/>
                <w:sz w:val="16"/>
                <w:szCs w:val="16"/>
                <w:lang w:eastAsia="en-GB"/>
              </w:rPr>
              <w:t xml:space="preserve">eview </w:t>
            </w:r>
            <w:r w:rsidRPr="00486F47">
              <w:rPr>
                <w:rFonts w:eastAsia="Times New Roman" w:cs="Arial"/>
                <w:sz w:val="16"/>
                <w:szCs w:val="16"/>
                <w:lang w:eastAsia="en-GB"/>
              </w:rPr>
              <w:t>19 Ring Fence 668m</w:t>
            </w:r>
          </w:p>
        </w:tc>
        <w:tc>
          <w:tcPr>
            <w:tcW w:w="980" w:type="dxa"/>
            <w:tcBorders>
              <w:top w:val="nil"/>
              <w:left w:val="nil"/>
              <w:bottom w:val="nil"/>
              <w:right w:val="nil"/>
            </w:tcBorders>
            <w:shd w:val="clear" w:color="auto" w:fill="auto"/>
            <w:noWrap/>
            <w:vAlign w:val="bottom"/>
            <w:hideMark/>
          </w:tcPr>
          <w:p w:rsidR="00486F47" w:rsidRPr="00486F47" w:rsidP="00486F47">
            <w:pPr>
              <w:spacing w:after="0" w:line="240" w:lineRule="auto"/>
              <w:rPr>
                <w:rFonts w:ascii="Arial" w:eastAsia="Times New Roman" w:hAnsi="Arial" w:cs="Arial"/>
                <w:sz w:val="14"/>
                <w:szCs w:val="14"/>
                <w:lang w:eastAsia="en-GB"/>
              </w:rPr>
            </w:pPr>
          </w:p>
        </w:tc>
        <w:tc>
          <w:tcPr>
            <w:tcW w:w="800" w:type="dxa"/>
            <w:tcBorders>
              <w:top w:val="nil"/>
              <w:left w:val="nil"/>
              <w:bottom w:val="nil"/>
              <w:right w:val="nil"/>
            </w:tcBorders>
            <w:shd w:val="clear" w:color="auto" w:fill="auto"/>
            <w:noWrap/>
            <w:vAlign w:val="bottom"/>
            <w:hideMark/>
          </w:tcPr>
          <w:p w:rsidR="00486F47" w:rsidRPr="00486F47" w:rsidP="00486F47">
            <w:pPr>
              <w:spacing w:after="0" w:line="240" w:lineRule="auto"/>
              <w:rPr>
                <w:rFonts w:ascii="Times New Roman" w:eastAsia="Times New Roman" w:hAnsi="Times New Roman" w:cs="Times New Roman"/>
                <w:sz w:val="20"/>
                <w:szCs w:val="20"/>
                <w:lang w:eastAsia="en-GB"/>
              </w:rPr>
            </w:pPr>
          </w:p>
        </w:tc>
        <w:tc>
          <w:tcPr>
            <w:tcW w:w="700" w:type="dxa"/>
            <w:tcBorders>
              <w:top w:val="nil"/>
              <w:left w:val="nil"/>
              <w:bottom w:val="nil"/>
              <w:right w:val="nil"/>
            </w:tcBorders>
            <w:shd w:val="clear" w:color="auto" w:fill="auto"/>
            <w:noWrap/>
            <w:vAlign w:val="bottom"/>
            <w:hideMark/>
          </w:tcPr>
          <w:p w:rsidR="00486F47" w:rsidRPr="00486F47" w:rsidP="00486F47">
            <w:pPr>
              <w:spacing w:after="0" w:line="240" w:lineRule="auto"/>
              <w:rPr>
                <w:rFonts w:ascii="Times New Roman" w:eastAsia="Times New Roman" w:hAnsi="Times New Roman" w:cs="Times New Roman"/>
                <w:sz w:val="20"/>
                <w:szCs w:val="20"/>
                <w:lang w:eastAsia="en-GB"/>
              </w:rPr>
            </w:pPr>
          </w:p>
        </w:tc>
        <w:tc>
          <w:tcPr>
            <w:tcW w:w="750" w:type="dxa"/>
            <w:tcBorders>
              <w:top w:val="nil"/>
              <w:left w:val="nil"/>
              <w:bottom w:val="nil"/>
              <w:right w:val="nil"/>
            </w:tcBorders>
            <w:shd w:val="clear" w:color="auto" w:fill="auto"/>
            <w:noWrap/>
            <w:vAlign w:val="bottom"/>
            <w:hideMark/>
          </w:tcPr>
          <w:p w:rsidR="00486F47" w:rsidRPr="00486F47" w:rsidP="00486F47">
            <w:pPr>
              <w:spacing w:after="0" w:line="240" w:lineRule="auto"/>
              <w:rPr>
                <w:rFonts w:ascii="Times New Roman" w:eastAsia="Times New Roman" w:hAnsi="Times New Roman" w:cs="Times New Roman"/>
                <w:sz w:val="20"/>
                <w:szCs w:val="20"/>
                <w:lang w:eastAsia="en-GB"/>
              </w:rPr>
            </w:pPr>
          </w:p>
        </w:tc>
        <w:tc>
          <w:tcPr>
            <w:tcW w:w="750" w:type="dxa"/>
            <w:tcBorders>
              <w:top w:val="nil"/>
              <w:left w:val="nil"/>
              <w:bottom w:val="nil"/>
              <w:right w:val="nil"/>
            </w:tcBorders>
            <w:shd w:val="clear" w:color="auto" w:fill="auto"/>
            <w:noWrap/>
            <w:vAlign w:val="bottom"/>
            <w:hideMark/>
          </w:tcPr>
          <w:p w:rsidR="00486F47" w:rsidRPr="00486F47" w:rsidP="00486F47">
            <w:pPr>
              <w:spacing w:after="0" w:line="240" w:lineRule="auto"/>
              <w:rPr>
                <w:rFonts w:ascii="Times New Roman" w:eastAsia="Times New Roman" w:hAnsi="Times New Roman" w:cs="Times New Roman"/>
                <w:sz w:val="20"/>
                <w:szCs w:val="20"/>
                <w:lang w:eastAsia="en-GB"/>
              </w:rPr>
            </w:pPr>
          </w:p>
        </w:tc>
      </w:tr>
    </w:tbl>
    <w:p w:rsidR="008650CE" w:rsidRPr="00DC2C70" w:rsidP="00DC2C70"/>
    <w:p w:rsidR="0038554F" w:rsidRPr="001110F1" w:rsidP="001C24B7">
      <w:pPr>
        <w:pStyle w:val="Heading2"/>
        <w:rPr>
          <w:rFonts w:asciiTheme="minorHAnsi" w:hAnsiTheme="minorHAnsi"/>
        </w:rPr>
      </w:pPr>
      <w:r w:rsidRPr="001110F1">
        <w:rPr>
          <w:rFonts w:asciiTheme="minorHAnsi" w:hAnsiTheme="minorHAnsi"/>
        </w:rPr>
        <w:t>C</w:t>
      </w:r>
      <w:r w:rsidRPr="001110F1">
        <w:rPr>
          <w:rFonts w:asciiTheme="minorHAnsi" w:hAnsiTheme="minorHAnsi"/>
        </w:rPr>
        <w:t>hanges to contingent liabilities</w:t>
      </w:r>
    </w:p>
    <w:p w:rsidR="00DE61E6" w:rsidP="001110F1">
      <w:r>
        <w:rPr>
          <w:rFonts w:cs="Arial"/>
        </w:rPr>
        <w:t xml:space="preserve">Provisions for liabilities and charges are based on realistic and prudent estimates of the expenditure required to settle future legal or constructive obligations. </w:t>
      </w:r>
      <w:r w:rsidR="00760CF5">
        <w:t xml:space="preserve">The Department is required to identify contingent liabilities when agreeing contracts, and to seek HM Treasury approval and provide timely notification to Parliament of those </w:t>
      </w:r>
      <w:r>
        <w:t>more than</w:t>
      </w:r>
      <w:r w:rsidR="00760CF5">
        <w:t xml:space="preserve"> £300</w:t>
      </w:r>
      <w:r w:rsidR="00DE6BF8">
        <w:t>k</w:t>
      </w:r>
      <w:r w:rsidR="00760CF5">
        <w:t>. This allows Parliament and HM Treasury to scrutinise the extent to which the taxpayer might be exposed to potentially significant liabilities in the future</w:t>
      </w:r>
      <w:r w:rsidR="00E50D9A">
        <w:t>.</w:t>
      </w:r>
      <w:r>
        <w:t xml:space="preserve"> </w:t>
      </w:r>
    </w:p>
    <w:p w:rsidR="00CA73A1" w:rsidRPr="00DE61E6" w:rsidP="001110F1">
      <w:r>
        <w:rPr>
          <w:rFonts w:cs="Arial"/>
        </w:rPr>
        <w:t xml:space="preserve">The MOD’s provisions cover legal claims, civilian early departure costs, environmental costs, restructuring and nuclear decommissioning and restoration costs. Details of the Department’s Contingent Liabilities are set out in a separate table in the </w:t>
      </w:r>
      <w:r w:rsidR="00E25E99">
        <w:rPr>
          <w:rFonts w:cs="Arial"/>
        </w:rPr>
        <w:t>Supplementary</w:t>
      </w:r>
      <w:r w:rsidR="00166C92">
        <w:rPr>
          <w:rFonts w:cs="Arial"/>
        </w:rPr>
        <w:t xml:space="preserve"> </w:t>
      </w:r>
      <w:r>
        <w:rPr>
          <w:rFonts w:cs="Arial"/>
        </w:rPr>
        <w:t>Estimate. We are currently assessing the impact on future contingent liabilities and will provide further detail on this in our 20</w:t>
      </w:r>
      <w:r w:rsidR="00E978AD">
        <w:rPr>
          <w:rFonts w:cs="Arial"/>
        </w:rPr>
        <w:t>20</w:t>
      </w:r>
      <w:r>
        <w:rPr>
          <w:rFonts w:cs="Arial"/>
        </w:rPr>
        <w:t>-</w:t>
      </w:r>
      <w:r w:rsidR="005B6833">
        <w:rPr>
          <w:rFonts w:cs="Arial"/>
        </w:rPr>
        <w:t>2</w:t>
      </w:r>
      <w:r w:rsidR="00907B2A">
        <w:rPr>
          <w:rFonts w:cs="Arial"/>
        </w:rPr>
        <w:t>1</w:t>
      </w:r>
      <w:r>
        <w:rPr>
          <w:rFonts w:cs="Arial"/>
        </w:rPr>
        <w:t xml:space="preserve"> Annual Report and Accounts.</w:t>
      </w:r>
    </w:p>
    <w:p w:rsidR="00740C96" w:rsidRPr="001110F1" w:rsidP="00C33F82">
      <w:pPr>
        <w:pStyle w:val="Heading1"/>
        <w:rPr>
          <w:rFonts w:asciiTheme="minorHAnsi" w:hAnsiTheme="minorHAnsi"/>
        </w:rPr>
      </w:pPr>
      <w:r w:rsidRPr="001110F1">
        <w:rPr>
          <w:rFonts w:asciiTheme="minorHAnsi" w:hAnsiTheme="minorHAnsi"/>
        </w:rPr>
        <w:t>P</w:t>
      </w:r>
      <w:r w:rsidRPr="001110F1" w:rsidR="00165E62">
        <w:rPr>
          <w:rFonts w:asciiTheme="minorHAnsi" w:hAnsiTheme="minorHAnsi"/>
        </w:rPr>
        <w:t>riorities and performance</w:t>
      </w:r>
    </w:p>
    <w:p w:rsidR="00F83D65" w:rsidRPr="00F83D65" w:rsidP="00F83D65"/>
    <w:p w:rsidR="00740C96" w:rsidRPr="001110F1" w:rsidP="00137ED6">
      <w:pPr>
        <w:pStyle w:val="Heading2"/>
        <w:rPr>
          <w:rFonts w:asciiTheme="minorHAnsi" w:hAnsiTheme="minorHAnsi"/>
        </w:rPr>
      </w:pPr>
      <w:r w:rsidRPr="001110F1">
        <w:rPr>
          <w:rFonts w:asciiTheme="minorHAnsi" w:hAnsiTheme="minorHAnsi"/>
        </w:rPr>
        <w:t>How spending relates to objectives</w:t>
      </w:r>
      <w:r w:rsidRPr="001110F1">
        <w:rPr>
          <w:rFonts w:asciiTheme="minorHAnsi" w:hAnsiTheme="minorHAnsi"/>
        </w:rPr>
        <w:t xml:space="preserve"> </w:t>
      </w:r>
    </w:p>
    <w:p w:rsidR="002510DF" w:rsidP="00165E62">
      <w:r>
        <w:t xml:space="preserve">The table below shows how expenditure against each subhead </w:t>
      </w:r>
      <w:r w:rsidR="00165E62">
        <w:t xml:space="preserve">contributes to Departmental priorities under the </w:t>
      </w:r>
      <w:r w:rsidR="00B40315">
        <w:t>S</w:t>
      </w:r>
      <w:r w:rsidR="00165E62">
        <w:t xml:space="preserve">ingle </w:t>
      </w:r>
      <w:r w:rsidR="00B40315">
        <w:t>D</w:t>
      </w:r>
      <w:r w:rsidR="00165E62">
        <w:t>epartmental Plan</w:t>
      </w:r>
      <w:r w:rsidR="00DD02C3">
        <w:t>.</w:t>
      </w:r>
    </w:p>
    <w:p w:rsidR="00DD02C3" w:rsidP="00165E62"/>
    <w:p w:rsidR="004346B0" w:rsidP="00165E62">
      <w:r>
        <w:rPr>
          <w:noProof/>
        </w:rPr>
        <w:pict>
          <v:group id="Group 2" o:spid="_x0000_s1025" style="height:477.6pt;margin-left:-37.2pt;margin-top:21.9pt;mso-height-relative:margin;mso-position-horizontal-relative:margin;mso-width-relative:margin;position:absolute;width:503.5pt;z-index:251658240" coordorigin="-365,0" coordsize="92038,89545">
            <v:group id="Group 6" o:spid="_x0000_s1026" style="height:89545;left:-365;position:absolute;width:92038" coordorigin="-365,0" coordsize="92038,89545">
              <v:group id="Group 7" o:spid="_x0000_s1027" style="height:89545;left:-365;position:absolute;width:92038" coordorigin="-340,0" coordsize="85808,846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height:16351;left:30861;mso-wrap-style:square;position:absolute;visibility:visible;width:16352">
                  <v:imagedata r:id="rId12" o:title="" croptop="8121f" cropbottom="46409f" cropleft="26663f" cropright="29448f"/>
                </v:shape>
                <v:group id="Group 9" o:spid="_x0000_s1029" style="height:79978;left:-340;position:absolute;top:4632;width:85807" coordorigin="-345,4632" coordsize="87091,79977">
                  <v:group id="Group 10" o:spid="_x0000_s1030" style="height:65062;left:-345;position:absolute;top:4632;width:81642" coordorigin="-345,4632" coordsize="81643,65061">
                    <v:shape id="Picture 11" o:spid="_x0000_s1031" type="#_x0000_t75" style="height:7377;left:16194;mso-wrap-style:square;position:absolute;top:47249;visibility:visible;width:6991">
                      <v:imagedata r:id="rId13" o:title="" croptop="48478f" cropbottom="13410f" cropleft="21077f" cropright="41471f"/>
                    </v:shape>
                    <v:shape id="Picture 12" o:spid="_x0000_s1032" type="#_x0000_t75" style="height:15248;left:51724;mso-wrap-style:square;position:absolute;top:9351;visibility:visible;width:16613">
                      <v:imagedata r:id="rId13" o:title="" croptop="6596f" cropbottom="50779f" cropleft="29839f" cropright="28013f"/>
                    </v:shape>
                    <v:shapetype id="_x0000_t32" coordsize="21600,21600" o:spt="32" o:oned="t" path="m,l21600,21600e" filled="f">
                      <v:path arrowok="t" fillok="f" o:connecttype="none"/>
                      <o:lock v:ext="edit" shapetype="t"/>
                    </v:shapetype>
                    <v:shape id="Straight Arrow Connector 13" o:spid="_x0000_s1033" type="#_x0000_t32" style="height:5414;left:39526;mso-wrap-style:square;position:absolute;top:15813;visibility:visible;width:0" o:connectortype="straight" strokecolor="#4472c4" strokeweight="0.5pt">
                      <v:stroke joinstyle="miter" endarrow="open"/>
                    </v:shape>
                    <v:shape id="Straight Arrow Connector 14" o:spid="_x0000_s1034" type="#_x0000_t32" style="flip:y;height:4460;left:21527;mso-wrap-style:square;position:absolute;top:45150;visibility:visible;width:6057" o:connectortype="straight" strokecolor="#4472c4" strokeweight="0.5pt">
                      <v:stroke joinstyle="miter" endarrow="open"/>
                    </v:shape>
                    <v:shape id="Straight Arrow Connector 15" o:spid="_x0000_s1035" type="#_x0000_t32" style="flip:y;height:2187;left:17743;mso-wrap-style:square;position:absolute;top:39716;visibility:visible;width:6847" o:connectortype="straight" strokecolor="#4472c4" strokeweight="0.5pt">
                      <v:stroke joinstyle="miter" endarrow="open"/>
                    </v:shape>
                    <v:shape id="Straight Arrow Connector 16" o:spid="_x0000_s1036" type="#_x0000_t32" style="flip:x;height:398;left:53533;mso-wrap-style:square;position:absolute;top:33202;visibility:visible;width:9576" o:connectortype="straight" strokecolor="#4472c4" strokeweight="0.5pt">
                      <v:stroke joinstyle="miter" endarrow="open"/>
                    </v:shape>
                    <v:shape id="Straight Arrow Connector 17" o:spid="_x0000_s1037" type="#_x0000_t32" style="flip:y;height:7152;left:37780;mso-wrap-style:square;position:absolute;top:50700;visibility:visible;width:489" o:connectortype="straight" strokecolor="#4472c4" strokeweight="0.5pt">
                      <v:stroke joinstyle="miter" endarrow="open"/>
                    </v:shape>
                    <v:shape id="Picture 18" o:spid="_x0000_s1038" type="#_x0000_t75" style="height:31941;left:23228;mso-wrap-style:square;position:absolute;top:20536;visibility:visible;width:32941">
                      <v:imagedata r:id="rId13" o:title="" croptop="24369f" cropbottom="25371f" cropleft="26701f" cropright="24757f"/>
                    </v:shape>
                    <v:shape id="Picture 19" o:spid="_x0000_s1039" type="#_x0000_t75" style="height:13185;left:62789;mso-wrap-style:square;position:absolute;top:25858;visibility:visible;width:12564">
                      <v:imagedata r:id="rId13" o:title="" croptop="17338f" cropbottom="40835f" cropleft="48822f" cropright="10651f"/>
                    </v:shape>
                    <v:shape id="Picture 20" o:spid="_x0000_s1040" type="#_x0000_t75" style="height:10894;left:57002;mso-wrap-style:square;position:absolute;top:44326;visibility:visible;width:11109">
                      <v:imagedata r:id="rId13" o:title="" croptop="28864f" cropbottom="30456f" cropleft="52369f" cropright="7690f"/>
                    </v:shape>
                    <v:shape id="Picture 21" o:spid="_x0000_s1041" type="#_x0000_t75" style="height:9396;left:45788;mso-wrap-style:square;position:absolute;top:53142;visibility:visible;width:9120">
                      <v:imagedata r:id="rId13" o:title="" croptop="40994f" cropbottom="20438f" cropleft="49969f" cropright="12125f"/>
                    </v:shape>
                    <v:shape id="Picture 22" o:spid="_x0000_s1042" type="#_x0000_t75" style="height:7188;left:34403;mso-wrap-style:square;position:absolute;top:56650;visibility:visible;width:7385">
                      <v:imagedata r:id="rId13" o:title="" croptop="48664f" cropbottom="13317f" cropleft="42980f" cropright="19399f"/>
                    </v:shape>
                    <v:shape id="Picture 23" o:spid="_x0000_s1043" type="#_x0000_t75" style="height:6988;left:23726;mso-wrap-style:square;position:absolute;top:53751;visibility:visible;width:6444">
                      <v:imagedata r:id="rId13" o:title="" croptop="51468f" cropbottom="10420f" cropleft="31925f" cropright="30704f"/>
                    </v:shape>
                    <v:shape id="Picture 24" o:spid="_x0000_s1044" type="#_x0000_t75" style="height:4446;left:14556;mso-wrap-style:square;position:absolute;top:30129;visibility:visible;width:4267">
                      <v:imagedata r:id="rId13" o:title="" croptop="30742f" cropbottom="31784f" cropleft="11070f" cropright="51969f"/>
                    </v:shape>
                    <v:shape id="Picture 25" o:spid="_x0000_s1045" type="#_x0000_t75" style="height:2807;left:23348;mso-wrap-style:square;position:absolute;top:16183;visibility:visible;width:7236">
                      <v:imagedata r:id="rId13" o:title="" croptop="13173f" cropbottom="50975f" cropleft="20973f" cropright="41471f"/>
                    </v:shape>
                    <v:shape id="Straight Arrow Connector 26" o:spid="_x0000_s1046" type="#_x0000_t32" style="flip:x;height:4115;left:49869;mso-wrap-style:square;position:absolute;top:21835;visibility:visible;width:4262" o:connectortype="straight" strokecolor="#4472c4" strokeweight="0.5pt">
                      <v:stroke joinstyle="miter" endarrow="open"/>
                    </v:shape>
                    <v:shape id="Straight Arrow Connector 27" o:spid="_x0000_s1047" type="#_x0000_t32" style="flip:x y;height:4467;left:51701;mso-wrap-style:square;position:absolute;top:43200;visibility:visible;width:6659" o:connectortype="straight" strokecolor="#4472c4" strokeweight="0.5pt">
                      <v:stroke joinstyle="miter" endarrow="open"/>
                    </v:shape>
                    <v:shape id="Straight Arrow Connector 28" o:spid="_x0000_s1048" type="#_x0000_t32" style="flip:x y;height:5601;left:45107;mso-wrap-style:square;position:absolute;top:49460;visibility:visible;width:3430" o:connectortype="straight" strokecolor="#4472c4" strokeweight="0.5pt">
                      <v:stroke joinstyle="miter" endarrow="open"/>
                    </v:shape>
                    <v:shape id="Straight Arrow Connector 29" o:spid="_x0000_s1049" type="#_x0000_t32" style="flip:y;height:6161;left:28390;mso-wrap-style:square;position:absolute;top:49200;visibility:visible;width:4231" o:connectortype="straight" strokecolor="#4472c4" strokeweight="0.5pt">
                      <v:stroke joinstyle="miter" endarrow="open"/>
                    </v:shape>
                    <v:shape id="Straight Arrow Connector 30" o:spid="_x0000_s1050" type="#_x0000_t32" style="height:5348;left:27419;mso-wrap-style:square;position:absolute;top:18485;visibility:visible;width:3741" o:connectortype="straight" strokecolor="#4472c4" strokeweight="0.5pt">
                      <v:stroke joinstyle="miter" endarrow="open"/>
                    </v:shape>
                    <v:shape id="Straight Arrow Connector 31" o:spid="_x0000_s1051" type="#_x0000_t32" style="height:3216;left:21316;mso-wrap-style:square;position:absolute;top:24569;visibility:visible;width:5515" o:connectortype="straight" strokecolor="#4472c4" strokeweight="0.5pt">
                      <v:stroke joinstyle="miter" endarrow="open"/>
                    </v:shape>
                    <v:shape id="Straight Arrow Connector 32" o:spid="_x0000_s1052" type="#_x0000_t32" style="height:798;left:18042;mso-wrap-style:square;position:absolute;top:32285;visibility:visible;width:6548" o:connectortype="straight" strokecolor="#4472c4" strokeweight="0.5pt">
                      <v:stroke joinstyle="miter" endarrow="open"/>
                    </v:shape>
                    <v:shapetype id="_x0000_t202" coordsize="21600,21600" o:spt="202" path="m,l,21600r21600,l21600,xe">
                      <v:stroke joinstyle="miter"/>
                      <v:path gradientshapeok="t" o:connecttype="rect"/>
                    </v:shapetype>
                    <v:shape id="TextBox 74" o:spid="_x0000_s1053" type="#_x0000_t202" style="height:13001;left:29180;mso-wrap-style:square;position:absolute;top:31022;v-text-anchor:top;visibility:visible;width:18906" filled="f" stroked="f">
                      <v:textbox>
                        <w:txbxContent>
                          <w:p w:rsidR="00C20100" w:rsidP="004346B0">
                            <w:pPr>
                              <w:jc w:val="center"/>
                              <w:rPr>
                                <w:sz w:val="24"/>
                                <w:szCs w:val="24"/>
                              </w:rPr>
                            </w:pPr>
                            <w:r>
                              <w:rPr>
                                <w:rFonts w:hAnsi="Calibri"/>
                              </w:rPr>
                              <w:t>Total Defence Spending</w:t>
                            </w:r>
                          </w:p>
                          <w:p w:rsidR="00C20100" w:rsidP="004346B0">
                            <w:pPr>
                              <w:jc w:val="center"/>
                            </w:pPr>
                            <w:r>
                              <w:rPr>
                                <w:rFonts w:hAnsi="Calibri"/>
                                <w:b/>
                                <w:bCs/>
                              </w:rPr>
                              <w:t>£42.47bn</w:t>
                            </w:r>
                            <w:r>
                              <w:rPr>
                                <w:rFonts w:hAnsi="Calibri"/>
                                <w:b/>
                                <w:bCs/>
                                <w:position w:val="7"/>
                                <w:vertAlign w:val="superscript"/>
                              </w:rPr>
                              <w:t>3</w:t>
                            </w:r>
                          </w:p>
                        </w:txbxContent>
                      </v:textbox>
                    </v:shape>
                    <v:shape id="TextBox 75" o:spid="_x0000_s1054" type="#_x0000_t202" style="height:9980;left:55370;mso-wrap-style:square;position:absolute;top:13592;v-text-anchor:top;visibility:visible;width:9045" filled="f" stroked="f">
                      <v:textbox>
                        <w:txbxContent>
                          <w:p w:rsidR="00C20100" w:rsidP="004346B0">
                            <w:pPr>
                              <w:jc w:val="center"/>
                              <w:rPr>
                                <w:sz w:val="24"/>
                                <w:szCs w:val="24"/>
                              </w:rPr>
                            </w:pPr>
                            <w:r>
                              <w:rPr>
                                <w:rFonts w:hAnsi="Calibri"/>
                                <w:sz w:val="18"/>
                                <w:szCs w:val="18"/>
                              </w:rPr>
                              <w:t>Service Personnel</w:t>
                            </w:r>
                          </w:p>
                          <w:p w:rsidR="00C20100" w:rsidP="004346B0">
                            <w:pPr>
                              <w:jc w:val="center"/>
                            </w:pPr>
                            <w:r>
                              <w:rPr>
                                <w:rFonts w:hAnsi="Calibri"/>
                                <w:b/>
                                <w:bCs/>
                                <w:sz w:val="18"/>
                                <w:szCs w:val="18"/>
                              </w:rPr>
                              <w:t>£10.35bn</w:t>
                            </w:r>
                          </w:p>
                        </w:txbxContent>
                      </v:textbox>
                    </v:shape>
                    <v:shape id="TextBox 76" o:spid="_x0000_s1055" type="#_x0000_t202" style="height:9981;left:32711;mso-wrap-style:square;position:absolute;top:4632;v-text-anchor:top;visibility:visible;width:12932" filled="f" stroked="f">
                      <v:textbox>
                        <w:txbxContent>
                          <w:p w:rsidR="00C20100" w:rsidP="004346B0">
                            <w:pPr>
                              <w:jc w:val="center"/>
                              <w:rPr>
                                <w:sz w:val="24"/>
                                <w:szCs w:val="24"/>
                              </w:rPr>
                            </w:pPr>
                            <w:r>
                              <w:rPr>
                                <w:rFonts w:hAnsi="Calibri"/>
                                <w:sz w:val="18"/>
                                <w:szCs w:val="18"/>
                              </w:rPr>
                              <w:t>Capital Expenditure</w:t>
                            </w:r>
                          </w:p>
                          <w:p w:rsidR="00C20100" w:rsidP="004346B0">
                            <w:pPr>
                              <w:jc w:val="center"/>
                            </w:pPr>
                            <w:r>
                              <w:rPr>
                                <w:rFonts w:hAnsi="Calibri"/>
                                <w:b/>
                                <w:bCs/>
                                <w:sz w:val="18"/>
                                <w:szCs w:val="18"/>
                              </w:rPr>
                              <w:t>£11.59bn</w:t>
                            </w:r>
                          </w:p>
                        </w:txbxContent>
                      </v:textbox>
                    </v:shape>
                    <v:shape id="TextBox 77" o:spid="_x0000_s1056" type="#_x0000_t202" style="height:9980;left:64036;mso-wrap-style:square;position:absolute;top:28734;v-text-anchor:top;visibility:visible;width:10196" filled="f" stroked="f">
                      <v:textbox>
                        <w:txbxContent>
                          <w:p w:rsidR="00C20100" w:rsidP="004346B0">
                            <w:pPr>
                              <w:jc w:val="center"/>
                              <w:rPr>
                                <w:sz w:val="24"/>
                                <w:szCs w:val="24"/>
                              </w:rPr>
                            </w:pPr>
                            <w:r>
                              <w:rPr>
                                <w:rFonts w:hAnsi="Calibri"/>
                                <w:sz w:val="18"/>
                                <w:szCs w:val="18"/>
                              </w:rPr>
                              <w:t>Equipment Support</w:t>
                            </w:r>
                          </w:p>
                          <w:p w:rsidR="00C20100" w:rsidP="004346B0">
                            <w:pPr>
                              <w:jc w:val="center"/>
                            </w:pPr>
                            <w:r>
                              <w:rPr>
                                <w:rFonts w:hAnsi="Calibri"/>
                                <w:b/>
                                <w:bCs/>
                                <w:sz w:val="18"/>
                                <w:szCs w:val="18"/>
                              </w:rPr>
                              <w:t>£7.39bn</w:t>
                            </w:r>
                          </w:p>
                        </w:txbxContent>
                      </v:textbox>
                    </v:shape>
                    <v:shape id="TextBox 78" o:spid="_x0000_s1057" type="#_x0000_t202" style="height:8758;left:64968;mso-wrap-style:square;position:absolute;top:46983;v-text-anchor:top;visibility:visible;width:16329" filled="f" stroked="f">
                      <v:textbox>
                        <w:txbxContent>
                          <w:p w:rsidR="00C20100" w:rsidP="004346B0">
                            <w:pPr>
                              <w:jc w:val="center"/>
                              <w:rPr>
                                <w:sz w:val="24"/>
                                <w:szCs w:val="24"/>
                              </w:rPr>
                            </w:pPr>
                            <w:r>
                              <w:rPr>
                                <w:rFonts w:hAnsi="Calibri"/>
                                <w:sz w:val="18"/>
                                <w:szCs w:val="18"/>
                              </w:rPr>
                              <w:t>Infrastructure</w:t>
                            </w:r>
                          </w:p>
                          <w:p w:rsidR="00C20100" w:rsidP="004346B0">
                            <w:pPr>
                              <w:jc w:val="center"/>
                            </w:pPr>
                            <w:r>
                              <w:rPr>
                                <w:rFonts w:hAnsi="Calibri"/>
                                <w:b/>
                                <w:bCs/>
                                <w:sz w:val="18"/>
                                <w:szCs w:val="18"/>
                              </w:rPr>
                              <w:t>£5.15bn</w:t>
                            </w:r>
                          </w:p>
                        </w:txbxContent>
                      </v:textbox>
                    </v:shape>
                    <v:shape id="TextBox 79" o:spid="_x0000_s1058" type="#_x0000_t202" style="height:7282;left:50703;mso-wrap-style:square;position:absolute;top:58354;v-text-anchor:top;visibility:visible;width:18313" filled="f" stroked="f">
                      <v:textbox>
                        <w:txbxContent>
                          <w:p w:rsidR="00C20100" w:rsidP="004346B0">
                            <w:pPr>
                              <w:jc w:val="center"/>
                              <w:rPr>
                                <w:sz w:val="24"/>
                                <w:szCs w:val="24"/>
                              </w:rPr>
                            </w:pPr>
                            <w:r>
                              <w:rPr>
                                <w:rFonts w:hAnsi="Calibri"/>
                                <w:sz w:val="18"/>
                                <w:szCs w:val="18"/>
                              </w:rPr>
                              <w:t>Administration</w:t>
                            </w:r>
                            <w:r>
                              <w:rPr>
                                <w:rFonts w:hAnsi="Calibri"/>
                                <w:position w:val="5"/>
                                <w:sz w:val="18"/>
                                <w:szCs w:val="18"/>
                                <w:vertAlign w:val="superscript"/>
                              </w:rPr>
                              <w:t>1</w:t>
                            </w:r>
                          </w:p>
                          <w:p w:rsidR="00C20100" w:rsidP="004346B0">
                            <w:pPr>
                              <w:jc w:val="center"/>
                            </w:pPr>
                            <w:r>
                              <w:rPr>
                                <w:rFonts w:hAnsi="Calibri"/>
                                <w:b/>
                                <w:bCs/>
                                <w:sz w:val="18"/>
                                <w:szCs w:val="18"/>
                              </w:rPr>
                              <w:t>£1.98bn</w:t>
                            </w:r>
                          </w:p>
                        </w:txbxContent>
                      </v:textbox>
                    </v:shape>
                    <v:shape id="TextBox 80" o:spid="_x0000_s1059" type="#_x0000_t202" style="height:6608;left:29592;mso-wrap-style:square;position:absolute;top:63086;v-text-anchor:top;visibility:visible;width:17362" filled="f" stroked="f">
                      <v:textbox>
                        <w:txbxContent>
                          <w:p w:rsidR="00C20100" w:rsidP="004346B0">
                            <w:pPr>
                              <w:jc w:val="center"/>
                              <w:rPr>
                                <w:sz w:val="24"/>
                                <w:szCs w:val="24"/>
                              </w:rPr>
                            </w:pPr>
                            <w:r>
                              <w:rPr>
                                <w:rFonts w:hAnsi="Calibri"/>
                                <w:sz w:val="18"/>
                                <w:szCs w:val="18"/>
                              </w:rPr>
                              <w:t>Civilian Personnel</w:t>
                            </w:r>
                            <w:r>
                              <w:rPr>
                                <w:rFonts w:hAnsi="Calibri"/>
                                <w:position w:val="5"/>
                                <w:sz w:val="18"/>
                                <w:szCs w:val="18"/>
                                <w:vertAlign w:val="superscript"/>
                              </w:rPr>
                              <w:t xml:space="preserve"> </w:t>
                            </w:r>
                            <w:r>
                              <w:rPr>
                                <w:rFonts w:hAnsi="Calibri"/>
                                <w:b/>
                                <w:bCs/>
                                <w:sz w:val="18"/>
                                <w:szCs w:val="18"/>
                              </w:rPr>
                              <w:t>£1.79bn</w:t>
                            </w:r>
                          </w:p>
                        </w:txbxContent>
                      </v:textbox>
                    </v:shape>
                    <v:shape id="TextBox 81" o:spid="_x0000_s1060" type="#_x0000_t202" style="height:6997;left:17210;mso-wrap-style:square;position:absolute;top:57665;v-text-anchor:top;visibility:visible;width:10839" filled="f" stroked="f">
                      <v:textbox>
                        <w:txbxContent>
                          <w:p w:rsidR="00C20100" w:rsidP="004346B0">
                            <w:pPr>
                              <w:jc w:val="center"/>
                              <w:rPr>
                                <w:sz w:val="24"/>
                                <w:szCs w:val="24"/>
                              </w:rPr>
                            </w:pPr>
                            <w:r>
                              <w:rPr>
                                <w:rFonts w:hAnsi="Calibri"/>
                                <w:sz w:val="18"/>
                                <w:szCs w:val="18"/>
                              </w:rPr>
                              <w:t>Inventory</w:t>
                            </w:r>
                          </w:p>
                          <w:p w:rsidR="00C20100" w:rsidP="004346B0">
                            <w:pPr>
                              <w:jc w:val="center"/>
                            </w:pPr>
                            <w:r>
                              <w:rPr>
                                <w:rFonts w:hAnsi="Calibri"/>
                                <w:b/>
                                <w:bCs/>
                                <w:sz w:val="18"/>
                                <w:szCs w:val="18"/>
                              </w:rPr>
                              <w:t>£1.19bn</w:t>
                            </w:r>
                          </w:p>
                        </w:txbxContent>
                      </v:textbox>
                    </v:shape>
                    <v:shape id="TextBox 82" o:spid="_x0000_s1061" type="#_x0000_t202" style="height:7644;left:7610;mso-wrap-style:square;position:absolute;top:48098;v-text-anchor:top;visibility:visible;width:13406" filled="f" stroked="f">
                      <v:textbox>
                        <w:txbxContent>
                          <w:p w:rsidR="00C20100" w:rsidP="004346B0">
                            <w:pPr>
                              <w:jc w:val="center"/>
                              <w:rPr>
                                <w:sz w:val="24"/>
                                <w:szCs w:val="24"/>
                              </w:rPr>
                            </w:pPr>
                            <w:r>
                              <w:rPr>
                                <w:rFonts w:hAnsi="Calibri"/>
                                <w:sz w:val="18"/>
                                <w:szCs w:val="18"/>
                              </w:rPr>
                              <w:t>DE&amp;S</w:t>
                            </w:r>
                          </w:p>
                          <w:p w:rsidR="00C20100" w:rsidP="004346B0">
                            <w:pPr>
                              <w:jc w:val="center"/>
                            </w:pPr>
                            <w:r>
                              <w:rPr>
                                <w:rFonts w:hAnsi="Calibri"/>
                                <w:b/>
                                <w:bCs/>
                                <w:sz w:val="18"/>
                                <w:szCs w:val="18"/>
                              </w:rPr>
                              <w:t>£1.17bn</w:t>
                            </w:r>
                          </w:p>
                        </w:txbxContent>
                      </v:textbox>
                    </v:shape>
                    <v:shape id="TextBox 83" o:spid="_x0000_s1062" type="#_x0000_t202" style="height:9893;left:-345;mso-wrap-style:square;position:absolute;top:38382;v-text-anchor:top;visibility:visible;width:15784" filled="f" stroked="f">
                      <v:textbox>
                        <w:txbxContent>
                          <w:p w:rsidR="00C20100" w:rsidP="004346B0">
                            <w:pPr>
                              <w:jc w:val="center"/>
                              <w:rPr>
                                <w:sz w:val="24"/>
                                <w:szCs w:val="24"/>
                              </w:rPr>
                            </w:pPr>
                            <w:r>
                              <w:rPr>
                                <w:rFonts w:hAnsi="Calibri"/>
                                <w:sz w:val="18"/>
                                <w:szCs w:val="18"/>
                              </w:rPr>
                              <w:t>Costs of Operations and Peacekeeping</w:t>
                            </w:r>
                          </w:p>
                          <w:p w:rsidR="00C20100" w:rsidP="004346B0">
                            <w:pPr>
                              <w:jc w:val="center"/>
                            </w:pPr>
                            <w:r>
                              <w:rPr>
                                <w:rFonts w:hAnsi="Calibri"/>
                                <w:b/>
                                <w:bCs/>
                                <w:sz w:val="18"/>
                                <w:szCs w:val="18"/>
                              </w:rPr>
                              <w:t>£0.57bn</w:t>
                            </w:r>
                          </w:p>
                        </w:txbxContent>
                      </v:textbox>
                    </v:shape>
                    <v:shape id="TextBox 84" o:spid="_x0000_s1063" type="#_x0000_t202" style="height:8298;left:3891;mso-wrap-style:square;position:absolute;top:27930;v-text-anchor:top;visibility:visible;width:12022" filled="f" stroked="f">
                      <v:textbox>
                        <w:txbxContent>
                          <w:p w:rsidR="00C20100" w:rsidP="004346B0">
                            <w:pPr>
                              <w:jc w:val="center"/>
                              <w:rPr>
                                <w:sz w:val="24"/>
                                <w:szCs w:val="24"/>
                              </w:rPr>
                            </w:pPr>
                            <w:r>
                              <w:rPr>
                                <w:rFonts w:hAnsi="Calibri"/>
                                <w:sz w:val="18"/>
                                <w:szCs w:val="18"/>
                              </w:rPr>
                              <w:t>Other Costs</w:t>
                            </w:r>
                          </w:p>
                          <w:p w:rsidR="00C20100" w:rsidP="004346B0">
                            <w:pPr>
                              <w:jc w:val="center"/>
                            </w:pPr>
                            <w:r>
                              <w:rPr>
                                <w:rFonts w:hAnsi="Calibri"/>
                                <w:b/>
                                <w:bCs/>
                                <w:sz w:val="18"/>
                                <w:szCs w:val="18"/>
                              </w:rPr>
                              <w:t>£0.42bn</w:t>
                            </w:r>
                            <w:r>
                              <w:rPr>
                                <w:rFonts w:hAnsi="Calibri"/>
                                <w:b/>
                                <w:bCs/>
                                <w:position w:val="5"/>
                                <w:sz w:val="18"/>
                                <w:szCs w:val="18"/>
                                <w:vertAlign w:val="superscript"/>
                              </w:rPr>
                              <w:t>2</w:t>
                            </w:r>
                          </w:p>
                        </w:txbxContent>
                      </v:textbox>
                    </v:shape>
                    <v:shape id="TextBox 85" o:spid="_x0000_s1064" type="#_x0000_t202" style="height:8365;left:4929;mso-wrap-style:square;position:absolute;top:16475;v-text-anchor:top;visibility:visible;width:13769" filled="f" stroked="f">
                      <v:textbox>
                        <w:txbxContent>
                          <w:p w:rsidR="00C20100" w:rsidP="004346B0">
                            <w:pPr>
                              <w:jc w:val="center"/>
                              <w:rPr>
                                <w:sz w:val="24"/>
                                <w:szCs w:val="24"/>
                              </w:rPr>
                            </w:pPr>
                            <w:r>
                              <w:rPr>
                                <w:rFonts w:hAnsi="Calibri"/>
                                <w:sz w:val="18"/>
                                <w:szCs w:val="18"/>
                              </w:rPr>
                              <w:t>War Pensions Benefits</w:t>
                            </w:r>
                          </w:p>
                          <w:p w:rsidR="00C20100" w:rsidP="004346B0">
                            <w:pPr>
                              <w:jc w:val="center"/>
                            </w:pPr>
                            <w:r>
                              <w:rPr>
                                <w:rFonts w:hAnsi="Calibri"/>
                                <w:b/>
                                <w:bCs/>
                                <w:sz w:val="18"/>
                                <w:szCs w:val="18"/>
                              </w:rPr>
                              <w:t>£0.67bn</w:t>
                            </w:r>
                          </w:p>
                        </w:txbxContent>
                      </v:textbox>
                    </v:shape>
                    <v:shape id="TextBox 86" o:spid="_x0000_s1065" type="#_x0000_t202" style="height:11556;left:18123;mso-wrap-style:square;position:absolute;top:8060;v-text-anchor:top;visibility:visible;width:10417" filled="f" stroked="f">
                      <v:textbox>
                        <w:txbxContent>
                          <w:p w:rsidR="00C20100" w:rsidP="004346B0">
                            <w:pPr>
                              <w:jc w:val="center"/>
                              <w:rPr>
                                <w:sz w:val="24"/>
                                <w:szCs w:val="24"/>
                              </w:rPr>
                            </w:pPr>
                            <w:r>
                              <w:rPr>
                                <w:rFonts w:hAnsi="Calibri"/>
                                <w:sz w:val="18"/>
                                <w:szCs w:val="18"/>
                              </w:rPr>
                              <w:t>Arm’s Length Bodies</w:t>
                            </w:r>
                          </w:p>
                          <w:p w:rsidR="00C20100" w:rsidP="004346B0">
                            <w:pPr>
                              <w:jc w:val="center"/>
                            </w:pPr>
                            <w:r>
                              <w:rPr>
                                <w:rFonts w:hAnsi="Calibri"/>
                                <w:b/>
                                <w:bCs/>
                                <w:sz w:val="18"/>
                                <w:szCs w:val="18"/>
                              </w:rPr>
                              <w:t>£0.20bn</w:t>
                            </w:r>
                          </w:p>
                        </w:txbxContent>
                      </v:textbox>
                    </v:shape>
                  </v:group>
                  <v:shape id="TextBox 87" o:spid="_x0000_s1066" type="#_x0000_t202" style="height:15846;mso-wrap-style:square;position:absolute;top:68764;v-text-anchor:top;visibility:visible;width:86745" filled="f" stroked="f">
                    <v:textbox>
                      <w:txbxContent>
                        <w:p w:rsidR="00C20100" w:rsidP="004346B0">
                          <w:pPr>
                            <w:rPr>
                              <w:sz w:val="24"/>
                              <w:szCs w:val="24"/>
                            </w:rPr>
                          </w:pPr>
                          <w:r>
                            <w:rPr>
                              <w:rFonts w:hAnsi="Calibri"/>
                              <w:position w:val="5"/>
                              <w:sz w:val="16"/>
                              <w:szCs w:val="16"/>
                              <w:vertAlign w:val="superscript"/>
                            </w:rPr>
                            <w:t xml:space="preserve">1. </w:t>
                          </w:r>
                          <w:r>
                            <w:rPr>
                              <w:rFonts w:hAnsi="Calibri"/>
                              <w:sz w:val="16"/>
                              <w:szCs w:val="16"/>
                            </w:rPr>
                            <w:t xml:space="preserve">Includes all administration costs relating to Other Costs and Services, Cash Release of Provisions and cost of Military and Civilian personnel who perform an administrative role. </w:t>
                          </w:r>
                        </w:p>
                        <w:p w:rsidR="00C20100" w:rsidP="004346B0">
                          <w:pPr>
                            <w:rPr>
                              <w:rFonts w:hAnsi="Calibri"/>
                              <w:sz w:val="16"/>
                              <w:szCs w:val="16"/>
                            </w:rPr>
                          </w:pPr>
                          <w:r>
                            <w:rPr>
                              <w:rFonts w:hAnsi="Calibri"/>
                              <w:position w:val="5"/>
                              <w:sz w:val="16"/>
                              <w:szCs w:val="16"/>
                              <w:vertAlign w:val="superscript"/>
                            </w:rPr>
                            <w:t xml:space="preserve">2. </w:t>
                          </w:r>
                          <w:r>
                            <w:rPr>
                              <w:rFonts w:hAnsi="Calibri"/>
                              <w:sz w:val="16"/>
                              <w:szCs w:val="16"/>
                            </w:rPr>
                            <w:t xml:space="preserve">Includes Other Costs and Services, Receipts and Other Income, Cash Release of Provisions and Research and Development Costs related to Provision of Defence Capability. </w:t>
                          </w:r>
                        </w:p>
                        <w:p w:rsidR="00C20100" w:rsidP="005A2381">
                          <w:r>
                            <w:rPr>
                              <w:rFonts w:hAnsi="Calibri"/>
                              <w:position w:val="5"/>
                              <w:sz w:val="16"/>
                              <w:szCs w:val="16"/>
                              <w:vertAlign w:val="superscript"/>
                            </w:rPr>
                            <w:t xml:space="preserve">3. </w:t>
                          </w:r>
                          <w:r>
                            <w:rPr>
                              <w:rFonts w:hAnsi="Calibri"/>
                              <w:sz w:val="16"/>
                              <w:szCs w:val="16"/>
                            </w:rPr>
                            <w:t xml:space="preserve">Total Defence Spending represents Cash Resource DEL and Capital DEL for investment. </w:t>
                          </w:r>
                        </w:p>
                        <w:p w:rsidR="00C20100" w:rsidP="004346B0">
                          <w:pPr>
                            <w:rPr>
                              <w:rFonts w:hAnsi="Calibri"/>
                              <w:sz w:val="16"/>
                              <w:szCs w:val="16"/>
                            </w:rPr>
                          </w:pPr>
                        </w:p>
                        <w:p w:rsidR="00C20100" w:rsidP="004346B0">
                          <w:pPr>
                            <w:rPr>
                              <w:rFonts w:hAnsi="Calibri"/>
                              <w:sz w:val="16"/>
                              <w:szCs w:val="16"/>
                            </w:rPr>
                          </w:pPr>
                        </w:p>
                        <w:p w:rsidR="00C20100" w:rsidP="004346B0">
                          <w:pPr>
                            <w:rPr>
                              <w:rFonts w:hAnsi="Calibri"/>
                              <w:sz w:val="16"/>
                              <w:szCs w:val="16"/>
                            </w:rPr>
                          </w:pPr>
                        </w:p>
                        <w:p w:rsidR="00C20100" w:rsidP="004346B0"/>
                        <w:p w:rsidR="00C20100" w:rsidP="004346B0">
                          <w:r>
                            <w:rPr>
                              <w:rFonts w:hAnsi="Calibri"/>
                              <w:position w:val="5"/>
                              <w:sz w:val="16"/>
                              <w:szCs w:val="16"/>
                              <w:vertAlign w:val="superscript"/>
                            </w:rPr>
                            <w:t xml:space="preserve">3. </w:t>
                          </w:r>
                          <w:r>
                            <w:rPr>
                              <w:rFonts w:hAnsi="Calibri"/>
                              <w:sz w:val="16"/>
                              <w:szCs w:val="16"/>
                            </w:rPr>
                            <w:t xml:space="preserve">Total Defence Spending represents Cash Resource DEL and Capital DEL for investment. </w:t>
                          </w:r>
                        </w:p>
                      </w:txbxContent>
                    </v:textbox>
                  </v:shape>
                </v:group>
              </v:group>
              <v:shape id="Picture 47" o:spid="_x0000_s1067" type="#_x0000_t75" style="height:6443;left:17876;mso-wrap-style:square;position:absolute;top:22043;visibility:visible;width:6173">
                <v:imagedata r:id="rId13" o:title="" croptop="30742f" cropbottom="31784f" cropleft="11070f" cropright="51969f"/>
              </v:shape>
            </v:group>
            <v:shape id="Picture 48" o:spid="_x0000_s1068" type="#_x0000_t75" style="height:5757;left:14245;mso-wrap-style:square;position:absolute;top:42173;visibility:visible;width:5517">
              <v:imagedata r:id="rId13" o:title="" croptop="30742f" cropbottom="31784f" cropleft="11070f" cropright="51969f"/>
            </v:shape>
            <w10:wrap anchorx="margin"/>
          </v:group>
        </w:pict>
      </w:r>
    </w:p>
    <w:p w:rsidR="00DD02C3" w:rsidP="00165E62"/>
    <w:p w:rsidR="00DD02C3" w:rsidP="00165E62"/>
    <w:p w:rsidR="00DD02C3" w:rsidP="00165E62"/>
    <w:p w:rsidR="00DD02C3" w:rsidP="00165E62"/>
    <w:p w:rsidR="00DD02C3" w:rsidP="00165E62"/>
    <w:p w:rsidR="00DD02C3" w:rsidP="00165E62"/>
    <w:p w:rsidR="000A350D" w:rsidP="00165E62"/>
    <w:p w:rsidR="00810A48" w:rsidP="00810A48"/>
    <w:p w:rsidR="000A350D" w:rsidP="00165E62"/>
    <w:p w:rsidR="000A350D" w:rsidP="00165E62"/>
    <w:p w:rsidR="000A350D" w:rsidP="00165E62"/>
    <w:p w:rsidR="000A350D" w:rsidP="00165E62"/>
    <w:p w:rsidR="000A350D" w:rsidP="00165E62"/>
    <w:p w:rsidR="000A350D" w:rsidP="00165E62"/>
    <w:p w:rsidR="000A350D" w:rsidP="00165E62"/>
    <w:p w:rsidR="000A350D" w:rsidP="00165E62"/>
    <w:p w:rsidR="000A350D" w:rsidP="00165E62"/>
    <w:p w:rsidR="000A350D" w:rsidP="00165E62"/>
    <w:p w:rsidR="007650DF" w:rsidP="00165E62"/>
    <w:p w:rsidR="007650DF" w:rsidP="00165E62"/>
    <w:p w:rsidR="00075E4F" w:rsidP="00165E62"/>
    <w:p w:rsidR="00075E4F" w:rsidP="00165E62"/>
    <w:p w:rsidR="007650DF" w:rsidP="00165E62"/>
    <w:p w:rsidR="005E627F" w:rsidRPr="001110F1" w:rsidP="00EC07AB">
      <w:pPr>
        <w:pStyle w:val="Heading2"/>
        <w:rPr>
          <w:rFonts w:asciiTheme="minorHAnsi" w:hAnsiTheme="minorHAnsi"/>
        </w:rPr>
      </w:pPr>
      <w:r w:rsidRPr="001110F1">
        <w:rPr>
          <w:rFonts w:asciiTheme="minorHAnsi" w:hAnsiTheme="minorHAnsi"/>
        </w:rPr>
        <w:t xml:space="preserve">Measures of performance against each </w:t>
      </w:r>
      <w:r w:rsidRPr="001110F1" w:rsidR="00740C96">
        <w:rPr>
          <w:rFonts w:asciiTheme="minorHAnsi" w:hAnsiTheme="minorHAnsi"/>
        </w:rPr>
        <w:t xml:space="preserve">priority </w:t>
      </w:r>
    </w:p>
    <w:p w:rsidR="00A10A91" w:rsidP="00CD28BB">
      <w:pPr>
        <w:rPr>
          <w:rStyle w:val="Hyperlink"/>
          <w:lang w:eastAsia="en-GB"/>
        </w:rPr>
      </w:pPr>
      <w:r w:rsidRPr="00CD28BB">
        <w:rPr>
          <w:lang w:eastAsia="en-GB"/>
        </w:rPr>
        <w:t xml:space="preserve">The MOD’s objectives and commitments for this parliament are set out in its Single Departmental Plan, which has been agreed with HM Treasury and the Cabinet Office. This plan was last updated on </w:t>
      </w:r>
      <w:r w:rsidR="009305B0">
        <w:rPr>
          <w:lang w:eastAsia="en-GB"/>
        </w:rPr>
        <w:t>1</w:t>
      </w:r>
      <w:r w:rsidR="00EE4D42">
        <w:rPr>
          <w:lang w:eastAsia="en-GB"/>
        </w:rPr>
        <w:t>1</w:t>
      </w:r>
      <w:r w:rsidR="006670AC">
        <w:rPr>
          <w:lang w:eastAsia="en-GB"/>
        </w:rPr>
        <w:t xml:space="preserve"> J</w:t>
      </w:r>
      <w:r w:rsidR="006918DC">
        <w:rPr>
          <w:lang w:eastAsia="en-GB"/>
        </w:rPr>
        <w:t>uly</w:t>
      </w:r>
      <w:r w:rsidR="006670AC">
        <w:rPr>
          <w:lang w:eastAsia="en-GB"/>
        </w:rPr>
        <w:t xml:space="preserve"> </w:t>
      </w:r>
      <w:r w:rsidR="00B253A4">
        <w:rPr>
          <w:lang w:eastAsia="en-GB"/>
        </w:rPr>
        <w:t>201</w:t>
      </w:r>
      <w:r w:rsidR="006670AC">
        <w:rPr>
          <w:lang w:eastAsia="en-GB"/>
        </w:rPr>
        <w:t>9</w:t>
      </w:r>
      <w:r w:rsidRPr="00CD28BB">
        <w:rPr>
          <w:lang w:eastAsia="en-GB"/>
        </w:rPr>
        <w:t xml:space="preserve"> and a copy can be found at: </w:t>
      </w:r>
      <w:r>
        <w:fldChar w:fldCharType="begin"/>
      </w:r>
      <w:r>
        <w:instrText xml:space="preserve"> HYPERLINK "https://www.gov.uk/government/publications/ministry-of-defence-single-departmental-plan/ministry-of-defence-single-departmental-plan-2019" </w:instrText>
      </w:r>
      <w:r>
        <w:fldChar w:fldCharType="separate"/>
      </w:r>
      <w:r w:rsidR="00141AB8">
        <w:rPr>
          <w:rStyle w:val="Hyperlink"/>
        </w:rPr>
        <w:t>https://www.gov.uk/government/publications/ministry-of-defence-single-departmental-plan/ministry-of-defence-single-departmental-plan-2019</w:t>
      </w:r>
      <w:r>
        <w:fldChar w:fldCharType="end"/>
      </w:r>
    </w:p>
    <w:p w:rsidR="00A10A91" w:rsidRPr="001110F1" w:rsidP="00A10A91">
      <w:pPr>
        <w:pStyle w:val="Heading2"/>
        <w:numPr>
          <w:ilvl w:val="0"/>
          <w:numId w:val="0"/>
        </w:numPr>
        <w:ind w:left="576" w:hanging="576"/>
        <w:rPr>
          <w:rFonts w:asciiTheme="minorHAnsi" w:hAnsiTheme="minorHAnsi"/>
        </w:rPr>
      </w:pPr>
    </w:p>
    <w:p w:rsidR="00A10A91" w:rsidRPr="001110F1" w:rsidP="00A10A91">
      <w:pPr>
        <w:pStyle w:val="Heading2"/>
        <w:rPr>
          <w:rFonts w:asciiTheme="minorHAnsi" w:hAnsiTheme="minorHAnsi"/>
        </w:rPr>
      </w:pPr>
      <w:r w:rsidRPr="001110F1">
        <w:rPr>
          <w:rFonts w:asciiTheme="minorHAnsi" w:hAnsiTheme="minorHAnsi"/>
        </w:rPr>
        <w:t xml:space="preserve">Commentary on steps being taken to address performance issues </w:t>
      </w:r>
    </w:p>
    <w:p w:rsidR="001B379E" w:rsidP="00A10A91">
      <w:pPr>
        <w:rPr>
          <w:lang w:eastAsia="en-GB"/>
        </w:rPr>
      </w:pPr>
      <w:r>
        <w:rPr>
          <w:lang w:eastAsia="en-GB"/>
        </w:rPr>
        <w:t xml:space="preserve">Spending designed specifically to address performance </w:t>
      </w:r>
      <w:r w:rsidR="00EA7164">
        <w:rPr>
          <w:lang w:eastAsia="en-GB"/>
        </w:rPr>
        <w:t>issues</w:t>
      </w:r>
      <w:r>
        <w:rPr>
          <w:lang w:eastAsia="en-GB"/>
        </w:rPr>
        <w:t xml:space="preserve"> </w:t>
      </w:r>
      <w:r w:rsidR="00EA7164">
        <w:rPr>
          <w:lang w:eastAsia="en-GB"/>
        </w:rPr>
        <w:t>includes</w:t>
      </w:r>
      <w:r>
        <w:rPr>
          <w:lang w:eastAsia="en-GB"/>
        </w:rPr>
        <w:t>:</w:t>
      </w:r>
    </w:p>
    <w:p w:rsidR="009737AE" w:rsidRPr="009737AE" w:rsidP="001A5F2C">
      <w:pPr>
        <w:pStyle w:val="ListParagraph"/>
        <w:numPr>
          <w:ilvl w:val="0"/>
          <w:numId w:val="43"/>
        </w:numPr>
        <w:ind w:left="284" w:firstLine="0"/>
        <w:rPr>
          <w:lang w:eastAsia="en-GB"/>
        </w:rPr>
      </w:pPr>
      <w:r>
        <w:rPr>
          <w:lang w:eastAsia="en-GB"/>
        </w:rPr>
        <w:t>As part of the</w:t>
      </w:r>
      <w:r w:rsidR="007126D3">
        <w:rPr>
          <w:lang w:eastAsia="en-GB"/>
        </w:rPr>
        <w:t xml:space="preserve"> £1</w:t>
      </w:r>
      <w:r w:rsidR="001715BF">
        <w:rPr>
          <w:lang w:eastAsia="en-GB"/>
        </w:rPr>
        <w:t>.</w:t>
      </w:r>
      <w:r w:rsidR="00DF0EF5">
        <w:rPr>
          <w:lang w:eastAsia="en-GB"/>
        </w:rPr>
        <w:t>0</w:t>
      </w:r>
      <w:r w:rsidR="005B7DF9">
        <w:rPr>
          <w:lang w:eastAsia="en-GB"/>
        </w:rPr>
        <w:t>Bn</w:t>
      </w:r>
      <w:r w:rsidR="00B608C1">
        <w:rPr>
          <w:lang w:eastAsia="en-GB"/>
        </w:rPr>
        <w:t xml:space="preserve"> additional</w:t>
      </w:r>
      <w:r w:rsidR="005B7DF9">
        <w:rPr>
          <w:lang w:eastAsia="en-GB"/>
        </w:rPr>
        <w:t xml:space="preserve"> funding announced in the </w:t>
      </w:r>
      <w:r w:rsidR="00056762">
        <w:rPr>
          <w:lang w:eastAsia="en-GB"/>
        </w:rPr>
        <w:t>Budget</w:t>
      </w:r>
      <w:r w:rsidR="00DF0EF5">
        <w:rPr>
          <w:lang w:eastAsia="en-GB"/>
        </w:rPr>
        <w:t xml:space="preserve"> 2020</w:t>
      </w:r>
      <w:r w:rsidR="00056762">
        <w:rPr>
          <w:lang w:eastAsia="en-GB"/>
        </w:rPr>
        <w:t xml:space="preserve">, </w:t>
      </w:r>
      <w:r w:rsidR="00DB6257">
        <w:rPr>
          <w:lang w:eastAsia="en-GB"/>
        </w:rPr>
        <w:t xml:space="preserve">the Transformation Programme </w:t>
      </w:r>
      <w:r w:rsidR="001A52BB">
        <w:rPr>
          <w:lang w:eastAsia="en-GB"/>
        </w:rPr>
        <w:t>is prioritised and the Department commitment</w:t>
      </w:r>
      <w:r w:rsidR="00CA39CF">
        <w:rPr>
          <w:lang w:eastAsia="en-GB"/>
        </w:rPr>
        <w:t xml:space="preserve"> to fundamental workforce reform.</w:t>
      </w:r>
    </w:p>
    <w:p w:rsidR="001B379E" w:rsidRPr="001B379E" w:rsidP="001B379E"/>
    <w:p w:rsidR="00A10A91" w:rsidRPr="001110F1" w:rsidP="00A10A91">
      <w:pPr>
        <w:pStyle w:val="Heading2"/>
        <w:rPr>
          <w:rFonts w:asciiTheme="minorHAnsi" w:hAnsiTheme="minorHAnsi"/>
        </w:rPr>
      </w:pPr>
      <w:r w:rsidRPr="001110F1">
        <w:rPr>
          <w:rFonts w:asciiTheme="minorHAnsi" w:hAnsiTheme="minorHAnsi"/>
        </w:rPr>
        <w:t xml:space="preserve">Major projects </w:t>
      </w:r>
    </w:p>
    <w:p w:rsidR="004B1DE3" w:rsidP="001110F1">
      <w:pPr>
        <w:rPr>
          <w:lang w:eastAsia="en-GB"/>
        </w:rPr>
      </w:pPr>
      <w:r w:rsidRPr="00CB3C9D">
        <w:rPr>
          <w:lang w:eastAsia="en-GB"/>
        </w:rPr>
        <w:t>The</w:t>
      </w:r>
      <w:r w:rsidR="003829FD">
        <w:rPr>
          <w:lang w:eastAsia="en-GB"/>
        </w:rPr>
        <w:t xml:space="preserve"> </w:t>
      </w:r>
      <w:r w:rsidR="003829FD">
        <w:t xml:space="preserve">Ministry of Defence (MoD) September 2019 Government Major Projects Portfolio data that supports the 2020 Infrastructure and Projects Authority (IPA) annual report </w:t>
      </w:r>
      <w:r w:rsidRPr="00CB3C9D">
        <w:rPr>
          <w:lang w:eastAsia="en-GB"/>
        </w:rPr>
        <w:t xml:space="preserve">can be </w:t>
      </w:r>
      <w:r>
        <w:rPr>
          <w:lang w:eastAsia="en-GB"/>
        </w:rPr>
        <w:t>found</w:t>
      </w:r>
      <w:r w:rsidR="006F2745">
        <w:rPr>
          <w:lang w:eastAsia="en-GB"/>
        </w:rPr>
        <w:t xml:space="preserve"> at:</w:t>
      </w:r>
      <w:r w:rsidR="001D4652">
        <w:rPr>
          <w:lang w:eastAsia="en-GB"/>
        </w:rPr>
        <w:t xml:space="preserve"> </w:t>
      </w:r>
    </w:p>
    <w:p w:rsidR="00B313E0">
      <w:pPr>
        <w:rPr>
          <w:lang w:eastAsia="en-GB"/>
        </w:rPr>
      </w:pPr>
      <w:r>
        <w:fldChar w:fldCharType="begin"/>
      </w:r>
      <w:r>
        <w:instrText xml:space="preserve"> HYPERLINK "https://www.gov.uk/government/publications/mod-government-major-projects-portfolio-data-2020" </w:instrText>
      </w:r>
      <w:r>
        <w:fldChar w:fldCharType="separate"/>
      </w:r>
      <w:r w:rsidRPr="00CA063D" w:rsidR="00256998">
        <w:rPr>
          <w:rStyle w:val="Hyperlink"/>
          <w:lang w:eastAsia="en-GB"/>
        </w:rPr>
        <w:t>https://www.gov.uk/government/publications/mod-government-major-projects-portfolio-data-2020</w:t>
      </w:r>
      <w:r>
        <w:fldChar w:fldCharType="end"/>
      </w:r>
      <w:r w:rsidR="003A40B7">
        <w:rPr>
          <w:lang w:eastAsia="en-GB"/>
        </w:rPr>
        <w:t>.</w:t>
      </w:r>
      <w:r w:rsidR="00256998">
        <w:rPr>
          <w:lang w:eastAsia="en-GB"/>
        </w:rPr>
        <w:t xml:space="preserve"> </w:t>
      </w:r>
    </w:p>
    <w:p w:rsidR="001110F1" w:rsidRPr="000F36A9">
      <w:pPr>
        <w:rPr>
          <w:lang w:eastAsia="en-GB"/>
        </w:rPr>
      </w:pPr>
      <w:r w:rsidRPr="000F36A9">
        <w:rPr>
          <w:lang w:eastAsia="en-GB"/>
        </w:rPr>
        <w:t>MOD Capability Programmes are funded internally by the Department, via HM Treasury.</w:t>
      </w:r>
    </w:p>
    <w:p w:rsidR="00621B85" w:rsidRPr="000F36A9">
      <w:pPr>
        <w:rPr>
          <w:lang w:eastAsia="en-GB"/>
        </w:rPr>
      </w:pPr>
    </w:p>
    <w:p w:rsidR="0038554F" w:rsidRPr="001110F1" w:rsidP="0038554F">
      <w:pPr>
        <w:pStyle w:val="Heading1"/>
        <w:rPr>
          <w:rFonts w:asciiTheme="minorHAnsi" w:hAnsiTheme="minorHAnsi"/>
        </w:rPr>
      </w:pPr>
      <w:r w:rsidRPr="001110F1">
        <w:rPr>
          <w:rFonts w:asciiTheme="minorHAnsi" w:hAnsiTheme="minorHAnsi"/>
        </w:rPr>
        <w:t>Other information</w:t>
      </w:r>
    </w:p>
    <w:p w:rsidR="00740C96" w:rsidRPr="001110F1" w:rsidP="00137ED6">
      <w:pPr>
        <w:pStyle w:val="Heading2"/>
        <w:rPr>
          <w:rFonts w:asciiTheme="minorHAnsi" w:hAnsiTheme="minorHAnsi"/>
        </w:rPr>
      </w:pPr>
      <w:r w:rsidRPr="001110F1">
        <w:rPr>
          <w:rFonts w:asciiTheme="minorHAnsi" w:hAnsiTheme="minorHAnsi"/>
        </w:rPr>
        <w:t>Summary of Resources sought in the Estimate</w:t>
      </w:r>
    </w:p>
    <w:p w:rsidR="005A2938" w:rsidP="001110F1">
      <w:pPr>
        <w:ind w:right="113"/>
        <w:mirrorIndents/>
        <w:rPr>
          <w:rFonts w:cs="Arial"/>
        </w:rPr>
      </w:pPr>
      <w:r>
        <w:rPr>
          <w:rFonts w:cs="Arial"/>
        </w:rPr>
        <w:t xml:space="preserve">The </w:t>
      </w:r>
      <w:r w:rsidR="00370F75">
        <w:rPr>
          <w:rFonts w:cs="Arial"/>
        </w:rPr>
        <w:t xml:space="preserve">introduction to the </w:t>
      </w:r>
      <w:r w:rsidRPr="00E97097" w:rsidR="00370F75">
        <w:rPr>
          <w:rFonts w:cs="Arial"/>
        </w:rPr>
        <w:t>Estimate</w:t>
      </w:r>
      <w:r w:rsidRPr="00E97097" w:rsidR="00C07755">
        <w:rPr>
          <w:rFonts w:cs="Arial"/>
        </w:rPr>
        <w:t xml:space="preserve"> shows a net </w:t>
      </w:r>
      <w:r w:rsidRPr="00E97097" w:rsidR="00872814">
        <w:rPr>
          <w:rFonts w:cs="Arial"/>
        </w:rPr>
        <w:t>increase</w:t>
      </w:r>
      <w:r w:rsidRPr="00E97097" w:rsidR="00C07755">
        <w:rPr>
          <w:rFonts w:cs="Arial"/>
        </w:rPr>
        <w:t xml:space="preserve"> in Resource</w:t>
      </w:r>
      <w:r w:rsidRPr="00E97097" w:rsidR="00FB0F30">
        <w:rPr>
          <w:rFonts w:cs="Arial"/>
        </w:rPr>
        <w:t xml:space="preserve"> DEL (RDEL)</w:t>
      </w:r>
      <w:r w:rsidRPr="00E97097" w:rsidR="00231665">
        <w:rPr>
          <w:rFonts w:cs="Arial"/>
        </w:rPr>
        <w:t xml:space="preserve"> of </w:t>
      </w:r>
      <w:r w:rsidRPr="00E97097" w:rsidR="00D37C75">
        <w:rPr>
          <w:rFonts w:cs="Arial"/>
        </w:rPr>
        <w:t>£</w:t>
      </w:r>
      <w:r w:rsidRPr="00E97097" w:rsidR="003D0A14">
        <w:rPr>
          <w:rFonts w:cs="Arial"/>
        </w:rPr>
        <w:t>2</w:t>
      </w:r>
      <w:r w:rsidRPr="00E97097" w:rsidR="007D5E95">
        <w:rPr>
          <w:rFonts w:cs="Arial"/>
        </w:rPr>
        <w:t>.0</w:t>
      </w:r>
      <w:r w:rsidRPr="00E97097" w:rsidR="003D0A14">
        <w:rPr>
          <w:rFonts w:cs="Arial"/>
        </w:rPr>
        <w:t>Bn</w:t>
      </w:r>
      <w:r w:rsidRPr="00E97097" w:rsidR="00ED0D71">
        <w:rPr>
          <w:rFonts w:cs="Arial"/>
        </w:rPr>
        <w:t xml:space="preserve"> and a </w:t>
      </w:r>
      <w:r w:rsidRPr="00E97097" w:rsidR="00D915F5">
        <w:rPr>
          <w:rFonts w:cs="Arial"/>
        </w:rPr>
        <w:t xml:space="preserve">net increase in Annually </w:t>
      </w:r>
      <w:r w:rsidRPr="00E97097" w:rsidR="003B1CBB">
        <w:rPr>
          <w:rFonts w:cs="Arial"/>
        </w:rPr>
        <w:t>Managed Expenditure (AME)</w:t>
      </w:r>
      <w:r w:rsidRPr="00E97097" w:rsidR="00E41DC4">
        <w:rPr>
          <w:rFonts w:cs="Arial"/>
        </w:rPr>
        <w:t xml:space="preserve"> of </w:t>
      </w:r>
      <w:r w:rsidRPr="00E97097" w:rsidR="00857BC1">
        <w:rPr>
          <w:rFonts w:cs="Arial"/>
        </w:rPr>
        <w:t>£</w:t>
      </w:r>
      <w:r w:rsidRPr="00E97097" w:rsidR="003D0A14">
        <w:rPr>
          <w:rFonts w:cs="Arial"/>
        </w:rPr>
        <w:t>1.2Bn</w:t>
      </w:r>
      <w:r w:rsidRPr="00E97097" w:rsidR="00857BC1">
        <w:rPr>
          <w:rFonts w:cs="Arial"/>
        </w:rPr>
        <w:t xml:space="preserve">. There </w:t>
      </w:r>
      <w:r w:rsidRPr="00E97097" w:rsidR="001744D4">
        <w:rPr>
          <w:rFonts w:cs="Arial"/>
        </w:rPr>
        <w:t xml:space="preserve">is also an </w:t>
      </w:r>
      <w:r w:rsidRPr="00E97097" w:rsidR="00C42DBB">
        <w:rPr>
          <w:rFonts w:cs="Arial"/>
        </w:rPr>
        <w:t xml:space="preserve">increase in </w:t>
      </w:r>
      <w:r w:rsidRPr="00E97097" w:rsidR="00890AD7">
        <w:rPr>
          <w:rFonts w:cs="Arial"/>
        </w:rPr>
        <w:t>Capital DEL (CDEL)</w:t>
      </w:r>
      <w:r w:rsidRPr="00E97097" w:rsidR="00D06553">
        <w:rPr>
          <w:rFonts w:cs="Arial"/>
        </w:rPr>
        <w:t xml:space="preserve"> of £</w:t>
      </w:r>
      <w:r w:rsidRPr="00E97097" w:rsidR="007D5E95">
        <w:rPr>
          <w:rFonts w:cs="Arial"/>
        </w:rPr>
        <w:t>1.2Bn</w:t>
      </w:r>
      <w:r w:rsidRPr="00E97097" w:rsidR="00615722">
        <w:rPr>
          <w:rFonts w:cs="Arial"/>
        </w:rPr>
        <w:t xml:space="preserve">. The </w:t>
      </w:r>
      <w:r w:rsidRPr="00E97097" w:rsidR="00E04830">
        <w:rPr>
          <w:rFonts w:cs="Arial"/>
        </w:rPr>
        <w:t>20</w:t>
      </w:r>
      <w:r w:rsidRPr="00E97097" w:rsidR="007062A1">
        <w:rPr>
          <w:rFonts w:cs="Arial"/>
        </w:rPr>
        <w:t>20</w:t>
      </w:r>
      <w:r w:rsidRPr="00E97097" w:rsidR="00A5099A">
        <w:rPr>
          <w:rFonts w:cs="Arial"/>
        </w:rPr>
        <w:t>-2</w:t>
      </w:r>
      <w:r w:rsidRPr="00E97097" w:rsidR="007062A1">
        <w:rPr>
          <w:rFonts w:cs="Arial"/>
        </w:rPr>
        <w:t>1</w:t>
      </w:r>
      <w:r w:rsidRPr="00E97097" w:rsidR="00A5099A">
        <w:rPr>
          <w:rFonts w:cs="Arial"/>
        </w:rPr>
        <w:t xml:space="preserve"> </w:t>
      </w:r>
      <w:r w:rsidR="00BB0370">
        <w:rPr>
          <w:rFonts w:cs="Arial"/>
        </w:rPr>
        <w:t>net cash requirement</w:t>
      </w:r>
      <w:r w:rsidR="007851E6">
        <w:rPr>
          <w:rFonts w:cs="Arial"/>
        </w:rPr>
        <w:t xml:space="preserve"> is </w:t>
      </w:r>
      <w:r w:rsidR="0046605B">
        <w:rPr>
          <w:rFonts w:cs="Arial"/>
        </w:rPr>
        <w:t xml:space="preserve">adjusted </w:t>
      </w:r>
      <w:r w:rsidR="00457CC8">
        <w:rPr>
          <w:rFonts w:cs="Arial"/>
        </w:rPr>
        <w:t xml:space="preserve">to </w:t>
      </w:r>
      <w:r w:rsidR="00A57AAC">
        <w:rPr>
          <w:rFonts w:cs="Arial"/>
        </w:rPr>
        <w:t>b</w:t>
      </w:r>
      <w:r w:rsidR="003F77CC">
        <w:rPr>
          <w:rFonts w:cs="Arial"/>
        </w:rPr>
        <w:t xml:space="preserve">ring </w:t>
      </w:r>
      <w:r w:rsidR="00413238">
        <w:rPr>
          <w:rFonts w:cs="Arial"/>
        </w:rPr>
        <w:t>it in line w</w:t>
      </w:r>
      <w:r w:rsidR="005324FB">
        <w:rPr>
          <w:rFonts w:cs="Arial"/>
        </w:rPr>
        <w:t xml:space="preserve">ith </w:t>
      </w:r>
      <w:r w:rsidR="00406FDE">
        <w:rPr>
          <w:rFonts w:cs="Arial"/>
        </w:rPr>
        <w:t xml:space="preserve">the </w:t>
      </w:r>
      <w:r w:rsidR="00805E50">
        <w:rPr>
          <w:rFonts w:cs="Arial"/>
        </w:rPr>
        <w:t>current f</w:t>
      </w:r>
      <w:r w:rsidR="00262305">
        <w:rPr>
          <w:rFonts w:cs="Arial"/>
        </w:rPr>
        <w:t>ore</w:t>
      </w:r>
      <w:r w:rsidR="002E1B20">
        <w:rPr>
          <w:rFonts w:cs="Arial"/>
        </w:rPr>
        <w:t>cas</w:t>
      </w:r>
      <w:r w:rsidR="004820BF">
        <w:rPr>
          <w:rFonts w:cs="Arial"/>
        </w:rPr>
        <w:t>t.</w:t>
      </w:r>
      <w:r w:rsidR="00983820">
        <w:rPr>
          <w:rFonts w:cs="Arial"/>
        </w:rPr>
        <w:t xml:space="preserve"> </w:t>
      </w:r>
    </w:p>
    <w:p w:rsidR="003B68C1" w:rsidP="001110F1">
      <w:pPr>
        <w:ind w:right="113"/>
        <w:mirrorIndents/>
        <w:rPr>
          <w:rFonts w:cs="Arial"/>
        </w:rPr>
      </w:pPr>
      <w:r>
        <w:rPr>
          <w:rFonts w:cs="Arial"/>
        </w:rPr>
        <w:t xml:space="preserve">The </w:t>
      </w:r>
      <w:r w:rsidR="002C028D">
        <w:rPr>
          <w:rFonts w:cs="Arial"/>
        </w:rPr>
        <w:t>R</w:t>
      </w:r>
      <w:r>
        <w:rPr>
          <w:rFonts w:cs="Arial"/>
        </w:rPr>
        <w:t>esource</w:t>
      </w:r>
      <w:r w:rsidR="006462B1">
        <w:rPr>
          <w:rFonts w:cs="Arial"/>
        </w:rPr>
        <w:t xml:space="preserve"> changes </w:t>
      </w:r>
      <w:r w:rsidR="00D078A2">
        <w:rPr>
          <w:rFonts w:cs="Arial"/>
        </w:rPr>
        <w:t xml:space="preserve">are summarised in the </w:t>
      </w:r>
      <w:r w:rsidR="000E2CB3">
        <w:rPr>
          <w:rFonts w:cs="Arial"/>
        </w:rPr>
        <w:t>following tables</w:t>
      </w:r>
      <w:r w:rsidR="008D50F0">
        <w:rPr>
          <w:rFonts w:cs="Arial"/>
        </w:rPr>
        <w:t>:</w:t>
      </w:r>
    </w:p>
    <w:tbl>
      <w:tblPr>
        <w:tblW w:w="7340" w:type="dxa"/>
        <w:jc w:val="center"/>
        <w:tblLook w:val="04A0"/>
      </w:tblPr>
      <w:tblGrid>
        <w:gridCol w:w="4940"/>
        <w:gridCol w:w="1180"/>
        <w:gridCol w:w="1220"/>
      </w:tblGrid>
      <w:tr w:rsidTr="001C36DD">
        <w:tblPrEx>
          <w:tblW w:w="7340" w:type="dxa"/>
          <w:jc w:val="center"/>
          <w:tblLook w:val="04A0"/>
        </w:tblPrEx>
        <w:trPr>
          <w:trHeight w:val="264"/>
          <w:jc w:val="center"/>
        </w:trPr>
        <w:tc>
          <w:tcPr>
            <w:tcW w:w="7340" w:type="dxa"/>
            <w:gridSpan w:val="3"/>
            <w:tcBorders>
              <w:top w:val="nil"/>
              <w:left w:val="nil"/>
              <w:bottom w:val="nil"/>
              <w:right w:val="nil"/>
            </w:tcBorders>
            <w:shd w:val="clear" w:color="auto" w:fill="auto"/>
            <w:noWrap/>
            <w:vAlign w:val="bottom"/>
            <w:hideMark/>
          </w:tcPr>
          <w:p w:rsidR="00C10AFD" w:rsidP="00C10AFD">
            <w:pPr>
              <w:spacing w:after="0" w:line="240" w:lineRule="auto"/>
              <w:ind w:left="-108"/>
              <w:rPr>
                <w:rFonts w:ascii="Arial" w:eastAsia="Times New Roman" w:hAnsi="Arial" w:cs="Arial"/>
                <w:b/>
                <w:bCs/>
                <w:sz w:val="20"/>
                <w:szCs w:val="20"/>
                <w:lang w:eastAsia="en-GB"/>
              </w:rPr>
            </w:pPr>
            <w:r w:rsidRPr="00CA090C">
              <w:rPr>
                <w:rFonts w:ascii="Arial" w:eastAsia="Times New Roman" w:hAnsi="Arial" w:cs="Arial"/>
                <w:b/>
                <w:bCs/>
                <w:sz w:val="20"/>
                <w:szCs w:val="20"/>
                <w:lang w:eastAsia="en-GB"/>
              </w:rPr>
              <w:t>Table 8: Changes in Net Resource and Capital Expenditure and AME</w:t>
            </w:r>
          </w:p>
          <w:p w:rsidR="00201569" w:rsidRPr="00CA090C" w:rsidP="00C10AFD">
            <w:pPr>
              <w:spacing w:after="0" w:line="240" w:lineRule="auto"/>
              <w:ind w:left="-108"/>
              <w:rPr>
                <w:rFonts w:ascii="Arial" w:eastAsia="Times New Roman" w:hAnsi="Arial" w:cs="Arial"/>
                <w:b/>
                <w:bCs/>
                <w:sz w:val="20"/>
                <w:szCs w:val="20"/>
                <w:lang w:eastAsia="en-GB"/>
              </w:rPr>
            </w:pPr>
          </w:p>
        </w:tc>
      </w:tr>
      <w:tr w:rsidTr="001C36DD">
        <w:tblPrEx>
          <w:tblW w:w="7340" w:type="dxa"/>
          <w:jc w:val="center"/>
          <w:tblLook w:val="04A0"/>
        </w:tblPrEx>
        <w:trPr>
          <w:trHeight w:val="264"/>
          <w:jc w:val="center"/>
        </w:trPr>
        <w:tc>
          <w:tcPr>
            <w:tcW w:w="4940" w:type="dxa"/>
            <w:tcBorders>
              <w:top w:val="single" w:sz="4" w:space="0" w:color="auto"/>
              <w:left w:val="single" w:sz="4" w:space="0" w:color="auto"/>
              <w:bottom w:val="single" w:sz="4" w:space="0" w:color="auto"/>
              <w:right w:val="single" w:sz="4" w:space="0" w:color="auto"/>
            </w:tcBorders>
            <w:shd w:val="clear" w:color="000000" w:fill="DAEEF3"/>
            <w:vAlign w:val="center"/>
            <w:hideMark/>
          </w:tcPr>
          <w:p w:rsidR="00C10AFD" w:rsidRPr="00C10AFD" w:rsidP="00C10AFD">
            <w:pPr>
              <w:spacing w:after="0" w:line="240" w:lineRule="auto"/>
              <w:rPr>
                <w:rFonts w:ascii="Arial" w:eastAsia="Times New Roman" w:hAnsi="Arial" w:cs="Arial"/>
                <w:b/>
                <w:bCs/>
                <w:sz w:val="18"/>
                <w:szCs w:val="18"/>
                <w:lang w:eastAsia="en-GB"/>
              </w:rPr>
            </w:pPr>
            <w:r w:rsidRPr="00C10AFD">
              <w:rPr>
                <w:rFonts w:ascii="Arial" w:eastAsia="Times New Roman" w:hAnsi="Arial" w:cs="Arial"/>
                <w:b/>
                <w:bCs/>
                <w:sz w:val="18"/>
                <w:szCs w:val="18"/>
                <w:lang w:eastAsia="en-GB"/>
              </w:rPr>
              <w:t>Resource Expenditure</w:t>
            </w:r>
          </w:p>
        </w:tc>
        <w:tc>
          <w:tcPr>
            <w:tcW w:w="1180" w:type="dxa"/>
            <w:tcBorders>
              <w:top w:val="single" w:sz="4" w:space="0" w:color="auto"/>
              <w:left w:val="nil"/>
              <w:bottom w:val="single" w:sz="4" w:space="0" w:color="auto"/>
              <w:right w:val="single" w:sz="4" w:space="0" w:color="auto"/>
            </w:tcBorders>
            <w:shd w:val="clear" w:color="000000" w:fill="DAEEF3"/>
            <w:vAlign w:val="center"/>
            <w:hideMark/>
          </w:tcPr>
          <w:p w:rsidR="00C10AFD" w:rsidRPr="00C10AFD" w:rsidP="00C10AFD">
            <w:pPr>
              <w:spacing w:after="0" w:line="240" w:lineRule="auto"/>
              <w:jc w:val="right"/>
              <w:rPr>
                <w:rFonts w:ascii="Arial" w:eastAsia="Times New Roman" w:hAnsi="Arial" w:cs="Arial"/>
                <w:b/>
                <w:bCs/>
                <w:sz w:val="18"/>
                <w:szCs w:val="18"/>
                <w:lang w:eastAsia="en-GB"/>
              </w:rPr>
            </w:pPr>
            <w:r w:rsidRPr="00C10AFD">
              <w:rPr>
                <w:rFonts w:ascii="Arial" w:eastAsia="Times New Roman" w:hAnsi="Arial" w:cs="Arial"/>
                <w:b/>
                <w:bCs/>
                <w:sz w:val="18"/>
                <w:szCs w:val="18"/>
                <w:lang w:eastAsia="en-GB"/>
              </w:rPr>
              <w:t>£M</w:t>
            </w:r>
          </w:p>
        </w:tc>
        <w:tc>
          <w:tcPr>
            <w:tcW w:w="1220" w:type="dxa"/>
            <w:tcBorders>
              <w:top w:val="nil"/>
              <w:left w:val="nil"/>
              <w:bottom w:val="nil"/>
              <w:right w:val="nil"/>
            </w:tcBorders>
            <w:shd w:val="clear" w:color="auto" w:fill="auto"/>
            <w:noWrap/>
            <w:vAlign w:val="bottom"/>
            <w:hideMark/>
          </w:tcPr>
          <w:p w:rsidR="00C10AFD" w:rsidRPr="00C10AFD" w:rsidP="00C10AFD">
            <w:pPr>
              <w:spacing w:after="0" w:line="240" w:lineRule="auto"/>
              <w:jc w:val="right"/>
              <w:rPr>
                <w:rFonts w:ascii="Arial" w:eastAsia="Times New Roman" w:hAnsi="Arial" w:cs="Arial"/>
                <w:b/>
                <w:bCs/>
                <w:sz w:val="18"/>
                <w:szCs w:val="18"/>
                <w:lang w:eastAsia="en-GB"/>
              </w:rPr>
            </w:pPr>
          </w:p>
        </w:tc>
      </w:tr>
      <w:tr w:rsidTr="001C36DD">
        <w:tblPrEx>
          <w:tblW w:w="7340" w:type="dxa"/>
          <w:jc w:val="center"/>
          <w:tblLook w:val="04A0"/>
        </w:tblPrEx>
        <w:trPr>
          <w:trHeight w:val="264"/>
          <w:jc w:val="center"/>
        </w:trPr>
        <w:tc>
          <w:tcPr>
            <w:tcW w:w="4940" w:type="dxa"/>
            <w:tcBorders>
              <w:top w:val="nil"/>
              <w:left w:val="single" w:sz="4" w:space="0" w:color="auto"/>
              <w:bottom w:val="single" w:sz="4" w:space="0" w:color="auto"/>
              <w:right w:val="single" w:sz="4" w:space="0" w:color="auto"/>
            </w:tcBorders>
            <w:shd w:val="clear" w:color="auto" w:fill="auto"/>
            <w:vAlign w:val="bottom"/>
            <w:hideMark/>
          </w:tcPr>
          <w:p w:rsidR="00C10AFD" w:rsidRPr="00C10AFD" w:rsidP="00C10AFD">
            <w:pPr>
              <w:spacing w:after="0" w:line="240" w:lineRule="auto"/>
              <w:rPr>
                <w:rFonts w:ascii="Arial" w:eastAsia="Times New Roman" w:hAnsi="Arial" w:cs="Arial"/>
                <w:sz w:val="16"/>
                <w:szCs w:val="16"/>
                <w:lang w:eastAsia="en-GB"/>
              </w:rPr>
            </w:pPr>
            <w:r w:rsidRPr="00C10AFD">
              <w:rPr>
                <w:rFonts w:ascii="Arial" w:eastAsia="Times New Roman" w:hAnsi="Arial" w:cs="Arial"/>
                <w:sz w:val="16"/>
                <w:szCs w:val="16"/>
                <w:lang w:eastAsia="en-GB"/>
              </w:rPr>
              <w:t>Resource DEL: Provision of Defence Capability</w:t>
            </w:r>
          </w:p>
        </w:tc>
        <w:tc>
          <w:tcPr>
            <w:tcW w:w="1180" w:type="dxa"/>
            <w:tcBorders>
              <w:top w:val="nil"/>
              <w:left w:val="nil"/>
              <w:bottom w:val="single" w:sz="4" w:space="0" w:color="auto"/>
              <w:right w:val="single" w:sz="4" w:space="0" w:color="auto"/>
            </w:tcBorders>
            <w:shd w:val="clear" w:color="auto" w:fill="auto"/>
            <w:vAlign w:val="bottom"/>
            <w:hideMark/>
          </w:tcPr>
          <w:p w:rsidR="00C10AFD" w:rsidRPr="00C10AFD" w:rsidP="00C10AFD">
            <w:pPr>
              <w:spacing w:after="0" w:line="240" w:lineRule="auto"/>
              <w:jc w:val="right"/>
              <w:rPr>
                <w:rFonts w:ascii="Arial" w:eastAsia="Times New Roman" w:hAnsi="Arial" w:cs="Arial"/>
                <w:sz w:val="16"/>
                <w:szCs w:val="16"/>
                <w:lang w:eastAsia="en-GB"/>
              </w:rPr>
            </w:pPr>
            <w:r w:rsidRPr="00C10AFD">
              <w:rPr>
                <w:rFonts w:ascii="Arial" w:eastAsia="Times New Roman" w:hAnsi="Arial" w:cs="Arial"/>
                <w:sz w:val="16"/>
                <w:szCs w:val="16"/>
                <w:lang w:eastAsia="en-GB"/>
              </w:rPr>
              <w:t xml:space="preserve"> 1,874.4 </w:t>
            </w:r>
          </w:p>
        </w:tc>
        <w:tc>
          <w:tcPr>
            <w:tcW w:w="1220" w:type="dxa"/>
            <w:tcBorders>
              <w:top w:val="nil"/>
              <w:left w:val="nil"/>
              <w:bottom w:val="nil"/>
              <w:right w:val="nil"/>
            </w:tcBorders>
            <w:shd w:val="clear" w:color="auto" w:fill="auto"/>
            <w:noWrap/>
            <w:vAlign w:val="bottom"/>
            <w:hideMark/>
          </w:tcPr>
          <w:p w:rsidR="00C10AFD" w:rsidRPr="00C10AFD" w:rsidP="00C10AFD">
            <w:pPr>
              <w:spacing w:after="0" w:line="240" w:lineRule="auto"/>
              <w:jc w:val="right"/>
              <w:rPr>
                <w:rFonts w:ascii="Arial" w:eastAsia="Times New Roman" w:hAnsi="Arial" w:cs="Arial"/>
                <w:sz w:val="16"/>
                <w:szCs w:val="16"/>
                <w:lang w:eastAsia="en-GB"/>
              </w:rPr>
            </w:pPr>
          </w:p>
        </w:tc>
      </w:tr>
      <w:tr w:rsidTr="001C36DD">
        <w:tblPrEx>
          <w:tblW w:w="7340" w:type="dxa"/>
          <w:jc w:val="center"/>
          <w:tblLook w:val="04A0"/>
        </w:tblPrEx>
        <w:trPr>
          <w:trHeight w:val="264"/>
          <w:jc w:val="center"/>
        </w:trPr>
        <w:tc>
          <w:tcPr>
            <w:tcW w:w="4940" w:type="dxa"/>
            <w:tcBorders>
              <w:top w:val="nil"/>
              <w:left w:val="single" w:sz="4" w:space="0" w:color="auto"/>
              <w:bottom w:val="single" w:sz="4" w:space="0" w:color="auto"/>
              <w:right w:val="single" w:sz="4" w:space="0" w:color="auto"/>
            </w:tcBorders>
            <w:shd w:val="clear" w:color="auto" w:fill="auto"/>
            <w:vAlign w:val="bottom"/>
            <w:hideMark/>
          </w:tcPr>
          <w:p w:rsidR="00C10AFD" w:rsidRPr="00C10AFD" w:rsidP="00C10AFD">
            <w:pPr>
              <w:spacing w:after="0" w:line="240" w:lineRule="auto"/>
              <w:rPr>
                <w:rFonts w:ascii="Arial" w:eastAsia="Times New Roman" w:hAnsi="Arial" w:cs="Arial"/>
                <w:sz w:val="16"/>
                <w:szCs w:val="16"/>
                <w:lang w:eastAsia="en-GB"/>
              </w:rPr>
            </w:pPr>
            <w:r w:rsidRPr="00C10AFD">
              <w:rPr>
                <w:rFonts w:ascii="Arial" w:eastAsia="Times New Roman" w:hAnsi="Arial" w:cs="Arial"/>
                <w:sz w:val="16"/>
                <w:szCs w:val="16"/>
                <w:lang w:eastAsia="en-GB"/>
              </w:rPr>
              <w:t>Resource DEL: Operations and Peacekeeping &amp; CSSF</w:t>
            </w:r>
          </w:p>
        </w:tc>
        <w:tc>
          <w:tcPr>
            <w:tcW w:w="1180" w:type="dxa"/>
            <w:tcBorders>
              <w:top w:val="nil"/>
              <w:left w:val="nil"/>
              <w:bottom w:val="single" w:sz="4" w:space="0" w:color="auto"/>
              <w:right w:val="single" w:sz="4" w:space="0" w:color="auto"/>
            </w:tcBorders>
            <w:shd w:val="clear" w:color="auto" w:fill="auto"/>
            <w:vAlign w:val="bottom"/>
            <w:hideMark/>
          </w:tcPr>
          <w:p w:rsidR="00C10AFD" w:rsidRPr="00C10AFD" w:rsidP="00C10AFD">
            <w:pPr>
              <w:spacing w:after="0" w:line="240" w:lineRule="auto"/>
              <w:jc w:val="right"/>
              <w:rPr>
                <w:rFonts w:ascii="Arial" w:eastAsia="Times New Roman" w:hAnsi="Arial" w:cs="Arial"/>
                <w:sz w:val="16"/>
                <w:szCs w:val="16"/>
                <w:lang w:eastAsia="en-GB"/>
              </w:rPr>
            </w:pPr>
            <w:r w:rsidRPr="00C10AFD">
              <w:rPr>
                <w:rFonts w:ascii="Arial" w:eastAsia="Times New Roman" w:hAnsi="Arial" w:cs="Arial"/>
                <w:sz w:val="16"/>
                <w:szCs w:val="16"/>
                <w:lang w:eastAsia="en-GB"/>
              </w:rPr>
              <w:t xml:space="preserve"> 133.5 </w:t>
            </w:r>
          </w:p>
        </w:tc>
        <w:tc>
          <w:tcPr>
            <w:tcW w:w="1220" w:type="dxa"/>
            <w:tcBorders>
              <w:top w:val="nil"/>
              <w:left w:val="nil"/>
              <w:bottom w:val="nil"/>
              <w:right w:val="nil"/>
            </w:tcBorders>
            <w:shd w:val="clear" w:color="auto" w:fill="auto"/>
            <w:noWrap/>
            <w:vAlign w:val="bottom"/>
            <w:hideMark/>
          </w:tcPr>
          <w:p w:rsidR="00C10AFD" w:rsidRPr="00C10AFD" w:rsidP="00C10AFD">
            <w:pPr>
              <w:spacing w:after="0" w:line="240" w:lineRule="auto"/>
              <w:jc w:val="right"/>
              <w:rPr>
                <w:rFonts w:ascii="Arial" w:eastAsia="Times New Roman" w:hAnsi="Arial" w:cs="Arial"/>
                <w:sz w:val="16"/>
                <w:szCs w:val="16"/>
                <w:lang w:eastAsia="en-GB"/>
              </w:rPr>
            </w:pPr>
          </w:p>
        </w:tc>
      </w:tr>
      <w:tr w:rsidTr="001C36DD">
        <w:tblPrEx>
          <w:tblW w:w="7340" w:type="dxa"/>
          <w:jc w:val="center"/>
          <w:tblLook w:val="04A0"/>
        </w:tblPrEx>
        <w:trPr>
          <w:trHeight w:val="264"/>
          <w:jc w:val="center"/>
        </w:trPr>
        <w:tc>
          <w:tcPr>
            <w:tcW w:w="4940" w:type="dxa"/>
            <w:tcBorders>
              <w:top w:val="nil"/>
              <w:left w:val="single" w:sz="4" w:space="0" w:color="auto"/>
              <w:bottom w:val="single" w:sz="4" w:space="0" w:color="auto"/>
              <w:right w:val="single" w:sz="4" w:space="0" w:color="auto"/>
            </w:tcBorders>
            <w:shd w:val="clear" w:color="000000" w:fill="DAEEF3"/>
            <w:vAlign w:val="bottom"/>
            <w:hideMark/>
          </w:tcPr>
          <w:p w:rsidR="00C10AFD" w:rsidRPr="00C10AFD" w:rsidP="00C10AFD">
            <w:pPr>
              <w:spacing w:after="0" w:line="240" w:lineRule="auto"/>
              <w:rPr>
                <w:rFonts w:ascii="Arial" w:eastAsia="Times New Roman" w:hAnsi="Arial" w:cs="Arial"/>
                <w:b/>
                <w:bCs/>
                <w:sz w:val="16"/>
                <w:szCs w:val="16"/>
                <w:lang w:eastAsia="en-GB"/>
              </w:rPr>
            </w:pPr>
            <w:r w:rsidRPr="00C10AFD">
              <w:rPr>
                <w:rFonts w:ascii="Arial" w:eastAsia="Times New Roman" w:hAnsi="Arial" w:cs="Arial"/>
                <w:b/>
                <w:bCs/>
                <w:sz w:val="16"/>
                <w:szCs w:val="16"/>
                <w:lang w:eastAsia="en-GB"/>
              </w:rPr>
              <w:t>Resource DEL</w:t>
            </w:r>
          </w:p>
        </w:tc>
        <w:tc>
          <w:tcPr>
            <w:tcW w:w="1180" w:type="dxa"/>
            <w:tcBorders>
              <w:top w:val="nil"/>
              <w:left w:val="nil"/>
              <w:bottom w:val="single" w:sz="4" w:space="0" w:color="auto"/>
              <w:right w:val="single" w:sz="4" w:space="0" w:color="auto"/>
            </w:tcBorders>
            <w:shd w:val="clear" w:color="000000" w:fill="DAEEF3"/>
            <w:vAlign w:val="bottom"/>
            <w:hideMark/>
          </w:tcPr>
          <w:p w:rsidR="00C10AFD" w:rsidRPr="00C10AFD" w:rsidP="00C10AFD">
            <w:pPr>
              <w:spacing w:after="0" w:line="240" w:lineRule="auto"/>
              <w:jc w:val="right"/>
              <w:rPr>
                <w:rFonts w:ascii="Arial" w:eastAsia="Times New Roman" w:hAnsi="Arial" w:cs="Arial"/>
                <w:b/>
                <w:bCs/>
                <w:sz w:val="16"/>
                <w:szCs w:val="16"/>
                <w:lang w:eastAsia="en-GB"/>
              </w:rPr>
            </w:pPr>
            <w:r w:rsidRPr="00C10AFD">
              <w:rPr>
                <w:rFonts w:ascii="Arial" w:eastAsia="Times New Roman" w:hAnsi="Arial" w:cs="Arial"/>
                <w:b/>
                <w:bCs/>
                <w:sz w:val="16"/>
                <w:szCs w:val="16"/>
                <w:lang w:eastAsia="en-GB"/>
              </w:rPr>
              <w:t xml:space="preserve"> 2,007.8 </w:t>
            </w:r>
          </w:p>
        </w:tc>
        <w:tc>
          <w:tcPr>
            <w:tcW w:w="1220" w:type="dxa"/>
            <w:tcBorders>
              <w:top w:val="nil"/>
              <w:left w:val="nil"/>
              <w:bottom w:val="nil"/>
              <w:right w:val="nil"/>
            </w:tcBorders>
            <w:shd w:val="clear" w:color="auto" w:fill="auto"/>
            <w:noWrap/>
            <w:vAlign w:val="bottom"/>
            <w:hideMark/>
          </w:tcPr>
          <w:p w:rsidR="00C10AFD" w:rsidRPr="00C10AFD" w:rsidP="00C10AFD">
            <w:pPr>
              <w:spacing w:after="0" w:line="240" w:lineRule="auto"/>
              <w:jc w:val="right"/>
              <w:rPr>
                <w:rFonts w:ascii="Arial" w:eastAsia="Times New Roman" w:hAnsi="Arial" w:cs="Arial"/>
                <w:b/>
                <w:bCs/>
                <w:sz w:val="16"/>
                <w:szCs w:val="16"/>
                <w:lang w:eastAsia="en-GB"/>
              </w:rPr>
            </w:pPr>
          </w:p>
        </w:tc>
      </w:tr>
      <w:tr w:rsidTr="001C36DD">
        <w:tblPrEx>
          <w:tblW w:w="7340" w:type="dxa"/>
          <w:jc w:val="center"/>
          <w:tblLook w:val="04A0"/>
        </w:tblPrEx>
        <w:trPr>
          <w:trHeight w:val="264"/>
          <w:jc w:val="center"/>
        </w:trPr>
        <w:tc>
          <w:tcPr>
            <w:tcW w:w="4940" w:type="dxa"/>
            <w:tcBorders>
              <w:top w:val="nil"/>
              <w:left w:val="single" w:sz="4" w:space="0" w:color="auto"/>
              <w:bottom w:val="single" w:sz="4" w:space="0" w:color="auto"/>
              <w:right w:val="single" w:sz="4" w:space="0" w:color="auto"/>
            </w:tcBorders>
            <w:shd w:val="clear" w:color="auto" w:fill="auto"/>
            <w:vAlign w:val="bottom"/>
            <w:hideMark/>
          </w:tcPr>
          <w:p w:rsidR="00C10AFD" w:rsidRPr="00C10AFD" w:rsidP="00C10AFD">
            <w:pPr>
              <w:spacing w:after="0" w:line="240" w:lineRule="auto"/>
              <w:rPr>
                <w:rFonts w:ascii="Arial" w:eastAsia="Times New Roman" w:hAnsi="Arial" w:cs="Arial"/>
                <w:sz w:val="16"/>
                <w:szCs w:val="16"/>
                <w:lang w:eastAsia="en-GB"/>
              </w:rPr>
            </w:pPr>
            <w:r w:rsidRPr="00C10AFD">
              <w:rPr>
                <w:rFonts w:ascii="Arial" w:eastAsia="Times New Roman" w:hAnsi="Arial" w:cs="Arial"/>
                <w:sz w:val="16"/>
                <w:szCs w:val="16"/>
                <w:lang w:eastAsia="en-GB"/>
              </w:rPr>
              <w:t>Resource AME Provision of Defence Capability</w:t>
            </w:r>
          </w:p>
        </w:tc>
        <w:tc>
          <w:tcPr>
            <w:tcW w:w="1180" w:type="dxa"/>
            <w:tcBorders>
              <w:top w:val="nil"/>
              <w:left w:val="nil"/>
              <w:bottom w:val="single" w:sz="4" w:space="0" w:color="auto"/>
              <w:right w:val="single" w:sz="4" w:space="0" w:color="auto"/>
            </w:tcBorders>
            <w:shd w:val="clear" w:color="auto" w:fill="auto"/>
            <w:vAlign w:val="bottom"/>
            <w:hideMark/>
          </w:tcPr>
          <w:p w:rsidR="00C10AFD" w:rsidRPr="00C10AFD" w:rsidP="00C10AFD">
            <w:pPr>
              <w:spacing w:after="0" w:line="240" w:lineRule="auto"/>
              <w:jc w:val="right"/>
              <w:rPr>
                <w:rFonts w:ascii="Arial" w:eastAsia="Times New Roman" w:hAnsi="Arial" w:cs="Arial"/>
                <w:sz w:val="16"/>
                <w:szCs w:val="16"/>
                <w:lang w:eastAsia="en-GB"/>
              </w:rPr>
            </w:pPr>
            <w:r w:rsidRPr="00C10AFD">
              <w:rPr>
                <w:rFonts w:ascii="Arial" w:eastAsia="Times New Roman" w:hAnsi="Arial" w:cs="Arial"/>
                <w:sz w:val="16"/>
                <w:szCs w:val="16"/>
                <w:lang w:eastAsia="en-GB"/>
              </w:rPr>
              <w:t xml:space="preserve"> 1,200.0 </w:t>
            </w:r>
          </w:p>
        </w:tc>
        <w:tc>
          <w:tcPr>
            <w:tcW w:w="1220" w:type="dxa"/>
            <w:tcBorders>
              <w:top w:val="nil"/>
              <w:left w:val="nil"/>
              <w:bottom w:val="nil"/>
              <w:right w:val="nil"/>
            </w:tcBorders>
            <w:shd w:val="clear" w:color="auto" w:fill="auto"/>
            <w:noWrap/>
            <w:vAlign w:val="bottom"/>
            <w:hideMark/>
          </w:tcPr>
          <w:p w:rsidR="00C10AFD" w:rsidRPr="00C10AFD" w:rsidP="00C10AFD">
            <w:pPr>
              <w:spacing w:after="0" w:line="240" w:lineRule="auto"/>
              <w:jc w:val="right"/>
              <w:rPr>
                <w:rFonts w:ascii="Arial" w:eastAsia="Times New Roman" w:hAnsi="Arial" w:cs="Arial"/>
                <w:sz w:val="16"/>
                <w:szCs w:val="16"/>
                <w:lang w:eastAsia="en-GB"/>
              </w:rPr>
            </w:pPr>
          </w:p>
        </w:tc>
      </w:tr>
      <w:tr w:rsidTr="001C36DD">
        <w:tblPrEx>
          <w:tblW w:w="7340" w:type="dxa"/>
          <w:jc w:val="center"/>
          <w:tblLook w:val="04A0"/>
        </w:tblPrEx>
        <w:trPr>
          <w:trHeight w:val="264"/>
          <w:jc w:val="center"/>
        </w:trPr>
        <w:tc>
          <w:tcPr>
            <w:tcW w:w="4940" w:type="dxa"/>
            <w:tcBorders>
              <w:top w:val="nil"/>
              <w:left w:val="single" w:sz="4" w:space="0" w:color="auto"/>
              <w:bottom w:val="single" w:sz="4" w:space="0" w:color="auto"/>
              <w:right w:val="single" w:sz="4" w:space="0" w:color="auto"/>
            </w:tcBorders>
            <w:shd w:val="clear" w:color="000000" w:fill="DAEEF3"/>
            <w:vAlign w:val="center"/>
            <w:hideMark/>
          </w:tcPr>
          <w:p w:rsidR="00C10AFD" w:rsidRPr="00C10AFD" w:rsidP="00C10AFD">
            <w:pPr>
              <w:spacing w:after="0" w:line="240" w:lineRule="auto"/>
              <w:rPr>
                <w:rFonts w:ascii="Arial" w:eastAsia="Times New Roman" w:hAnsi="Arial" w:cs="Arial"/>
                <w:b/>
                <w:bCs/>
                <w:sz w:val="18"/>
                <w:szCs w:val="18"/>
                <w:lang w:eastAsia="en-GB"/>
              </w:rPr>
            </w:pPr>
            <w:r w:rsidRPr="00C10AFD">
              <w:rPr>
                <w:rFonts w:ascii="Arial" w:eastAsia="Times New Roman" w:hAnsi="Arial" w:cs="Arial"/>
                <w:b/>
                <w:bCs/>
                <w:sz w:val="18"/>
                <w:szCs w:val="18"/>
                <w:lang w:eastAsia="en-GB"/>
              </w:rPr>
              <w:t>Total Net Request for Resource at 2020-21 SE</w:t>
            </w:r>
          </w:p>
        </w:tc>
        <w:tc>
          <w:tcPr>
            <w:tcW w:w="1180" w:type="dxa"/>
            <w:tcBorders>
              <w:top w:val="nil"/>
              <w:left w:val="nil"/>
              <w:bottom w:val="single" w:sz="4" w:space="0" w:color="auto"/>
              <w:right w:val="single" w:sz="4" w:space="0" w:color="auto"/>
            </w:tcBorders>
            <w:shd w:val="clear" w:color="000000" w:fill="DAEEF3"/>
            <w:vAlign w:val="center"/>
            <w:hideMark/>
          </w:tcPr>
          <w:p w:rsidR="00C10AFD" w:rsidRPr="00C10AFD" w:rsidP="00C10AFD">
            <w:pPr>
              <w:spacing w:after="0" w:line="240" w:lineRule="auto"/>
              <w:jc w:val="right"/>
              <w:rPr>
                <w:rFonts w:ascii="Arial" w:eastAsia="Times New Roman" w:hAnsi="Arial" w:cs="Arial"/>
                <w:b/>
                <w:bCs/>
                <w:sz w:val="18"/>
                <w:szCs w:val="18"/>
                <w:lang w:eastAsia="en-GB"/>
              </w:rPr>
            </w:pPr>
            <w:r w:rsidRPr="00C10AFD">
              <w:rPr>
                <w:rFonts w:ascii="Arial" w:eastAsia="Times New Roman" w:hAnsi="Arial" w:cs="Arial"/>
                <w:b/>
                <w:bCs/>
                <w:sz w:val="18"/>
                <w:szCs w:val="18"/>
                <w:lang w:eastAsia="en-GB"/>
              </w:rPr>
              <w:t xml:space="preserve"> 3,207.8 </w:t>
            </w:r>
          </w:p>
        </w:tc>
        <w:tc>
          <w:tcPr>
            <w:tcW w:w="1220" w:type="dxa"/>
            <w:tcBorders>
              <w:top w:val="nil"/>
              <w:left w:val="nil"/>
              <w:bottom w:val="nil"/>
              <w:right w:val="nil"/>
            </w:tcBorders>
            <w:shd w:val="clear" w:color="auto" w:fill="auto"/>
            <w:noWrap/>
            <w:vAlign w:val="bottom"/>
            <w:hideMark/>
          </w:tcPr>
          <w:p w:rsidR="00C10AFD" w:rsidRPr="00C10AFD" w:rsidP="00C10AFD">
            <w:pPr>
              <w:spacing w:after="0" w:line="240" w:lineRule="auto"/>
              <w:jc w:val="right"/>
              <w:rPr>
                <w:rFonts w:ascii="Arial" w:eastAsia="Times New Roman" w:hAnsi="Arial" w:cs="Arial"/>
                <w:b/>
                <w:bCs/>
                <w:sz w:val="18"/>
                <w:szCs w:val="18"/>
                <w:lang w:eastAsia="en-GB"/>
              </w:rPr>
            </w:pPr>
          </w:p>
        </w:tc>
      </w:tr>
      <w:tr w:rsidTr="001C36DD">
        <w:tblPrEx>
          <w:tblW w:w="7340" w:type="dxa"/>
          <w:jc w:val="center"/>
          <w:tblLook w:val="04A0"/>
        </w:tblPrEx>
        <w:trPr>
          <w:trHeight w:val="264"/>
          <w:jc w:val="center"/>
        </w:trPr>
        <w:tc>
          <w:tcPr>
            <w:tcW w:w="4940" w:type="dxa"/>
            <w:tcBorders>
              <w:top w:val="nil"/>
              <w:left w:val="nil"/>
              <w:bottom w:val="nil"/>
              <w:right w:val="nil"/>
            </w:tcBorders>
            <w:shd w:val="clear" w:color="auto" w:fill="auto"/>
            <w:noWrap/>
            <w:vAlign w:val="bottom"/>
            <w:hideMark/>
          </w:tcPr>
          <w:p w:rsidR="00915CCB" w:rsidRPr="00C10AFD" w:rsidP="00C10AFD">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rsidR="00C10AFD" w:rsidRPr="00C10AFD" w:rsidP="00C10AFD">
            <w:pPr>
              <w:spacing w:after="0" w:line="240" w:lineRule="auto"/>
              <w:rPr>
                <w:rFonts w:ascii="Times New Roman" w:eastAsia="Times New Roman" w:hAnsi="Times New Roman" w:cs="Times New Roman"/>
                <w:sz w:val="20"/>
                <w:szCs w:val="20"/>
                <w:lang w:eastAsia="en-GB"/>
              </w:rPr>
            </w:pPr>
          </w:p>
        </w:tc>
        <w:tc>
          <w:tcPr>
            <w:tcW w:w="1220" w:type="dxa"/>
            <w:tcBorders>
              <w:top w:val="nil"/>
              <w:left w:val="nil"/>
              <w:bottom w:val="nil"/>
              <w:right w:val="nil"/>
            </w:tcBorders>
            <w:shd w:val="clear" w:color="auto" w:fill="auto"/>
            <w:noWrap/>
            <w:vAlign w:val="bottom"/>
            <w:hideMark/>
          </w:tcPr>
          <w:p w:rsidR="00C10AFD" w:rsidRPr="00C10AFD" w:rsidP="00C10AFD">
            <w:pPr>
              <w:spacing w:after="0" w:line="240" w:lineRule="auto"/>
              <w:rPr>
                <w:rFonts w:ascii="Times New Roman" w:eastAsia="Times New Roman" w:hAnsi="Times New Roman" w:cs="Times New Roman"/>
                <w:sz w:val="20"/>
                <w:szCs w:val="20"/>
                <w:lang w:eastAsia="en-GB"/>
              </w:rPr>
            </w:pPr>
          </w:p>
        </w:tc>
      </w:tr>
      <w:tr w:rsidTr="001C36DD">
        <w:tblPrEx>
          <w:tblW w:w="7340" w:type="dxa"/>
          <w:jc w:val="center"/>
          <w:tblLook w:val="04A0"/>
        </w:tblPrEx>
        <w:trPr>
          <w:trHeight w:val="264"/>
          <w:jc w:val="center"/>
        </w:trPr>
        <w:tc>
          <w:tcPr>
            <w:tcW w:w="4940" w:type="dxa"/>
            <w:tcBorders>
              <w:top w:val="single" w:sz="4" w:space="0" w:color="auto"/>
              <w:left w:val="single" w:sz="4" w:space="0" w:color="auto"/>
              <w:bottom w:val="single" w:sz="4" w:space="0" w:color="auto"/>
              <w:right w:val="single" w:sz="4" w:space="0" w:color="auto"/>
            </w:tcBorders>
            <w:shd w:val="clear" w:color="000000" w:fill="DAEEF3"/>
            <w:vAlign w:val="center"/>
            <w:hideMark/>
          </w:tcPr>
          <w:p w:rsidR="00C10AFD" w:rsidRPr="00C10AFD" w:rsidP="00C10AFD">
            <w:pPr>
              <w:spacing w:after="0" w:line="240" w:lineRule="auto"/>
              <w:rPr>
                <w:rFonts w:ascii="Arial" w:eastAsia="Times New Roman" w:hAnsi="Arial" w:cs="Arial"/>
                <w:b/>
                <w:bCs/>
                <w:sz w:val="18"/>
                <w:szCs w:val="18"/>
                <w:lang w:eastAsia="en-GB"/>
              </w:rPr>
            </w:pPr>
            <w:r w:rsidRPr="00C10AFD">
              <w:rPr>
                <w:rFonts w:ascii="Arial" w:eastAsia="Times New Roman" w:hAnsi="Arial" w:cs="Arial"/>
                <w:b/>
                <w:bCs/>
                <w:sz w:val="18"/>
                <w:szCs w:val="18"/>
                <w:lang w:eastAsia="en-GB"/>
              </w:rPr>
              <w:t>Capital Expenditure</w:t>
            </w:r>
          </w:p>
        </w:tc>
        <w:tc>
          <w:tcPr>
            <w:tcW w:w="1180" w:type="dxa"/>
            <w:tcBorders>
              <w:top w:val="single" w:sz="4" w:space="0" w:color="auto"/>
              <w:left w:val="nil"/>
              <w:bottom w:val="single" w:sz="4" w:space="0" w:color="auto"/>
              <w:right w:val="single" w:sz="4" w:space="0" w:color="auto"/>
            </w:tcBorders>
            <w:shd w:val="clear" w:color="000000" w:fill="DAEEF3"/>
            <w:vAlign w:val="center"/>
            <w:hideMark/>
          </w:tcPr>
          <w:p w:rsidR="00C10AFD" w:rsidRPr="00C10AFD" w:rsidP="00C10AFD">
            <w:pPr>
              <w:spacing w:after="0" w:line="240" w:lineRule="auto"/>
              <w:jc w:val="right"/>
              <w:rPr>
                <w:rFonts w:ascii="Arial" w:eastAsia="Times New Roman" w:hAnsi="Arial" w:cs="Arial"/>
                <w:b/>
                <w:bCs/>
                <w:sz w:val="18"/>
                <w:szCs w:val="18"/>
                <w:lang w:eastAsia="en-GB"/>
              </w:rPr>
            </w:pPr>
            <w:r w:rsidRPr="00C10AFD">
              <w:rPr>
                <w:rFonts w:ascii="Arial" w:eastAsia="Times New Roman" w:hAnsi="Arial" w:cs="Arial"/>
                <w:b/>
                <w:bCs/>
                <w:sz w:val="18"/>
                <w:szCs w:val="18"/>
                <w:lang w:eastAsia="en-GB"/>
              </w:rPr>
              <w:t>£M</w:t>
            </w:r>
          </w:p>
        </w:tc>
        <w:tc>
          <w:tcPr>
            <w:tcW w:w="1220" w:type="dxa"/>
            <w:tcBorders>
              <w:top w:val="nil"/>
              <w:left w:val="nil"/>
              <w:bottom w:val="nil"/>
              <w:right w:val="nil"/>
            </w:tcBorders>
            <w:shd w:val="clear" w:color="auto" w:fill="auto"/>
            <w:noWrap/>
            <w:vAlign w:val="bottom"/>
            <w:hideMark/>
          </w:tcPr>
          <w:p w:rsidR="00C10AFD" w:rsidRPr="00C10AFD" w:rsidP="00C10AFD">
            <w:pPr>
              <w:spacing w:after="0" w:line="240" w:lineRule="auto"/>
              <w:jc w:val="right"/>
              <w:rPr>
                <w:rFonts w:ascii="Arial" w:eastAsia="Times New Roman" w:hAnsi="Arial" w:cs="Arial"/>
                <w:b/>
                <w:bCs/>
                <w:sz w:val="18"/>
                <w:szCs w:val="18"/>
                <w:lang w:eastAsia="en-GB"/>
              </w:rPr>
            </w:pPr>
          </w:p>
        </w:tc>
      </w:tr>
      <w:tr w:rsidTr="001C36DD">
        <w:tblPrEx>
          <w:tblW w:w="7340" w:type="dxa"/>
          <w:jc w:val="center"/>
          <w:tblLook w:val="04A0"/>
        </w:tblPrEx>
        <w:trPr>
          <w:trHeight w:val="264"/>
          <w:jc w:val="center"/>
        </w:trPr>
        <w:tc>
          <w:tcPr>
            <w:tcW w:w="4940" w:type="dxa"/>
            <w:tcBorders>
              <w:top w:val="nil"/>
              <w:left w:val="single" w:sz="4" w:space="0" w:color="auto"/>
              <w:bottom w:val="single" w:sz="4" w:space="0" w:color="auto"/>
              <w:right w:val="single" w:sz="4" w:space="0" w:color="auto"/>
            </w:tcBorders>
            <w:shd w:val="clear" w:color="auto" w:fill="auto"/>
            <w:vAlign w:val="bottom"/>
            <w:hideMark/>
          </w:tcPr>
          <w:p w:rsidR="00C10AFD" w:rsidRPr="00C10AFD" w:rsidP="00C10AFD">
            <w:pPr>
              <w:spacing w:after="0" w:line="240" w:lineRule="auto"/>
              <w:rPr>
                <w:rFonts w:ascii="Arial" w:eastAsia="Times New Roman" w:hAnsi="Arial" w:cs="Arial"/>
                <w:sz w:val="16"/>
                <w:szCs w:val="16"/>
                <w:lang w:eastAsia="en-GB"/>
              </w:rPr>
            </w:pPr>
            <w:r w:rsidRPr="00C10AFD">
              <w:rPr>
                <w:rFonts w:ascii="Arial" w:eastAsia="Times New Roman" w:hAnsi="Arial" w:cs="Arial"/>
                <w:sz w:val="16"/>
                <w:szCs w:val="16"/>
                <w:lang w:eastAsia="en-GB"/>
              </w:rPr>
              <w:t>Capital DEL: Provision of Defence Capability</w:t>
            </w:r>
          </w:p>
        </w:tc>
        <w:tc>
          <w:tcPr>
            <w:tcW w:w="1180" w:type="dxa"/>
            <w:tcBorders>
              <w:top w:val="nil"/>
              <w:left w:val="nil"/>
              <w:bottom w:val="single" w:sz="4" w:space="0" w:color="auto"/>
              <w:right w:val="single" w:sz="4" w:space="0" w:color="auto"/>
            </w:tcBorders>
            <w:shd w:val="clear" w:color="auto" w:fill="auto"/>
            <w:vAlign w:val="bottom"/>
            <w:hideMark/>
          </w:tcPr>
          <w:p w:rsidR="00C10AFD" w:rsidRPr="00C10AFD" w:rsidP="00C10AFD">
            <w:pPr>
              <w:spacing w:after="0" w:line="240" w:lineRule="auto"/>
              <w:jc w:val="right"/>
              <w:rPr>
                <w:rFonts w:ascii="Arial" w:eastAsia="Times New Roman" w:hAnsi="Arial" w:cs="Arial"/>
                <w:sz w:val="16"/>
                <w:szCs w:val="16"/>
                <w:lang w:eastAsia="en-GB"/>
              </w:rPr>
            </w:pPr>
            <w:r w:rsidRPr="00C10AFD">
              <w:rPr>
                <w:rFonts w:ascii="Arial" w:eastAsia="Times New Roman" w:hAnsi="Arial" w:cs="Arial"/>
                <w:sz w:val="16"/>
                <w:szCs w:val="16"/>
                <w:lang w:eastAsia="en-GB"/>
              </w:rPr>
              <w:t xml:space="preserve"> 1,162.9 </w:t>
            </w:r>
          </w:p>
        </w:tc>
        <w:tc>
          <w:tcPr>
            <w:tcW w:w="1220" w:type="dxa"/>
            <w:tcBorders>
              <w:top w:val="nil"/>
              <w:left w:val="nil"/>
              <w:bottom w:val="nil"/>
              <w:right w:val="nil"/>
            </w:tcBorders>
            <w:shd w:val="clear" w:color="auto" w:fill="auto"/>
            <w:noWrap/>
            <w:vAlign w:val="bottom"/>
            <w:hideMark/>
          </w:tcPr>
          <w:p w:rsidR="00C10AFD" w:rsidRPr="00C10AFD" w:rsidP="00C10AFD">
            <w:pPr>
              <w:spacing w:after="0" w:line="240" w:lineRule="auto"/>
              <w:jc w:val="right"/>
              <w:rPr>
                <w:rFonts w:ascii="Arial" w:eastAsia="Times New Roman" w:hAnsi="Arial" w:cs="Arial"/>
                <w:sz w:val="16"/>
                <w:szCs w:val="16"/>
                <w:lang w:eastAsia="en-GB"/>
              </w:rPr>
            </w:pPr>
          </w:p>
        </w:tc>
      </w:tr>
      <w:tr w:rsidTr="001C36DD">
        <w:tblPrEx>
          <w:tblW w:w="7340" w:type="dxa"/>
          <w:jc w:val="center"/>
          <w:tblLook w:val="04A0"/>
        </w:tblPrEx>
        <w:trPr>
          <w:trHeight w:val="264"/>
          <w:jc w:val="center"/>
        </w:trPr>
        <w:tc>
          <w:tcPr>
            <w:tcW w:w="4940" w:type="dxa"/>
            <w:tcBorders>
              <w:top w:val="nil"/>
              <w:left w:val="single" w:sz="4" w:space="0" w:color="auto"/>
              <w:bottom w:val="single" w:sz="4" w:space="0" w:color="auto"/>
              <w:right w:val="single" w:sz="4" w:space="0" w:color="auto"/>
            </w:tcBorders>
            <w:shd w:val="clear" w:color="auto" w:fill="auto"/>
            <w:vAlign w:val="bottom"/>
            <w:hideMark/>
          </w:tcPr>
          <w:p w:rsidR="00C10AFD" w:rsidRPr="00C10AFD" w:rsidP="00C10AFD">
            <w:pPr>
              <w:spacing w:after="0" w:line="240" w:lineRule="auto"/>
              <w:rPr>
                <w:rFonts w:ascii="Arial" w:eastAsia="Times New Roman" w:hAnsi="Arial" w:cs="Arial"/>
                <w:sz w:val="16"/>
                <w:szCs w:val="16"/>
                <w:lang w:eastAsia="en-GB"/>
              </w:rPr>
            </w:pPr>
            <w:r w:rsidRPr="00C10AFD">
              <w:rPr>
                <w:rFonts w:ascii="Arial" w:eastAsia="Times New Roman" w:hAnsi="Arial" w:cs="Arial"/>
                <w:sz w:val="16"/>
                <w:szCs w:val="16"/>
                <w:lang w:eastAsia="en-GB"/>
              </w:rPr>
              <w:t>Capital DEL: Operations and Peacekeeping &amp; CSSF</w:t>
            </w:r>
          </w:p>
        </w:tc>
        <w:tc>
          <w:tcPr>
            <w:tcW w:w="1180" w:type="dxa"/>
            <w:tcBorders>
              <w:top w:val="nil"/>
              <w:left w:val="nil"/>
              <w:bottom w:val="single" w:sz="4" w:space="0" w:color="auto"/>
              <w:right w:val="single" w:sz="4" w:space="0" w:color="auto"/>
            </w:tcBorders>
            <w:shd w:val="clear" w:color="auto" w:fill="auto"/>
            <w:vAlign w:val="bottom"/>
            <w:hideMark/>
          </w:tcPr>
          <w:p w:rsidR="00C10AFD" w:rsidRPr="00C10AFD" w:rsidP="00C10AFD">
            <w:pPr>
              <w:spacing w:after="0" w:line="240" w:lineRule="auto"/>
              <w:jc w:val="right"/>
              <w:rPr>
                <w:rFonts w:ascii="Arial" w:eastAsia="Times New Roman" w:hAnsi="Arial" w:cs="Arial"/>
                <w:sz w:val="16"/>
                <w:szCs w:val="16"/>
                <w:lang w:eastAsia="en-GB"/>
              </w:rPr>
            </w:pPr>
            <w:r w:rsidRPr="00C10AFD">
              <w:rPr>
                <w:rFonts w:ascii="Arial" w:eastAsia="Times New Roman" w:hAnsi="Arial" w:cs="Arial"/>
                <w:sz w:val="16"/>
                <w:szCs w:val="16"/>
                <w:lang w:eastAsia="en-GB"/>
              </w:rPr>
              <w:t xml:space="preserve"> 18.5 </w:t>
            </w:r>
          </w:p>
        </w:tc>
        <w:tc>
          <w:tcPr>
            <w:tcW w:w="1220" w:type="dxa"/>
            <w:tcBorders>
              <w:top w:val="nil"/>
              <w:left w:val="nil"/>
              <w:bottom w:val="nil"/>
              <w:right w:val="nil"/>
            </w:tcBorders>
            <w:shd w:val="clear" w:color="auto" w:fill="auto"/>
            <w:noWrap/>
            <w:vAlign w:val="bottom"/>
            <w:hideMark/>
          </w:tcPr>
          <w:p w:rsidR="00C10AFD" w:rsidRPr="00C10AFD" w:rsidP="00C10AFD">
            <w:pPr>
              <w:spacing w:after="0" w:line="240" w:lineRule="auto"/>
              <w:jc w:val="right"/>
              <w:rPr>
                <w:rFonts w:ascii="Arial" w:eastAsia="Times New Roman" w:hAnsi="Arial" w:cs="Arial"/>
                <w:sz w:val="16"/>
                <w:szCs w:val="16"/>
                <w:lang w:eastAsia="en-GB"/>
              </w:rPr>
            </w:pPr>
          </w:p>
        </w:tc>
      </w:tr>
      <w:tr w:rsidTr="001C36DD">
        <w:tblPrEx>
          <w:tblW w:w="7340" w:type="dxa"/>
          <w:jc w:val="center"/>
          <w:tblLook w:val="04A0"/>
        </w:tblPrEx>
        <w:trPr>
          <w:trHeight w:val="264"/>
          <w:jc w:val="center"/>
        </w:trPr>
        <w:tc>
          <w:tcPr>
            <w:tcW w:w="4940" w:type="dxa"/>
            <w:tcBorders>
              <w:top w:val="nil"/>
              <w:left w:val="single" w:sz="4" w:space="0" w:color="auto"/>
              <w:bottom w:val="single" w:sz="4" w:space="0" w:color="auto"/>
              <w:right w:val="single" w:sz="4" w:space="0" w:color="auto"/>
            </w:tcBorders>
            <w:shd w:val="clear" w:color="000000" w:fill="DAEEF3"/>
            <w:vAlign w:val="center"/>
            <w:hideMark/>
          </w:tcPr>
          <w:p w:rsidR="00C10AFD" w:rsidRPr="00C10AFD" w:rsidP="00C10AFD">
            <w:pPr>
              <w:spacing w:after="0" w:line="240" w:lineRule="auto"/>
              <w:rPr>
                <w:rFonts w:ascii="Arial" w:eastAsia="Times New Roman" w:hAnsi="Arial" w:cs="Arial"/>
                <w:b/>
                <w:bCs/>
                <w:sz w:val="18"/>
                <w:szCs w:val="18"/>
                <w:lang w:eastAsia="en-GB"/>
              </w:rPr>
            </w:pPr>
            <w:r w:rsidRPr="00C10AFD">
              <w:rPr>
                <w:rFonts w:ascii="Arial" w:eastAsia="Times New Roman" w:hAnsi="Arial" w:cs="Arial"/>
                <w:b/>
                <w:bCs/>
                <w:sz w:val="18"/>
                <w:szCs w:val="18"/>
                <w:lang w:eastAsia="en-GB"/>
              </w:rPr>
              <w:t>Total Net Request for Capital at 2020-21 SE</w:t>
            </w:r>
          </w:p>
        </w:tc>
        <w:tc>
          <w:tcPr>
            <w:tcW w:w="1180" w:type="dxa"/>
            <w:tcBorders>
              <w:top w:val="nil"/>
              <w:left w:val="nil"/>
              <w:bottom w:val="single" w:sz="4" w:space="0" w:color="auto"/>
              <w:right w:val="single" w:sz="4" w:space="0" w:color="auto"/>
            </w:tcBorders>
            <w:shd w:val="clear" w:color="000000" w:fill="DAEEF3"/>
            <w:vAlign w:val="center"/>
            <w:hideMark/>
          </w:tcPr>
          <w:p w:rsidR="00C10AFD" w:rsidRPr="00C10AFD" w:rsidP="00C10AFD">
            <w:pPr>
              <w:spacing w:after="0" w:line="240" w:lineRule="auto"/>
              <w:jc w:val="right"/>
              <w:rPr>
                <w:rFonts w:ascii="Arial" w:eastAsia="Times New Roman" w:hAnsi="Arial" w:cs="Arial"/>
                <w:b/>
                <w:bCs/>
                <w:sz w:val="18"/>
                <w:szCs w:val="18"/>
                <w:lang w:eastAsia="en-GB"/>
              </w:rPr>
            </w:pPr>
            <w:r w:rsidRPr="00C10AFD">
              <w:rPr>
                <w:rFonts w:ascii="Arial" w:eastAsia="Times New Roman" w:hAnsi="Arial" w:cs="Arial"/>
                <w:b/>
                <w:bCs/>
                <w:sz w:val="18"/>
                <w:szCs w:val="18"/>
                <w:lang w:eastAsia="en-GB"/>
              </w:rPr>
              <w:t xml:space="preserve"> 1,181.4 </w:t>
            </w:r>
          </w:p>
        </w:tc>
        <w:tc>
          <w:tcPr>
            <w:tcW w:w="1220" w:type="dxa"/>
            <w:tcBorders>
              <w:top w:val="nil"/>
              <w:left w:val="nil"/>
              <w:bottom w:val="nil"/>
              <w:right w:val="nil"/>
            </w:tcBorders>
            <w:shd w:val="clear" w:color="auto" w:fill="auto"/>
            <w:noWrap/>
            <w:vAlign w:val="bottom"/>
            <w:hideMark/>
          </w:tcPr>
          <w:p w:rsidR="00C10AFD" w:rsidRPr="00C10AFD" w:rsidP="00C10AFD">
            <w:pPr>
              <w:spacing w:after="0" w:line="240" w:lineRule="auto"/>
              <w:jc w:val="right"/>
              <w:rPr>
                <w:rFonts w:ascii="Arial" w:eastAsia="Times New Roman" w:hAnsi="Arial" w:cs="Arial"/>
                <w:b/>
                <w:bCs/>
                <w:sz w:val="18"/>
                <w:szCs w:val="18"/>
                <w:lang w:eastAsia="en-GB"/>
              </w:rPr>
            </w:pPr>
          </w:p>
        </w:tc>
      </w:tr>
    </w:tbl>
    <w:p w:rsidR="001E2C6F" w:rsidP="008312AF">
      <w:pPr>
        <w:pStyle w:val="Heading2"/>
        <w:numPr>
          <w:ilvl w:val="0"/>
          <w:numId w:val="0"/>
        </w:numPr>
        <w:ind w:left="576"/>
        <w:rPr>
          <w:rFonts w:asciiTheme="minorHAnsi" w:hAnsiTheme="minorHAnsi"/>
        </w:rPr>
      </w:pPr>
    </w:p>
    <w:p w:rsidR="003D7FEB" w:rsidRPr="001110F1" w:rsidP="003D7FEB">
      <w:pPr>
        <w:pStyle w:val="Heading2"/>
        <w:rPr>
          <w:rFonts w:asciiTheme="minorHAnsi" w:hAnsiTheme="minorHAnsi"/>
        </w:rPr>
      </w:pPr>
      <w:r w:rsidRPr="001110F1">
        <w:rPr>
          <w:rFonts w:asciiTheme="minorHAnsi" w:hAnsiTheme="minorHAnsi"/>
        </w:rPr>
        <w:t>Cha</w:t>
      </w:r>
      <w:r w:rsidRPr="001110F1" w:rsidR="00EB5D6A">
        <w:rPr>
          <w:rFonts w:asciiTheme="minorHAnsi" w:hAnsiTheme="minorHAnsi"/>
        </w:rPr>
        <w:t>nges to Resource and Capital</w:t>
      </w:r>
    </w:p>
    <w:p w:rsidR="00840E1E" w:rsidP="003D7FEB">
      <w:pPr>
        <w:rPr>
          <w:rFonts w:cs="Arial"/>
        </w:rPr>
      </w:pPr>
      <w:r>
        <w:rPr>
          <w:rFonts w:cs="Arial"/>
        </w:rPr>
        <w:t xml:space="preserve">Table </w:t>
      </w:r>
      <w:r w:rsidR="00C10AFD">
        <w:rPr>
          <w:rFonts w:cs="Arial"/>
        </w:rPr>
        <w:t>9</w:t>
      </w:r>
      <w:r w:rsidR="00CC0F8C">
        <w:rPr>
          <w:rFonts w:cs="Arial"/>
        </w:rPr>
        <w:t xml:space="preserve"> below shows how the SE is compiled</w:t>
      </w:r>
      <w:r w:rsidR="00174208">
        <w:rPr>
          <w:rFonts w:cs="Arial"/>
        </w:rPr>
        <w:t>, identifying the changes since the 20</w:t>
      </w:r>
      <w:r w:rsidR="003A40B7">
        <w:rPr>
          <w:rFonts w:cs="Arial"/>
        </w:rPr>
        <w:t>20-21</w:t>
      </w:r>
      <w:r w:rsidR="009A76FC">
        <w:rPr>
          <w:rFonts w:cs="Arial"/>
        </w:rPr>
        <w:t xml:space="preserve"> Main Es</w:t>
      </w:r>
      <w:r w:rsidR="003D09BF">
        <w:rPr>
          <w:rFonts w:cs="Arial"/>
        </w:rPr>
        <w:t>timate</w:t>
      </w:r>
      <w:r w:rsidR="00626F34">
        <w:rPr>
          <w:rFonts w:cs="Arial"/>
        </w:rPr>
        <w:t>.</w:t>
      </w:r>
    </w:p>
    <w:tbl>
      <w:tblPr>
        <w:tblW w:w="9428" w:type="dxa"/>
        <w:tblLook w:val="04A0"/>
      </w:tblPr>
      <w:tblGrid>
        <w:gridCol w:w="4400"/>
        <w:gridCol w:w="1017"/>
        <w:gridCol w:w="1017"/>
        <w:gridCol w:w="1017"/>
        <w:gridCol w:w="1017"/>
        <w:gridCol w:w="960"/>
      </w:tblGrid>
      <w:tr w:rsidTr="00915CCB">
        <w:tblPrEx>
          <w:tblW w:w="9428" w:type="dxa"/>
          <w:tblLook w:val="04A0"/>
        </w:tblPrEx>
        <w:trPr>
          <w:trHeight w:val="276"/>
        </w:trPr>
        <w:tc>
          <w:tcPr>
            <w:tcW w:w="9428" w:type="dxa"/>
            <w:gridSpan w:val="6"/>
            <w:tcBorders>
              <w:top w:val="nil"/>
              <w:left w:val="nil"/>
              <w:bottom w:val="single" w:sz="8" w:space="0" w:color="auto"/>
              <w:right w:val="nil"/>
            </w:tcBorders>
            <w:shd w:val="clear" w:color="auto" w:fill="auto"/>
            <w:noWrap/>
            <w:vAlign w:val="bottom"/>
            <w:hideMark/>
          </w:tcPr>
          <w:p w:rsidR="00D946D4" w:rsidRPr="00CA090C" w:rsidP="00E51B3F">
            <w:pPr>
              <w:spacing w:after="0" w:line="240" w:lineRule="auto"/>
              <w:ind w:left="-108"/>
              <w:rPr>
                <w:rFonts w:ascii="Arial" w:eastAsia="Times New Roman" w:hAnsi="Arial" w:cs="Arial"/>
                <w:b/>
                <w:bCs/>
                <w:sz w:val="20"/>
                <w:szCs w:val="20"/>
                <w:lang w:eastAsia="en-GB"/>
              </w:rPr>
            </w:pPr>
            <w:r w:rsidRPr="00CA090C">
              <w:rPr>
                <w:rFonts w:ascii="Arial" w:eastAsia="Times New Roman" w:hAnsi="Arial" w:cs="Arial"/>
                <w:b/>
                <w:bCs/>
                <w:sz w:val="20"/>
                <w:szCs w:val="20"/>
                <w:lang w:eastAsia="en-GB"/>
              </w:rPr>
              <w:t>T</w:t>
            </w:r>
            <w:r w:rsidRPr="00CA090C">
              <w:rPr>
                <w:rFonts w:ascii="Arial" w:eastAsia="Times New Roman" w:hAnsi="Arial" w:cs="Arial"/>
                <w:b/>
                <w:bCs/>
                <w:sz w:val="20"/>
                <w:szCs w:val="20"/>
                <w:lang w:eastAsia="en-GB"/>
              </w:rPr>
              <w:t>able 9: Changes to Resource and Capital DEL and AME at 2020-21 Supplementary Estimate</w:t>
            </w:r>
          </w:p>
        </w:tc>
      </w:tr>
      <w:tr w:rsidTr="002C6732">
        <w:tblPrEx>
          <w:tblW w:w="9428" w:type="dxa"/>
          <w:tblLook w:val="04A0"/>
        </w:tblPrEx>
        <w:trPr>
          <w:trHeight w:val="729"/>
        </w:trPr>
        <w:tc>
          <w:tcPr>
            <w:tcW w:w="4400" w:type="dxa"/>
            <w:tcBorders>
              <w:top w:val="nil"/>
              <w:left w:val="single" w:sz="8" w:space="0" w:color="auto"/>
              <w:bottom w:val="nil"/>
              <w:right w:val="single" w:sz="8" w:space="0" w:color="auto"/>
            </w:tcBorders>
            <w:shd w:val="clear" w:color="000000" w:fill="DAEEF3"/>
            <w:vAlign w:val="center"/>
            <w:hideMark/>
          </w:tcPr>
          <w:p w:rsidR="00D946D4" w:rsidRPr="00D946D4" w:rsidP="00D946D4">
            <w:pPr>
              <w:spacing w:after="0" w:line="240" w:lineRule="auto"/>
              <w:jc w:val="center"/>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£M </w:t>
            </w:r>
          </w:p>
        </w:tc>
        <w:tc>
          <w:tcPr>
            <w:tcW w:w="1017" w:type="dxa"/>
            <w:tcBorders>
              <w:top w:val="nil"/>
              <w:left w:val="nil"/>
              <w:bottom w:val="nil"/>
              <w:right w:val="single" w:sz="4" w:space="0" w:color="auto"/>
            </w:tcBorders>
            <w:shd w:val="clear" w:color="000000" w:fill="DAEEF3"/>
            <w:vAlign w:val="bottom"/>
            <w:hideMark/>
          </w:tcPr>
          <w:p w:rsidR="00D946D4" w:rsidRPr="00D946D4" w:rsidP="00D946D4">
            <w:pPr>
              <w:spacing w:after="0" w:line="240" w:lineRule="auto"/>
              <w:jc w:val="center"/>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Non</w:t>
            </w:r>
            <w:r w:rsidR="00E51B3F">
              <w:rPr>
                <w:rFonts w:ascii="Arial" w:eastAsia="Times New Roman" w:hAnsi="Arial" w:cs="Arial"/>
                <w:b/>
                <w:bCs/>
                <w:sz w:val="16"/>
                <w:szCs w:val="16"/>
                <w:lang w:eastAsia="en-GB"/>
              </w:rPr>
              <w:t>-</w:t>
            </w:r>
            <w:r w:rsidRPr="00D946D4">
              <w:rPr>
                <w:rFonts w:ascii="Arial" w:eastAsia="Times New Roman" w:hAnsi="Arial" w:cs="Arial"/>
                <w:b/>
                <w:bCs/>
                <w:sz w:val="16"/>
                <w:szCs w:val="16"/>
                <w:lang w:eastAsia="en-GB"/>
              </w:rPr>
              <w:t>Ring Fenced RDEL</w:t>
            </w:r>
          </w:p>
        </w:tc>
        <w:tc>
          <w:tcPr>
            <w:tcW w:w="1017" w:type="dxa"/>
            <w:tcBorders>
              <w:top w:val="nil"/>
              <w:left w:val="nil"/>
              <w:bottom w:val="nil"/>
              <w:right w:val="single" w:sz="4" w:space="0" w:color="auto"/>
            </w:tcBorders>
            <w:shd w:val="clear" w:color="000000" w:fill="DAEEF3"/>
            <w:vAlign w:val="bottom"/>
            <w:hideMark/>
          </w:tcPr>
          <w:p w:rsidR="00D946D4" w:rsidRPr="00D946D4" w:rsidP="00D946D4">
            <w:pPr>
              <w:spacing w:after="0" w:line="240" w:lineRule="auto"/>
              <w:jc w:val="center"/>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Ring Fenced RDEL</w:t>
            </w:r>
          </w:p>
        </w:tc>
        <w:tc>
          <w:tcPr>
            <w:tcW w:w="1017" w:type="dxa"/>
            <w:tcBorders>
              <w:top w:val="nil"/>
              <w:left w:val="nil"/>
              <w:bottom w:val="nil"/>
              <w:right w:val="single" w:sz="4" w:space="0" w:color="auto"/>
            </w:tcBorders>
            <w:shd w:val="clear" w:color="000000" w:fill="DAEEF3"/>
            <w:vAlign w:val="bottom"/>
            <w:hideMark/>
          </w:tcPr>
          <w:p w:rsidR="00D946D4" w:rsidRPr="00D946D4" w:rsidP="00D946D4">
            <w:pPr>
              <w:spacing w:after="0" w:line="240" w:lineRule="auto"/>
              <w:jc w:val="center"/>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Total RDEL</w:t>
            </w:r>
          </w:p>
        </w:tc>
        <w:tc>
          <w:tcPr>
            <w:tcW w:w="1017" w:type="dxa"/>
            <w:tcBorders>
              <w:top w:val="nil"/>
              <w:left w:val="nil"/>
              <w:bottom w:val="nil"/>
              <w:right w:val="single" w:sz="8" w:space="0" w:color="auto"/>
            </w:tcBorders>
            <w:shd w:val="clear" w:color="000000" w:fill="DAEEF3"/>
            <w:vAlign w:val="bottom"/>
            <w:hideMark/>
          </w:tcPr>
          <w:p w:rsidR="00D946D4" w:rsidRPr="00D946D4" w:rsidP="00D946D4">
            <w:pPr>
              <w:spacing w:after="0" w:line="240" w:lineRule="auto"/>
              <w:jc w:val="center"/>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CDEL</w:t>
            </w:r>
          </w:p>
        </w:tc>
        <w:tc>
          <w:tcPr>
            <w:tcW w:w="960" w:type="dxa"/>
            <w:tcBorders>
              <w:top w:val="nil"/>
              <w:left w:val="nil"/>
              <w:bottom w:val="nil"/>
              <w:right w:val="single" w:sz="8" w:space="0" w:color="auto"/>
            </w:tcBorders>
            <w:shd w:val="clear" w:color="000000" w:fill="DAEEF3"/>
            <w:vAlign w:val="bottom"/>
            <w:hideMark/>
          </w:tcPr>
          <w:p w:rsidR="00D946D4" w:rsidRPr="00D946D4" w:rsidP="00D946D4">
            <w:pPr>
              <w:spacing w:after="0" w:line="240" w:lineRule="auto"/>
              <w:jc w:val="center"/>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Resource AME</w:t>
            </w:r>
          </w:p>
        </w:tc>
      </w:tr>
      <w:tr w:rsidTr="00915CCB">
        <w:tblPrEx>
          <w:tblW w:w="9428" w:type="dxa"/>
          <w:tblLook w:val="04A0"/>
        </w:tblPrEx>
        <w:trPr>
          <w:trHeight w:val="264"/>
        </w:trPr>
        <w:tc>
          <w:tcPr>
            <w:tcW w:w="4400" w:type="dxa"/>
            <w:tcBorders>
              <w:top w:val="single" w:sz="8" w:space="0" w:color="auto"/>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Cost of Core Defence Capability in Main Estimate</w:t>
            </w:r>
          </w:p>
        </w:tc>
        <w:tc>
          <w:tcPr>
            <w:tcW w:w="1017"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30,351.246 </w:t>
            </w:r>
          </w:p>
        </w:tc>
        <w:tc>
          <w:tcPr>
            <w:tcW w:w="1017" w:type="dxa"/>
            <w:tcBorders>
              <w:top w:val="single" w:sz="8" w:space="0" w:color="auto"/>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8,500.000 </w:t>
            </w:r>
          </w:p>
        </w:tc>
        <w:tc>
          <w:tcPr>
            <w:tcW w:w="1017" w:type="dxa"/>
            <w:tcBorders>
              <w:top w:val="single" w:sz="8"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38,851.246 </w:t>
            </w:r>
          </w:p>
        </w:tc>
        <w:tc>
          <w:tcPr>
            <w:tcW w:w="1017" w:type="dxa"/>
            <w:tcBorders>
              <w:top w:val="single" w:sz="8"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10,516.980 </w:t>
            </w:r>
          </w:p>
        </w:tc>
        <w:tc>
          <w:tcPr>
            <w:tcW w:w="960" w:type="dxa"/>
            <w:tcBorders>
              <w:top w:val="single" w:sz="8"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1,519.285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PPE Reimbursement</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0.078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0.078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CYBER Funding</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2.000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NCSP (CRG)</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1.800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1.800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JCKP</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12.040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CYBER Funding</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8.700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Maritime Rich Picture Study</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0.090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0.090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COVID-19 Impact Fund</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4.800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4.800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COVID-19 Impact Fund</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0.250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0.250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COBSEO Grant</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0.025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0.025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Orbis Software</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0.187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0.187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Casework and Analyst - Shearwater</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0.231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0.231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PSDS/LSCF</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0.948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0.948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B14BG - Refund</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0.050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0.050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CAST Integration Programme</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9.200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Ex-gratia redundancy scheme Afghanistan - redeployment</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0.347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0.347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76"/>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CPACC Funding</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0.020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0.020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2C6732">
        <w:tblPrEx>
          <w:tblW w:w="9428" w:type="dxa"/>
          <w:tblLook w:val="04A0"/>
        </w:tblPrEx>
        <w:trPr>
          <w:trHeight w:val="276"/>
        </w:trPr>
        <w:tc>
          <w:tcPr>
            <w:tcW w:w="4400" w:type="dxa"/>
            <w:tcBorders>
              <w:top w:val="single" w:sz="8" w:space="0" w:color="auto"/>
              <w:left w:val="single" w:sz="8" w:space="0" w:color="auto"/>
              <w:bottom w:val="single" w:sz="8" w:space="0" w:color="auto"/>
              <w:right w:val="nil"/>
            </w:tcBorders>
            <w:shd w:val="clear" w:color="000000" w:fill="DAEEF3"/>
            <w:vAlign w:val="bottom"/>
            <w:hideMark/>
          </w:tcPr>
          <w:p w:rsidR="00D946D4" w:rsidRPr="00D946D4" w:rsidP="00D946D4">
            <w:pPr>
              <w:spacing w:after="0" w:line="240" w:lineRule="auto"/>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Transfers Into Core</w:t>
            </w:r>
          </w:p>
        </w:tc>
        <w:tc>
          <w:tcPr>
            <w:tcW w:w="1017" w:type="dxa"/>
            <w:tcBorders>
              <w:top w:val="single" w:sz="8" w:space="0" w:color="auto"/>
              <w:left w:val="single" w:sz="8" w:space="0" w:color="auto"/>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8.826 </w:t>
            </w:r>
          </w:p>
        </w:tc>
        <w:tc>
          <w:tcPr>
            <w:tcW w:w="1017" w:type="dxa"/>
            <w:tcBorders>
              <w:top w:val="single" w:sz="8" w:space="0" w:color="auto"/>
              <w:left w:val="nil"/>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c>
          <w:tcPr>
            <w:tcW w:w="1017"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8.826 </w:t>
            </w:r>
          </w:p>
        </w:tc>
        <w:tc>
          <w:tcPr>
            <w:tcW w:w="1017"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31.940 </w:t>
            </w:r>
          </w:p>
        </w:tc>
        <w:tc>
          <w:tcPr>
            <w:tcW w:w="960"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r>
      <w:tr w:rsidTr="00915CCB">
        <w:tblPrEx>
          <w:tblW w:w="9428" w:type="dxa"/>
          <w:tblLook w:val="04A0"/>
        </w:tblPrEx>
        <w:trPr>
          <w:trHeight w:val="264"/>
        </w:trPr>
        <w:tc>
          <w:tcPr>
            <w:tcW w:w="4400" w:type="dxa"/>
            <w:tcBorders>
              <w:top w:val="single" w:sz="4" w:space="0" w:color="auto"/>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DI funding to JIO</w:t>
            </w:r>
          </w:p>
        </w:tc>
        <w:tc>
          <w:tcPr>
            <w:tcW w:w="1017"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(0.250)</w:t>
            </w:r>
          </w:p>
        </w:tc>
        <w:tc>
          <w:tcPr>
            <w:tcW w:w="1017" w:type="dxa"/>
            <w:tcBorders>
              <w:top w:val="single" w:sz="4" w:space="0" w:color="auto"/>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single" w:sz="4"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(0.250)</w:t>
            </w:r>
          </w:p>
        </w:tc>
        <w:tc>
          <w:tcPr>
            <w:tcW w:w="1017" w:type="dxa"/>
            <w:tcBorders>
              <w:top w:val="single" w:sz="4"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single" w:sz="4"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JCKP</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(7.036)</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(.036)</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CDS Pilot - MOD contribution</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(0.819)</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(0.819)</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Pan-Government Mobile solution (Keratol replacement)</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(1.053)</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(1.053)</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(0.640)</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HQS</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(65.961)</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(65.961)</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MOD Top Office Group SpAds</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(0.120)</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(0.120)</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EPAC</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(2.000)</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MoD UKGI Joint U</w:t>
            </w:r>
            <w:r w:rsidR="00E51B3F">
              <w:rPr>
                <w:rFonts w:ascii="Arial" w:eastAsia="Times New Roman" w:hAnsi="Arial" w:cs="Arial"/>
                <w:sz w:val="16"/>
                <w:szCs w:val="16"/>
                <w:lang w:eastAsia="en-GB"/>
              </w:rPr>
              <w:t>nit</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(1.326)</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(1.326)</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IATP / INITIATE Funding</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(9.300)</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(9.300)</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915CCB">
        <w:tblPrEx>
          <w:tblW w:w="9428" w:type="dxa"/>
          <w:tblLook w:val="04A0"/>
        </w:tblPrEx>
        <w:trPr>
          <w:trHeight w:val="276"/>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Joint Maritime Security Centre</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(1.000)</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(1.000)</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2C6732">
        <w:tblPrEx>
          <w:tblW w:w="9428" w:type="dxa"/>
          <w:tblLook w:val="04A0"/>
        </w:tblPrEx>
        <w:trPr>
          <w:trHeight w:val="276"/>
        </w:trPr>
        <w:tc>
          <w:tcPr>
            <w:tcW w:w="4400" w:type="dxa"/>
            <w:tcBorders>
              <w:top w:val="single" w:sz="8" w:space="0" w:color="auto"/>
              <w:left w:val="single" w:sz="8" w:space="0" w:color="auto"/>
              <w:bottom w:val="single" w:sz="8" w:space="0" w:color="auto"/>
              <w:right w:val="nil"/>
            </w:tcBorders>
            <w:shd w:val="clear" w:color="000000" w:fill="DAEEF3"/>
            <w:vAlign w:val="bottom"/>
            <w:hideMark/>
          </w:tcPr>
          <w:p w:rsidR="00D946D4" w:rsidRPr="00D946D4" w:rsidP="00D946D4">
            <w:pPr>
              <w:spacing w:after="0" w:line="240" w:lineRule="auto"/>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Transfers Out</w:t>
            </w:r>
          </w:p>
        </w:tc>
        <w:tc>
          <w:tcPr>
            <w:tcW w:w="1017" w:type="dxa"/>
            <w:tcBorders>
              <w:top w:val="single" w:sz="8" w:space="0" w:color="auto"/>
              <w:left w:val="single" w:sz="8" w:space="0" w:color="auto"/>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color w:val="000000"/>
                <w:sz w:val="16"/>
                <w:szCs w:val="16"/>
                <w:lang w:eastAsia="en-GB"/>
              </w:rPr>
              <w:t>(86.865)</w:t>
            </w:r>
          </w:p>
        </w:tc>
        <w:tc>
          <w:tcPr>
            <w:tcW w:w="1017" w:type="dxa"/>
            <w:tcBorders>
              <w:top w:val="single" w:sz="8" w:space="0" w:color="auto"/>
              <w:left w:val="nil"/>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c>
          <w:tcPr>
            <w:tcW w:w="1017"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color w:val="000000"/>
                <w:sz w:val="16"/>
                <w:szCs w:val="16"/>
                <w:lang w:eastAsia="en-GB"/>
              </w:rPr>
              <w:t>(86.865)</w:t>
            </w:r>
          </w:p>
        </w:tc>
        <w:tc>
          <w:tcPr>
            <w:tcW w:w="1017"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color w:val="000000"/>
                <w:sz w:val="16"/>
                <w:szCs w:val="16"/>
                <w:lang w:eastAsia="en-GB"/>
              </w:rPr>
              <w:t>(2.640)</w:t>
            </w:r>
          </w:p>
        </w:tc>
        <w:tc>
          <w:tcPr>
            <w:tcW w:w="960"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r>
      <w:tr w:rsidTr="002C6732">
        <w:tblPrEx>
          <w:tblW w:w="9428" w:type="dxa"/>
          <w:tblLook w:val="04A0"/>
        </w:tblPrEx>
        <w:trPr>
          <w:trHeight w:val="276"/>
        </w:trPr>
        <w:tc>
          <w:tcPr>
            <w:tcW w:w="4400" w:type="dxa"/>
            <w:tcBorders>
              <w:top w:val="nil"/>
              <w:left w:val="single" w:sz="8" w:space="0" w:color="auto"/>
              <w:bottom w:val="single" w:sz="8" w:space="0" w:color="auto"/>
              <w:right w:val="nil"/>
            </w:tcBorders>
            <w:shd w:val="clear" w:color="000000" w:fill="DAEEF3"/>
            <w:vAlign w:val="bottom"/>
            <w:hideMark/>
          </w:tcPr>
          <w:p w:rsidR="00D946D4" w:rsidRPr="00D946D4" w:rsidP="00D946D4">
            <w:pPr>
              <w:spacing w:after="0" w:line="240" w:lineRule="auto"/>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Net OGD Transfers</w:t>
            </w:r>
          </w:p>
        </w:tc>
        <w:tc>
          <w:tcPr>
            <w:tcW w:w="1017" w:type="dxa"/>
            <w:tcBorders>
              <w:top w:val="nil"/>
              <w:left w:val="single" w:sz="8" w:space="0" w:color="auto"/>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color w:val="000000"/>
                <w:sz w:val="16"/>
                <w:szCs w:val="16"/>
                <w:lang w:eastAsia="en-GB"/>
              </w:rPr>
              <w:t>(78.039)</w:t>
            </w:r>
          </w:p>
        </w:tc>
        <w:tc>
          <w:tcPr>
            <w:tcW w:w="1017" w:type="dxa"/>
            <w:tcBorders>
              <w:top w:val="nil"/>
              <w:left w:val="nil"/>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c>
          <w:tcPr>
            <w:tcW w:w="1017" w:type="dxa"/>
            <w:tcBorders>
              <w:top w:val="nil"/>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color w:val="000000"/>
                <w:sz w:val="16"/>
                <w:szCs w:val="16"/>
                <w:lang w:eastAsia="en-GB"/>
              </w:rPr>
              <w:t>(78.039)</w:t>
            </w:r>
          </w:p>
        </w:tc>
        <w:tc>
          <w:tcPr>
            <w:tcW w:w="1017" w:type="dxa"/>
            <w:tcBorders>
              <w:top w:val="nil"/>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29.300 </w:t>
            </w:r>
          </w:p>
        </w:tc>
        <w:tc>
          <w:tcPr>
            <w:tcW w:w="960" w:type="dxa"/>
            <w:tcBorders>
              <w:top w:val="nil"/>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r>
      <w:tr w:rsidTr="002C6732">
        <w:tblPrEx>
          <w:tblW w:w="9428" w:type="dxa"/>
          <w:tblLook w:val="04A0"/>
        </w:tblPrEx>
        <w:trPr>
          <w:trHeight w:val="264"/>
        </w:trPr>
        <w:tc>
          <w:tcPr>
            <w:tcW w:w="4400" w:type="dxa"/>
            <w:tcBorders>
              <w:top w:val="single" w:sz="4" w:space="0" w:color="auto"/>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Fine for cash management</w:t>
            </w:r>
          </w:p>
        </w:tc>
        <w:tc>
          <w:tcPr>
            <w:tcW w:w="1017"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(0.368)</w:t>
            </w:r>
          </w:p>
        </w:tc>
        <w:tc>
          <w:tcPr>
            <w:tcW w:w="1017" w:type="dxa"/>
            <w:tcBorders>
              <w:top w:val="single" w:sz="4" w:space="0" w:color="auto"/>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single" w:sz="4"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(0.368)</w:t>
            </w:r>
          </w:p>
        </w:tc>
        <w:tc>
          <w:tcPr>
            <w:tcW w:w="1017" w:type="dxa"/>
            <w:tcBorders>
              <w:top w:val="single" w:sz="4"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single" w:sz="4"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2C6732">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LIBOR funding</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9.800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9.800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2C6732">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Pr>
                <w:rFonts w:ascii="Arial" w:eastAsia="Times New Roman" w:hAnsi="Arial" w:cs="Arial"/>
                <w:sz w:val="16"/>
                <w:szCs w:val="16"/>
                <w:lang w:eastAsia="en-GB"/>
              </w:rPr>
              <w:t xml:space="preserve">Infrastructure Fiscal Stimulus Funding </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109.000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2C6732">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Dreadnought Contingency</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209.000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2C6732">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Vesarian</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0.630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B96BE4">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Untaken Leave Movements </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w:t>
            </w:r>
            <w:r w:rsidR="002C6732">
              <w:rPr>
                <w:rFonts w:ascii="Arial" w:eastAsia="Times New Roman" w:hAnsi="Arial" w:cs="Arial"/>
                <w:sz w:val="16"/>
                <w:szCs w:val="16"/>
                <w:lang w:eastAsia="en-GB"/>
              </w:rPr>
              <w:t>245</w:t>
            </w:r>
            <w:r w:rsidRPr="00D946D4">
              <w:rPr>
                <w:rFonts w:ascii="Arial" w:eastAsia="Times New Roman" w:hAnsi="Arial" w:cs="Arial"/>
                <w:sz w:val="16"/>
                <w:szCs w:val="16"/>
                <w:lang w:eastAsia="en-GB"/>
              </w:rPr>
              <w:t xml:space="preserve">.000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w:t>
            </w:r>
            <w:r w:rsidR="002C6732">
              <w:rPr>
                <w:rFonts w:ascii="Arial" w:eastAsia="Times New Roman" w:hAnsi="Arial" w:cs="Arial"/>
                <w:sz w:val="16"/>
                <w:szCs w:val="16"/>
                <w:lang w:eastAsia="en-GB"/>
              </w:rPr>
              <w:t>245</w:t>
            </w:r>
            <w:r w:rsidRPr="00D946D4">
              <w:rPr>
                <w:rFonts w:ascii="Arial" w:eastAsia="Times New Roman" w:hAnsi="Arial" w:cs="Arial"/>
                <w:sz w:val="16"/>
                <w:szCs w:val="16"/>
                <w:lang w:eastAsia="en-GB"/>
              </w:rPr>
              <w:t xml:space="preserve">.000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B96BE4">
        <w:tblPrEx>
          <w:tblW w:w="9428" w:type="dxa"/>
          <w:tblLook w:val="04A0"/>
        </w:tblPrEx>
        <w:trPr>
          <w:trHeight w:val="264"/>
        </w:trPr>
        <w:tc>
          <w:tcPr>
            <w:tcW w:w="4400" w:type="dxa"/>
            <w:tcBorders>
              <w:top w:val="single" w:sz="4" w:space="0" w:color="auto"/>
              <w:left w:val="single" w:sz="4"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Equipment Plan </w:t>
            </w:r>
            <w:r w:rsidR="0011772D">
              <w:rPr>
                <w:rFonts w:ascii="Arial" w:eastAsia="Times New Roman" w:hAnsi="Arial" w:cs="Arial"/>
                <w:sz w:val="16"/>
                <w:szCs w:val="16"/>
                <w:lang w:eastAsia="en-GB"/>
              </w:rPr>
              <w:t>Budget Uplift</w:t>
            </w:r>
          </w:p>
        </w:tc>
        <w:tc>
          <w:tcPr>
            <w:tcW w:w="1017"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single" w:sz="4" w:space="0" w:color="auto"/>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single" w:sz="4"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single" w:sz="4"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515.000 </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2C6732">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ODA Surrender</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(2.038)</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(2.038)</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2C6732">
        <w:tblPrEx>
          <w:tblW w:w="9428" w:type="dxa"/>
          <w:tblLook w:val="04A0"/>
        </w:tblPrEx>
        <w:trPr>
          <w:trHeight w:val="276"/>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HMT Adjustment to Budget</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(0.005)</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2C6732">
        <w:tblPrEx>
          <w:tblW w:w="9428" w:type="dxa"/>
          <w:tblLook w:val="04A0"/>
        </w:tblPrEx>
        <w:trPr>
          <w:trHeight w:val="276"/>
        </w:trPr>
        <w:tc>
          <w:tcPr>
            <w:tcW w:w="4400" w:type="dxa"/>
            <w:tcBorders>
              <w:top w:val="single" w:sz="8" w:space="0" w:color="auto"/>
              <w:left w:val="single" w:sz="8" w:space="0" w:color="auto"/>
              <w:bottom w:val="single" w:sz="8" w:space="0" w:color="auto"/>
              <w:right w:val="nil"/>
            </w:tcBorders>
            <w:shd w:val="clear" w:color="000000" w:fill="DAEEF3"/>
            <w:vAlign w:val="bottom"/>
            <w:hideMark/>
          </w:tcPr>
          <w:p w:rsidR="00D946D4" w:rsidRPr="00D946D4" w:rsidP="00D946D4">
            <w:pPr>
              <w:spacing w:after="0" w:line="240" w:lineRule="auto"/>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Additional DEL Claim on Reserve</w:t>
            </w:r>
          </w:p>
        </w:tc>
        <w:tc>
          <w:tcPr>
            <w:tcW w:w="1017" w:type="dxa"/>
            <w:tcBorders>
              <w:top w:val="single" w:sz="8" w:space="0" w:color="auto"/>
              <w:left w:val="single" w:sz="8" w:space="0" w:color="auto"/>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252.394 </w:t>
            </w:r>
          </w:p>
        </w:tc>
        <w:tc>
          <w:tcPr>
            <w:tcW w:w="1017" w:type="dxa"/>
            <w:tcBorders>
              <w:top w:val="single" w:sz="8" w:space="0" w:color="auto"/>
              <w:left w:val="nil"/>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c>
          <w:tcPr>
            <w:tcW w:w="1017"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252.394 </w:t>
            </w:r>
          </w:p>
        </w:tc>
        <w:tc>
          <w:tcPr>
            <w:tcW w:w="1017"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833.625 </w:t>
            </w:r>
          </w:p>
        </w:tc>
        <w:tc>
          <w:tcPr>
            <w:tcW w:w="960"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r>
      <w:tr w:rsidTr="002C6732">
        <w:tblPrEx>
          <w:tblW w:w="9428" w:type="dxa"/>
          <w:tblLook w:val="04A0"/>
        </w:tblPrEx>
        <w:trPr>
          <w:trHeight w:val="264"/>
        </w:trPr>
        <w:tc>
          <w:tcPr>
            <w:tcW w:w="4400" w:type="dxa"/>
            <w:tcBorders>
              <w:top w:val="single" w:sz="8" w:space="0" w:color="auto"/>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RDEL-CDEL Switch</w:t>
            </w:r>
          </w:p>
        </w:tc>
        <w:tc>
          <w:tcPr>
            <w:tcW w:w="1017"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(300.000)</w:t>
            </w:r>
          </w:p>
        </w:tc>
        <w:tc>
          <w:tcPr>
            <w:tcW w:w="1017" w:type="dxa"/>
            <w:tcBorders>
              <w:top w:val="single" w:sz="8" w:space="0" w:color="auto"/>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single" w:sz="8"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(300.000)</w:t>
            </w:r>
          </w:p>
        </w:tc>
        <w:tc>
          <w:tcPr>
            <w:tcW w:w="1017" w:type="dxa"/>
            <w:tcBorders>
              <w:top w:val="single" w:sz="8"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300.000 </w:t>
            </w:r>
          </w:p>
        </w:tc>
        <w:tc>
          <w:tcPr>
            <w:tcW w:w="960" w:type="dxa"/>
            <w:tcBorders>
              <w:top w:val="single" w:sz="8"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2C6732">
        <w:tblPrEx>
          <w:tblW w:w="9428" w:type="dxa"/>
          <w:tblLook w:val="04A0"/>
        </w:tblPrEx>
        <w:trPr>
          <w:trHeight w:val="264"/>
        </w:trPr>
        <w:tc>
          <w:tcPr>
            <w:tcW w:w="4400" w:type="dxa"/>
            <w:tcBorders>
              <w:top w:val="single" w:sz="4" w:space="0" w:color="auto"/>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Increase in Depreciation and Impairment: In-Year</w:t>
            </w:r>
          </w:p>
        </w:tc>
        <w:tc>
          <w:tcPr>
            <w:tcW w:w="1017"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single" w:sz="4" w:space="0" w:color="auto"/>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2,000.000 </w:t>
            </w:r>
          </w:p>
        </w:tc>
        <w:tc>
          <w:tcPr>
            <w:tcW w:w="1017" w:type="dxa"/>
            <w:tcBorders>
              <w:top w:val="single" w:sz="4"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2,000.000 </w:t>
            </w:r>
          </w:p>
        </w:tc>
        <w:tc>
          <w:tcPr>
            <w:tcW w:w="1017" w:type="dxa"/>
            <w:tcBorders>
              <w:top w:val="single" w:sz="4"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single" w:sz="4"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2C6732">
        <w:tblPrEx>
          <w:tblW w:w="9428" w:type="dxa"/>
          <w:tblLook w:val="04A0"/>
        </w:tblPrEx>
        <w:trPr>
          <w:trHeight w:val="276"/>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Change in Treasury Discount Rates &amp; Provisions</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1,200.000 </w:t>
            </w:r>
          </w:p>
        </w:tc>
      </w:tr>
      <w:tr w:rsidTr="002C6732">
        <w:tblPrEx>
          <w:tblW w:w="9428" w:type="dxa"/>
          <w:tblLook w:val="04A0"/>
        </w:tblPrEx>
        <w:trPr>
          <w:trHeight w:val="390"/>
        </w:trPr>
        <w:tc>
          <w:tcPr>
            <w:tcW w:w="4400" w:type="dxa"/>
            <w:tcBorders>
              <w:top w:val="single" w:sz="8" w:space="0" w:color="auto"/>
              <w:left w:val="single" w:sz="8" w:space="0" w:color="auto"/>
              <w:bottom w:val="single" w:sz="8" w:space="0" w:color="auto"/>
              <w:right w:val="nil"/>
            </w:tcBorders>
            <w:shd w:val="clear" w:color="000000" w:fill="DAEEF3"/>
            <w:vAlign w:val="bottom"/>
            <w:hideMark/>
          </w:tcPr>
          <w:p w:rsidR="00D946D4" w:rsidRPr="00D946D4" w:rsidP="00D946D4">
            <w:pPr>
              <w:spacing w:after="0" w:line="240" w:lineRule="auto"/>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Total Other changes</w:t>
            </w:r>
          </w:p>
        </w:tc>
        <w:tc>
          <w:tcPr>
            <w:tcW w:w="1017" w:type="dxa"/>
            <w:tcBorders>
              <w:top w:val="single" w:sz="8" w:space="0" w:color="auto"/>
              <w:left w:val="single" w:sz="8" w:space="0" w:color="auto"/>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color w:val="000000"/>
                <w:sz w:val="16"/>
                <w:szCs w:val="16"/>
                <w:lang w:eastAsia="en-GB"/>
              </w:rPr>
              <w:t>(300.000)</w:t>
            </w:r>
          </w:p>
        </w:tc>
        <w:tc>
          <w:tcPr>
            <w:tcW w:w="1017" w:type="dxa"/>
            <w:tcBorders>
              <w:top w:val="single" w:sz="8" w:space="0" w:color="auto"/>
              <w:left w:val="nil"/>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2,000.000 </w:t>
            </w:r>
          </w:p>
        </w:tc>
        <w:tc>
          <w:tcPr>
            <w:tcW w:w="1017"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1,700.000 </w:t>
            </w:r>
          </w:p>
        </w:tc>
        <w:tc>
          <w:tcPr>
            <w:tcW w:w="1017"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300.000 </w:t>
            </w:r>
          </w:p>
        </w:tc>
        <w:tc>
          <w:tcPr>
            <w:tcW w:w="960"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1,200.000 </w:t>
            </w:r>
          </w:p>
        </w:tc>
      </w:tr>
      <w:tr w:rsidTr="002C6732">
        <w:tblPrEx>
          <w:tblW w:w="9428" w:type="dxa"/>
          <w:tblLook w:val="04A0"/>
        </w:tblPrEx>
        <w:trPr>
          <w:trHeight w:val="276"/>
        </w:trPr>
        <w:tc>
          <w:tcPr>
            <w:tcW w:w="4400" w:type="dxa"/>
            <w:tcBorders>
              <w:top w:val="nil"/>
              <w:left w:val="single" w:sz="8" w:space="0" w:color="auto"/>
              <w:bottom w:val="nil"/>
              <w:right w:val="nil"/>
            </w:tcBorders>
            <w:shd w:val="clear" w:color="000000" w:fill="DAEEF3"/>
            <w:vAlign w:val="bottom"/>
            <w:hideMark/>
          </w:tcPr>
          <w:p w:rsidR="00D946D4" w:rsidRPr="00D946D4" w:rsidP="00D946D4">
            <w:pPr>
              <w:spacing w:after="0" w:line="240" w:lineRule="auto"/>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Cost of Defence Capability in Supplementary Estimates</w:t>
            </w:r>
          </w:p>
        </w:tc>
        <w:tc>
          <w:tcPr>
            <w:tcW w:w="1017" w:type="dxa"/>
            <w:tcBorders>
              <w:top w:val="nil"/>
              <w:left w:val="single" w:sz="8" w:space="0" w:color="auto"/>
              <w:bottom w:val="nil"/>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30,225.601 </w:t>
            </w:r>
          </w:p>
        </w:tc>
        <w:tc>
          <w:tcPr>
            <w:tcW w:w="1017" w:type="dxa"/>
            <w:tcBorders>
              <w:top w:val="nil"/>
              <w:left w:val="nil"/>
              <w:bottom w:val="nil"/>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10,500.000 </w:t>
            </w:r>
          </w:p>
        </w:tc>
        <w:tc>
          <w:tcPr>
            <w:tcW w:w="1017" w:type="dxa"/>
            <w:tcBorders>
              <w:top w:val="nil"/>
              <w:left w:val="nil"/>
              <w:bottom w:val="nil"/>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40,725.601 </w:t>
            </w:r>
          </w:p>
        </w:tc>
        <w:tc>
          <w:tcPr>
            <w:tcW w:w="1017" w:type="dxa"/>
            <w:tcBorders>
              <w:top w:val="nil"/>
              <w:left w:val="nil"/>
              <w:bottom w:val="nil"/>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11,679.905 </w:t>
            </w:r>
          </w:p>
        </w:tc>
        <w:tc>
          <w:tcPr>
            <w:tcW w:w="960" w:type="dxa"/>
            <w:tcBorders>
              <w:top w:val="nil"/>
              <w:left w:val="nil"/>
              <w:bottom w:val="nil"/>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2,719.285 </w:t>
            </w:r>
          </w:p>
        </w:tc>
      </w:tr>
      <w:tr w:rsidTr="000756F0">
        <w:tblPrEx>
          <w:tblW w:w="9428" w:type="dxa"/>
          <w:tblLook w:val="04A0"/>
        </w:tblPrEx>
        <w:trPr>
          <w:trHeight w:val="141"/>
        </w:trPr>
        <w:tc>
          <w:tcPr>
            <w:tcW w:w="4400" w:type="dxa"/>
            <w:tcBorders>
              <w:top w:val="single" w:sz="8" w:space="0" w:color="auto"/>
              <w:left w:val="nil"/>
              <w:bottom w:val="single" w:sz="8" w:space="0" w:color="auto"/>
              <w:right w:val="nil"/>
            </w:tcBorders>
            <w:shd w:val="clear" w:color="auto" w:fill="auto"/>
            <w:noWrap/>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single" w:sz="8" w:space="0" w:color="auto"/>
              <w:left w:val="nil"/>
              <w:bottom w:val="single" w:sz="8" w:space="0" w:color="auto"/>
              <w:right w:val="nil"/>
            </w:tcBorders>
            <w:shd w:val="clear" w:color="auto" w:fill="auto"/>
            <w:noWrap/>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single" w:sz="8" w:space="0" w:color="auto"/>
              <w:left w:val="nil"/>
              <w:bottom w:val="single" w:sz="8" w:space="0" w:color="auto"/>
              <w:right w:val="nil"/>
            </w:tcBorders>
            <w:shd w:val="clear" w:color="auto" w:fill="auto"/>
            <w:noWrap/>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single" w:sz="8" w:space="0" w:color="auto"/>
              <w:left w:val="nil"/>
              <w:bottom w:val="single" w:sz="8" w:space="0" w:color="auto"/>
              <w:right w:val="nil"/>
            </w:tcBorders>
            <w:shd w:val="clear" w:color="auto" w:fill="auto"/>
            <w:noWrap/>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single" w:sz="8" w:space="0" w:color="auto"/>
              <w:left w:val="nil"/>
              <w:bottom w:val="single" w:sz="8" w:space="0" w:color="auto"/>
              <w:right w:val="nil"/>
            </w:tcBorders>
            <w:shd w:val="clear" w:color="auto" w:fill="auto"/>
            <w:noWrap/>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single" w:sz="8" w:space="0" w:color="auto"/>
              <w:left w:val="nil"/>
              <w:bottom w:val="single" w:sz="8" w:space="0" w:color="auto"/>
              <w:right w:val="nil"/>
            </w:tcBorders>
            <w:shd w:val="clear" w:color="auto" w:fill="auto"/>
            <w:noWrap/>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2C6732">
        <w:tblPrEx>
          <w:tblW w:w="9428" w:type="dxa"/>
          <w:tblLook w:val="04A0"/>
        </w:tblPrEx>
        <w:trPr>
          <w:trHeight w:val="690"/>
        </w:trPr>
        <w:tc>
          <w:tcPr>
            <w:tcW w:w="4400" w:type="dxa"/>
            <w:tcBorders>
              <w:top w:val="nil"/>
              <w:left w:val="single" w:sz="8" w:space="0" w:color="auto"/>
              <w:bottom w:val="nil"/>
              <w:right w:val="single" w:sz="8" w:space="0" w:color="auto"/>
            </w:tcBorders>
            <w:shd w:val="clear" w:color="000000" w:fill="DAEEF3"/>
            <w:vAlign w:val="center"/>
            <w:hideMark/>
          </w:tcPr>
          <w:p w:rsidR="00D946D4" w:rsidRPr="00D946D4" w:rsidP="00D946D4">
            <w:pPr>
              <w:spacing w:after="0" w:line="240" w:lineRule="auto"/>
              <w:jc w:val="center"/>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£M </w:t>
            </w:r>
          </w:p>
        </w:tc>
        <w:tc>
          <w:tcPr>
            <w:tcW w:w="1017" w:type="dxa"/>
            <w:tcBorders>
              <w:top w:val="nil"/>
              <w:left w:val="nil"/>
              <w:bottom w:val="nil"/>
              <w:right w:val="single" w:sz="4" w:space="0" w:color="auto"/>
            </w:tcBorders>
            <w:shd w:val="clear" w:color="000000" w:fill="DAEEF3"/>
            <w:vAlign w:val="bottom"/>
            <w:hideMark/>
          </w:tcPr>
          <w:p w:rsidR="00D946D4" w:rsidRPr="00D946D4" w:rsidP="00D946D4">
            <w:pPr>
              <w:spacing w:after="0" w:line="240" w:lineRule="auto"/>
              <w:jc w:val="center"/>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Non</w:t>
            </w:r>
            <w:r w:rsidR="00E51B3F">
              <w:rPr>
                <w:rFonts w:ascii="Arial" w:eastAsia="Times New Roman" w:hAnsi="Arial" w:cs="Arial"/>
                <w:b/>
                <w:bCs/>
                <w:sz w:val="16"/>
                <w:szCs w:val="16"/>
                <w:lang w:eastAsia="en-GB"/>
              </w:rPr>
              <w:t>-</w:t>
            </w:r>
            <w:r w:rsidRPr="00D946D4">
              <w:rPr>
                <w:rFonts w:ascii="Arial" w:eastAsia="Times New Roman" w:hAnsi="Arial" w:cs="Arial"/>
                <w:b/>
                <w:bCs/>
                <w:sz w:val="16"/>
                <w:szCs w:val="16"/>
                <w:lang w:eastAsia="en-GB"/>
              </w:rPr>
              <w:t>Ring Fenced RDEL</w:t>
            </w:r>
          </w:p>
        </w:tc>
        <w:tc>
          <w:tcPr>
            <w:tcW w:w="1017" w:type="dxa"/>
            <w:tcBorders>
              <w:top w:val="nil"/>
              <w:left w:val="nil"/>
              <w:bottom w:val="nil"/>
              <w:right w:val="single" w:sz="4" w:space="0" w:color="auto"/>
            </w:tcBorders>
            <w:shd w:val="clear" w:color="000000" w:fill="DAEEF3"/>
            <w:vAlign w:val="bottom"/>
            <w:hideMark/>
          </w:tcPr>
          <w:p w:rsidR="00D946D4" w:rsidRPr="00D946D4" w:rsidP="00D946D4">
            <w:pPr>
              <w:spacing w:after="0" w:line="240" w:lineRule="auto"/>
              <w:jc w:val="center"/>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Ring Fenced RDEL</w:t>
            </w:r>
          </w:p>
        </w:tc>
        <w:tc>
          <w:tcPr>
            <w:tcW w:w="1017" w:type="dxa"/>
            <w:tcBorders>
              <w:top w:val="nil"/>
              <w:left w:val="nil"/>
              <w:bottom w:val="nil"/>
              <w:right w:val="single" w:sz="8" w:space="0" w:color="auto"/>
            </w:tcBorders>
            <w:shd w:val="clear" w:color="000000" w:fill="DAEEF3"/>
            <w:vAlign w:val="bottom"/>
            <w:hideMark/>
          </w:tcPr>
          <w:p w:rsidR="00D946D4" w:rsidRPr="00D946D4" w:rsidP="00D946D4">
            <w:pPr>
              <w:spacing w:after="0" w:line="240" w:lineRule="auto"/>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Total RDEL</w:t>
            </w:r>
          </w:p>
        </w:tc>
        <w:tc>
          <w:tcPr>
            <w:tcW w:w="1017" w:type="dxa"/>
            <w:tcBorders>
              <w:top w:val="nil"/>
              <w:left w:val="nil"/>
              <w:bottom w:val="nil"/>
              <w:right w:val="single" w:sz="8" w:space="0" w:color="auto"/>
            </w:tcBorders>
            <w:shd w:val="clear" w:color="000000" w:fill="DAEEF3"/>
            <w:vAlign w:val="bottom"/>
            <w:hideMark/>
          </w:tcPr>
          <w:p w:rsidR="00D946D4" w:rsidRPr="00D946D4" w:rsidP="00D946D4">
            <w:pPr>
              <w:spacing w:after="0" w:line="240" w:lineRule="auto"/>
              <w:jc w:val="center"/>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CDEL</w:t>
            </w:r>
          </w:p>
        </w:tc>
        <w:tc>
          <w:tcPr>
            <w:tcW w:w="960" w:type="dxa"/>
            <w:tcBorders>
              <w:top w:val="nil"/>
              <w:left w:val="nil"/>
              <w:bottom w:val="nil"/>
              <w:right w:val="single" w:sz="8" w:space="0" w:color="auto"/>
            </w:tcBorders>
            <w:shd w:val="clear" w:color="000000" w:fill="DAEEF3"/>
            <w:vAlign w:val="bottom"/>
            <w:hideMark/>
          </w:tcPr>
          <w:p w:rsidR="00D946D4" w:rsidRPr="00D946D4" w:rsidP="00D946D4">
            <w:pPr>
              <w:spacing w:after="0" w:line="240" w:lineRule="auto"/>
              <w:jc w:val="center"/>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Resource AME</w:t>
            </w:r>
          </w:p>
        </w:tc>
      </w:tr>
      <w:tr w:rsidTr="000756F0">
        <w:tblPrEx>
          <w:tblW w:w="9428" w:type="dxa"/>
          <w:tblLook w:val="04A0"/>
        </w:tblPrEx>
        <w:trPr>
          <w:trHeight w:val="264"/>
        </w:trPr>
        <w:tc>
          <w:tcPr>
            <w:tcW w:w="4400" w:type="dxa"/>
            <w:tcBorders>
              <w:top w:val="single" w:sz="8" w:space="0" w:color="auto"/>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Operations and Peacekeeping in Main Estimates</w:t>
            </w:r>
          </w:p>
        </w:tc>
        <w:tc>
          <w:tcPr>
            <w:tcW w:w="1017"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312.000 </w:t>
            </w:r>
          </w:p>
        </w:tc>
        <w:tc>
          <w:tcPr>
            <w:tcW w:w="1017" w:type="dxa"/>
            <w:tcBorders>
              <w:top w:val="single" w:sz="8" w:space="0" w:color="auto"/>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c>
          <w:tcPr>
            <w:tcW w:w="1017" w:type="dxa"/>
            <w:tcBorders>
              <w:top w:val="single" w:sz="8"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312.000 </w:t>
            </w:r>
          </w:p>
        </w:tc>
        <w:tc>
          <w:tcPr>
            <w:tcW w:w="1017" w:type="dxa"/>
            <w:tcBorders>
              <w:top w:val="single" w:sz="8"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18.000 </w:t>
            </w:r>
          </w:p>
        </w:tc>
        <w:tc>
          <w:tcPr>
            <w:tcW w:w="960" w:type="dxa"/>
            <w:tcBorders>
              <w:top w:val="single" w:sz="8" w:space="0" w:color="auto"/>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r>
      <w:tr w:rsidTr="000756F0">
        <w:tblPrEx>
          <w:tblW w:w="9428" w:type="dxa"/>
          <w:tblLook w:val="04A0"/>
        </w:tblPrEx>
        <w:trPr>
          <w:trHeight w:val="276"/>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Operations and Peacekeeping Reserve Claim</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136.990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136.990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11.890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2C6732">
        <w:tblPrEx>
          <w:tblW w:w="9428" w:type="dxa"/>
          <w:tblLook w:val="04A0"/>
        </w:tblPrEx>
        <w:trPr>
          <w:trHeight w:val="432"/>
        </w:trPr>
        <w:tc>
          <w:tcPr>
            <w:tcW w:w="4400" w:type="dxa"/>
            <w:tcBorders>
              <w:top w:val="single" w:sz="8" w:space="0" w:color="auto"/>
              <w:left w:val="single" w:sz="8" w:space="0" w:color="auto"/>
              <w:bottom w:val="single" w:sz="8" w:space="0" w:color="auto"/>
              <w:right w:val="nil"/>
            </w:tcBorders>
            <w:shd w:val="clear" w:color="000000" w:fill="DAEEF3"/>
            <w:vAlign w:val="bottom"/>
            <w:hideMark/>
          </w:tcPr>
          <w:p w:rsidR="00D946D4" w:rsidRPr="00D946D4" w:rsidP="00D946D4">
            <w:pPr>
              <w:spacing w:after="0" w:line="240" w:lineRule="auto"/>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Operations and Peacekeeping in Supplementary Estimates</w:t>
            </w:r>
          </w:p>
        </w:tc>
        <w:tc>
          <w:tcPr>
            <w:tcW w:w="1017" w:type="dxa"/>
            <w:tcBorders>
              <w:top w:val="single" w:sz="8" w:space="0" w:color="auto"/>
              <w:left w:val="single" w:sz="8" w:space="0" w:color="auto"/>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448.990 </w:t>
            </w:r>
          </w:p>
        </w:tc>
        <w:tc>
          <w:tcPr>
            <w:tcW w:w="1017" w:type="dxa"/>
            <w:tcBorders>
              <w:top w:val="single" w:sz="8" w:space="0" w:color="auto"/>
              <w:left w:val="nil"/>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c>
          <w:tcPr>
            <w:tcW w:w="1017"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448.990 </w:t>
            </w:r>
          </w:p>
        </w:tc>
        <w:tc>
          <w:tcPr>
            <w:tcW w:w="1017"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29.890 </w:t>
            </w:r>
          </w:p>
        </w:tc>
        <w:tc>
          <w:tcPr>
            <w:tcW w:w="960"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r>
      <w:tr w:rsidTr="000756F0">
        <w:tblPrEx>
          <w:tblW w:w="9428" w:type="dxa"/>
          <w:tblLook w:val="04A0"/>
        </w:tblPrEx>
        <w:trPr>
          <w:trHeight w:val="420"/>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Conflict, Stability and Security Fund (CSSF) in Main Estimates</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85.578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85.578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r>
      <w:tr w:rsidTr="000756F0">
        <w:tblPrEx>
          <w:tblW w:w="9428" w:type="dxa"/>
          <w:tblLook w:val="04A0"/>
        </w:tblPrEx>
        <w:trPr>
          <w:trHeight w:val="264"/>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CSSF net funding from FCDO</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3.078 </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3.078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0756F0">
        <w:tblPrEx>
          <w:tblW w:w="9428" w:type="dxa"/>
          <w:tblLook w:val="04A0"/>
        </w:tblPrEx>
        <w:trPr>
          <w:trHeight w:val="276"/>
        </w:trPr>
        <w:tc>
          <w:tcPr>
            <w:tcW w:w="4400" w:type="dxa"/>
            <w:tcBorders>
              <w:top w:val="nil"/>
              <w:left w:val="single" w:sz="8" w:space="0" w:color="auto"/>
              <w:bottom w:val="single" w:sz="4" w:space="0" w:color="auto"/>
              <w:right w:val="nil"/>
            </w:tcBorders>
            <w:shd w:val="clear" w:color="auto" w:fill="auto"/>
            <w:vAlign w:val="bottom"/>
            <w:hideMark/>
          </w:tcPr>
          <w:p w:rsidR="00D946D4" w:rsidRPr="00D946D4" w:rsidP="00D946D4">
            <w:pPr>
              <w:spacing w:after="0" w:line="240" w:lineRule="auto"/>
              <w:rPr>
                <w:rFonts w:ascii="Arial" w:eastAsia="Times New Roman" w:hAnsi="Arial" w:cs="Arial"/>
                <w:sz w:val="16"/>
                <w:szCs w:val="16"/>
                <w:lang w:eastAsia="en-GB"/>
              </w:rPr>
            </w:pPr>
            <w:r w:rsidRPr="00D946D4">
              <w:rPr>
                <w:rFonts w:ascii="Arial" w:eastAsia="Times New Roman" w:hAnsi="Arial" w:cs="Arial"/>
                <w:sz w:val="16"/>
                <w:szCs w:val="16"/>
                <w:lang w:eastAsia="en-GB"/>
              </w:rPr>
              <w:t>RDEL-CDEL Switch</w:t>
            </w:r>
          </w:p>
        </w:tc>
        <w:tc>
          <w:tcPr>
            <w:tcW w:w="1017" w:type="dxa"/>
            <w:tcBorders>
              <w:top w:val="nil"/>
              <w:left w:val="single" w:sz="8" w:space="0" w:color="auto"/>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(6.600)</w:t>
            </w:r>
          </w:p>
        </w:tc>
        <w:tc>
          <w:tcPr>
            <w:tcW w:w="1017" w:type="dxa"/>
            <w:tcBorders>
              <w:top w:val="nil"/>
              <w:left w:val="nil"/>
              <w:bottom w:val="single" w:sz="4" w:space="0" w:color="auto"/>
              <w:right w:val="single" w:sz="4"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color w:val="000000"/>
                <w:sz w:val="16"/>
                <w:szCs w:val="16"/>
                <w:lang w:eastAsia="en-GB"/>
              </w:rPr>
              <w:t>(6.600)</w:t>
            </w:r>
          </w:p>
        </w:tc>
        <w:tc>
          <w:tcPr>
            <w:tcW w:w="1017"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xml:space="preserve"> 6.600 </w:t>
            </w:r>
          </w:p>
        </w:tc>
        <w:tc>
          <w:tcPr>
            <w:tcW w:w="960" w:type="dxa"/>
            <w:tcBorders>
              <w:top w:val="nil"/>
              <w:left w:val="nil"/>
              <w:bottom w:val="single" w:sz="4" w:space="0" w:color="auto"/>
              <w:right w:val="single" w:sz="8" w:space="0" w:color="auto"/>
            </w:tcBorders>
            <w:shd w:val="clear" w:color="auto" w:fill="auto"/>
            <w:vAlign w:val="bottom"/>
            <w:hideMark/>
          </w:tcPr>
          <w:p w:rsidR="00D946D4" w:rsidRPr="00D946D4" w:rsidP="00D946D4">
            <w:pPr>
              <w:spacing w:after="0" w:line="240" w:lineRule="auto"/>
              <w:jc w:val="right"/>
              <w:rPr>
                <w:rFonts w:ascii="Arial" w:eastAsia="Times New Roman" w:hAnsi="Arial" w:cs="Arial"/>
                <w:sz w:val="16"/>
                <w:szCs w:val="16"/>
                <w:lang w:eastAsia="en-GB"/>
              </w:rPr>
            </w:pPr>
            <w:r w:rsidRPr="00D946D4">
              <w:rPr>
                <w:rFonts w:ascii="Arial" w:eastAsia="Times New Roman" w:hAnsi="Arial" w:cs="Arial"/>
                <w:sz w:val="16"/>
                <w:szCs w:val="16"/>
                <w:lang w:eastAsia="en-GB"/>
              </w:rPr>
              <w:t> </w:t>
            </w:r>
          </w:p>
        </w:tc>
      </w:tr>
      <w:tr w:rsidTr="002C6732">
        <w:tblPrEx>
          <w:tblW w:w="9428" w:type="dxa"/>
          <w:tblLook w:val="04A0"/>
        </w:tblPrEx>
        <w:trPr>
          <w:trHeight w:val="276"/>
        </w:trPr>
        <w:tc>
          <w:tcPr>
            <w:tcW w:w="4400" w:type="dxa"/>
            <w:tcBorders>
              <w:top w:val="single" w:sz="8" w:space="0" w:color="auto"/>
              <w:left w:val="single" w:sz="8" w:space="0" w:color="auto"/>
              <w:bottom w:val="single" w:sz="8" w:space="0" w:color="auto"/>
              <w:right w:val="nil"/>
            </w:tcBorders>
            <w:shd w:val="clear" w:color="000000" w:fill="DAEEF3"/>
            <w:vAlign w:val="bottom"/>
            <w:hideMark/>
          </w:tcPr>
          <w:p w:rsidR="00D946D4" w:rsidRPr="00D946D4" w:rsidP="00D946D4">
            <w:pPr>
              <w:spacing w:after="0" w:line="240" w:lineRule="auto"/>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CSSF in Supplementary Estimates</w:t>
            </w:r>
          </w:p>
        </w:tc>
        <w:tc>
          <w:tcPr>
            <w:tcW w:w="1017" w:type="dxa"/>
            <w:tcBorders>
              <w:top w:val="single" w:sz="8" w:space="0" w:color="auto"/>
              <w:left w:val="single" w:sz="8" w:space="0" w:color="auto"/>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82.056 </w:t>
            </w:r>
          </w:p>
        </w:tc>
        <w:tc>
          <w:tcPr>
            <w:tcW w:w="1017" w:type="dxa"/>
            <w:tcBorders>
              <w:top w:val="single" w:sz="8" w:space="0" w:color="auto"/>
              <w:left w:val="nil"/>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c>
          <w:tcPr>
            <w:tcW w:w="1017"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82.056 </w:t>
            </w:r>
          </w:p>
        </w:tc>
        <w:tc>
          <w:tcPr>
            <w:tcW w:w="1017"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6.600 </w:t>
            </w:r>
          </w:p>
        </w:tc>
        <w:tc>
          <w:tcPr>
            <w:tcW w:w="960" w:type="dxa"/>
            <w:tcBorders>
              <w:top w:val="single" w:sz="8" w:space="0" w:color="auto"/>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w:t>
            </w:r>
          </w:p>
        </w:tc>
      </w:tr>
      <w:tr w:rsidTr="002C6732">
        <w:tblPrEx>
          <w:tblW w:w="9428" w:type="dxa"/>
          <w:tblLook w:val="04A0"/>
        </w:tblPrEx>
        <w:trPr>
          <w:trHeight w:val="276"/>
        </w:trPr>
        <w:tc>
          <w:tcPr>
            <w:tcW w:w="4400" w:type="dxa"/>
            <w:tcBorders>
              <w:top w:val="nil"/>
              <w:left w:val="single" w:sz="8" w:space="0" w:color="auto"/>
              <w:bottom w:val="single" w:sz="8" w:space="0" w:color="auto"/>
              <w:right w:val="nil"/>
            </w:tcBorders>
            <w:shd w:val="clear" w:color="000000" w:fill="DAEEF3"/>
            <w:vAlign w:val="bottom"/>
            <w:hideMark/>
          </w:tcPr>
          <w:p w:rsidR="00D946D4" w:rsidRPr="00D946D4" w:rsidP="00D946D4">
            <w:pPr>
              <w:spacing w:after="0" w:line="240" w:lineRule="auto"/>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Total Resource Request for Supplementary Estimates</w:t>
            </w:r>
          </w:p>
        </w:tc>
        <w:tc>
          <w:tcPr>
            <w:tcW w:w="1017" w:type="dxa"/>
            <w:tcBorders>
              <w:top w:val="nil"/>
              <w:left w:val="single" w:sz="8" w:space="0" w:color="auto"/>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7.823 </w:t>
            </w:r>
          </w:p>
        </w:tc>
        <w:tc>
          <w:tcPr>
            <w:tcW w:w="1017" w:type="dxa"/>
            <w:tcBorders>
              <w:top w:val="nil"/>
              <w:left w:val="nil"/>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2,000.000 </w:t>
            </w:r>
          </w:p>
        </w:tc>
        <w:tc>
          <w:tcPr>
            <w:tcW w:w="1017" w:type="dxa"/>
            <w:tcBorders>
              <w:top w:val="nil"/>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2,007.823 </w:t>
            </w:r>
          </w:p>
        </w:tc>
        <w:tc>
          <w:tcPr>
            <w:tcW w:w="1017" w:type="dxa"/>
            <w:tcBorders>
              <w:top w:val="nil"/>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1,181.415 </w:t>
            </w:r>
          </w:p>
        </w:tc>
        <w:tc>
          <w:tcPr>
            <w:tcW w:w="960" w:type="dxa"/>
            <w:tcBorders>
              <w:top w:val="nil"/>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1,200.000 </w:t>
            </w:r>
          </w:p>
        </w:tc>
      </w:tr>
      <w:tr w:rsidTr="002C6732">
        <w:tblPrEx>
          <w:tblW w:w="9428" w:type="dxa"/>
          <w:tblLook w:val="04A0"/>
        </w:tblPrEx>
        <w:trPr>
          <w:trHeight w:val="432"/>
        </w:trPr>
        <w:tc>
          <w:tcPr>
            <w:tcW w:w="4400" w:type="dxa"/>
            <w:tcBorders>
              <w:top w:val="nil"/>
              <w:left w:val="single" w:sz="8" w:space="0" w:color="auto"/>
              <w:bottom w:val="single" w:sz="8" w:space="0" w:color="auto"/>
              <w:right w:val="nil"/>
            </w:tcBorders>
            <w:shd w:val="clear" w:color="000000" w:fill="DAEEF3"/>
            <w:vAlign w:val="bottom"/>
            <w:hideMark/>
          </w:tcPr>
          <w:p w:rsidR="00D946D4" w:rsidRPr="00D946D4" w:rsidP="00D946D4">
            <w:pPr>
              <w:spacing w:after="0" w:line="240" w:lineRule="auto"/>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Total Resource expected after Supplementary Estimates</w:t>
            </w:r>
          </w:p>
        </w:tc>
        <w:tc>
          <w:tcPr>
            <w:tcW w:w="1017" w:type="dxa"/>
            <w:tcBorders>
              <w:top w:val="nil"/>
              <w:left w:val="single" w:sz="8" w:space="0" w:color="auto"/>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30,756.647 </w:t>
            </w:r>
          </w:p>
        </w:tc>
        <w:tc>
          <w:tcPr>
            <w:tcW w:w="1017" w:type="dxa"/>
            <w:tcBorders>
              <w:top w:val="nil"/>
              <w:left w:val="nil"/>
              <w:bottom w:val="single" w:sz="8" w:space="0" w:color="auto"/>
              <w:right w:val="single" w:sz="4"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10,500.000 </w:t>
            </w:r>
          </w:p>
        </w:tc>
        <w:tc>
          <w:tcPr>
            <w:tcW w:w="1017" w:type="dxa"/>
            <w:tcBorders>
              <w:top w:val="nil"/>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41,256.647 </w:t>
            </w:r>
          </w:p>
        </w:tc>
        <w:tc>
          <w:tcPr>
            <w:tcW w:w="1017" w:type="dxa"/>
            <w:tcBorders>
              <w:top w:val="nil"/>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11,716.395 </w:t>
            </w:r>
          </w:p>
        </w:tc>
        <w:tc>
          <w:tcPr>
            <w:tcW w:w="960" w:type="dxa"/>
            <w:tcBorders>
              <w:top w:val="nil"/>
              <w:left w:val="nil"/>
              <w:bottom w:val="single" w:sz="8" w:space="0" w:color="auto"/>
              <w:right w:val="single" w:sz="8" w:space="0" w:color="auto"/>
            </w:tcBorders>
            <w:shd w:val="clear" w:color="000000" w:fill="DAEEF3"/>
            <w:vAlign w:val="bottom"/>
            <w:hideMark/>
          </w:tcPr>
          <w:p w:rsidR="00D946D4" w:rsidRPr="00D946D4" w:rsidP="00D946D4">
            <w:pPr>
              <w:spacing w:after="0" w:line="240" w:lineRule="auto"/>
              <w:jc w:val="right"/>
              <w:rPr>
                <w:rFonts w:ascii="Arial" w:eastAsia="Times New Roman" w:hAnsi="Arial" w:cs="Arial"/>
                <w:b/>
                <w:bCs/>
                <w:sz w:val="16"/>
                <w:szCs w:val="16"/>
                <w:lang w:eastAsia="en-GB"/>
              </w:rPr>
            </w:pPr>
            <w:r w:rsidRPr="00D946D4">
              <w:rPr>
                <w:rFonts w:ascii="Arial" w:eastAsia="Times New Roman" w:hAnsi="Arial" w:cs="Arial"/>
                <w:b/>
                <w:bCs/>
                <w:sz w:val="16"/>
                <w:szCs w:val="16"/>
                <w:lang w:eastAsia="en-GB"/>
              </w:rPr>
              <w:t xml:space="preserve"> 2,719.285 </w:t>
            </w:r>
          </w:p>
        </w:tc>
      </w:tr>
    </w:tbl>
    <w:p w:rsidR="00D946D4" w:rsidP="003D7FEB">
      <w:pPr>
        <w:rPr>
          <w:rFonts w:cs="Arial"/>
        </w:rPr>
      </w:pPr>
    </w:p>
    <w:p w:rsidR="003D7FEB" w:rsidRPr="001110F1" w:rsidP="003D7FEB">
      <w:pPr>
        <w:pStyle w:val="Heading2"/>
        <w:rPr>
          <w:rFonts w:asciiTheme="minorHAnsi" w:hAnsiTheme="minorHAnsi"/>
        </w:rPr>
      </w:pPr>
      <w:r w:rsidRPr="001110F1">
        <w:rPr>
          <w:rFonts w:asciiTheme="minorHAnsi" w:hAnsiTheme="minorHAnsi"/>
        </w:rPr>
        <w:t>Budgetary Transfers to and from Other Government Departments</w:t>
      </w:r>
    </w:p>
    <w:tbl>
      <w:tblPr>
        <w:tblW w:w="10060" w:type="dxa"/>
        <w:tblLook w:val="04A0"/>
      </w:tblPr>
      <w:tblGrid>
        <w:gridCol w:w="3360"/>
        <w:gridCol w:w="2840"/>
        <w:gridCol w:w="780"/>
        <w:gridCol w:w="3080"/>
      </w:tblGrid>
      <w:tr w:rsidTr="007B67EE">
        <w:tblPrEx>
          <w:tblW w:w="10060" w:type="dxa"/>
          <w:tblLook w:val="04A0"/>
        </w:tblPrEx>
        <w:trPr>
          <w:trHeight w:val="264"/>
        </w:trPr>
        <w:tc>
          <w:tcPr>
            <w:tcW w:w="10060" w:type="dxa"/>
            <w:gridSpan w:val="4"/>
            <w:tcBorders>
              <w:top w:val="nil"/>
              <w:left w:val="nil"/>
              <w:bottom w:val="single" w:sz="4" w:space="0" w:color="auto"/>
              <w:right w:val="nil"/>
            </w:tcBorders>
            <w:shd w:val="clear" w:color="auto" w:fill="auto"/>
            <w:noWrap/>
            <w:vAlign w:val="center"/>
            <w:hideMark/>
          </w:tcPr>
          <w:p w:rsidR="007B67EE" w:rsidP="007B67EE">
            <w:pPr>
              <w:spacing w:after="0" w:line="240" w:lineRule="auto"/>
              <w:rPr>
                <w:rFonts w:ascii="Arial" w:eastAsia="Times New Roman" w:hAnsi="Arial" w:cs="Arial"/>
                <w:b/>
                <w:bCs/>
                <w:sz w:val="20"/>
                <w:szCs w:val="20"/>
                <w:u w:val="single"/>
                <w:lang w:eastAsia="en-GB"/>
              </w:rPr>
            </w:pPr>
          </w:p>
          <w:p w:rsidR="007B67EE" w:rsidRPr="00CA090C" w:rsidP="007B67EE">
            <w:pPr>
              <w:spacing w:after="0" w:line="240" w:lineRule="auto"/>
              <w:ind w:left="-108"/>
              <w:rPr>
                <w:rFonts w:ascii="Arial" w:eastAsia="Times New Roman" w:hAnsi="Arial" w:cs="Arial"/>
                <w:b/>
                <w:bCs/>
                <w:sz w:val="20"/>
                <w:szCs w:val="20"/>
                <w:lang w:eastAsia="en-GB"/>
              </w:rPr>
            </w:pPr>
            <w:r w:rsidRPr="00CA090C">
              <w:rPr>
                <w:rFonts w:ascii="Arial" w:eastAsia="Times New Roman" w:hAnsi="Arial" w:cs="Arial"/>
                <w:b/>
                <w:bCs/>
                <w:sz w:val="20"/>
                <w:szCs w:val="20"/>
                <w:lang w:eastAsia="en-GB"/>
              </w:rPr>
              <w:t>Table 10: Transfers to MOD from Other Government Departments</w:t>
            </w:r>
          </w:p>
        </w:tc>
      </w:tr>
      <w:tr w:rsidTr="007B67EE">
        <w:tblPrEx>
          <w:tblW w:w="10060" w:type="dxa"/>
          <w:tblLook w:val="04A0"/>
        </w:tblPrEx>
        <w:trPr>
          <w:trHeight w:val="264"/>
        </w:trPr>
        <w:tc>
          <w:tcPr>
            <w:tcW w:w="3360" w:type="dxa"/>
            <w:tcBorders>
              <w:top w:val="nil"/>
              <w:left w:val="single" w:sz="4" w:space="0" w:color="auto"/>
              <w:bottom w:val="single" w:sz="4" w:space="0" w:color="auto"/>
              <w:right w:val="single" w:sz="4" w:space="0" w:color="auto"/>
            </w:tcBorders>
            <w:shd w:val="clear" w:color="000000" w:fill="DAEEF3"/>
            <w:vAlign w:val="center"/>
            <w:hideMark/>
          </w:tcPr>
          <w:p w:rsidR="007B67EE" w:rsidRPr="007B67EE" w:rsidP="007B67EE">
            <w:pPr>
              <w:spacing w:after="0" w:line="240" w:lineRule="auto"/>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Exporting Department</w:t>
            </w:r>
          </w:p>
        </w:tc>
        <w:tc>
          <w:tcPr>
            <w:tcW w:w="2840" w:type="dxa"/>
            <w:tcBorders>
              <w:top w:val="nil"/>
              <w:left w:val="nil"/>
              <w:bottom w:val="single" w:sz="4" w:space="0" w:color="auto"/>
              <w:right w:val="single" w:sz="4" w:space="0" w:color="auto"/>
            </w:tcBorders>
            <w:shd w:val="clear" w:color="000000" w:fill="DAEEF3"/>
            <w:vAlign w:val="center"/>
            <w:hideMark/>
          </w:tcPr>
          <w:p w:rsidR="007B67EE" w:rsidRPr="007B67EE" w:rsidP="007B67EE">
            <w:pPr>
              <w:spacing w:after="0" w:line="240" w:lineRule="auto"/>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Defence Output</w:t>
            </w:r>
          </w:p>
        </w:tc>
        <w:tc>
          <w:tcPr>
            <w:tcW w:w="780" w:type="dxa"/>
            <w:tcBorders>
              <w:top w:val="nil"/>
              <w:left w:val="nil"/>
              <w:bottom w:val="single" w:sz="4" w:space="0" w:color="auto"/>
              <w:right w:val="single" w:sz="4" w:space="0" w:color="auto"/>
            </w:tcBorders>
            <w:shd w:val="clear" w:color="000000" w:fill="DAEEF3"/>
            <w:vAlign w:val="center"/>
            <w:hideMark/>
          </w:tcPr>
          <w:p w:rsidR="007B67EE" w:rsidRPr="007B67EE" w:rsidP="007B67EE">
            <w:pPr>
              <w:spacing w:after="0" w:line="240" w:lineRule="auto"/>
              <w:jc w:val="center"/>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£M</w:t>
            </w:r>
          </w:p>
        </w:tc>
        <w:tc>
          <w:tcPr>
            <w:tcW w:w="3080" w:type="dxa"/>
            <w:tcBorders>
              <w:top w:val="nil"/>
              <w:left w:val="nil"/>
              <w:bottom w:val="single" w:sz="4" w:space="0" w:color="auto"/>
              <w:right w:val="single" w:sz="4" w:space="0" w:color="auto"/>
            </w:tcBorders>
            <w:shd w:val="clear" w:color="000000" w:fill="DAEEF3"/>
            <w:vAlign w:val="center"/>
            <w:hideMark/>
          </w:tcPr>
          <w:p w:rsidR="007B67EE" w:rsidRPr="007B67EE" w:rsidP="007B67EE">
            <w:pPr>
              <w:spacing w:after="0" w:line="240" w:lineRule="auto"/>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Purpose</w:t>
            </w:r>
          </w:p>
        </w:tc>
      </w:tr>
      <w:tr w:rsidTr="007B67EE">
        <w:tblPrEx>
          <w:tblW w:w="10060" w:type="dxa"/>
          <w:tblLook w:val="04A0"/>
        </w:tblPrEx>
        <w:trPr>
          <w:trHeight w:val="240"/>
        </w:trPr>
        <w:tc>
          <w:tcPr>
            <w:tcW w:w="3360" w:type="dxa"/>
            <w:tcBorders>
              <w:top w:val="nil"/>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Department of Health and Social Care</w:t>
            </w:r>
          </w:p>
        </w:tc>
        <w:tc>
          <w:tcPr>
            <w:tcW w:w="284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7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0.078 </w:t>
            </w:r>
          </w:p>
        </w:tc>
        <w:tc>
          <w:tcPr>
            <w:tcW w:w="30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PPE Reimbursement</w:t>
            </w:r>
          </w:p>
        </w:tc>
      </w:tr>
      <w:tr w:rsidTr="007B67EE">
        <w:tblPrEx>
          <w:tblW w:w="10060" w:type="dxa"/>
          <w:tblLook w:val="04A0"/>
        </w:tblPrEx>
        <w:trPr>
          <w:trHeight w:val="264"/>
        </w:trPr>
        <w:tc>
          <w:tcPr>
            <w:tcW w:w="3360" w:type="dxa"/>
            <w:tcBorders>
              <w:top w:val="nil"/>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Security &amp; Intelligence Agencies</w:t>
            </w:r>
          </w:p>
        </w:tc>
        <w:tc>
          <w:tcPr>
            <w:tcW w:w="284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CDEL</w:t>
            </w:r>
          </w:p>
        </w:tc>
        <w:tc>
          <w:tcPr>
            <w:tcW w:w="7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2.000 </w:t>
            </w:r>
          </w:p>
        </w:tc>
        <w:tc>
          <w:tcPr>
            <w:tcW w:w="30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CYBER per Cabinet Office</w:t>
            </w:r>
          </w:p>
        </w:tc>
      </w:tr>
      <w:tr w:rsidTr="007B67EE">
        <w:tblPrEx>
          <w:tblW w:w="10060" w:type="dxa"/>
          <w:tblLook w:val="04A0"/>
        </w:tblPrEx>
        <w:trPr>
          <w:trHeight w:val="264"/>
        </w:trPr>
        <w:tc>
          <w:tcPr>
            <w:tcW w:w="3360" w:type="dxa"/>
            <w:tcBorders>
              <w:top w:val="nil"/>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Security &amp; Intelligence Agencies</w:t>
            </w:r>
          </w:p>
        </w:tc>
        <w:tc>
          <w:tcPr>
            <w:tcW w:w="284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7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1.800 </w:t>
            </w:r>
          </w:p>
        </w:tc>
        <w:tc>
          <w:tcPr>
            <w:tcW w:w="30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CYBER per Cabinet Office</w:t>
            </w:r>
          </w:p>
        </w:tc>
      </w:tr>
      <w:tr w:rsidTr="007B67EE">
        <w:tblPrEx>
          <w:tblW w:w="10060" w:type="dxa"/>
          <w:tblLook w:val="04A0"/>
        </w:tblPrEx>
        <w:trPr>
          <w:trHeight w:val="264"/>
        </w:trPr>
        <w:tc>
          <w:tcPr>
            <w:tcW w:w="3360" w:type="dxa"/>
            <w:tcBorders>
              <w:top w:val="nil"/>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Security &amp; Intelligence Agencies</w:t>
            </w:r>
          </w:p>
        </w:tc>
        <w:tc>
          <w:tcPr>
            <w:tcW w:w="284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CDEL</w:t>
            </w:r>
          </w:p>
        </w:tc>
        <w:tc>
          <w:tcPr>
            <w:tcW w:w="7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12.040 </w:t>
            </w:r>
          </w:p>
        </w:tc>
        <w:tc>
          <w:tcPr>
            <w:tcW w:w="30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CYBER per Cabinet Office</w:t>
            </w:r>
          </w:p>
        </w:tc>
      </w:tr>
      <w:tr w:rsidTr="007B67EE">
        <w:tblPrEx>
          <w:tblW w:w="10060" w:type="dxa"/>
          <w:tblLook w:val="04A0"/>
        </w:tblPrEx>
        <w:trPr>
          <w:trHeight w:val="264"/>
        </w:trPr>
        <w:tc>
          <w:tcPr>
            <w:tcW w:w="3360" w:type="dxa"/>
            <w:tcBorders>
              <w:top w:val="nil"/>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Security &amp; Intelligence Agencies</w:t>
            </w:r>
          </w:p>
        </w:tc>
        <w:tc>
          <w:tcPr>
            <w:tcW w:w="284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CDEL</w:t>
            </w:r>
          </w:p>
        </w:tc>
        <w:tc>
          <w:tcPr>
            <w:tcW w:w="7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8.700 </w:t>
            </w:r>
          </w:p>
        </w:tc>
        <w:tc>
          <w:tcPr>
            <w:tcW w:w="30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CYBER per Cabinet Office</w:t>
            </w:r>
          </w:p>
        </w:tc>
      </w:tr>
      <w:tr w:rsidTr="007B67EE">
        <w:tblPrEx>
          <w:tblW w:w="10060" w:type="dxa"/>
          <w:tblLook w:val="04A0"/>
        </w:tblPrEx>
        <w:trPr>
          <w:trHeight w:val="264"/>
        </w:trPr>
        <w:tc>
          <w:tcPr>
            <w:tcW w:w="3360" w:type="dxa"/>
            <w:tcBorders>
              <w:top w:val="nil"/>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Department of International Trade</w:t>
            </w:r>
          </w:p>
        </w:tc>
        <w:tc>
          <w:tcPr>
            <w:tcW w:w="284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7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0.090 </w:t>
            </w:r>
          </w:p>
        </w:tc>
        <w:tc>
          <w:tcPr>
            <w:tcW w:w="30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Maritime Rich Picture Study</w:t>
            </w:r>
          </w:p>
        </w:tc>
      </w:tr>
      <w:tr w:rsidTr="007B67EE">
        <w:tblPrEx>
          <w:tblW w:w="10060" w:type="dxa"/>
          <w:tblLook w:val="04A0"/>
        </w:tblPrEx>
        <w:trPr>
          <w:trHeight w:val="264"/>
        </w:trPr>
        <w:tc>
          <w:tcPr>
            <w:tcW w:w="3360" w:type="dxa"/>
            <w:tcBorders>
              <w:top w:val="nil"/>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Department for Digital Culture Media &amp; Sports</w:t>
            </w:r>
          </w:p>
        </w:tc>
        <w:tc>
          <w:tcPr>
            <w:tcW w:w="284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7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4.800 </w:t>
            </w:r>
          </w:p>
        </w:tc>
        <w:tc>
          <w:tcPr>
            <w:tcW w:w="30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COVID-19 Impact Fund</w:t>
            </w:r>
          </w:p>
        </w:tc>
      </w:tr>
      <w:tr w:rsidTr="007B67EE">
        <w:tblPrEx>
          <w:tblW w:w="10060" w:type="dxa"/>
          <w:tblLook w:val="04A0"/>
        </w:tblPrEx>
        <w:trPr>
          <w:trHeight w:val="264"/>
        </w:trPr>
        <w:tc>
          <w:tcPr>
            <w:tcW w:w="3360" w:type="dxa"/>
            <w:tcBorders>
              <w:top w:val="nil"/>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Cabinet Office</w:t>
            </w:r>
          </w:p>
        </w:tc>
        <w:tc>
          <w:tcPr>
            <w:tcW w:w="284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7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0.250 </w:t>
            </w:r>
          </w:p>
        </w:tc>
        <w:tc>
          <w:tcPr>
            <w:tcW w:w="30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COVID-19 Impact Fund</w:t>
            </w:r>
          </w:p>
        </w:tc>
      </w:tr>
      <w:tr w:rsidTr="007B67EE">
        <w:tblPrEx>
          <w:tblW w:w="10060" w:type="dxa"/>
          <w:tblLook w:val="04A0"/>
        </w:tblPrEx>
        <w:trPr>
          <w:trHeight w:val="264"/>
        </w:trPr>
        <w:tc>
          <w:tcPr>
            <w:tcW w:w="3360" w:type="dxa"/>
            <w:tcBorders>
              <w:top w:val="nil"/>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Cabinet Office</w:t>
            </w:r>
          </w:p>
        </w:tc>
        <w:tc>
          <w:tcPr>
            <w:tcW w:w="284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7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0.025 </w:t>
            </w:r>
          </w:p>
        </w:tc>
        <w:tc>
          <w:tcPr>
            <w:tcW w:w="30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COBSEO Grant</w:t>
            </w:r>
          </w:p>
        </w:tc>
      </w:tr>
      <w:tr w:rsidTr="007B67EE">
        <w:tblPrEx>
          <w:tblW w:w="10060" w:type="dxa"/>
          <w:tblLook w:val="04A0"/>
        </w:tblPrEx>
        <w:trPr>
          <w:trHeight w:val="264"/>
        </w:trPr>
        <w:tc>
          <w:tcPr>
            <w:tcW w:w="3360" w:type="dxa"/>
            <w:tcBorders>
              <w:top w:val="nil"/>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Cabinet Office</w:t>
            </w:r>
          </w:p>
        </w:tc>
        <w:tc>
          <w:tcPr>
            <w:tcW w:w="284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7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0.187 </w:t>
            </w:r>
          </w:p>
        </w:tc>
        <w:tc>
          <w:tcPr>
            <w:tcW w:w="30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Orbis Software</w:t>
            </w:r>
          </w:p>
        </w:tc>
      </w:tr>
      <w:tr w:rsidTr="007B67EE">
        <w:tblPrEx>
          <w:tblW w:w="10060" w:type="dxa"/>
          <w:tblLook w:val="04A0"/>
        </w:tblPrEx>
        <w:trPr>
          <w:trHeight w:val="264"/>
        </w:trPr>
        <w:tc>
          <w:tcPr>
            <w:tcW w:w="3360" w:type="dxa"/>
            <w:tcBorders>
              <w:top w:val="nil"/>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Cabinet Office</w:t>
            </w:r>
          </w:p>
        </w:tc>
        <w:tc>
          <w:tcPr>
            <w:tcW w:w="284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7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0.231 </w:t>
            </w:r>
          </w:p>
        </w:tc>
        <w:tc>
          <w:tcPr>
            <w:tcW w:w="30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Casework and Analyst - Shearwater</w:t>
            </w:r>
          </w:p>
        </w:tc>
      </w:tr>
      <w:tr w:rsidTr="007B67EE">
        <w:tblPrEx>
          <w:tblW w:w="10060" w:type="dxa"/>
          <w:tblLook w:val="04A0"/>
        </w:tblPrEx>
        <w:trPr>
          <w:trHeight w:val="408"/>
        </w:trPr>
        <w:tc>
          <w:tcPr>
            <w:tcW w:w="3360" w:type="dxa"/>
            <w:tcBorders>
              <w:top w:val="nil"/>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Department for Business, Energy &amp; Industrial Strategy</w:t>
            </w:r>
          </w:p>
        </w:tc>
        <w:tc>
          <w:tcPr>
            <w:tcW w:w="284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7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0.948 </w:t>
            </w:r>
          </w:p>
        </w:tc>
        <w:tc>
          <w:tcPr>
            <w:tcW w:w="30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L</w:t>
            </w:r>
            <w:r w:rsidR="000B3004">
              <w:rPr>
                <w:rFonts w:ascii="Arial" w:eastAsia="Times New Roman" w:hAnsi="Arial" w:cs="Arial"/>
                <w:sz w:val="16"/>
                <w:szCs w:val="16"/>
                <w:lang w:eastAsia="en-GB"/>
              </w:rPr>
              <w:t xml:space="preserve">ow Carbon Skills Fund </w:t>
            </w:r>
          </w:p>
        </w:tc>
      </w:tr>
      <w:tr w:rsidTr="007B67EE">
        <w:tblPrEx>
          <w:tblW w:w="10060" w:type="dxa"/>
          <w:tblLook w:val="04A0"/>
        </w:tblPrEx>
        <w:trPr>
          <w:trHeight w:val="264"/>
        </w:trPr>
        <w:tc>
          <w:tcPr>
            <w:tcW w:w="3360" w:type="dxa"/>
            <w:tcBorders>
              <w:top w:val="nil"/>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Cabinet Office</w:t>
            </w:r>
          </w:p>
        </w:tc>
        <w:tc>
          <w:tcPr>
            <w:tcW w:w="284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7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0.050 </w:t>
            </w:r>
          </w:p>
        </w:tc>
        <w:tc>
          <w:tcPr>
            <w:tcW w:w="30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B14BG - Refund</w:t>
            </w:r>
          </w:p>
        </w:tc>
      </w:tr>
      <w:tr w:rsidTr="00B96BE4">
        <w:tblPrEx>
          <w:tblW w:w="10060" w:type="dxa"/>
          <w:tblLook w:val="04A0"/>
        </w:tblPrEx>
        <w:trPr>
          <w:trHeight w:val="264"/>
        </w:trPr>
        <w:tc>
          <w:tcPr>
            <w:tcW w:w="3360" w:type="dxa"/>
            <w:tcBorders>
              <w:top w:val="nil"/>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Home Office</w:t>
            </w:r>
          </w:p>
        </w:tc>
        <w:tc>
          <w:tcPr>
            <w:tcW w:w="284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CDEL</w:t>
            </w:r>
          </w:p>
        </w:tc>
        <w:tc>
          <w:tcPr>
            <w:tcW w:w="7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9.200 </w:t>
            </w:r>
          </w:p>
        </w:tc>
        <w:tc>
          <w:tcPr>
            <w:tcW w:w="3080" w:type="dxa"/>
            <w:tcBorders>
              <w:top w:val="nil"/>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CAST Integration Programme</w:t>
            </w:r>
          </w:p>
        </w:tc>
      </w:tr>
      <w:tr w:rsidTr="00B96BE4">
        <w:tblPrEx>
          <w:tblW w:w="10060" w:type="dxa"/>
          <w:tblLook w:val="04A0"/>
        </w:tblPrEx>
        <w:trPr>
          <w:trHeight w:val="411"/>
        </w:trPr>
        <w:tc>
          <w:tcPr>
            <w:tcW w:w="3360" w:type="dxa"/>
            <w:tcBorders>
              <w:top w:val="single" w:sz="4" w:space="0" w:color="auto"/>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Foreign, Commonwealth &amp; Development Office</w:t>
            </w:r>
          </w:p>
        </w:tc>
        <w:tc>
          <w:tcPr>
            <w:tcW w:w="2840" w:type="dxa"/>
            <w:tcBorders>
              <w:top w:val="single" w:sz="4" w:space="0" w:color="auto"/>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780" w:type="dxa"/>
            <w:tcBorders>
              <w:top w:val="single" w:sz="4" w:space="0" w:color="auto"/>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0.347 </w:t>
            </w:r>
          </w:p>
        </w:tc>
        <w:tc>
          <w:tcPr>
            <w:tcW w:w="3080" w:type="dxa"/>
            <w:tcBorders>
              <w:top w:val="single" w:sz="4" w:space="0" w:color="auto"/>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Ex-gratia redundancy scheme Afghanistan - redeployment</w:t>
            </w:r>
          </w:p>
        </w:tc>
      </w:tr>
      <w:tr w:rsidTr="00B96BE4">
        <w:tblPrEx>
          <w:tblW w:w="10060" w:type="dxa"/>
          <w:tblLook w:val="04A0"/>
        </w:tblPrEx>
        <w:trPr>
          <w:trHeight w:val="300"/>
        </w:trPr>
        <w:tc>
          <w:tcPr>
            <w:tcW w:w="3360" w:type="dxa"/>
            <w:tcBorders>
              <w:top w:val="single" w:sz="4" w:space="0" w:color="auto"/>
              <w:left w:val="single" w:sz="4" w:space="0" w:color="auto"/>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Foreign, Commonwealth &amp; Development Office</w:t>
            </w:r>
          </w:p>
        </w:tc>
        <w:tc>
          <w:tcPr>
            <w:tcW w:w="2840" w:type="dxa"/>
            <w:tcBorders>
              <w:top w:val="single" w:sz="4" w:space="0" w:color="auto"/>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780" w:type="dxa"/>
            <w:tcBorders>
              <w:top w:val="single" w:sz="4" w:space="0" w:color="auto"/>
              <w:left w:val="nil"/>
              <w:bottom w:val="single" w:sz="4" w:space="0" w:color="auto"/>
              <w:right w:val="single" w:sz="4" w:space="0" w:color="auto"/>
            </w:tcBorders>
            <w:shd w:val="clear" w:color="auto" w:fill="auto"/>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0.020 </w:t>
            </w:r>
          </w:p>
        </w:tc>
        <w:tc>
          <w:tcPr>
            <w:tcW w:w="3080" w:type="dxa"/>
            <w:tcBorders>
              <w:top w:val="single" w:sz="4" w:space="0" w:color="auto"/>
              <w:left w:val="nil"/>
              <w:bottom w:val="single" w:sz="4" w:space="0" w:color="auto"/>
              <w:right w:val="single" w:sz="4" w:space="0" w:color="auto"/>
            </w:tcBorders>
            <w:shd w:val="clear" w:color="auto" w:fill="auto"/>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CPACC Funding</w:t>
            </w:r>
          </w:p>
        </w:tc>
      </w:tr>
      <w:tr w:rsidTr="007B67EE">
        <w:tblPrEx>
          <w:tblW w:w="10060" w:type="dxa"/>
          <w:tblLook w:val="04A0"/>
        </w:tblPrEx>
        <w:trPr>
          <w:trHeight w:val="264"/>
        </w:trPr>
        <w:tc>
          <w:tcPr>
            <w:tcW w:w="3360" w:type="dxa"/>
            <w:tcBorders>
              <w:top w:val="nil"/>
              <w:left w:val="single" w:sz="4" w:space="0" w:color="auto"/>
              <w:bottom w:val="single" w:sz="4" w:space="0" w:color="auto"/>
              <w:right w:val="single" w:sz="4" w:space="0" w:color="auto"/>
            </w:tcBorders>
            <w:shd w:val="clear" w:color="000000" w:fill="DAEEF3"/>
            <w:vAlign w:val="center"/>
            <w:hideMark/>
          </w:tcPr>
          <w:p w:rsidR="007B67EE" w:rsidRPr="007B67EE" w:rsidP="007B67EE">
            <w:pPr>
              <w:spacing w:after="0" w:line="240" w:lineRule="auto"/>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Total</w:t>
            </w:r>
          </w:p>
        </w:tc>
        <w:tc>
          <w:tcPr>
            <w:tcW w:w="2840" w:type="dxa"/>
            <w:tcBorders>
              <w:top w:val="nil"/>
              <w:left w:val="nil"/>
              <w:bottom w:val="single" w:sz="4" w:space="0" w:color="auto"/>
              <w:right w:val="single" w:sz="4" w:space="0" w:color="auto"/>
            </w:tcBorders>
            <w:shd w:val="clear" w:color="000000" w:fill="DAEEF3"/>
            <w:vAlign w:val="center"/>
            <w:hideMark/>
          </w:tcPr>
          <w:p w:rsidR="007B67EE" w:rsidRPr="007B67EE" w:rsidP="007B67EE">
            <w:pPr>
              <w:spacing w:after="0" w:line="240" w:lineRule="auto"/>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 </w:t>
            </w:r>
          </w:p>
        </w:tc>
        <w:tc>
          <w:tcPr>
            <w:tcW w:w="780" w:type="dxa"/>
            <w:tcBorders>
              <w:top w:val="nil"/>
              <w:left w:val="nil"/>
              <w:bottom w:val="single" w:sz="4" w:space="0" w:color="auto"/>
              <w:right w:val="single" w:sz="4" w:space="0" w:color="auto"/>
            </w:tcBorders>
            <w:shd w:val="clear" w:color="000000" w:fill="DAEEF3"/>
            <w:vAlign w:val="center"/>
            <w:hideMark/>
          </w:tcPr>
          <w:p w:rsidR="007B67EE" w:rsidRPr="007B67EE" w:rsidP="007B67EE">
            <w:pPr>
              <w:spacing w:after="0" w:line="240" w:lineRule="auto"/>
              <w:jc w:val="right"/>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 xml:space="preserve"> 40.766 </w:t>
            </w:r>
          </w:p>
        </w:tc>
        <w:tc>
          <w:tcPr>
            <w:tcW w:w="3080" w:type="dxa"/>
            <w:tcBorders>
              <w:top w:val="nil"/>
              <w:left w:val="nil"/>
              <w:bottom w:val="single" w:sz="4" w:space="0" w:color="auto"/>
              <w:right w:val="single" w:sz="4" w:space="0" w:color="auto"/>
            </w:tcBorders>
            <w:shd w:val="clear" w:color="000000" w:fill="DAEEF3"/>
            <w:vAlign w:val="center"/>
            <w:hideMark/>
          </w:tcPr>
          <w:p w:rsidR="007B67EE" w:rsidRPr="007B67EE" w:rsidP="007B67EE">
            <w:pPr>
              <w:spacing w:after="0" w:line="240" w:lineRule="auto"/>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 </w:t>
            </w:r>
          </w:p>
        </w:tc>
      </w:tr>
    </w:tbl>
    <w:p w:rsidR="006E283C" w:rsidP="003D7FEB">
      <w:pPr>
        <w:rPr>
          <w:lang w:eastAsia="en-GB"/>
        </w:rPr>
      </w:pPr>
    </w:p>
    <w:tbl>
      <w:tblPr>
        <w:tblW w:w="9740" w:type="dxa"/>
        <w:tblLook w:val="04A0"/>
      </w:tblPr>
      <w:tblGrid>
        <w:gridCol w:w="3880"/>
        <w:gridCol w:w="2746"/>
        <w:gridCol w:w="767"/>
        <w:gridCol w:w="2347"/>
      </w:tblGrid>
      <w:tr w:rsidTr="007B67EE">
        <w:tblPrEx>
          <w:tblW w:w="9740" w:type="dxa"/>
          <w:tblLook w:val="04A0"/>
        </w:tblPrEx>
        <w:trPr>
          <w:trHeight w:val="264"/>
        </w:trPr>
        <w:tc>
          <w:tcPr>
            <w:tcW w:w="9740" w:type="dxa"/>
            <w:gridSpan w:val="4"/>
            <w:tcBorders>
              <w:top w:val="nil"/>
              <w:left w:val="nil"/>
              <w:bottom w:val="single" w:sz="4" w:space="0" w:color="auto"/>
              <w:right w:val="nil"/>
            </w:tcBorders>
            <w:shd w:val="clear" w:color="auto" w:fill="auto"/>
            <w:noWrap/>
            <w:vAlign w:val="bottom"/>
            <w:hideMark/>
          </w:tcPr>
          <w:p w:rsidR="007B67EE" w:rsidRPr="00CA090C" w:rsidP="00930D82">
            <w:pPr>
              <w:spacing w:after="0" w:line="240" w:lineRule="auto"/>
              <w:ind w:left="-108"/>
              <w:rPr>
                <w:rFonts w:ascii="Arial" w:eastAsia="Times New Roman" w:hAnsi="Arial" w:cs="Arial"/>
                <w:b/>
                <w:bCs/>
                <w:sz w:val="20"/>
                <w:szCs w:val="20"/>
                <w:lang w:eastAsia="en-GB"/>
              </w:rPr>
            </w:pPr>
            <w:r w:rsidRPr="00CA090C">
              <w:rPr>
                <w:rFonts w:ascii="Arial" w:eastAsia="Times New Roman" w:hAnsi="Arial" w:cs="Arial"/>
                <w:b/>
                <w:bCs/>
                <w:sz w:val="20"/>
                <w:szCs w:val="20"/>
                <w:lang w:eastAsia="en-GB"/>
              </w:rPr>
              <w:t>Table 11: Transfers from MOD to Other Government Departments</w:t>
            </w:r>
          </w:p>
        </w:tc>
      </w:tr>
      <w:tr w:rsidTr="007B67EE">
        <w:tblPrEx>
          <w:tblW w:w="9740" w:type="dxa"/>
          <w:tblLook w:val="04A0"/>
        </w:tblPrEx>
        <w:trPr>
          <w:trHeight w:val="480"/>
        </w:trPr>
        <w:tc>
          <w:tcPr>
            <w:tcW w:w="3880" w:type="dxa"/>
            <w:tcBorders>
              <w:top w:val="nil"/>
              <w:left w:val="single" w:sz="4" w:space="0" w:color="auto"/>
              <w:bottom w:val="single" w:sz="4" w:space="0" w:color="auto"/>
              <w:right w:val="single" w:sz="4" w:space="0" w:color="auto"/>
            </w:tcBorders>
            <w:shd w:val="clear" w:color="000000" w:fill="DAEEF3"/>
            <w:vAlign w:val="center"/>
            <w:hideMark/>
          </w:tcPr>
          <w:p w:rsidR="007B67EE" w:rsidRPr="007B67EE" w:rsidP="007B67EE">
            <w:pPr>
              <w:spacing w:after="0" w:line="240" w:lineRule="auto"/>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Importing Department</w:t>
            </w:r>
          </w:p>
        </w:tc>
        <w:tc>
          <w:tcPr>
            <w:tcW w:w="2820" w:type="dxa"/>
            <w:tcBorders>
              <w:top w:val="nil"/>
              <w:left w:val="nil"/>
              <w:bottom w:val="single" w:sz="4" w:space="0" w:color="auto"/>
              <w:right w:val="single" w:sz="4" w:space="0" w:color="auto"/>
            </w:tcBorders>
            <w:shd w:val="clear" w:color="000000" w:fill="DAEEF3"/>
            <w:vAlign w:val="center"/>
            <w:hideMark/>
          </w:tcPr>
          <w:p w:rsidR="007B67EE" w:rsidRPr="007B67EE" w:rsidP="007B67EE">
            <w:pPr>
              <w:spacing w:after="0" w:line="240" w:lineRule="auto"/>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Defence Output</w:t>
            </w:r>
          </w:p>
        </w:tc>
        <w:tc>
          <w:tcPr>
            <w:tcW w:w="680" w:type="dxa"/>
            <w:tcBorders>
              <w:top w:val="nil"/>
              <w:left w:val="nil"/>
              <w:bottom w:val="single" w:sz="4" w:space="0" w:color="auto"/>
              <w:right w:val="single" w:sz="4" w:space="0" w:color="auto"/>
            </w:tcBorders>
            <w:shd w:val="clear" w:color="000000" w:fill="DAEEF3"/>
            <w:vAlign w:val="center"/>
            <w:hideMark/>
          </w:tcPr>
          <w:p w:rsidR="007B67EE" w:rsidRPr="007B67EE" w:rsidP="007B67EE">
            <w:pPr>
              <w:spacing w:after="0" w:line="240" w:lineRule="auto"/>
              <w:jc w:val="center"/>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£M</w:t>
            </w:r>
          </w:p>
        </w:tc>
        <w:tc>
          <w:tcPr>
            <w:tcW w:w="2360" w:type="dxa"/>
            <w:tcBorders>
              <w:top w:val="nil"/>
              <w:left w:val="nil"/>
              <w:bottom w:val="single" w:sz="4" w:space="0" w:color="auto"/>
              <w:right w:val="single" w:sz="4" w:space="0" w:color="auto"/>
            </w:tcBorders>
            <w:shd w:val="clear" w:color="000000" w:fill="DAEEF3"/>
            <w:vAlign w:val="center"/>
            <w:hideMark/>
          </w:tcPr>
          <w:p w:rsidR="007B67EE" w:rsidRPr="007B67EE" w:rsidP="007B67EE">
            <w:pPr>
              <w:spacing w:after="0" w:line="240" w:lineRule="auto"/>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Purpose</w:t>
            </w:r>
          </w:p>
        </w:tc>
      </w:tr>
      <w:tr w:rsidTr="007B67EE">
        <w:tblPrEx>
          <w:tblW w:w="9740" w:type="dxa"/>
          <w:tblLook w:val="04A0"/>
        </w:tblPrEx>
        <w:trPr>
          <w:trHeight w:val="22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Cabinet Office</w:t>
            </w:r>
          </w:p>
        </w:tc>
        <w:tc>
          <w:tcPr>
            <w:tcW w:w="282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68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0.250</w:t>
            </w:r>
          </w:p>
        </w:tc>
        <w:tc>
          <w:tcPr>
            <w:tcW w:w="236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JIO</w:t>
            </w:r>
          </w:p>
        </w:tc>
      </w:tr>
      <w:tr w:rsidTr="007B67EE">
        <w:tblPrEx>
          <w:tblW w:w="9740" w:type="dxa"/>
          <w:tblLook w:val="04A0"/>
        </w:tblPrEx>
        <w:trPr>
          <w:trHeight w:val="22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Security &amp; Intelligence Agencies</w:t>
            </w:r>
          </w:p>
        </w:tc>
        <w:tc>
          <w:tcPr>
            <w:tcW w:w="282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68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7.036</w:t>
            </w:r>
          </w:p>
        </w:tc>
        <w:tc>
          <w:tcPr>
            <w:tcW w:w="236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CYBER through Cabinet Office</w:t>
            </w:r>
          </w:p>
        </w:tc>
      </w:tr>
      <w:tr w:rsidTr="007B67EE">
        <w:tblPrEx>
          <w:tblW w:w="9740" w:type="dxa"/>
          <w:tblLook w:val="04A0"/>
        </w:tblPrEx>
        <w:trPr>
          <w:trHeight w:val="22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Security &amp; Intelligence Agencies</w:t>
            </w:r>
          </w:p>
        </w:tc>
        <w:tc>
          <w:tcPr>
            <w:tcW w:w="282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68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0.819</w:t>
            </w:r>
          </w:p>
        </w:tc>
        <w:tc>
          <w:tcPr>
            <w:tcW w:w="236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CYBER through Cabinet Office</w:t>
            </w:r>
          </w:p>
        </w:tc>
      </w:tr>
      <w:tr w:rsidTr="007B67EE">
        <w:tblPrEx>
          <w:tblW w:w="9740" w:type="dxa"/>
          <w:tblLook w:val="04A0"/>
        </w:tblPrEx>
        <w:trPr>
          <w:trHeight w:val="22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Cabinet Office</w:t>
            </w:r>
          </w:p>
        </w:tc>
        <w:tc>
          <w:tcPr>
            <w:tcW w:w="282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68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1.053</w:t>
            </w:r>
          </w:p>
        </w:tc>
        <w:tc>
          <w:tcPr>
            <w:tcW w:w="236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Pan-Government Mobile Solution</w:t>
            </w:r>
          </w:p>
        </w:tc>
      </w:tr>
      <w:tr w:rsidTr="007B67EE">
        <w:tblPrEx>
          <w:tblW w:w="9740" w:type="dxa"/>
          <w:tblLook w:val="04A0"/>
        </w:tblPrEx>
        <w:trPr>
          <w:trHeight w:val="22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Cabinet Office</w:t>
            </w:r>
          </w:p>
        </w:tc>
        <w:tc>
          <w:tcPr>
            <w:tcW w:w="282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CDEL</w:t>
            </w:r>
          </w:p>
        </w:tc>
        <w:tc>
          <w:tcPr>
            <w:tcW w:w="68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0.640</w:t>
            </w:r>
          </w:p>
        </w:tc>
        <w:tc>
          <w:tcPr>
            <w:tcW w:w="236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Pan-Government Mobile Solution</w:t>
            </w:r>
          </w:p>
        </w:tc>
      </w:tr>
      <w:tr w:rsidTr="007B67EE">
        <w:tblPrEx>
          <w:tblW w:w="9740" w:type="dxa"/>
          <w:tblLook w:val="04A0"/>
        </w:tblPrEx>
        <w:trPr>
          <w:trHeight w:val="22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Security &amp; Intelligence Agencies</w:t>
            </w:r>
          </w:p>
        </w:tc>
        <w:tc>
          <w:tcPr>
            <w:tcW w:w="282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68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65.961</w:t>
            </w:r>
          </w:p>
        </w:tc>
        <w:tc>
          <w:tcPr>
            <w:tcW w:w="236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CYBER through Cabinet Office</w:t>
            </w:r>
          </w:p>
        </w:tc>
      </w:tr>
      <w:tr w:rsidTr="007B67EE">
        <w:tblPrEx>
          <w:tblW w:w="9740" w:type="dxa"/>
          <w:tblLook w:val="04A0"/>
        </w:tblPrEx>
        <w:trPr>
          <w:trHeight w:val="22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Cabinet Office</w:t>
            </w:r>
          </w:p>
        </w:tc>
        <w:tc>
          <w:tcPr>
            <w:tcW w:w="282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68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0.120</w:t>
            </w:r>
          </w:p>
        </w:tc>
        <w:tc>
          <w:tcPr>
            <w:tcW w:w="236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Top Office Group SpAds</w:t>
            </w:r>
          </w:p>
        </w:tc>
      </w:tr>
      <w:tr w:rsidTr="007B67EE">
        <w:tblPrEx>
          <w:tblW w:w="9740" w:type="dxa"/>
          <w:tblLook w:val="04A0"/>
        </w:tblPrEx>
        <w:trPr>
          <w:trHeight w:val="22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Department for Business, Energy &amp; Industrial Strategy</w:t>
            </w:r>
          </w:p>
        </w:tc>
        <w:tc>
          <w:tcPr>
            <w:tcW w:w="282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CDEL</w:t>
            </w:r>
          </w:p>
        </w:tc>
        <w:tc>
          <w:tcPr>
            <w:tcW w:w="68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2.000</w:t>
            </w:r>
          </w:p>
        </w:tc>
        <w:tc>
          <w:tcPr>
            <w:tcW w:w="236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EPAC</w:t>
            </w:r>
          </w:p>
        </w:tc>
      </w:tr>
      <w:tr w:rsidTr="007B67EE">
        <w:tblPrEx>
          <w:tblW w:w="9740" w:type="dxa"/>
          <w:tblLook w:val="04A0"/>
        </w:tblPrEx>
        <w:trPr>
          <w:trHeight w:val="22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UK Government Investments</w:t>
            </w:r>
          </w:p>
        </w:tc>
        <w:tc>
          <w:tcPr>
            <w:tcW w:w="282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68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1.326</w:t>
            </w:r>
          </w:p>
        </w:tc>
        <w:tc>
          <w:tcPr>
            <w:tcW w:w="236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MoD UKGI Joint </w:t>
            </w:r>
            <w:r w:rsidRPr="007B67EE" w:rsidR="00501A07">
              <w:rPr>
                <w:rFonts w:ascii="Arial" w:eastAsia="Times New Roman" w:hAnsi="Arial" w:cs="Arial"/>
                <w:sz w:val="16"/>
                <w:szCs w:val="16"/>
                <w:lang w:eastAsia="en-GB"/>
              </w:rPr>
              <w:t>Unit</w:t>
            </w:r>
          </w:p>
        </w:tc>
      </w:tr>
      <w:tr w:rsidTr="007B67EE">
        <w:tblPrEx>
          <w:tblW w:w="9740" w:type="dxa"/>
          <w:tblLook w:val="04A0"/>
        </w:tblPrEx>
        <w:trPr>
          <w:trHeight w:val="22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Security &amp; Intelligence Agencies</w:t>
            </w:r>
          </w:p>
        </w:tc>
        <w:tc>
          <w:tcPr>
            <w:tcW w:w="282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68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9.300</w:t>
            </w:r>
          </w:p>
        </w:tc>
        <w:tc>
          <w:tcPr>
            <w:tcW w:w="236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 xml:space="preserve"> IATP / INITIATE Funding</w:t>
            </w:r>
          </w:p>
        </w:tc>
      </w:tr>
      <w:tr w:rsidTr="007B67EE">
        <w:tblPrEx>
          <w:tblW w:w="9740" w:type="dxa"/>
          <w:tblLook w:val="04A0"/>
        </w:tblPrEx>
        <w:trPr>
          <w:trHeight w:val="225"/>
        </w:trPr>
        <w:tc>
          <w:tcPr>
            <w:tcW w:w="3880" w:type="dxa"/>
            <w:tcBorders>
              <w:top w:val="nil"/>
              <w:left w:val="single" w:sz="4" w:space="0" w:color="auto"/>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Home Office</w:t>
            </w:r>
          </w:p>
        </w:tc>
        <w:tc>
          <w:tcPr>
            <w:tcW w:w="282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Provision of Defence Capability - RDEL</w:t>
            </w:r>
          </w:p>
        </w:tc>
        <w:tc>
          <w:tcPr>
            <w:tcW w:w="68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jc w:val="right"/>
              <w:rPr>
                <w:rFonts w:ascii="Arial" w:eastAsia="Times New Roman" w:hAnsi="Arial" w:cs="Arial"/>
                <w:sz w:val="16"/>
                <w:szCs w:val="16"/>
                <w:lang w:eastAsia="en-GB"/>
              </w:rPr>
            </w:pPr>
            <w:r w:rsidRPr="007B67EE">
              <w:rPr>
                <w:rFonts w:ascii="Arial" w:eastAsia="Times New Roman" w:hAnsi="Arial" w:cs="Arial"/>
                <w:sz w:val="16"/>
                <w:szCs w:val="16"/>
                <w:lang w:eastAsia="en-GB"/>
              </w:rPr>
              <w:t>1.000</w:t>
            </w:r>
          </w:p>
        </w:tc>
        <w:tc>
          <w:tcPr>
            <w:tcW w:w="2360" w:type="dxa"/>
            <w:tcBorders>
              <w:top w:val="nil"/>
              <w:left w:val="nil"/>
              <w:bottom w:val="single" w:sz="4" w:space="0" w:color="auto"/>
              <w:right w:val="single" w:sz="4" w:space="0" w:color="auto"/>
            </w:tcBorders>
            <w:shd w:val="clear" w:color="auto" w:fill="auto"/>
            <w:vAlign w:val="bottom"/>
            <w:hideMark/>
          </w:tcPr>
          <w:p w:rsidR="007B67EE" w:rsidRPr="007B67EE" w:rsidP="007B67EE">
            <w:pPr>
              <w:spacing w:after="0" w:line="240" w:lineRule="auto"/>
              <w:rPr>
                <w:rFonts w:ascii="Arial" w:eastAsia="Times New Roman" w:hAnsi="Arial" w:cs="Arial"/>
                <w:sz w:val="16"/>
                <w:szCs w:val="16"/>
                <w:lang w:eastAsia="en-GB"/>
              </w:rPr>
            </w:pPr>
            <w:r w:rsidRPr="007B67EE">
              <w:rPr>
                <w:rFonts w:ascii="Arial" w:eastAsia="Times New Roman" w:hAnsi="Arial" w:cs="Arial"/>
                <w:sz w:val="16"/>
                <w:szCs w:val="16"/>
                <w:lang w:eastAsia="en-GB"/>
              </w:rPr>
              <w:t>Joint Maritime Security Centre</w:t>
            </w:r>
          </w:p>
        </w:tc>
      </w:tr>
      <w:tr w:rsidTr="007B67EE">
        <w:tblPrEx>
          <w:tblW w:w="9740" w:type="dxa"/>
          <w:tblLook w:val="04A0"/>
        </w:tblPrEx>
        <w:trPr>
          <w:trHeight w:val="264"/>
        </w:trPr>
        <w:tc>
          <w:tcPr>
            <w:tcW w:w="3880" w:type="dxa"/>
            <w:tcBorders>
              <w:top w:val="nil"/>
              <w:left w:val="single" w:sz="4" w:space="0" w:color="auto"/>
              <w:bottom w:val="single" w:sz="4" w:space="0" w:color="auto"/>
              <w:right w:val="single" w:sz="4" w:space="0" w:color="auto"/>
            </w:tcBorders>
            <w:shd w:val="clear" w:color="000000" w:fill="DAEEF3"/>
            <w:vAlign w:val="center"/>
            <w:hideMark/>
          </w:tcPr>
          <w:p w:rsidR="007B67EE" w:rsidRPr="007B67EE" w:rsidP="007B67EE">
            <w:pPr>
              <w:spacing w:after="0" w:line="240" w:lineRule="auto"/>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Total</w:t>
            </w:r>
          </w:p>
        </w:tc>
        <w:tc>
          <w:tcPr>
            <w:tcW w:w="2820" w:type="dxa"/>
            <w:tcBorders>
              <w:top w:val="nil"/>
              <w:left w:val="nil"/>
              <w:bottom w:val="single" w:sz="4" w:space="0" w:color="auto"/>
              <w:right w:val="single" w:sz="4" w:space="0" w:color="auto"/>
            </w:tcBorders>
            <w:shd w:val="clear" w:color="000000" w:fill="DAEEF3"/>
            <w:vAlign w:val="center"/>
            <w:hideMark/>
          </w:tcPr>
          <w:p w:rsidR="007B67EE" w:rsidRPr="007B67EE" w:rsidP="007B67EE">
            <w:pPr>
              <w:spacing w:after="0" w:line="240" w:lineRule="auto"/>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 </w:t>
            </w:r>
          </w:p>
        </w:tc>
        <w:tc>
          <w:tcPr>
            <w:tcW w:w="680" w:type="dxa"/>
            <w:tcBorders>
              <w:top w:val="nil"/>
              <w:left w:val="nil"/>
              <w:bottom w:val="single" w:sz="4" w:space="0" w:color="auto"/>
              <w:right w:val="single" w:sz="4" w:space="0" w:color="auto"/>
            </w:tcBorders>
            <w:shd w:val="clear" w:color="000000" w:fill="DAEEF3"/>
            <w:vAlign w:val="center"/>
            <w:hideMark/>
          </w:tcPr>
          <w:p w:rsidR="007B67EE" w:rsidRPr="007B67EE" w:rsidP="007B67EE">
            <w:pPr>
              <w:spacing w:after="0" w:line="240" w:lineRule="auto"/>
              <w:jc w:val="right"/>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89.505</w:t>
            </w:r>
          </w:p>
        </w:tc>
        <w:tc>
          <w:tcPr>
            <w:tcW w:w="2360" w:type="dxa"/>
            <w:tcBorders>
              <w:top w:val="nil"/>
              <w:left w:val="nil"/>
              <w:bottom w:val="single" w:sz="4" w:space="0" w:color="auto"/>
              <w:right w:val="single" w:sz="4" w:space="0" w:color="auto"/>
            </w:tcBorders>
            <w:shd w:val="clear" w:color="000000" w:fill="DAEEF3"/>
            <w:vAlign w:val="center"/>
            <w:hideMark/>
          </w:tcPr>
          <w:p w:rsidR="007B67EE" w:rsidRPr="007B67EE" w:rsidP="007B67EE">
            <w:pPr>
              <w:spacing w:after="0" w:line="240" w:lineRule="auto"/>
              <w:rPr>
                <w:rFonts w:ascii="Arial" w:eastAsia="Times New Roman" w:hAnsi="Arial" w:cs="Arial"/>
                <w:b/>
                <w:bCs/>
                <w:sz w:val="18"/>
                <w:szCs w:val="18"/>
                <w:lang w:eastAsia="en-GB"/>
              </w:rPr>
            </w:pPr>
            <w:r w:rsidRPr="007B67EE">
              <w:rPr>
                <w:rFonts w:ascii="Arial" w:eastAsia="Times New Roman" w:hAnsi="Arial" w:cs="Arial"/>
                <w:b/>
                <w:bCs/>
                <w:sz w:val="18"/>
                <w:szCs w:val="18"/>
                <w:lang w:eastAsia="en-GB"/>
              </w:rPr>
              <w:t> </w:t>
            </w:r>
          </w:p>
        </w:tc>
      </w:tr>
    </w:tbl>
    <w:p w:rsidR="00594398" w:rsidP="003D7FEB">
      <w:pPr>
        <w:rPr>
          <w:lang w:eastAsia="en-GB"/>
        </w:rPr>
      </w:pPr>
    </w:p>
    <w:p w:rsidR="003D7FEB" w:rsidRPr="001110F1" w:rsidP="003D7FEB">
      <w:pPr>
        <w:pStyle w:val="Heading2"/>
        <w:rPr>
          <w:rFonts w:asciiTheme="minorHAnsi" w:hAnsiTheme="minorHAnsi"/>
        </w:rPr>
      </w:pPr>
      <w:r w:rsidRPr="001110F1">
        <w:rPr>
          <w:rFonts w:asciiTheme="minorHAnsi" w:hAnsiTheme="minorHAnsi"/>
        </w:rPr>
        <w:t>A</w:t>
      </w:r>
      <w:r w:rsidRPr="001110F1" w:rsidR="00CE343E">
        <w:rPr>
          <w:rFonts w:asciiTheme="minorHAnsi" w:hAnsiTheme="minorHAnsi"/>
        </w:rPr>
        <w:t>rm’s Length Bodies (ALBs)</w:t>
      </w:r>
    </w:p>
    <w:p w:rsidR="00CE343E" w:rsidP="00CE343E">
      <w:pPr>
        <w:rPr>
          <w:lang w:eastAsia="en-GB"/>
        </w:rPr>
      </w:pPr>
      <w:r w:rsidRPr="00CE343E">
        <w:rPr>
          <w:lang w:eastAsia="en-GB"/>
        </w:rPr>
        <w:t>Under Clear Line of Sight (C</w:t>
      </w:r>
      <w:r w:rsidR="001F2114">
        <w:rPr>
          <w:lang w:eastAsia="en-GB"/>
        </w:rPr>
        <w:t>L</w:t>
      </w:r>
      <w:r w:rsidRPr="00CE343E">
        <w:rPr>
          <w:lang w:eastAsia="en-GB"/>
        </w:rPr>
        <w:t xml:space="preserve">oS), Arm’s Length Bodies (ALBs) are part of Departmental DEL. Table </w:t>
      </w:r>
      <w:r w:rsidR="00EE04B4">
        <w:rPr>
          <w:lang w:eastAsia="en-GB"/>
        </w:rPr>
        <w:t>1</w:t>
      </w:r>
      <w:r w:rsidR="00063365">
        <w:rPr>
          <w:lang w:eastAsia="en-GB"/>
        </w:rPr>
        <w:t>2</w:t>
      </w:r>
      <w:r w:rsidRPr="00CE343E">
        <w:rPr>
          <w:lang w:eastAsia="en-GB"/>
        </w:rPr>
        <w:t xml:space="preserve"> summarises the funding requested by MOD ALBs and is based on information received from the sponsoring Top Level Budget (TLB).</w:t>
      </w:r>
    </w:p>
    <w:p w:rsidR="008E05E0" w:rsidP="00CE343E">
      <w:pPr>
        <w:rPr>
          <w:lang w:eastAsia="en-GB"/>
        </w:rPr>
      </w:pPr>
    </w:p>
    <w:tbl>
      <w:tblPr>
        <w:tblW w:w="6180" w:type="dxa"/>
        <w:tblLook w:val="04A0"/>
      </w:tblPr>
      <w:tblGrid>
        <w:gridCol w:w="4166"/>
        <w:gridCol w:w="1037"/>
        <w:gridCol w:w="977"/>
      </w:tblGrid>
      <w:tr w:rsidTr="003239C1">
        <w:tblPrEx>
          <w:tblW w:w="6180" w:type="dxa"/>
          <w:tblLook w:val="04A0"/>
        </w:tblPrEx>
        <w:trPr>
          <w:trHeight w:val="255"/>
        </w:trPr>
        <w:tc>
          <w:tcPr>
            <w:tcW w:w="6180" w:type="dxa"/>
            <w:gridSpan w:val="3"/>
            <w:tcBorders>
              <w:top w:val="nil"/>
              <w:left w:val="nil"/>
              <w:bottom w:val="nil"/>
              <w:right w:val="nil"/>
            </w:tcBorders>
            <w:shd w:val="clear" w:color="auto" w:fill="auto"/>
            <w:vAlign w:val="bottom"/>
            <w:hideMark/>
          </w:tcPr>
          <w:p w:rsidR="003239C1" w:rsidRPr="00CA090C" w:rsidP="00930D82">
            <w:pPr>
              <w:spacing w:after="0" w:line="240" w:lineRule="auto"/>
              <w:ind w:left="-108"/>
              <w:rPr>
                <w:rFonts w:ascii="Arial" w:eastAsia="Times New Roman" w:hAnsi="Arial" w:cs="Arial"/>
                <w:b/>
                <w:bCs/>
                <w:sz w:val="20"/>
                <w:szCs w:val="20"/>
                <w:lang w:eastAsia="en-GB"/>
              </w:rPr>
            </w:pPr>
            <w:r w:rsidRPr="00CA090C">
              <w:rPr>
                <w:rFonts w:ascii="Arial" w:eastAsia="Times New Roman" w:hAnsi="Arial" w:cs="Arial"/>
                <w:b/>
                <w:bCs/>
                <w:sz w:val="20"/>
                <w:szCs w:val="20"/>
                <w:lang w:eastAsia="en-GB"/>
              </w:rPr>
              <w:t xml:space="preserve">Table 12: Breakdown of the </w:t>
            </w:r>
            <w:r w:rsidRPr="00CA090C" w:rsidR="004840B0">
              <w:rPr>
                <w:rFonts w:ascii="Arial" w:eastAsia="Times New Roman" w:hAnsi="Arial" w:cs="Arial"/>
                <w:b/>
                <w:bCs/>
                <w:sz w:val="20"/>
                <w:szCs w:val="20"/>
                <w:lang w:eastAsia="en-GB"/>
              </w:rPr>
              <w:t>Arm's Length</w:t>
            </w:r>
            <w:r w:rsidRPr="00CA090C">
              <w:rPr>
                <w:rFonts w:ascii="Arial" w:eastAsia="Times New Roman" w:hAnsi="Arial" w:cs="Arial"/>
                <w:b/>
                <w:bCs/>
                <w:sz w:val="20"/>
                <w:szCs w:val="20"/>
                <w:lang w:eastAsia="en-GB"/>
              </w:rPr>
              <w:t xml:space="preserve"> Bodies</w:t>
            </w:r>
          </w:p>
        </w:tc>
      </w:tr>
      <w:tr w:rsidTr="003239C1">
        <w:tblPrEx>
          <w:tblW w:w="6180" w:type="dxa"/>
          <w:tblLook w:val="04A0"/>
        </w:tblPrEx>
        <w:trPr>
          <w:trHeight w:val="720"/>
        </w:trPr>
        <w:tc>
          <w:tcPr>
            <w:tcW w:w="4220" w:type="dxa"/>
            <w:tcBorders>
              <w:top w:val="single" w:sz="4" w:space="0" w:color="auto"/>
              <w:left w:val="single" w:sz="4" w:space="0" w:color="auto"/>
              <w:bottom w:val="single" w:sz="4" w:space="0" w:color="auto"/>
              <w:right w:val="single" w:sz="4" w:space="0" w:color="auto"/>
            </w:tcBorders>
            <w:shd w:val="clear" w:color="000000" w:fill="DAEEF3"/>
            <w:vAlign w:val="center"/>
            <w:hideMark/>
          </w:tcPr>
          <w:p w:rsidR="003239C1" w:rsidRPr="003239C1" w:rsidP="003239C1">
            <w:pPr>
              <w:spacing w:after="0" w:line="240" w:lineRule="auto"/>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Organisation</w:t>
            </w:r>
          </w:p>
        </w:tc>
        <w:tc>
          <w:tcPr>
            <w:tcW w:w="980" w:type="dxa"/>
            <w:tcBorders>
              <w:top w:val="single" w:sz="4" w:space="0" w:color="auto"/>
              <w:left w:val="nil"/>
              <w:bottom w:val="single" w:sz="4" w:space="0" w:color="auto"/>
              <w:right w:val="single" w:sz="4" w:space="0" w:color="auto"/>
            </w:tcBorders>
            <w:shd w:val="clear" w:color="000000" w:fill="DAEEF3"/>
            <w:vAlign w:val="center"/>
            <w:hideMark/>
          </w:tcPr>
          <w:p w:rsidR="003239C1" w:rsidRPr="003239C1" w:rsidP="003239C1">
            <w:pPr>
              <w:spacing w:after="0" w:line="240" w:lineRule="auto"/>
              <w:jc w:val="center"/>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Resource DEL</w:t>
            </w:r>
            <w:r w:rsidRPr="003239C1">
              <w:rPr>
                <w:rFonts w:ascii="Arial" w:eastAsia="Times New Roman" w:hAnsi="Arial" w:cs="Arial"/>
                <w:b/>
                <w:bCs/>
                <w:sz w:val="18"/>
                <w:szCs w:val="18"/>
                <w:lang w:eastAsia="en-GB"/>
              </w:rPr>
              <w:br/>
              <w:t>£M</w:t>
            </w:r>
          </w:p>
        </w:tc>
        <w:tc>
          <w:tcPr>
            <w:tcW w:w="980" w:type="dxa"/>
            <w:tcBorders>
              <w:top w:val="single" w:sz="4" w:space="0" w:color="auto"/>
              <w:left w:val="nil"/>
              <w:bottom w:val="single" w:sz="4" w:space="0" w:color="auto"/>
              <w:right w:val="single" w:sz="4" w:space="0" w:color="auto"/>
            </w:tcBorders>
            <w:shd w:val="clear" w:color="000000" w:fill="DAEEF3"/>
            <w:vAlign w:val="center"/>
            <w:hideMark/>
          </w:tcPr>
          <w:p w:rsidR="003239C1" w:rsidRPr="003239C1" w:rsidP="003239C1">
            <w:pPr>
              <w:spacing w:after="0" w:line="240" w:lineRule="auto"/>
              <w:jc w:val="center"/>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Capital DEL</w:t>
            </w:r>
            <w:r w:rsidRPr="003239C1">
              <w:rPr>
                <w:rFonts w:ascii="Arial" w:eastAsia="Times New Roman" w:hAnsi="Arial" w:cs="Arial"/>
                <w:b/>
                <w:bCs/>
                <w:sz w:val="18"/>
                <w:szCs w:val="18"/>
                <w:lang w:eastAsia="en-GB"/>
              </w:rPr>
              <w:br/>
              <w:t>£M</w:t>
            </w:r>
          </w:p>
        </w:tc>
      </w:tr>
      <w:tr w:rsidTr="003239C1">
        <w:tblPrEx>
          <w:tblW w:w="6180" w:type="dxa"/>
          <w:tblLook w:val="04A0"/>
        </w:tblPrEx>
        <w:trPr>
          <w:trHeight w:val="225"/>
        </w:trPr>
        <w:tc>
          <w:tcPr>
            <w:tcW w:w="4220" w:type="dxa"/>
            <w:tcBorders>
              <w:top w:val="nil"/>
              <w:left w:val="single" w:sz="4" w:space="0" w:color="auto"/>
              <w:bottom w:val="single" w:sz="4" w:space="0" w:color="auto"/>
              <w:right w:val="single" w:sz="4" w:space="0" w:color="auto"/>
            </w:tcBorders>
            <w:shd w:val="clear" w:color="auto" w:fill="auto"/>
            <w:vAlign w:val="bottom"/>
            <w:hideMark/>
          </w:tcPr>
          <w:p w:rsidR="003239C1" w:rsidRPr="003239C1" w:rsidP="003239C1">
            <w:pPr>
              <w:spacing w:after="0" w:line="240" w:lineRule="auto"/>
              <w:rPr>
                <w:rFonts w:ascii="Arial" w:eastAsia="Times New Roman" w:hAnsi="Arial" w:cs="Arial"/>
                <w:sz w:val="16"/>
                <w:szCs w:val="16"/>
                <w:lang w:eastAsia="en-GB"/>
              </w:rPr>
            </w:pPr>
            <w:r w:rsidRPr="003239C1">
              <w:rPr>
                <w:rFonts w:ascii="Arial" w:eastAsia="Times New Roman" w:hAnsi="Arial" w:cs="Arial"/>
                <w:sz w:val="16"/>
                <w:szCs w:val="16"/>
                <w:lang w:eastAsia="en-GB"/>
              </w:rPr>
              <w:t>Armed Forces Covenant Fund Trustee Ltd</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10.000 </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w:t>
            </w:r>
          </w:p>
        </w:tc>
      </w:tr>
      <w:tr w:rsidTr="003239C1">
        <w:tblPrEx>
          <w:tblW w:w="6180" w:type="dxa"/>
          <w:tblLook w:val="04A0"/>
        </w:tblPrEx>
        <w:trPr>
          <w:trHeight w:val="225"/>
        </w:trPr>
        <w:tc>
          <w:tcPr>
            <w:tcW w:w="4220" w:type="dxa"/>
            <w:tcBorders>
              <w:top w:val="nil"/>
              <w:left w:val="single" w:sz="4" w:space="0" w:color="auto"/>
              <w:bottom w:val="single" w:sz="4" w:space="0" w:color="auto"/>
              <w:right w:val="single" w:sz="4" w:space="0" w:color="auto"/>
            </w:tcBorders>
            <w:shd w:val="clear" w:color="auto" w:fill="auto"/>
            <w:vAlign w:val="bottom"/>
            <w:hideMark/>
          </w:tcPr>
          <w:p w:rsidR="003239C1" w:rsidRPr="003239C1" w:rsidP="003239C1">
            <w:pPr>
              <w:spacing w:after="0" w:line="240" w:lineRule="auto"/>
              <w:rPr>
                <w:rFonts w:ascii="Arial" w:eastAsia="Times New Roman" w:hAnsi="Arial" w:cs="Arial"/>
                <w:sz w:val="16"/>
                <w:szCs w:val="16"/>
                <w:lang w:eastAsia="en-GB"/>
              </w:rPr>
            </w:pPr>
            <w:r w:rsidRPr="003239C1">
              <w:rPr>
                <w:rFonts w:ascii="Arial" w:eastAsia="Times New Roman" w:hAnsi="Arial" w:cs="Arial"/>
                <w:sz w:val="16"/>
                <w:szCs w:val="16"/>
                <w:lang w:eastAsia="en-GB"/>
              </w:rPr>
              <w:t>Commonwealth War Graves Commission</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53.124 </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w:t>
            </w:r>
          </w:p>
        </w:tc>
      </w:tr>
      <w:tr w:rsidTr="003239C1">
        <w:tblPrEx>
          <w:tblW w:w="6180" w:type="dxa"/>
          <w:tblLook w:val="04A0"/>
        </w:tblPrEx>
        <w:trPr>
          <w:trHeight w:val="225"/>
        </w:trPr>
        <w:tc>
          <w:tcPr>
            <w:tcW w:w="4220" w:type="dxa"/>
            <w:tcBorders>
              <w:top w:val="nil"/>
              <w:left w:val="single" w:sz="4" w:space="0" w:color="auto"/>
              <w:bottom w:val="single" w:sz="4" w:space="0" w:color="auto"/>
              <w:right w:val="single" w:sz="4" w:space="0" w:color="auto"/>
            </w:tcBorders>
            <w:shd w:val="clear" w:color="auto" w:fill="auto"/>
            <w:vAlign w:val="bottom"/>
            <w:hideMark/>
          </w:tcPr>
          <w:p w:rsidR="003239C1" w:rsidRPr="003239C1" w:rsidP="003239C1">
            <w:pPr>
              <w:spacing w:after="0" w:line="240" w:lineRule="auto"/>
              <w:rPr>
                <w:rFonts w:ascii="Arial" w:eastAsia="Times New Roman" w:hAnsi="Arial" w:cs="Arial"/>
                <w:sz w:val="16"/>
                <w:szCs w:val="16"/>
                <w:lang w:eastAsia="en-GB"/>
              </w:rPr>
            </w:pPr>
            <w:r w:rsidRPr="003239C1">
              <w:rPr>
                <w:rFonts w:ascii="Arial" w:eastAsia="Times New Roman" w:hAnsi="Arial" w:cs="Arial"/>
                <w:sz w:val="16"/>
                <w:szCs w:val="16"/>
                <w:lang w:eastAsia="en-GB"/>
              </w:rPr>
              <w:t>International Military Services Limited</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0.001 </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w:t>
            </w:r>
          </w:p>
        </w:tc>
      </w:tr>
      <w:tr w:rsidTr="003239C1">
        <w:tblPrEx>
          <w:tblW w:w="6180" w:type="dxa"/>
          <w:tblLook w:val="04A0"/>
        </w:tblPrEx>
        <w:trPr>
          <w:trHeight w:val="225"/>
        </w:trPr>
        <w:tc>
          <w:tcPr>
            <w:tcW w:w="4220" w:type="dxa"/>
            <w:tcBorders>
              <w:top w:val="nil"/>
              <w:left w:val="single" w:sz="4" w:space="0" w:color="auto"/>
              <w:bottom w:val="single" w:sz="4" w:space="0" w:color="auto"/>
              <w:right w:val="single" w:sz="4" w:space="0" w:color="auto"/>
            </w:tcBorders>
            <w:shd w:val="clear" w:color="auto" w:fill="auto"/>
            <w:vAlign w:val="bottom"/>
            <w:hideMark/>
          </w:tcPr>
          <w:p w:rsidR="003239C1" w:rsidRPr="003239C1" w:rsidP="003239C1">
            <w:pPr>
              <w:spacing w:after="0" w:line="240" w:lineRule="auto"/>
              <w:rPr>
                <w:rFonts w:ascii="Arial" w:eastAsia="Times New Roman" w:hAnsi="Arial" w:cs="Arial"/>
                <w:sz w:val="16"/>
                <w:szCs w:val="16"/>
                <w:lang w:eastAsia="en-GB"/>
              </w:rPr>
            </w:pPr>
            <w:r w:rsidRPr="003239C1">
              <w:rPr>
                <w:rFonts w:ascii="Arial" w:eastAsia="Times New Roman" w:hAnsi="Arial" w:cs="Arial"/>
                <w:sz w:val="16"/>
                <w:szCs w:val="16"/>
                <w:lang w:eastAsia="en-GB"/>
              </w:rPr>
              <w:t>National Army Museum</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7.713 </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w:t>
            </w:r>
          </w:p>
        </w:tc>
      </w:tr>
      <w:tr w:rsidTr="003239C1">
        <w:tblPrEx>
          <w:tblW w:w="6180" w:type="dxa"/>
          <w:tblLook w:val="04A0"/>
        </w:tblPrEx>
        <w:trPr>
          <w:trHeight w:val="225"/>
        </w:trPr>
        <w:tc>
          <w:tcPr>
            <w:tcW w:w="4220" w:type="dxa"/>
            <w:tcBorders>
              <w:top w:val="nil"/>
              <w:left w:val="single" w:sz="4" w:space="0" w:color="auto"/>
              <w:bottom w:val="single" w:sz="4" w:space="0" w:color="auto"/>
              <w:right w:val="single" w:sz="4" w:space="0" w:color="auto"/>
            </w:tcBorders>
            <w:shd w:val="clear" w:color="auto" w:fill="auto"/>
            <w:vAlign w:val="bottom"/>
            <w:hideMark/>
          </w:tcPr>
          <w:p w:rsidR="003239C1" w:rsidRPr="003239C1" w:rsidP="003239C1">
            <w:pPr>
              <w:spacing w:after="0" w:line="240" w:lineRule="auto"/>
              <w:rPr>
                <w:rFonts w:ascii="Arial" w:eastAsia="Times New Roman" w:hAnsi="Arial" w:cs="Arial"/>
                <w:sz w:val="16"/>
                <w:szCs w:val="16"/>
                <w:lang w:eastAsia="en-GB"/>
              </w:rPr>
            </w:pPr>
            <w:r w:rsidRPr="003239C1">
              <w:rPr>
                <w:rFonts w:ascii="Arial" w:eastAsia="Times New Roman" w:hAnsi="Arial" w:cs="Arial"/>
                <w:sz w:val="16"/>
                <w:szCs w:val="16"/>
                <w:lang w:eastAsia="en-GB"/>
              </w:rPr>
              <w:t>National Museum of the Royal Navy</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8.707 </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0.128 </w:t>
            </w:r>
          </w:p>
        </w:tc>
      </w:tr>
      <w:tr w:rsidTr="003239C1">
        <w:tblPrEx>
          <w:tblW w:w="6180" w:type="dxa"/>
          <w:tblLook w:val="04A0"/>
        </w:tblPrEx>
        <w:trPr>
          <w:trHeight w:val="225"/>
        </w:trPr>
        <w:tc>
          <w:tcPr>
            <w:tcW w:w="4220" w:type="dxa"/>
            <w:tcBorders>
              <w:top w:val="nil"/>
              <w:left w:val="single" w:sz="4" w:space="0" w:color="auto"/>
              <w:bottom w:val="single" w:sz="4" w:space="0" w:color="auto"/>
              <w:right w:val="single" w:sz="4" w:space="0" w:color="auto"/>
            </w:tcBorders>
            <w:shd w:val="clear" w:color="auto" w:fill="auto"/>
            <w:vAlign w:val="bottom"/>
            <w:hideMark/>
          </w:tcPr>
          <w:p w:rsidR="003239C1" w:rsidRPr="003239C1" w:rsidP="003239C1">
            <w:pPr>
              <w:spacing w:after="0" w:line="240" w:lineRule="auto"/>
              <w:rPr>
                <w:rFonts w:ascii="Arial" w:eastAsia="Times New Roman" w:hAnsi="Arial" w:cs="Arial"/>
                <w:sz w:val="16"/>
                <w:szCs w:val="16"/>
                <w:lang w:eastAsia="en-GB"/>
              </w:rPr>
            </w:pPr>
            <w:r w:rsidRPr="003239C1">
              <w:rPr>
                <w:rFonts w:ascii="Arial" w:eastAsia="Times New Roman" w:hAnsi="Arial" w:cs="Arial"/>
                <w:sz w:val="16"/>
                <w:szCs w:val="16"/>
                <w:lang w:eastAsia="en-GB"/>
              </w:rPr>
              <w:t>Royal Air Force Museum</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9.781 </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w:t>
            </w:r>
          </w:p>
        </w:tc>
      </w:tr>
      <w:tr w:rsidTr="003239C1">
        <w:tblPrEx>
          <w:tblW w:w="6180" w:type="dxa"/>
          <w:tblLook w:val="04A0"/>
        </w:tblPrEx>
        <w:trPr>
          <w:trHeight w:val="225"/>
        </w:trPr>
        <w:tc>
          <w:tcPr>
            <w:tcW w:w="4220" w:type="dxa"/>
            <w:tcBorders>
              <w:top w:val="nil"/>
              <w:left w:val="single" w:sz="4" w:space="0" w:color="auto"/>
              <w:bottom w:val="single" w:sz="4" w:space="0" w:color="auto"/>
              <w:right w:val="single" w:sz="4" w:space="0" w:color="auto"/>
            </w:tcBorders>
            <w:shd w:val="clear" w:color="auto" w:fill="auto"/>
            <w:vAlign w:val="bottom"/>
            <w:hideMark/>
          </w:tcPr>
          <w:p w:rsidR="003239C1" w:rsidRPr="003239C1" w:rsidP="003239C1">
            <w:pPr>
              <w:spacing w:after="0" w:line="240" w:lineRule="auto"/>
              <w:rPr>
                <w:rFonts w:ascii="Arial" w:eastAsia="Times New Roman" w:hAnsi="Arial" w:cs="Arial"/>
                <w:sz w:val="16"/>
                <w:szCs w:val="16"/>
                <w:lang w:eastAsia="en-GB"/>
              </w:rPr>
            </w:pPr>
            <w:r w:rsidRPr="003239C1">
              <w:rPr>
                <w:rFonts w:ascii="Arial" w:eastAsia="Times New Roman" w:hAnsi="Arial" w:cs="Arial"/>
                <w:sz w:val="16"/>
                <w:szCs w:val="16"/>
                <w:lang w:eastAsia="en-GB"/>
              </w:rPr>
              <w:t>Royal Hospital, Chelsea</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14.526 </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w:t>
            </w:r>
          </w:p>
        </w:tc>
      </w:tr>
      <w:tr w:rsidTr="003239C1">
        <w:tblPrEx>
          <w:tblW w:w="6180" w:type="dxa"/>
          <w:tblLook w:val="04A0"/>
        </w:tblPrEx>
        <w:trPr>
          <w:trHeight w:val="225"/>
        </w:trPr>
        <w:tc>
          <w:tcPr>
            <w:tcW w:w="4220" w:type="dxa"/>
            <w:tcBorders>
              <w:top w:val="nil"/>
              <w:left w:val="single" w:sz="4" w:space="0" w:color="auto"/>
              <w:bottom w:val="single" w:sz="4" w:space="0" w:color="auto"/>
              <w:right w:val="single" w:sz="4" w:space="0" w:color="auto"/>
            </w:tcBorders>
            <w:shd w:val="clear" w:color="auto" w:fill="auto"/>
            <w:vAlign w:val="bottom"/>
            <w:hideMark/>
          </w:tcPr>
          <w:p w:rsidR="003239C1" w:rsidRPr="003239C1" w:rsidP="003239C1">
            <w:pPr>
              <w:spacing w:after="0" w:line="240" w:lineRule="auto"/>
              <w:rPr>
                <w:rFonts w:ascii="Arial" w:eastAsia="Times New Roman" w:hAnsi="Arial" w:cs="Arial"/>
                <w:sz w:val="16"/>
                <w:szCs w:val="16"/>
                <w:lang w:eastAsia="en-GB"/>
              </w:rPr>
            </w:pPr>
            <w:r w:rsidRPr="003239C1">
              <w:rPr>
                <w:rFonts w:ascii="Arial" w:eastAsia="Times New Roman" w:hAnsi="Arial" w:cs="Arial"/>
                <w:sz w:val="16"/>
                <w:szCs w:val="16"/>
                <w:lang w:eastAsia="en-GB"/>
              </w:rPr>
              <w:t>Single Source Regulations Office</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6.350 </w:t>
            </w:r>
          </w:p>
        </w:tc>
        <w:tc>
          <w:tcPr>
            <w:tcW w:w="980" w:type="dxa"/>
            <w:tcBorders>
              <w:top w:val="nil"/>
              <w:left w:val="nil"/>
              <w:bottom w:val="single" w:sz="4"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w:t>
            </w:r>
          </w:p>
        </w:tc>
      </w:tr>
      <w:tr w:rsidTr="003239C1">
        <w:tblPrEx>
          <w:tblW w:w="6180" w:type="dxa"/>
          <w:tblLook w:val="04A0"/>
        </w:tblPrEx>
        <w:trPr>
          <w:trHeight w:val="459"/>
        </w:trPr>
        <w:tc>
          <w:tcPr>
            <w:tcW w:w="4220" w:type="dxa"/>
            <w:tcBorders>
              <w:top w:val="nil"/>
              <w:left w:val="single" w:sz="4" w:space="0" w:color="auto"/>
              <w:bottom w:val="single" w:sz="4" w:space="0" w:color="auto"/>
              <w:right w:val="single" w:sz="4" w:space="0" w:color="auto"/>
            </w:tcBorders>
            <w:shd w:val="clear" w:color="auto" w:fill="auto"/>
            <w:vAlign w:val="bottom"/>
            <w:hideMark/>
          </w:tcPr>
          <w:p w:rsidR="003239C1" w:rsidRPr="003239C1" w:rsidP="003239C1">
            <w:pPr>
              <w:spacing w:after="0" w:line="240" w:lineRule="auto"/>
              <w:rPr>
                <w:rFonts w:ascii="Arial" w:eastAsia="Times New Roman" w:hAnsi="Arial" w:cs="Arial"/>
                <w:sz w:val="16"/>
                <w:szCs w:val="16"/>
                <w:lang w:eastAsia="en-GB"/>
              </w:rPr>
            </w:pPr>
            <w:r w:rsidRPr="003239C1">
              <w:rPr>
                <w:rFonts w:ascii="Arial" w:eastAsia="Times New Roman" w:hAnsi="Arial" w:cs="Arial"/>
                <w:sz w:val="16"/>
                <w:szCs w:val="16"/>
                <w:lang w:eastAsia="en-GB"/>
              </w:rPr>
              <w:t>Territorial, Auxiliary and Volunteer Reserve Associations established under s 110 of the Reserve Act</w:t>
            </w:r>
          </w:p>
        </w:tc>
        <w:tc>
          <w:tcPr>
            <w:tcW w:w="980" w:type="dxa"/>
            <w:tcBorders>
              <w:top w:val="nil"/>
              <w:left w:val="nil"/>
              <w:bottom w:val="single" w:sz="4" w:space="0" w:color="auto"/>
              <w:right w:val="single" w:sz="4" w:space="0" w:color="auto"/>
            </w:tcBorders>
            <w:shd w:val="clear" w:color="auto" w:fill="auto"/>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95.363 </w:t>
            </w:r>
          </w:p>
        </w:tc>
        <w:tc>
          <w:tcPr>
            <w:tcW w:w="980" w:type="dxa"/>
            <w:tcBorders>
              <w:top w:val="nil"/>
              <w:left w:val="nil"/>
              <w:bottom w:val="single" w:sz="4" w:space="0" w:color="auto"/>
              <w:right w:val="single" w:sz="4" w:space="0" w:color="auto"/>
            </w:tcBorders>
            <w:shd w:val="clear" w:color="auto" w:fill="auto"/>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2.440 </w:t>
            </w:r>
          </w:p>
        </w:tc>
      </w:tr>
      <w:tr w:rsidTr="003239C1">
        <w:tblPrEx>
          <w:tblW w:w="6180" w:type="dxa"/>
          <w:tblLook w:val="04A0"/>
        </w:tblPrEx>
        <w:trPr>
          <w:trHeight w:val="225"/>
        </w:trPr>
        <w:tc>
          <w:tcPr>
            <w:tcW w:w="4220" w:type="dxa"/>
            <w:tcBorders>
              <w:top w:val="nil"/>
              <w:left w:val="single" w:sz="4" w:space="0" w:color="auto"/>
              <w:bottom w:val="single" w:sz="4" w:space="0" w:color="auto"/>
              <w:right w:val="single" w:sz="4" w:space="0" w:color="auto"/>
            </w:tcBorders>
            <w:shd w:val="clear" w:color="000000" w:fill="DAEEF3"/>
            <w:vAlign w:val="center"/>
            <w:hideMark/>
          </w:tcPr>
          <w:p w:rsidR="003239C1" w:rsidRPr="003239C1" w:rsidP="003239C1">
            <w:pPr>
              <w:spacing w:after="0" w:line="240" w:lineRule="auto"/>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Total</w:t>
            </w:r>
          </w:p>
        </w:tc>
        <w:tc>
          <w:tcPr>
            <w:tcW w:w="980" w:type="dxa"/>
            <w:tcBorders>
              <w:top w:val="nil"/>
              <w:left w:val="nil"/>
              <w:bottom w:val="single" w:sz="4" w:space="0" w:color="auto"/>
              <w:right w:val="single" w:sz="4" w:space="0" w:color="auto"/>
            </w:tcBorders>
            <w:shd w:val="clear" w:color="000000" w:fill="DAEEF3"/>
            <w:vAlign w:val="center"/>
            <w:hideMark/>
          </w:tcPr>
          <w:p w:rsidR="003239C1" w:rsidRPr="003239C1" w:rsidP="003239C1">
            <w:pPr>
              <w:spacing w:after="0" w:line="240" w:lineRule="auto"/>
              <w:jc w:val="right"/>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 xml:space="preserve"> 205.565 </w:t>
            </w:r>
          </w:p>
        </w:tc>
        <w:tc>
          <w:tcPr>
            <w:tcW w:w="980" w:type="dxa"/>
            <w:tcBorders>
              <w:top w:val="nil"/>
              <w:left w:val="nil"/>
              <w:bottom w:val="single" w:sz="4" w:space="0" w:color="auto"/>
              <w:right w:val="single" w:sz="4" w:space="0" w:color="auto"/>
            </w:tcBorders>
            <w:shd w:val="clear" w:color="000000" w:fill="DAEEF3"/>
            <w:vAlign w:val="center"/>
            <w:hideMark/>
          </w:tcPr>
          <w:p w:rsidR="003239C1" w:rsidRPr="003239C1" w:rsidP="003239C1">
            <w:pPr>
              <w:spacing w:after="0" w:line="240" w:lineRule="auto"/>
              <w:jc w:val="right"/>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 xml:space="preserve"> 2.568 </w:t>
            </w:r>
          </w:p>
        </w:tc>
      </w:tr>
    </w:tbl>
    <w:p w:rsidR="00BF529C" w:rsidP="00CE343E">
      <w:pPr>
        <w:rPr>
          <w:lang w:eastAsia="en-GB"/>
        </w:rPr>
      </w:pPr>
    </w:p>
    <w:p w:rsidR="003239C1" w:rsidP="00CE343E">
      <w:pPr>
        <w:rPr>
          <w:lang w:eastAsia="en-GB"/>
        </w:rPr>
      </w:pPr>
    </w:p>
    <w:p w:rsidR="003239C1" w:rsidP="00CE343E">
      <w:pPr>
        <w:rPr>
          <w:lang w:eastAsia="en-GB"/>
        </w:rPr>
      </w:pPr>
    </w:p>
    <w:p w:rsidR="003239C1" w:rsidP="00CE343E">
      <w:pPr>
        <w:rPr>
          <w:lang w:eastAsia="en-GB"/>
        </w:rPr>
      </w:pPr>
    </w:p>
    <w:p w:rsidR="003239C1" w:rsidP="00CE343E">
      <w:pPr>
        <w:rPr>
          <w:lang w:eastAsia="en-GB"/>
        </w:rPr>
      </w:pPr>
    </w:p>
    <w:p w:rsidR="003239C1" w:rsidP="00CE343E">
      <w:pPr>
        <w:rPr>
          <w:lang w:eastAsia="en-GB"/>
        </w:rPr>
      </w:pPr>
    </w:p>
    <w:p w:rsidR="003D7FEB" w:rsidRPr="001110F1" w:rsidP="003D7FEB">
      <w:pPr>
        <w:pStyle w:val="Heading2"/>
        <w:rPr>
          <w:rFonts w:asciiTheme="minorHAnsi" w:hAnsiTheme="minorHAnsi"/>
        </w:rPr>
      </w:pPr>
      <w:r w:rsidRPr="001110F1">
        <w:rPr>
          <w:rFonts w:asciiTheme="minorHAnsi" w:hAnsiTheme="minorHAnsi"/>
        </w:rPr>
        <w:t>Operations</w:t>
      </w:r>
    </w:p>
    <w:p w:rsidR="00D11B1B" w:rsidP="00FC0FF4">
      <w:pPr>
        <w:rPr>
          <w:rFonts w:cs="Arial"/>
        </w:rPr>
      </w:pPr>
      <w:r>
        <w:rPr>
          <w:rFonts w:cs="Arial"/>
        </w:rPr>
        <w:t xml:space="preserve">The MOD’s total </w:t>
      </w:r>
      <w:r w:rsidR="00954430">
        <w:rPr>
          <w:rFonts w:cs="Arial"/>
        </w:rPr>
        <w:t xml:space="preserve">net </w:t>
      </w:r>
      <w:r w:rsidR="0085277E">
        <w:rPr>
          <w:rFonts w:cs="Arial"/>
        </w:rPr>
        <w:t>additional costs of military operations</w:t>
      </w:r>
      <w:r w:rsidR="00127803">
        <w:rPr>
          <w:rFonts w:cs="Arial"/>
        </w:rPr>
        <w:t xml:space="preserve"> and peacekeeping is</w:t>
      </w:r>
      <w:r w:rsidR="00E26BEB">
        <w:rPr>
          <w:rFonts w:cs="Arial"/>
        </w:rPr>
        <w:t xml:space="preserve"> set out </w:t>
      </w:r>
      <w:r>
        <w:rPr>
          <w:rFonts w:cs="Arial"/>
        </w:rPr>
        <w:t xml:space="preserve">in Table </w:t>
      </w:r>
      <w:r w:rsidR="00FC0FF4">
        <w:rPr>
          <w:rFonts w:cs="Arial"/>
        </w:rPr>
        <w:t>1</w:t>
      </w:r>
      <w:r w:rsidR="00CA5FA4">
        <w:rPr>
          <w:rFonts w:cs="Arial"/>
        </w:rPr>
        <w:t>3</w:t>
      </w:r>
      <w:r w:rsidR="008E733B">
        <w:rPr>
          <w:rFonts w:cs="Arial"/>
        </w:rPr>
        <w:t xml:space="preserve"> below</w:t>
      </w:r>
      <w:r>
        <w:rPr>
          <w:rFonts w:cs="Arial"/>
        </w:rPr>
        <w:t>.</w:t>
      </w:r>
    </w:p>
    <w:tbl>
      <w:tblPr>
        <w:tblW w:w="8660" w:type="dxa"/>
        <w:tblLook w:val="04A0"/>
      </w:tblPr>
      <w:tblGrid>
        <w:gridCol w:w="1078"/>
        <w:gridCol w:w="3760"/>
        <w:gridCol w:w="957"/>
        <w:gridCol w:w="957"/>
        <w:gridCol w:w="952"/>
        <w:gridCol w:w="956"/>
      </w:tblGrid>
      <w:tr w:rsidTr="003239C1">
        <w:tblPrEx>
          <w:tblW w:w="8660" w:type="dxa"/>
          <w:tblLook w:val="04A0"/>
        </w:tblPrEx>
        <w:trPr>
          <w:trHeight w:val="276"/>
        </w:trPr>
        <w:tc>
          <w:tcPr>
            <w:tcW w:w="8660" w:type="dxa"/>
            <w:gridSpan w:val="6"/>
            <w:tcBorders>
              <w:top w:val="nil"/>
              <w:left w:val="nil"/>
              <w:bottom w:val="nil"/>
              <w:right w:val="nil"/>
            </w:tcBorders>
            <w:shd w:val="clear" w:color="auto" w:fill="auto"/>
            <w:vAlign w:val="bottom"/>
            <w:hideMark/>
          </w:tcPr>
          <w:p w:rsidR="003239C1" w:rsidRPr="00CA090C" w:rsidP="008E05E0">
            <w:pPr>
              <w:spacing w:after="0" w:line="240" w:lineRule="auto"/>
              <w:ind w:left="-108"/>
              <w:rPr>
                <w:rFonts w:ascii="Arial" w:eastAsia="Times New Roman" w:hAnsi="Arial" w:cs="Arial"/>
                <w:b/>
                <w:bCs/>
                <w:sz w:val="20"/>
                <w:szCs w:val="20"/>
                <w:lang w:eastAsia="en-GB"/>
              </w:rPr>
            </w:pPr>
            <w:r w:rsidRPr="00CA090C">
              <w:rPr>
                <w:rFonts w:ascii="Arial" w:eastAsia="Times New Roman" w:hAnsi="Arial" w:cs="Arial"/>
                <w:b/>
                <w:bCs/>
                <w:sz w:val="20"/>
                <w:szCs w:val="20"/>
                <w:lang w:eastAsia="en-GB"/>
              </w:rPr>
              <w:t>Table 13: Supplementary Estimate total sought for MOD compare with Main Estimate</w:t>
            </w:r>
          </w:p>
        </w:tc>
      </w:tr>
      <w:tr w:rsidTr="003239C1">
        <w:tblPrEx>
          <w:tblW w:w="8660" w:type="dxa"/>
          <w:tblLook w:val="04A0"/>
        </w:tblPrEx>
        <w:trPr>
          <w:trHeight w:val="480"/>
        </w:trPr>
        <w:tc>
          <w:tcPr>
            <w:tcW w:w="4740" w:type="dxa"/>
            <w:gridSpan w:val="2"/>
            <w:tcBorders>
              <w:top w:val="single" w:sz="8" w:space="0" w:color="auto"/>
              <w:left w:val="single" w:sz="8" w:space="0" w:color="auto"/>
              <w:bottom w:val="nil"/>
              <w:right w:val="nil"/>
            </w:tcBorders>
            <w:shd w:val="clear" w:color="000000" w:fill="DAEEF3"/>
            <w:vAlign w:val="center"/>
            <w:hideMark/>
          </w:tcPr>
          <w:p w:rsidR="003239C1" w:rsidRPr="003239C1" w:rsidP="003239C1">
            <w:pPr>
              <w:spacing w:after="0" w:line="240" w:lineRule="auto"/>
              <w:jc w:val="center"/>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Operations and Peacekeeping</w:t>
            </w:r>
          </w:p>
        </w:tc>
        <w:tc>
          <w:tcPr>
            <w:tcW w:w="980" w:type="dxa"/>
            <w:tcBorders>
              <w:top w:val="single" w:sz="8" w:space="0" w:color="auto"/>
              <w:left w:val="single" w:sz="4" w:space="0" w:color="auto"/>
              <w:bottom w:val="single" w:sz="4" w:space="0" w:color="auto"/>
              <w:right w:val="single" w:sz="4" w:space="0" w:color="auto"/>
            </w:tcBorders>
            <w:shd w:val="clear" w:color="000000" w:fill="DAEEF3"/>
            <w:vAlign w:val="center"/>
            <w:hideMark/>
          </w:tcPr>
          <w:p w:rsidR="003239C1" w:rsidRPr="003239C1" w:rsidP="003239C1">
            <w:pPr>
              <w:spacing w:after="0" w:line="240" w:lineRule="auto"/>
              <w:jc w:val="center"/>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2020-21</w:t>
            </w:r>
            <w:r w:rsidRPr="003239C1">
              <w:rPr>
                <w:rFonts w:ascii="Arial" w:eastAsia="Times New Roman" w:hAnsi="Arial" w:cs="Arial"/>
                <w:b/>
                <w:bCs/>
                <w:sz w:val="18"/>
                <w:szCs w:val="18"/>
                <w:lang w:eastAsia="en-GB"/>
              </w:rPr>
              <w:br/>
              <w:t>SE</w:t>
            </w:r>
          </w:p>
        </w:tc>
        <w:tc>
          <w:tcPr>
            <w:tcW w:w="980" w:type="dxa"/>
            <w:tcBorders>
              <w:top w:val="single" w:sz="8" w:space="0" w:color="auto"/>
              <w:left w:val="nil"/>
              <w:bottom w:val="single" w:sz="4" w:space="0" w:color="auto"/>
              <w:right w:val="single" w:sz="4" w:space="0" w:color="auto"/>
            </w:tcBorders>
            <w:shd w:val="clear" w:color="000000" w:fill="DAEEF3"/>
            <w:vAlign w:val="center"/>
            <w:hideMark/>
          </w:tcPr>
          <w:p w:rsidR="003239C1" w:rsidRPr="003239C1" w:rsidP="003239C1">
            <w:pPr>
              <w:spacing w:after="0" w:line="240" w:lineRule="auto"/>
              <w:jc w:val="center"/>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2020-21</w:t>
            </w:r>
            <w:r w:rsidRPr="003239C1">
              <w:rPr>
                <w:rFonts w:ascii="Arial" w:eastAsia="Times New Roman" w:hAnsi="Arial" w:cs="Arial"/>
                <w:b/>
                <w:bCs/>
                <w:sz w:val="18"/>
                <w:szCs w:val="18"/>
                <w:lang w:eastAsia="en-GB"/>
              </w:rPr>
              <w:br/>
              <w:t>ME</w:t>
            </w:r>
          </w:p>
        </w:tc>
        <w:tc>
          <w:tcPr>
            <w:tcW w:w="1960" w:type="dxa"/>
            <w:gridSpan w:val="2"/>
            <w:tcBorders>
              <w:top w:val="single" w:sz="8" w:space="0" w:color="auto"/>
              <w:left w:val="nil"/>
              <w:bottom w:val="single" w:sz="4" w:space="0" w:color="auto"/>
              <w:right w:val="single" w:sz="8" w:space="0" w:color="000000"/>
            </w:tcBorders>
            <w:shd w:val="clear" w:color="000000" w:fill="DAEEF3"/>
            <w:vAlign w:val="center"/>
            <w:hideMark/>
          </w:tcPr>
          <w:p w:rsidR="003239C1" w:rsidRPr="003239C1" w:rsidP="003239C1">
            <w:pPr>
              <w:spacing w:after="0" w:line="240" w:lineRule="auto"/>
              <w:jc w:val="center"/>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Change from Main Estimate</w:t>
            </w:r>
            <w:r w:rsidRPr="003239C1">
              <w:rPr>
                <w:rFonts w:ascii="Arial" w:eastAsia="Times New Roman" w:hAnsi="Arial" w:cs="Arial"/>
                <w:b/>
                <w:bCs/>
                <w:sz w:val="18"/>
                <w:szCs w:val="18"/>
                <w:lang w:eastAsia="en-GB"/>
              </w:rPr>
              <w:br/>
              <w:t>last year</w:t>
            </w:r>
          </w:p>
        </w:tc>
      </w:tr>
      <w:tr w:rsidTr="003239C1">
        <w:tblPrEx>
          <w:tblW w:w="8660" w:type="dxa"/>
          <w:tblLook w:val="04A0"/>
        </w:tblPrEx>
        <w:trPr>
          <w:trHeight w:val="276"/>
        </w:trPr>
        <w:tc>
          <w:tcPr>
            <w:tcW w:w="980" w:type="dxa"/>
            <w:tcBorders>
              <w:top w:val="single" w:sz="4" w:space="0" w:color="auto"/>
              <w:left w:val="single" w:sz="8" w:space="0" w:color="auto"/>
              <w:bottom w:val="single" w:sz="8" w:space="0" w:color="auto"/>
              <w:right w:val="single" w:sz="4" w:space="0" w:color="auto"/>
            </w:tcBorders>
            <w:shd w:val="clear" w:color="000000" w:fill="DAEEF3"/>
            <w:vAlign w:val="center"/>
            <w:hideMark/>
          </w:tcPr>
          <w:p w:rsidR="003239C1" w:rsidRPr="003239C1" w:rsidP="003239C1">
            <w:pPr>
              <w:spacing w:after="0" w:line="240" w:lineRule="auto"/>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Subheads</w:t>
            </w:r>
          </w:p>
        </w:tc>
        <w:tc>
          <w:tcPr>
            <w:tcW w:w="3760" w:type="dxa"/>
            <w:tcBorders>
              <w:top w:val="single" w:sz="4" w:space="0" w:color="auto"/>
              <w:left w:val="single" w:sz="8" w:space="0" w:color="auto"/>
              <w:bottom w:val="single" w:sz="8" w:space="0" w:color="auto"/>
              <w:right w:val="single" w:sz="4" w:space="0" w:color="auto"/>
            </w:tcBorders>
            <w:shd w:val="clear" w:color="000000" w:fill="DAEEF3"/>
            <w:vAlign w:val="center"/>
            <w:hideMark/>
          </w:tcPr>
          <w:p w:rsidR="003239C1" w:rsidRPr="003239C1" w:rsidP="003239C1">
            <w:pPr>
              <w:spacing w:after="0" w:line="240" w:lineRule="auto"/>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Commodity Block</w:t>
            </w:r>
          </w:p>
        </w:tc>
        <w:tc>
          <w:tcPr>
            <w:tcW w:w="980" w:type="dxa"/>
            <w:tcBorders>
              <w:top w:val="nil"/>
              <w:left w:val="nil"/>
              <w:bottom w:val="single" w:sz="8" w:space="0" w:color="auto"/>
              <w:right w:val="single" w:sz="4" w:space="0" w:color="auto"/>
            </w:tcBorders>
            <w:shd w:val="clear" w:color="000000" w:fill="DAEEF3"/>
            <w:vAlign w:val="center"/>
            <w:hideMark/>
          </w:tcPr>
          <w:p w:rsidR="003239C1" w:rsidRPr="003239C1" w:rsidP="003239C1">
            <w:pPr>
              <w:spacing w:after="0" w:line="240" w:lineRule="auto"/>
              <w:jc w:val="center"/>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£M</w:t>
            </w:r>
          </w:p>
        </w:tc>
        <w:tc>
          <w:tcPr>
            <w:tcW w:w="980" w:type="dxa"/>
            <w:tcBorders>
              <w:top w:val="nil"/>
              <w:left w:val="nil"/>
              <w:bottom w:val="single" w:sz="8" w:space="0" w:color="auto"/>
              <w:right w:val="single" w:sz="4" w:space="0" w:color="auto"/>
            </w:tcBorders>
            <w:shd w:val="clear" w:color="000000" w:fill="DAEEF3"/>
            <w:vAlign w:val="center"/>
            <w:hideMark/>
          </w:tcPr>
          <w:p w:rsidR="003239C1" w:rsidRPr="003239C1" w:rsidP="003239C1">
            <w:pPr>
              <w:spacing w:after="0" w:line="240" w:lineRule="auto"/>
              <w:jc w:val="center"/>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£M</w:t>
            </w:r>
          </w:p>
        </w:tc>
        <w:tc>
          <w:tcPr>
            <w:tcW w:w="980" w:type="dxa"/>
            <w:tcBorders>
              <w:top w:val="nil"/>
              <w:left w:val="nil"/>
              <w:bottom w:val="single" w:sz="8" w:space="0" w:color="auto"/>
              <w:right w:val="single" w:sz="4" w:space="0" w:color="auto"/>
            </w:tcBorders>
            <w:shd w:val="clear" w:color="000000" w:fill="DAEEF3"/>
            <w:vAlign w:val="center"/>
            <w:hideMark/>
          </w:tcPr>
          <w:p w:rsidR="003239C1" w:rsidRPr="003239C1" w:rsidP="003239C1">
            <w:pPr>
              <w:spacing w:after="0" w:line="240" w:lineRule="auto"/>
              <w:jc w:val="center"/>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£M</w:t>
            </w:r>
          </w:p>
        </w:tc>
        <w:tc>
          <w:tcPr>
            <w:tcW w:w="980" w:type="dxa"/>
            <w:tcBorders>
              <w:top w:val="nil"/>
              <w:left w:val="nil"/>
              <w:bottom w:val="single" w:sz="8" w:space="0" w:color="auto"/>
              <w:right w:val="single" w:sz="8" w:space="0" w:color="auto"/>
            </w:tcBorders>
            <w:shd w:val="clear" w:color="000000" w:fill="DAEEF3"/>
            <w:vAlign w:val="center"/>
            <w:hideMark/>
          </w:tcPr>
          <w:p w:rsidR="003239C1" w:rsidRPr="003239C1" w:rsidP="003239C1">
            <w:pPr>
              <w:spacing w:after="0" w:line="240" w:lineRule="auto"/>
              <w:jc w:val="center"/>
              <w:rPr>
                <w:rFonts w:ascii="Arial" w:eastAsia="Times New Roman" w:hAnsi="Arial" w:cs="Arial"/>
                <w:b/>
                <w:bCs/>
                <w:sz w:val="18"/>
                <w:szCs w:val="18"/>
                <w:lang w:eastAsia="en-GB"/>
              </w:rPr>
            </w:pPr>
            <w:r w:rsidRPr="003239C1">
              <w:rPr>
                <w:rFonts w:ascii="Arial" w:eastAsia="Times New Roman" w:hAnsi="Arial" w:cs="Arial"/>
                <w:b/>
                <w:bCs/>
                <w:sz w:val="18"/>
                <w:szCs w:val="18"/>
                <w:lang w:eastAsia="en-GB"/>
              </w:rPr>
              <w:t>%</w:t>
            </w:r>
          </w:p>
        </w:tc>
      </w:tr>
      <w:tr w:rsidTr="003239C1">
        <w:tblPrEx>
          <w:tblW w:w="8660" w:type="dxa"/>
          <w:tblLook w:val="04A0"/>
        </w:tblPrEx>
        <w:trPr>
          <w:trHeight w:val="264"/>
        </w:trPr>
        <w:tc>
          <w:tcPr>
            <w:tcW w:w="980" w:type="dxa"/>
            <w:tcBorders>
              <w:top w:val="nil"/>
              <w:left w:val="single" w:sz="8" w:space="0" w:color="auto"/>
              <w:bottom w:val="nil"/>
              <w:right w:val="single" w:sz="4" w:space="0" w:color="auto"/>
            </w:tcBorders>
            <w:shd w:val="clear" w:color="auto" w:fill="auto"/>
            <w:vAlign w:val="bottom"/>
            <w:hideMark/>
          </w:tcPr>
          <w:p w:rsidR="003239C1" w:rsidRPr="003239C1" w:rsidP="003239C1">
            <w:pPr>
              <w:spacing w:after="0" w:line="240" w:lineRule="auto"/>
              <w:jc w:val="center"/>
              <w:rPr>
                <w:rFonts w:ascii="Arial" w:eastAsia="Times New Roman" w:hAnsi="Arial" w:cs="Arial"/>
                <w:sz w:val="16"/>
                <w:szCs w:val="16"/>
                <w:lang w:eastAsia="en-GB"/>
              </w:rPr>
            </w:pPr>
            <w:r w:rsidRPr="003239C1">
              <w:rPr>
                <w:rFonts w:ascii="Arial" w:eastAsia="Times New Roman" w:hAnsi="Arial" w:cs="Arial"/>
                <w:sz w:val="16"/>
                <w:szCs w:val="16"/>
                <w:lang w:eastAsia="en-GB"/>
              </w:rPr>
              <w:t>Q-W</w:t>
            </w:r>
          </w:p>
        </w:tc>
        <w:tc>
          <w:tcPr>
            <w:tcW w:w="3760" w:type="dxa"/>
            <w:tcBorders>
              <w:top w:val="nil"/>
              <w:left w:val="single" w:sz="8" w:space="0" w:color="auto"/>
              <w:bottom w:val="nil"/>
              <w:right w:val="single" w:sz="4" w:space="0" w:color="auto"/>
            </w:tcBorders>
            <w:shd w:val="clear" w:color="auto" w:fill="auto"/>
            <w:vAlign w:val="bottom"/>
            <w:hideMark/>
          </w:tcPr>
          <w:p w:rsidR="003239C1" w:rsidRPr="003239C1" w:rsidP="003239C1">
            <w:pPr>
              <w:spacing w:after="0" w:line="240" w:lineRule="auto"/>
              <w:rPr>
                <w:rFonts w:ascii="Arial" w:eastAsia="Times New Roman" w:hAnsi="Arial" w:cs="Arial"/>
                <w:sz w:val="16"/>
                <w:szCs w:val="16"/>
                <w:lang w:eastAsia="en-GB"/>
              </w:rPr>
            </w:pPr>
            <w:r w:rsidRPr="003239C1">
              <w:rPr>
                <w:rFonts w:ascii="Arial" w:eastAsia="Times New Roman" w:hAnsi="Arial" w:cs="Arial"/>
                <w:sz w:val="16"/>
                <w:szCs w:val="16"/>
                <w:lang w:eastAsia="en-GB"/>
              </w:rPr>
              <w:t>Operations - RDEL</w:t>
            </w:r>
          </w:p>
        </w:tc>
        <w:tc>
          <w:tcPr>
            <w:tcW w:w="980" w:type="dxa"/>
            <w:tcBorders>
              <w:top w:val="nil"/>
              <w:left w:val="single" w:sz="8" w:space="0" w:color="auto"/>
              <w:bottom w:val="nil"/>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449.0 </w:t>
            </w:r>
          </w:p>
        </w:tc>
        <w:tc>
          <w:tcPr>
            <w:tcW w:w="980" w:type="dxa"/>
            <w:tcBorders>
              <w:top w:val="nil"/>
              <w:left w:val="single" w:sz="8" w:space="0" w:color="auto"/>
              <w:bottom w:val="nil"/>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312.0 </w:t>
            </w:r>
          </w:p>
        </w:tc>
        <w:tc>
          <w:tcPr>
            <w:tcW w:w="980" w:type="dxa"/>
            <w:tcBorders>
              <w:top w:val="nil"/>
              <w:left w:val="nil"/>
              <w:bottom w:val="nil"/>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137.0 </w:t>
            </w:r>
          </w:p>
        </w:tc>
        <w:tc>
          <w:tcPr>
            <w:tcW w:w="980" w:type="dxa"/>
            <w:tcBorders>
              <w:top w:val="nil"/>
              <w:left w:val="nil"/>
              <w:bottom w:val="single" w:sz="4" w:space="0" w:color="auto"/>
              <w:right w:val="single" w:sz="8"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43.9%</w:t>
            </w:r>
          </w:p>
        </w:tc>
      </w:tr>
      <w:tr w:rsidTr="003239C1">
        <w:tblPrEx>
          <w:tblW w:w="8660" w:type="dxa"/>
          <w:tblLook w:val="04A0"/>
        </w:tblPrEx>
        <w:trPr>
          <w:trHeight w:val="255"/>
        </w:trPr>
        <w:tc>
          <w:tcPr>
            <w:tcW w:w="980" w:type="dxa"/>
            <w:tcBorders>
              <w:top w:val="single" w:sz="4" w:space="0" w:color="auto"/>
              <w:left w:val="single" w:sz="8" w:space="0" w:color="auto"/>
              <w:bottom w:val="nil"/>
              <w:right w:val="single" w:sz="4" w:space="0" w:color="auto"/>
            </w:tcBorders>
            <w:shd w:val="clear" w:color="auto" w:fill="auto"/>
            <w:vAlign w:val="bottom"/>
            <w:hideMark/>
          </w:tcPr>
          <w:p w:rsidR="003239C1" w:rsidRPr="003239C1" w:rsidP="003239C1">
            <w:pPr>
              <w:spacing w:after="0" w:line="240" w:lineRule="auto"/>
              <w:jc w:val="center"/>
              <w:rPr>
                <w:rFonts w:ascii="Arial" w:eastAsia="Times New Roman" w:hAnsi="Arial" w:cs="Arial"/>
                <w:sz w:val="16"/>
                <w:szCs w:val="16"/>
                <w:lang w:eastAsia="en-GB"/>
              </w:rPr>
            </w:pPr>
            <w:r w:rsidRPr="003239C1">
              <w:rPr>
                <w:rFonts w:ascii="Arial" w:eastAsia="Times New Roman" w:hAnsi="Arial" w:cs="Arial"/>
                <w:sz w:val="16"/>
                <w:szCs w:val="16"/>
                <w:lang w:eastAsia="en-GB"/>
              </w:rPr>
              <w:t>X</w:t>
            </w:r>
          </w:p>
        </w:tc>
        <w:tc>
          <w:tcPr>
            <w:tcW w:w="3760" w:type="dxa"/>
            <w:tcBorders>
              <w:top w:val="single" w:sz="4" w:space="0" w:color="auto"/>
              <w:left w:val="single" w:sz="8" w:space="0" w:color="auto"/>
              <w:bottom w:val="nil"/>
              <w:right w:val="single" w:sz="4" w:space="0" w:color="auto"/>
            </w:tcBorders>
            <w:shd w:val="clear" w:color="auto" w:fill="auto"/>
            <w:vAlign w:val="bottom"/>
            <w:hideMark/>
          </w:tcPr>
          <w:p w:rsidR="003239C1" w:rsidRPr="003239C1" w:rsidP="003239C1">
            <w:pPr>
              <w:spacing w:after="0" w:line="240" w:lineRule="auto"/>
              <w:rPr>
                <w:rFonts w:ascii="Arial" w:eastAsia="Times New Roman" w:hAnsi="Arial" w:cs="Arial"/>
                <w:sz w:val="16"/>
                <w:szCs w:val="16"/>
                <w:lang w:eastAsia="en-GB"/>
              </w:rPr>
            </w:pPr>
            <w:r w:rsidRPr="003239C1">
              <w:rPr>
                <w:rFonts w:ascii="Arial" w:eastAsia="Times New Roman" w:hAnsi="Arial" w:cs="Arial"/>
                <w:sz w:val="16"/>
                <w:szCs w:val="16"/>
                <w:lang w:eastAsia="en-GB"/>
              </w:rPr>
              <w:t>Operations - Capital DEL</w:t>
            </w:r>
          </w:p>
        </w:tc>
        <w:tc>
          <w:tcPr>
            <w:tcW w:w="980" w:type="dxa"/>
            <w:tcBorders>
              <w:top w:val="single" w:sz="4" w:space="0" w:color="auto"/>
              <w:left w:val="single" w:sz="8" w:space="0" w:color="auto"/>
              <w:bottom w:val="nil"/>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29.9 </w:t>
            </w:r>
          </w:p>
        </w:tc>
        <w:tc>
          <w:tcPr>
            <w:tcW w:w="980" w:type="dxa"/>
            <w:tcBorders>
              <w:top w:val="single" w:sz="4" w:space="0" w:color="auto"/>
              <w:left w:val="single" w:sz="8" w:space="0" w:color="auto"/>
              <w:bottom w:val="nil"/>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18.0 </w:t>
            </w:r>
          </w:p>
        </w:tc>
        <w:tc>
          <w:tcPr>
            <w:tcW w:w="980" w:type="dxa"/>
            <w:tcBorders>
              <w:top w:val="single" w:sz="4" w:space="0" w:color="auto"/>
              <w:left w:val="nil"/>
              <w:bottom w:val="nil"/>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11.9 </w:t>
            </w:r>
          </w:p>
        </w:tc>
        <w:tc>
          <w:tcPr>
            <w:tcW w:w="980" w:type="dxa"/>
            <w:tcBorders>
              <w:top w:val="nil"/>
              <w:left w:val="nil"/>
              <w:bottom w:val="single" w:sz="4" w:space="0" w:color="auto"/>
              <w:right w:val="single" w:sz="8"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66.1%</w:t>
            </w:r>
          </w:p>
        </w:tc>
      </w:tr>
      <w:tr w:rsidTr="003239C1">
        <w:tblPrEx>
          <w:tblW w:w="8660" w:type="dxa"/>
          <w:tblLook w:val="04A0"/>
        </w:tblPrEx>
        <w:trPr>
          <w:trHeight w:val="255"/>
        </w:trPr>
        <w:tc>
          <w:tcPr>
            <w:tcW w:w="980" w:type="dxa"/>
            <w:tcBorders>
              <w:top w:val="single" w:sz="4" w:space="0" w:color="auto"/>
              <w:left w:val="single" w:sz="8" w:space="0" w:color="auto"/>
              <w:bottom w:val="single" w:sz="8" w:space="0" w:color="auto"/>
              <w:right w:val="single" w:sz="4" w:space="0" w:color="auto"/>
            </w:tcBorders>
            <w:shd w:val="clear" w:color="auto" w:fill="auto"/>
            <w:vAlign w:val="bottom"/>
            <w:hideMark/>
          </w:tcPr>
          <w:p w:rsidR="003239C1" w:rsidRPr="003239C1" w:rsidP="003239C1">
            <w:pPr>
              <w:spacing w:after="0" w:line="240" w:lineRule="auto"/>
              <w:jc w:val="center"/>
              <w:rPr>
                <w:rFonts w:ascii="Arial" w:eastAsia="Times New Roman" w:hAnsi="Arial" w:cs="Arial"/>
                <w:sz w:val="16"/>
                <w:szCs w:val="16"/>
                <w:lang w:eastAsia="en-GB"/>
              </w:rPr>
            </w:pPr>
            <w:r w:rsidRPr="003239C1">
              <w:rPr>
                <w:rFonts w:ascii="Arial" w:eastAsia="Times New Roman" w:hAnsi="Arial" w:cs="Arial"/>
                <w:sz w:val="16"/>
                <w:szCs w:val="16"/>
                <w:lang w:eastAsia="en-GB"/>
              </w:rPr>
              <w:t>AC</w:t>
            </w:r>
          </w:p>
        </w:tc>
        <w:tc>
          <w:tcPr>
            <w:tcW w:w="3760" w:type="dxa"/>
            <w:tcBorders>
              <w:top w:val="single" w:sz="4" w:space="0" w:color="auto"/>
              <w:left w:val="single" w:sz="8" w:space="0" w:color="auto"/>
              <w:bottom w:val="single" w:sz="8" w:space="0" w:color="auto"/>
              <w:right w:val="single" w:sz="4" w:space="0" w:color="auto"/>
            </w:tcBorders>
            <w:shd w:val="clear" w:color="auto" w:fill="auto"/>
            <w:vAlign w:val="bottom"/>
            <w:hideMark/>
          </w:tcPr>
          <w:p w:rsidR="003239C1" w:rsidRPr="003239C1" w:rsidP="003239C1">
            <w:pPr>
              <w:spacing w:after="0" w:line="240" w:lineRule="auto"/>
              <w:rPr>
                <w:rFonts w:ascii="Arial" w:eastAsia="Times New Roman" w:hAnsi="Arial" w:cs="Arial"/>
                <w:sz w:val="16"/>
                <w:szCs w:val="16"/>
                <w:lang w:eastAsia="en-GB"/>
              </w:rPr>
            </w:pPr>
            <w:r w:rsidRPr="003239C1">
              <w:rPr>
                <w:rFonts w:ascii="Arial" w:eastAsia="Times New Roman" w:hAnsi="Arial" w:cs="Arial"/>
                <w:sz w:val="16"/>
                <w:szCs w:val="16"/>
                <w:lang w:eastAsia="en-GB"/>
              </w:rPr>
              <w:t>Conflict, Stability and Security Fund</w:t>
            </w:r>
          </w:p>
        </w:tc>
        <w:tc>
          <w:tcPr>
            <w:tcW w:w="980" w:type="dxa"/>
            <w:tcBorders>
              <w:top w:val="single" w:sz="4" w:space="0" w:color="auto"/>
              <w:left w:val="single" w:sz="8" w:space="0" w:color="auto"/>
              <w:bottom w:val="single" w:sz="8"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88.7 </w:t>
            </w:r>
          </w:p>
        </w:tc>
        <w:tc>
          <w:tcPr>
            <w:tcW w:w="980" w:type="dxa"/>
            <w:tcBorders>
              <w:top w:val="single" w:sz="4" w:space="0" w:color="auto"/>
              <w:left w:val="single" w:sz="8" w:space="0" w:color="auto"/>
              <w:bottom w:val="single" w:sz="8"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85.6 </w:t>
            </w:r>
          </w:p>
        </w:tc>
        <w:tc>
          <w:tcPr>
            <w:tcW w:w="980" w:type="dxa"/>
            <w:tcBorders>
              <w:top w:val="single" w:sz="4" w:space="0" w:color="auto"/>
              <w:left w:val="nil"/>
              <w:bottom w:val="single" w:sz="8" w:space="0" w:color="auto"/>
              <w:right w:val="single" w:sz="4"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 xml:space="preserve"> 3.1 </w:t>
            </w:r>
          </w:p>
        </w:tc>
        <w:tc>
          <w:tcPr>
            <w:tcW w:w="980" w:type="dxa"/>
            <w:tcBorders>
              <w:top w:val="nil"/>
              <w:left w:val="nil"/>
              <w:bottom w:val="single" w:sz="8" w:space="0" w:color="auto"/>
              <w:right w:val="single" w:sz="8" w:space="0" w:color="auto"/>
            </w:tcBorders>
            <w:shd w:val="clear" w:color="auto" w:fill="auto"/>
            <w:vAlign w:val="bottom"/>
            <w:hideMark/>
          </w:tcPr>
          <w:p w:rsidR="003239C1" w:rsidRPr="003239C1" w:rsidP="003239C1">
            <w:pPr>
              <w:spacing w:after="0" w:line="240" w:lineRule="auto"/>
              <w:jc w:val="right"/>
              <w:rPr>
                <w:rFonts w:ascii="Arial" w:eastAsia="Times New Roman" w:hAnsi="Arial" w:cs="Arial"/>
                <w:sz w:val="16"/>
                <w:szCs w:val="16"/>
                <w:lang w:eastAsia="en-GB"/>
              </w:rPr>
            </w:pPr>
            <w:r w:rsidRPr="003239C1">
              <w:rPr>
                <w:rFonts w:ascii="Arial" w:eastAsia="Times New Roman" w:hAnsi="Arial" w:cs="Arial"/>
                <w:sz w:val="16"/>
                <w:szCs w:val="16"/>
                <w:lang w:eastAsia="en-GB"/>
              </w:rPr>
              <w:t>3.6%</w:t>
            </w:r>
          </w:p>
        </w:tc>
      </w:tr>
      <w:tr w:rsidTr="003239C1">
        <w:tblPrEx>
          <w:tblW w:w="8660" w:type="dxa"/>
          <w:tblLook w:val="04A0"/>
        </w:tblPrEx>
        <w:trPr>
          <w:trHeight w:val="276"/>
        </w:trPr>
        <w:tc>
          <w:tcPr>
            <w:tcW w:w="980" w:type="dxa"/>
            <w:tcBorders>
              <w:top w:val="nil"/>
              <w:left w:val="nil"/>
              <w:bottom w:val="nil"/>
              <w:right w:val="nil"/>
            </w:tcBorders>
            <w:shd w:val="clear" w:color="auto" w:fill="auto"/>
            <w:noWrap/>
            <w:vAlign w:val="bottom"/>
            <w:hideMark/>
          </w:tcPr>
          <w:p w:rsidR="003239C1" w:rsidRPr="003239C1" w:rsidP="003239C1">
            <w:pPr>
              <w:spacing w:after="0" w:line="240" w:lineRule="auto"/>
              <w:jc w:val="right"/>
              <w:rPr>
                <w:rFonts w:ascii="Arial" w:eastAsia="Times New Roman" w:hAnsi="Arial" w:cs="Arial"/>
                <w:sz w:val="16"/>
                <w:szCs w:val="16"/>
                <w:lang w:eastAsia="en-GB"/>
              </w:rPr>
            </w:pPr>
          </w:p>
        </w:tc>
        <w:tc>
          <w:tcPr>
            <w:tcW w:w="3760" w:type="dxa"/>
            <w:tcBorders>
              <w:top w:val="nil"/>
              <w:left w:val="nil"/>
              <w:bottom w:val="nil"/>
              <w:right w:val="nil"/>
            </w:tcBorders>
            <w:shd w:val="clear" w:color="auto" w:fill="auto"/>
            <w:noWrap/>
            <w:vAlign w:val="bottom"/>
            <w:hideMark/>
          </w:tcPr>
          <w:p w:rsidR="003239C1" w:rsidRPr="003239C1" w:rsidP="003239C1">
            <w:pPr>
              <w:spacing w:after="0" w:line="240" w:lineRule="auto"/>
              <w:rPr>
                <w:rFonts w:ascii="Times New Roman" w:eastAsia="Times New Roman" w:hAnsi="Times New Roman" w:cs="Times New Roman"/>
                <w:sz w:val="20"/>
                <w:szCs w:val="20"/>
                <w:lang w:eastAsia="en-GB"/>
              </w:rPr>
            </w:pPr>
          </w:p>
        </w:tc>
        <w:tc>
          <w:tcPr>
            <w:tcW w:w="980" w:type="dxa"/>
            <w:tcBorders>
              <w:top w:val="nil"/>
              <w:left w:val="single" w:sz="8" w:space="0" w:color="auto"/>
              <w:bottom w:val="single" w:sz="8" w:space="0" w:color="auto"/>
              <w:right w:val="single" w:sz="4" w:space="0" w:color="auto"/>
            </w:tcBorders>
            <w:shd w:val="clear" w:color="000000" w:fill="DAEEF3"/>
            <w:vAlign w:val="bottom"/>
            <w:hideMark/>
          </w:tcPr>
          <w:p w:rsidR="003239C1" w:rsidRPr="003239C1" w:rsidP="003239C1">
            <w:pPr>
              <w:spacing w:after="0" w:line="240" w:lineRule="auto"/>
              <w:jc w:val="right"/>
              <w:rPr>
                <w:rFonts w:ascii="Arial" w:eastAsia="Times New Roman" w:hAnsi="Arial" w:cs="Arial"/>
                <w:b/>
                <w:bCs/>
                <w:sz w:val="16"/>
                <w:szCs w:val="16"/>
                <w:lang w:eastAsia="en-GB"/>
              </w:rPr>
            </w:pPr>
            <w:r w:rsidRPr="003239C1">
              <w:rPr>
                <w:rFonts w:ascii="Arial" w:eastAsia="Times New Roman" w:hAnsi="Arial" w:cs="Arial"/>
                <w:b/>
                <w:bCs/>
                <w:sz w:val="16"/>
                <w:szCs w:val="16"/>
                <w:lang w:eastAsia="en-GB"/>
              </w:rPr>
              <w:t xml:space="preserve"> 567.5 </w:t>
            </w:r>
          </w:p>
        </w:tc>
        <w:tc>
          <w:tcPr>
            <w:tcW w:w="980" w:type="dxa"/>
            <w:tcBorders>
              <w:top w:val="nil"/>
              <w:left w:val="single" w:sz="8" w:space="0" w:color="auto"/>
              <w:bottom w:val="single" w:sz="8" w:space="0" w:color="auto"/>
              <w:right w:val="single" w:sz="4" w:space="0" w:color="auto"/>
            </w:tcBorders>
            <w:shd w:val="clear" w:color="000000" w:fill="DAEEF3"/>
            <w:vAlign w:val="bottom"/>
            <w:hideMark/>
          </w:tcPr>
          <w:p w:rsidR="003239C1" w:rsidRPr="003239C1" w:rsidP="003239C1">
            <w:pPr>
              <w:spacing w:after="0" w:line="240" w:lineRule="auto"/>
              <w:jc w:val="right"/>
              <w:rPr>
                <w:rFonts w:ascii="Arial" w:eastAsia="Times New Roman" w:hAnsi="Arial" w:cs="Arial"/>
                <w:b/>
                <w:bCs/>
                <w:sz w:val="16"/>
                <w:szCs w:val="16"/>
                <w:lang w:eastAsia="en-GB"/>
              </w:rPr>
            </w:pPr>
            <w:r w:rsidRPr="003239C1">
              <w:rPr>
                <w:rFonts w:ascii="Arial" w:eastAsia="Times New Roman" w:hAnsi="Arial" w:cs="Arial"/>
                <w:b/>
                <w:bCs/>
                <w:sz w:val="16"/>
                <w:szCs w:val="16"/>
                <w:lang w:eastAsia="en-GB"/>
              </w:rPr>
              <w:t xml:space="preserve"> 415.6 </w:t>
            </w:r>
          </w:p>
        </w:tc>
        <w:tc>
          <w:tcPr>
            <w:tcW w:w="980" w:type="dxa"/>
            <w:tcBorders>
              <w:top w:val="nil"/>
              <w:left w:val="nil"/>
              <w:bottom w:val="single" w:sz="8" w:space="0" w:color="auto"/>
              <w:right w:val="single" w:sz="4" w:space="0" w:color="auto"/>
            </w:tcBorders>
            <w:shd w:val="clear" w:color="000000" w:fill="DAEEF3"/>
            <w:vAlign w:val="bottom"/>
            <w:hideMark/>
          </w:tcPr>
          <w:p w:rsidR="003239C1" w:rsidRPr="003239C1" w:rsidP="003239C1">
            <w:pPr>
              <w:spacing w:after="0" w:line="240" w:lineRule="auto"/>
              <w:jc w:val="right"/>
              <w:rPr>
                <w:rFonts w:ascii="Arial" w:eastAsia="Times New Roman" w:hAnsi="Arial" w:cs="Arial"/>
                <w:b/>
                <w:bCs/>
                <w:sz w:val="16"/>
                <w:szCs w:val="16"/>
                <w:lang w:eastAsia="en-GB"/>
              </w:rPr>
            </w:pPr>
            <w:r w:rsidRPr="003239C1">
              <w:rPr>
                <w:rFonts w:ascii="Arial" w:eastAsia="Times New Roman" w:hAnsi="Arial" w:cs="Arial"/>
                <w:b/>
                <w:bCs/>
                <w:sz w:val="16"/>
                <w:szCs w:val="16"/>
                <w:lang w:eastAsia="en-GB"/>
              </w:rPr>
              <w:t xml:space="preserve"> 152.0 </w:t>
            </w:r>
          </w:p>
        </w:tc>
        <w:tc>
          <w:tcPr>
            <w:tcW w:w="980" w:type="dxa"/>
            <w:tcBorders>
              <w:top w:val="nil"/>
              <w:left w:val="nil"/>
              <w:bottom w:val="single" w:sz="8" w:space="0" w:color="auto"/>
              <w:right w:val="single" w:sz="8" w:space="0" w:color="auto"/>
            </w:tcBorders>
            <w:shd w:val="clear" w:color="000000" w:fill="DAEEF3"/>
            <w:vAlign w:val="bottom"/>
            <w:hideMark/>
          </w:tcPr>
          <w:p w:rsidR="003239C1" w:rsidRPr="003239C1" w:rsidP="003239C1">
            <w:pPr>
              <w:spacing w:after="0" w:line="240" w:lineRule="auto"/>
              <w:jc w:val="right"/>
              <w:rPr>
                <w:rFonts w:ascii="Arial" w:eastAsia="Times New Roman" w:hAnsi="Arial" w:cs="Arial"/>
                <w:b/>
                <w:bCs/>
                <w:sz w:val="16"/>
                <w:szCs w:val="16"/>
                <w:lang w:eastAsia="en-GB"/>
              </w:rPr>
            </w:pPr>
            <w:r w:rsidRPr="003239C1">
              <w:rPr>
                <w:rFonts w:ascii="Arial" w:eastAsia="Times New Roman" w:hAnsi="Arial" w:cs="Arial"/>
                <w:b/>
                <w:bCs/>
                <w:sz w:val="16"/>
                <w:szCs w:val="16"/>
                <w:lang w:eastAsia="en-GB"/>
              </w:rPr>
              <w:t>26.8%</w:t>
            </w:r>
          </w:p>
        </w:tc>
      </w:tr>
    </w:tbl>
    <w:p w:rsidR="003239C1" w:rsidP="00FC0FF4">
      <w:pPr>
        <w:rPr>
          <w:rFonts w:cs="Arial"/>
        </w:rPr>
      </w:pPr>
    </w:p>
    <w:p w:rsidR="00FC0FF4" w:rsidRPr="008E05E0" w:rsidP="001110F1">
      <w:pPr>
        <w:ind w:right="113"/>
        <w:jc w:val="both"/>
        <w:mirrorIndents/>
        <w:rPr>
          <w:rFonts w:cs="Arial"/>
        </w:rPr>
      </w:pPr>
      <w:r w:rsidRPr="008E05E0">
        <w:rPr>
          <w:rFonts w:cs="Arial"/>
        </w:rPr>
        <w:t>A total of £</w:t>
      </w:r>
      <w:r w:rsidRPr="008E05E0" w:rsidR="00630839">
        <w:rPr>
          <w:rFonts w:cs="Arial"/>
        </w:rPr>
        <w:t>568</w:t>
      </w:r>
      <w:r w:rsidRPr="008E05E0" w:rsidR="00D11B1B">
        <w:rPr>
          <w:rFonts w:cs="Arial"/>
        </w:rPr>
        <w:t>M</w:t>
      </w:r>
      <w:r w:rsidRPr="008E05E0" w:rsidR="00705EE6">
        <w:rPr>
          <w:rFonts w:cs="Arial"/>
        </w:rPr>
        <w:t xml:space="preserve"> in </w:t>
      </w:r>
      <w:r w:rsidRPr="008E05E0">
        <w:rPr>
          <w:rFonts w:cs="Arial"/>
        </w:rPr>
        <w:t>resources for Operations, Peacekeeping and the MOD’s share of the Conflict, Stability and Security Fund</w:t>
      </w:r>
      <w:r w:rsidRPr="008E05E0" w:rsidR="008F3A95">
        <w:rPr>
          <w:rFonts w:cs="Arial"/>
        </w:rPr>
        <w:t xml:space="preserve"> (CSSF</w:t>
      </w:r>
      <w:r w:rsidRPr="008E05E0">
        <w:rPr>
          <w:rFonts w:cs="Arial"/>
        </w:rPr>
        <w:t xml:space="preserve">) is requested. In line with previous years, and as agreed with HM Treasury, the MOD presents the initial cost of operations at Main Estimates and requests the full amount at Supplementary Estimates. </w:t>
      </w:r>
      <w:r w:rsidRPr="008E05E0" w:rsidR="008A3BE5">
        <w:rPr>
          <w:rFonts w:cs="Arial"/>
        </w:rPr>
        <w:t>Table 1</w:t>
      </w:r>
      <w:r w:rsidRPr="008E05E0" w:rsidR="002D2CAC">
        <w:rPr>
          <w:rFonts w:cs="Arial"/>
        </w:rPr>
        <w:t>3</w:t>
      </w:r>
      <w:r w:rsidRPr="008E05E0" w:rsidR="008A3BE5">
        <w:rPr>
          <w:rFonts w:cs="Arial"/>
        </w:rPr>
        <w:t xml:space="preserve"> </w:t>
      </w:r>
      <w:r w:rsidRPr="008E05E0" w:rsidR="00FF096A">
        <w:rPr>
          <w:rFonts w:cs="Arial"/>
        </w:rPr>
        <w:t xml:space="preserve">shows the full net additional costs </w:t>
      </w:r>
      <w:r w:rsidRPr="008E05E0" w:rsidR="00324583">
        <w:rPr>
          <w:rFonts w:cs="Arial"/>
        </w:rPr>
        <w:t>of operation</w:t>
      </w:r>
      <w:r w:rsidRPr="008E05E0" w:rsidR="001F2114">
        <w:rPr>
          <w:rFonts w:cs="Arial"/>
        </w:rPr>
        <w:t>s</w:t>
      </w:r>
      <w:r w:rsidRPr="008E05E0" w:rsidR="00324583">
        <w:rPr>
          <w:rFonts w:cs="Arial"/>
        </w:rPr>
        <w:t>, peacekeeping and CSSF</w:t>
      </w:r>
      <w:r w:rsidRPr="008E05E0" w:rsidR="005D6FD6">
        <w:rPr>
          <w:rFonts w:cs="Arial"/>
        </w:rPr>
        <w:t xml:space="preserve"> activities in 20</w:t>
      </w:r>
      <w:r w:rsidRPr="008E05E0" w:rsidR="00D11B1B">
        <w:rPr>
          <w:rFonts w:cs="Arial"/>
        </w:rPr>
        <w:t>20-21</w:t>
      </w:r>
      <w:r w:rsidRPr="008E05E0" w:rsidR="005D6FD6">
        <w:rPr>
          <w:rFonts w:cs="Arial"/>
        </w:rPr>
        <w:t xml:space="preserve">. The </w:t>
      </w:r>
      <w:r w:rsidRPr="008E05E0">
        <w:rPr>
          <w:rFonts w:cs="Arial"/>
        </w:rPr>
        <w:t xml:space="preserve">details of </w:t>
      </w:r>
      <w:r w:rsidRPr="008E05E0" w:rsidR="00CB3804">
        <w:rPr>
          <w:rFonts w:cs="Arial"/>
        </w:rPr>
        <w:t xml:space="preserve">key </w:t>
      </w:r>
      <w:r w:rsidRPr="008E05E0">
        <w:rPr>
          <w:rFonts w:cs="Arial"/>
        </w:rPr>
        <w:t>operations are:</w:t>
      </w:r>
    </w:p>
    <w:p w:rsidR="000C095B" w:rsidRPr="008E05E0" w:rsidP="000C095B">
      <w:pPr>
        <w:pStyle w:val="Heading3"/>
        <w:rPr>
          <w:rFonts w:asciiTheme="minorHAnsi" w:hAnsiTheme="minorHAnsi"/>
          <w:color w:val="auto"/>
        </w:rPr>
      </w:pPr>
      <w:r w:rsidRPr="008E05E0">
        <w:rPr>
          <w:rFonts w:asciiTheme="minorHAnsi" w:hAnsiTheme="minorHAnsi"/>
          <w:color w:val="auto"/>
        </w:rPr>
        <w:t xml:space="preserve">Afghanistan: </w:t>
      </w:r>
    </w:p>
    <w:p w:rsidR="000C095B" w:rsidRPr="008E05E0" w:rsidP="001110F1">
      <w:pPr>
        <w:ind w:right="113"/>
        <w:contextualSpacing/>
        <w:jc w:val="both"/>
        <w:mirrorIndents/>
        <w:rPr>
          <w:rFonts w:cs="Arial"/>
        </w:rPr>
      </w:pPr>
      <w:r w:rsidRPr="008E05E0">
        <w:rPr>
          <w:rFonts w:cs="Arial"/>
        </w:rPr>
        <w:t xml:space="preserve">Funding is </w:t>
      </w:r>
      <w:r w:rsidRPr="008E05E0" w:rsidR="00A53EC7">
        <w:rPr>
          <w:rFonts w:cs="Arial"/>
        </w:rPr>
        <w:t>r</w:t>
      </w:r>
      <w:r w:rsidRPr="008E05E0">
        <w:rPr>
          <w:rFonts w:cs="Arial"/>
        </w:rPr>
        <w:t>equested to cover the</w:t>
      </w:r>
      <w:r w:rsidRPr="008E05E0" w:rsidR="00D76586">
        <w:rPr>
          <w:rFonts w:cs="Arial"/>
        </w:rPr>
        <w:t xml:space="preserve"> ongoing</w:t>
      </w:r>
      <w:r w:rsidRPr="008E05E0" w:rsidR="0054069D">
        <w:rPr>
          <w:rFonts w:cs="Arial"/>
        </w:rPr>
        <w:t xml:space="preserve"> </w:t>
      </w:r>
      <w:r w:rsidRPr="008E05E0">
        <w:rPr>
          <w:rFonts w:cs="Arial"/>
        </w:rPr>
        <w:t xml:space="preserve">costs of the UK’s contribution to the NATO Resolute Support Mission in Afghanistan and our support to the Afghan National Army Officer Academy. </w:t>
      </w:r>
    </w:p>
    <w:p w:rsidR="000C095B" w:rsidRPr="008E05E0" w:rsidP="000C095B">
      <w:pPr>
        <w:pStyle w:val="Heading3"/>
        <w:rPr>
          <w:rFonts w:asciiTheme="minorHAnsi" w:hAnsiTheme="minorHAnsi"/>
          <w:color w:val="auto"/>
        </w:rPr>
      </w:pPr>
      <w:r w:rsidRPr="008E05E0">
        <w:rPr>
          <w:rFonts w:asciiTheme="minorHAnsi" w:hAnsiTheme="minorHAnsi"/>
          <w:color w:val="auto"/>
        </w:rPr>
        <w:t>Wider Gulf:</w:t>
      </w:r>
    </w:p>
    <w:p w:rsidR="000C095B" w:rsidRPr="008E05E0" w:rsidP="001110F1">
      <w:pPr>
        <w:spacing w:after="240"/>
        <w:ind w:right="113"/>
        <w:contextualSpacing/>
        <w:jc w:val="both"/>
        <w:mirrorIndents/>
        <w:rPr>
          <w:rFonts w:cs="Arial"/>
        </w:rPr>
      </w:pPr>
      <w:r w:rsidRPr="008E05E0">
        <w:rPr>
          <w:rFonts w:cs="Arial"/>
        </w:rPr>
        <w:t xml:space="preserve">Funding is requested to cover the </w:t>
      </w:r>
      <w:r w:rsidRPr="008E05E0" w:rsidR="004E0865">
        <w:rPr>
          <w:rFonts w:cs="Arial"/>
        </w:rPr>
        <w:t xml:space="preserve">net </w:t>
      </w:r>
      <w:r w:rsidRPr="008E05E0" w:rsidR="00536A54">
        <w:rPr>
          <w:rFonts w:cs="Arial"/>
        </w:rPr>
        <w:t>additional costs</w:t>
      </w:r>
      <w:r w:rsidRPr="008E05E0">
        <w:rPr>
          <w:rFonts w:cs="Arial"/>
        </w:rPr>
        <w:t xml:space="preserve"> of UK forces deployed to the wider Gulf to sustain UK influence in the region, reassure our regional allies and support access </w:t>
      </w:r>
      <w:r w:rsidRPr="008E05E0" w:rsidR="00574174">
        <w:rPr>
          <w:rFonts w:cs="Arial"/>
        </w:rPr>
        <w:t>with</w:t>
      </w:r>
      <w:r w:rsidRPr="008E05E0">
        <w:rPr>
          <w:rFonts w:cs="Arial"/>
        </w:rPr>
        <w:t xml:space="preserve"> over flight </w:t>
      </w:r>
      <w:r w:rsidRPr="008E05E0" w:rsidR="001F2114">
        <w:rPr>
          <w:rFonts w:cs="Arial"/>
        </w:rPr>
        <w:t xml:space="preserve">requests </w:t>
      </w:r>
      <w:r w:rsidRPr="008E05E0">
        <w:rPr>
          <w:rFonts w:cs="Arial"/>
        </w:rPr>
        <w:t xml:space="preserve">for operations in Afghanistan, Iraq and Syria. </w:t>
      </w:r>
    </w:p>
    <w:p w:rsidR="000C095B" w:rsidRPr="008E05E0" w:rsidP="000C095B">
      <w:pPr>
        <w:pStyle w:val="Heading3"/>
        <w:rPr>
          <w:rFonts w:asciiTheme="minorHAnsi" w:hAnsiTheme="minorHAnsi"/>
          <w:color w:val="auto"/>
        </w:rPr>
      </w:pPr>
      <w:r w:rsidRPr="008E05E0">
        <w:rPr>
          <w:rFonts w:asciiTheme="minorHAnsi" w:hAnsiTheme="minorHAnsi"/>
          <w:color w:val="auto"/>
        </w:rPr>
        <w:t>Counter Daesh:</w:t>
      </w:r>
    </w:p>
    <w:p w:rsidR="000C095B" w:rsidRPr="008E05E0" w:rsidP="001110F1">
      <w:pPr>
        <w:spacing w:after="240"/>
        <w:ind w:right="113"/>
        <w:contextualSpacing/>
        <w:jc w:val="both"/>
        <w:mirrorIndents/>
      </w:pPr>
      <w:r w:rsidRPr="008E05E0">
        <w:rPr>
          <w:rFonts w:cs="Arial"/>
        </w:rPr>
        <w:t xml:space="preserve">Funding is requested </w:t>
      </w:r>
      <w:r w:rsidRPr="008E05E0">
        <w:rPr>
          <w:rFonts w:cs="Arial"/>
        </w:rPr>
        <w:t>to meet the</w:t>
      </w:r>
      <w:r w:rsidRPr="008E05E0" w:rsidR="007C2AB3">
        <w:rPr>
          <w:rFonts w:cs="Arial"/>
        </w:rPr>
        <w:t xml:space="preserve"> </w:t>
      </w:r>
      <w:r w:rsidRPr="008E05E0" w:rsidR="009502F7">
        <w:rPr>
          <w:rFonts w:cs="Arial"/>
        </w:rPr>
        <w:t>net</w:t>
      </w:r>
      <w:r w:rsidRPr="008E05E0" w:rsidR="006105C1">
        <w:rPr>
          <w:rFonts w:cs="Arial"/>
        </w:rPr>
        <w:t xml:space="preserve"> </w:t>
      </w:r>
      <w:r w:rsidRPr="008E05E0">
        <w:rPr>
          <w:rFonts w:cs="Arial"/>
        </w:rPr>
        <w:t xml:space="preserve">additional costs of counter Daesh activity. This includes </w:t>
      </w:r>
      <w:r w:rsidRPr="008E05E0">
        <w:t>airstrikes and airborne intelligence gathering operations in Iraq and Syria, helping train local Security Forces and a contribution to coalition operations in Iraq.</w:t>
      </w:r>
    </w:p>
    <w:p w:rsidR="000C095B" w:rsidRPr="008E05E0" w:rsidP="000C095B">
      <w:pPr>
        <w:pStyle w:val="Heading3"/>
        <w:rPr>
          <w:rFonts w:asciiTheme="minorHAnsi" w:hAnsiTheme="minorHAnsi"/>
          <w:color w:val="auto"/>
        </w:rPr>
      </w:pPr>
      <w:r w:rsidRPr="008E05E0">
        <w:rPr>
          <w:rFonts w:asciiTheme="minorHAnsi" w:hAnsiTheme="minorHAnsi"/>
          <w:color w:val="auto"/>
        </w:rPr>
        <w:t>Deployed Military Activity Pool (DMAP):</w:t>
      </w:r>
    </w:p>
    <w:p w:rsidR="000C095B" w:rsidRPr="008E05E0" w:rsidP="001110F1">
      <w:pPr>
        <w:overflowPunct w:val="0"/>
        <w:spacing w:after="240"/>
        <w:ind w:right="113"/>
        <w:contextualSpacing/>
        <w:jc w:val="both"/>
        <w:mirrorIndents/>
        <w:rPr>
          <w:rFonts w:cs="Arial"/>
        </w:rPr>
      </w:pPr>
      <w:r w:rsidRPr="008E05E0">
        <w:rPr>
          <w:rFonts w:cs="Arial"/>
        </w:rPr>
        <w:t xml:space="preserve">The DMAP is a joint HM Treasury and MOD initiative to make available resources to fund the initial and </w:t>
      </w:r>
      <w:r w:rsidRPr="008E05E0" w:rsidR="00562E29">
        <w:rPr>
          <w:rFonts w:cs="Arial"/>
        </w:rPr>
        <w:t>short-term</w:t>
      </w:r>
      <w:r w:rsidRPr="008E05E0">
        <w:rPr>
          <w:rFonts w:cs="Arial"/>
        </w:rPr>
        <w:t xml:space="preserve"> costs of any unforeseen military activities, as authorised by the National Security Council. </w:t>
      </w:r>
      <w:r w:rsidRPr="008E05E0" w:rsidR="00F03889">
        <w:rPr>
          <w:rFonts w:cs="Arial"/>
        </w:rPr>
        <w:t xml:space="preserve">Funding </w:t>
      </w:r>
      <w:r w:rsidRPr="008E05E0">
        <w:rPr>
          <w:rFonts w:cs="Arial"/>
        </w:rPr>
        <w:t>is requested from the HM Treasury Special Reserve, which is matched by</w:t>
      </w:r>
      <w:r w:rsidRPr="008E05E0" w:rsidR="00A53EC7">
        <w:rPr>
          <w:rFonts w:cs="Arial"/>
        </w:rPr>
        <w:t xml:space="preserve"> the same amount</w:t>
      </w:r>
      <w:r w:rsidRPr="008E05E0">
        <w:rPr>
          <w:rFonts w:cs="Arial"/>
        </w:rPr>
        <w:t xml:space="preserve"> from the MOD’s Defence Capability resources.  </w:t>
      </w:r>
    </w:p>
    <w:p w:rsidR="000C095B" w:rsidRPr="008E05E0" w:rsidP="000C095B">
      <w:pPr>
        <w:pStyle w:val="Heading3"/>
        <w:rPr>
          <w:rFonts w:asciiTheme="minorHAnsi" w:hAnsiTheme="minorHAnsi"/>
          <w:color w:val="auto"/>
        </w:rPr>
      </w:pPr>
      <w:r w:rsidRPr="008E05E0">
        <w:rPr>
          <w:rFonts w:asciiTheme="minorHAnsi" w:hAnsiTheme="minorHAnsi"/>
          <w:color w:val="auto"/>
        </w:rPr>
        <w:t>Conflict Stability and Security Fund (CSSF)</w:t>
      </w:r>
    </w:p>
    <w:p w:rsidR="000C095B" w:rsidRPr="008E05E0" w:rsidP="001110F1">
      <w:pPr>
        <w:ind w:right="113"/>
        <w:contextualSpacing/>
        <w:jc w:val="both"/>
        <w:mirrorIndents/>
        <w:rPr>
          <w:rFonts w:cs="Arial"/>
        </w:rPr>
      </w:pPr>
      <w:r w:rsidRPr="008E05E0">
        <w:rPr>
          <w:rFonts w:cs="Arial"/>
        </w:rPr>
        <w:t>The CSSF replaced the Conflict Pool as the Government’s mechanism for funding conflict prevention, stabilisation, security and peacekeeping activities, under the strategic direction of the NSC. A</w:t>
      </w:r>
      <w:r w:rsidRPr="008E05E0" w:rsidR="00AE14AF">
        <w:rPr>
          <w:rFonts w:cs="Arial"/>
        </w:rPr>
        <w:t xml:space="preserve"> total </w:t>
      </w:r>
      <w:r w:rsidRPr="008E05E0" w:rsidR="009A18E4">
        <w:rPr>
          <w:rFonts w:cs="Arial"/>
        </w:rPr>
        <w:t>allocation of £8</w:t>
      </w:r>
      <w:r w:rsidRPr="008E05E0" w:rsidR="00DB21E3">
        <w:rPr>
          <w:rFonts w:cs="Arial"/>
        </w:rPr>
        <w:t>8</w:t>
      </w:r>
      <w:r w:rsidRPr="008E05E0">
        <w:rPr>
          <w:rFonts w:cs="Arial"/>
        </w:rPr>
        <w:t>M is requested for the MOD’s contribution to this activity.</w:t>
      </w:r>
    </w:p>
    <w:p w:rsidR="007C4A25" w:rsidRPr="008E05E0" w:rsidP="003D7FEB">
      <w:pPr>
        <w:rPr>
          <w:lang w:eastAsia="en-GB"/>
        </w:rPr>
      </w:pPr>
    </w:p>
    <w:p w:rsidR="00F02BCB" w:rsidRPr="008E05E0" w:rsidP="003D7FEB">
      <w:pPr>
        <w:rPr>
          <w:lang w:eastAsia="en-GB"/>
        </w:rPr>
      </w:pPr>
    </w:p>
    <w:p w:rsidR="00C33F82" w:rsidRPr="001110F1" w:rsidP="00255574">
      <w:pPr>
        <w:pStyle w:val="Heading1"/>
        <w:rPr>
          <w:rFonts w:asciiTheme="minorHAnsi" w:hAnsiTheme="minorHAnsi"/>
        </w:rPr>
      </w:pPr>
      <w:r w:rsidRPr="001110F1">
        <w:rPr>
          <w:rFonts w:asciiTheme="minorHAnsi" w:hAnsiTheme="minorHAnsi"/>
        </w:rPr>
        <w:t xml:space="preserve">Accounting Officer Approval </w:t>
      </w:r>
    </w:p>
    <w:p w:rsidR="00C33F82" w:rsidRPr="0083047E" w:rsidP="00C33F82">
      <w:r w:rsidRPr="0083047E">
        <w:t>This memorandum has been prepared according to the requirements and guidance set out by the House of Commons Scrutiny Unit, available on the Scrutiny Unit website.</w:t>
      </w:r>
    </w:p>
    <w:p w:rsidR="00C33F82" w:rsidRPr="0083047E" w:rsidP="00C33F82">
      <w:r w:rsidRPr="0083047E">
        <w:t xml:space="preserve">The information in this Estimates Memorandum has been approved by </w:t>
      </w:r>
      <w:r w:rsidR="0053179D">
        <w:t>me</w:t>
      </w:r>
      <w:r w:rsidR="00B46485">
        <w:t xml:space="preserve"> </w:t>
      </w:r>
      <w:r w:rsidR="00CF06F3">
        <w:t xml:space="preserve">as the </w:t>
      </w:r>
      <w:r w:rsidRPr="0083047E">
        <w:t>Accounting Officer</w:t>
      </w:r>
      <w:r w:rsidR="00B16A4D">
        <w:t xml:space="preserve"> at the Ministry of Defence</w:t>
      </w:r>
      <w:r w:rsidRPr="0083047E">
        <w:t xml:space="preserve">. </w:t>
      </w:r>
    </w:p>
    <w:p w:rsidR="00C17785"/>
    <w:p w:rsidR="00A03485"/>
    <w:p w:rsidR="006B6964" w:rsidRPr="00F93B6E">
      <w:r w:rsidRPr="00F93B6E">
        <w:t>Stephen Lovegrove</w:t>
      </w:r>
    </w:p>
    <w:p w:rsidR="00F93B6E">
      <w:r w:rsidRPr="00F93B6E">
        <w:t>P</w:t>
      </w:r>
      <w:r>
        <w:t xml:space="preserve">ermanent </w:t>
      </w:r>
      <w:r w:rsidR="004B13EF">
        <w:t>Secretary and Accounting Officer</w:t>
      </w:r>
    </w:p>
    <w:p w:rsidR="00A43476">
      <w:r>
        <w:t>Ministry of Defence</w:t>
      </w:r>
      <w:r w:rsidR="009E3C4D">
        <w:br w:type="page"/>
      </w:r>
    </w:p>
    <w:p w:rsidR="009954B5" w:rsidRPr="001110F1" w:rsidP="001110F1">
      <w:pPr>
        <w:spacing w:before="60" w:after="60"/>
        <w:jc w:val="right"/>
        <w:outlineLvl w:val="0"/>
        <w:rPr>
          <w:b/>
          <w:u w:val="single"/>
        </w:rPr>
      </w:pPr>
      <w:r w:rsidRPr="003A153A">
        <w:rPr>
          <w:rFonts w:cs="Arial"/>
          <w:b/>
          <w:u w:val="single"/>
        </w:rPr>
        <w:t xml:space="preserve">Annex </w:t>
      </w:r>
      <w:r>
        <w:rPr>
          <w:rFonts w:cs="Arial"/>
          <w:b/>
          <w:u w:val="single"/>
        </w:rPr>
        <w:t>A.</w:t>
      </w:r>
      <w:r w:rsidRPr="003A153A">
        <w:rPr>
          <w:rFonts w:cs="Arial"/>
          <w:b/>
          <w:u w:val="single"/>
        </w:rPr>
        <w:t>1</w:t>
      </w:r>
    </w:p>
    <w:p w:rsidR="009954B5" w:rsidP="009954B5">
      <w:pPr>
        <w:spacing w:before="60" w:after="60"/>
        <w:jc w:val="both"/>
        <w:outlineLvl w:val="0"/>
        <w:rPr>
          <w:rFonts w:cs="Arial"/>
          <w:b/>
          <w:bCs/>
          <w:sz w:val="27"/>
          <w:szCs w:val="27"/>
        </w:rPr>
      </w:pPr>
      <w:r>
        <w:rPr>
          <w:rFonts w:cs="Arial"/>
          <w:b/>
          <w:bCs/>
          <w:sz w:val="27"/>
          <w:szCs w:val="27"/>
          <w:u w:val="single"/>
        </w:rPr>
        <w:t>Definition of Terms</w:t>
      </w:r>
      <w:r>
        <w:rPr>
          <w:rFonts w:cs="Arial"/>
          <w:b/>
          <w:bCs/>
          <w:sz w:val="27"/>
          <w:szCs w:val="27"/>
        </w:rPr>
        <w:t>:</w:t>
      </w:r>
    </w:p>
    <w:p w:rsidR="009954B5" w:rsidP="001110F1">
      <w:pPr>
        <w:spacing w:after="0" w:line="240" w:lineRule="auto"/>
        <w:ind w:left="840"/>
        <w:jc w:val="both"/>
        <w:rPr>
          <w:b/>
          <w:sz w:val="27"/>
          <w:szCs w:val="27"/>
          <w:u w:val="single"/>
        </w:rPr>
      </w:pPr>
    </w:p>
    <w:p w:rsidR="009954B5" w:rsidP="001110F1">
      <w:pPr>
        <w:spacing w:after="0" w:line="240" w:lineRule="auto"/>
        <w:jc w:val="both"/>
        <w:rPr>
          <w:rFonts w:cs="Arial"/>
        </w:rPr>
      </w:pPr>
      <w:r w:rsidRPr="000D44EB">
        <w:rPr>
          <w:rFonts w:cs="Arial"/>
          <w:b/>
          <w:u w:val="single"/>
        </w:rPr>
        <w:t>Non Ri</w:t>
      </w:r>
      <w:r>
        <w:rPr>
          <w:rFonts w:cs="Arial"/>
          <w:b/>
          <w:u w:val="single"/>
        </w:rPr>
        <w:t>ng-</w:t>
      </w:r>
      <w:r w:rsidRPr="000D44EB">
        <w:rPr>
          <w:rFonts w:cs="Arial"/>
          <w:b/>
          <w:u w:val="single"/>
        </w:rPr>
        <w:t>Fenced DEL Resource Expenditure:</w:t>
      </w:r>
    </w:p>
    <w:p w:rsidR="009954B5" w:rsidRPr="000D44EB" w:rsidP="001110F1">
      <w:pPr>
        <w:spacing w:after="0" w:line="240" w:lineRule="auto"/>
        <w:jc w:val="both"/>
        <w:rPr>
          <w:rFonts w:cs="Arial"/>
        </w:rPr>
      </w:pPr>
      <w:r w:rsidRPr="000D44EB">
        <w:rPr>
          <w:rFonts w:cs="Arial"/>
        </w:rPr>
        <w:t xml:space="preserve">This includes current expenditure which covers, for example, pay, purchase of goods and services, net of receipts, within the resource budget. It excludes items such as depreciation and movement in provisions. </w:t>
      </w:r>
    </w:p>
    <w:p w:rsidR="009954B5" w:rsidRPr="000D44EB" w:rsidP="001110F1">
      <w:pPr>
        <w:spacing w:after="0" w:line="240" w:lineRule="auto"/>
        <w:ind w:left="600"/>
        <w:jc w:val="both"/>
        <w:rPr>
          <w:rFonts w:cs="Arial"/>
        </w:rPr>
      </w:pPr>
    </w:p>
    <w:p w:rsidR="009954B5" w:rsidRPr="000D44EB" w:rsidP="001110F1">
      <w:pPr>
        <w:spacing w:after="0" w:line="240" w:lineRule="auto"/>
        <w:jc w:val="both"/>
        <w:rPr>
          <w:rFonts w:cs="Arial"/>
          <w:b/>
          <w:u w:val="single"/>
        </w:rPr>
      </w:pPr>
      <w:r>
        <w:rPr>
          <w:rFonts w:cs="Arial"/>
          <w:b/>
          <w:u w:val="single"/>
        </w:rPr>
        <w:t>Ring-</w:t>
      </w:r>
      <w:r w:rsidRPr="000D44EB">
        <w:rPr>
          <w:rFonts w:cs="Arial"/>
          <w:b/>
          <w:u w:val="single"/>
        </w:rPr>
        <w:t>Fenced DEL Resource Expenditure:</w:t>
      </w:r>
    </w:p>
    <w:p w:rsidR="009954B5" w:rsidRPr="000D44EB" w:rsidP="001110F1">
      <w:pPr>
        <w:spacing w:after="0" w:line="240" w:lineRule="auto"/>
        <w:jc w:val="both"/>
        <w:outlineLvl w:val="0"/>
        <w:rPr>
          <w:rFonts w:cs="Arial"/>
        </w:rPr>
      </w:pPr>
      <w:r w:rsidRPr="000D44EB">
        <w:rPr>
          <w:rFonts w:cs="Arial"/>
        </w:rPr>
        <w:t>This control covers items such as depreciation and impairments.</w:t>
      </w:r>
    </w:p>
    <w:p w:rsidR="009954B5" w:rsidRPr="000D44EB" w:rsidP="001110F1">
      <w:pPr>
        <w:spacing w:after="0" w:line="240" w:lineRule="auto"/>
        <w:ind w:left="600"/>
        <w:jc w:val="both"/>
        <w:rPr>
          <w:rFonts w:cs="Arial"/>
        </w:rPr>
      </w:pPr>
    </w:p>
    <w:p w:rsidR="009954B5" w:rsidRPr="000D44EB" w:rsidP="001110F1">
      <w:pPr>
        <w:spacing w:after="0" w:line="240" w:lineRule="auto"/>
        <w:jc w:val="both"/>
        <w:rPr>
          <w:rFonts w:cs="Arial"/>
          <w:b/>
          <w:u w:val="single"/>
        </w:rPr>
      </w:pPr>
      <w:r>
        <w:rPr>
          <w:rFonts w:cs="Arial"/>
          <w:b/>
          <w:u w:val="single"/>
        </w:rPr>
        <w:t>Administration Cost</w:t>
      </w:r>
      <w:r w:rsidRPr="000D44EB">
        <w:rPr>
          <w:rFonts w:cs="Arial"/>
          <w:b/>
          <w:u w:val="single"/>
        </w:rPr>
        <w:t xml:space="preserve"> Regime:  </w:t>
      </w:r>
    </w:p>
    <w:p w:rsidR="009954B5" w:rsidRPr="000D44EB" w:rsidP="001110F1">
      <w:pPr>
        <w:spacing w:after="0" w:line="240" w:lineRule="auto"/>
        <w:jc w:val="both"/>
        <w:rPr>
          <w:rFonts w:cs="Arial"/>
        </w:rPr>
      </w:pPr>
      <w:r w:rsidRPr="000D44EB">
        <w:rPr>
          <w:rFonts w:cs="Arial"/>
        </w:rPr>
        <w:t xml:space="preserve">The current Administration </w:t>
      </w:r>
      <w:r>
        <w:rPr>
          <w:rFonts w:cs="Arial"/>
        </w:rPr>
        <w:t>C</w:t>
      </w:r>
      <w:r w:rsidRPr="000D44EB">
        <w:rPr>
          <w:rFonts w:cs="Arial"/>
        </w:rPr>
        <w:t xml:space="preserve">ost </w:t>
      </w:r>
      <w:r>
        <w:rPr>
          <w:rFonts w:cs="Arial"/>
        </w:rPr>
        <w:t>R</w:t>
      </w:r>
      <w:r w:rsidRPr="000D44EB">
        <w:rPr>
          <w:rFonts w:cs="Arial"/>
        </w:rPr>
        <w:t>egime, within DEL, cover departments’ current expenditure on civilian staff, and other services used in the administration of central government as agreed in our Spending Review Settlement.</w:t>
      </w:r>
    </w:p>
    <w:p w:rsidR="009954B5" w:rsidRPr="000D44EB" w:rsidP="001110F1">
      <w:pPr>
        <w:spacing w:after="0" w:line="240" w:lineRule="auto"/>
        <w:ind w:left="600" w:firstLine="60"/>
        <w:jc w:val="both"/>
        <w:rPr>
          <w:rFonts w:cs="Arial"/>
        </w:rPr>
      </w:pPr>
    </w:p>
    <w:p w:rsidR="009954B5" w:rsidRPr="000D44EB" w:rsidP="001110F1">
      <w:pPr>
        <w:spacing w:after="0" w:line="240" w:lineRule="auto"/>
        <w:jc w:val="both"/>
        <w:rPr>
          <w:rFonts w:cs="Arial"/>
          <w:b/>
          <w:u w:val="single"/>
        </w:rPr>
      </w:pPr>
      <w:r w:rsidRPr="000D44EB">
        <w:rPr>
          <w:rFonts w:cs="Arial"/>
          <w:b/>
          <w:u w:val="single"/>
        </w:rPr>
        <w:t>Total Resource DEL:</w:t>
      </w:r>
    </w:p>
    <w:p w:rsidR="009954B5" w:rsidRPr="000D44EB" w:rsidP="001110F1">
      <w:pPr>
        <w:spacing w:after="0" w:line="240" w:lineRule="auto"/>
        <w:jc w:val="both"/>
        <w:outlineLvl w:val="0"/>
        <w:rPr>
          <w:rFonts w:cs="Arial"/>
        </w:rPr>
      </w:pPr>
      <w:r>
        <w:rPr>
          <w:rFonts w:cs="Arial"/>
        </w:rPr>
        <w:t>This is the sum of non ring-</w:t>
      </w:r>
      <w:r w:rsidRPr="000D44EB">
        <w:rPr>
          <w:rFonts w:cs="Arial"/>
        </w:rPr>
        <w:t>fenced expenditure and ring fenced expenditure.</w:t>
      </w:r>
    </w:p>
    <w:p w:rsidR="009954B5" w:rsidRPr="000D44EB" w:rsidP="001110F1">
      <w:pPr>
        <w:spacing w:after="0" w:line="240" w:lineRule="auto"/>
        <w:ind w:left="600"/>
        <w:jc w:val="both"/>
        <w:rPr>
          <w:rFonts w:cs="Arial"/>
        </w:rPr>
      </w:pPr>
    </w:p>
    <w:p w:rsidR="009954B5" w:rsidRPr="000D44EB" w:rsidP="001110F1">
      <w:pPr>
        <w:spacing w:after="0" w:line="240" w:lineRule="auto"/>
        <w:jc w:val="both"/>
        <w:rPr>
          <w:rFonts w:cs="Arial"/>
          <w:b/>
          <w:u w:val="single"/>
        </w:rPr>
      </w:pPr>
      <w:r w:rsidRPr="000D44EB">
        <w:rPr>
          <w:rFonts w:cs="Arial"/>
          <w:b/>
          <w:u w:val="single"/>
        </w:rPr>
        <w:t xml:space="preserve">Annually Managed Expenditure (AME):  </w:t>
      </w:r>
    </w:p>
    <w:p w:rsidR="009954B5" w:rsidRPr="000D44EB" w:rsidP="001110F1">
      <w:pPr>
        <w:spacing w:after="0" w:line="240" w:lineRule="auto"/>
        <w:jc w:val="both"/>
        <w:rPr>
          <w:rFonts w:cs="Arial"/>
        </w:rPr>
      </w:pPr>
      <w:r w:rsidRPr="000D44EB">
        <w:rPr>
          <w:rFonts w:cs="Arial"/>
        </w:rPr>
        <w:t>Annually Managed Expenditure (AME) includes Programmes that are demand-led, such as War Pensions, and exceptionally, volatile items that cannot be controlled by the Department. AME also includes Programmes that are so large that the Department could not be expected to absorb the effects of volatility within them, such as cash release of provisions.</w:t>
      </w:r>
    </w:p>
    <w:p w:rsidR="009954B5" w:rsidRPr="000D44EB" w:rsidP="001110F1">
      <w:pPr>
        <w:spacing w:after="0" w:line="240" w:lineRule="auto"/>
        <w:ind w:left="600"/>
        <w:jc w:val="both"/>
        <w:rPr>
          <w:rFonts w:cs="Arial"/>
        </w:rPr>
      </w:pPr>
    </w:p>
    <w:p w:rsidR="009954B5" w:rsidRPr="000D44EB" w:rsidP="001110F1">
      <w:pPr>
        <w:spacing w:after="0" w:line="240" w:lineRule="auto"/>
        <w:jc w:val="both"/>
        <w:rPr>
          <w:rFonts w:cs="Arial"/>
          <w:b/>
          <w:u w:val="single"/>
        </w:rPr>
      </w:pPr>
      <w:r w:rsidRPr="000D44EB">
        <w:rPr>
          <w:rFonts w:cs="Arial"/>
          <w:b/>
          <w:u w:val="single"/>
        </w:rPr>
        <w:t xml:space="preserve">Total Net Resource:  </w:t>
      </w:r>
    </w:p>
    <w:p w:rsidR="009954B5" w:rsidRPr="000D44EB" w:rsidP="001110F1">
      <w:pPr>
        <w:spacing w:after="0" w:line="240" w:lineRule="auto"/>
        <w:ind w:left="360" w:hanging="360"/>
        <w:jc w:val="both"/>
        <w:outlineLvl w:val="0"/>
        <w:rPr>
          <w:rFonts w:cs="Arial"/>
        </w:rPr>
      </w:pPr>
      <w:r w:rsidRPr="000D44EB">
        <w:rPr>
          <w:rFonts w:cs="Arial"/>
        </w:rPr>
        <w:t xml:space="preserve">This is the sum of </w:t>
      </w:r>
      <w:r>
        <w:rPr>
          <w:rFonts w:cs="Arial"/>
        </w:rPr>
        <w:t>Total Resource DEL and AME.</w:t>
      </w:r>
      <w:r w:rsidRPr="000D44EB">
        <w:rPr>
          <w:rFonts w:cs="Arial"/>
        </w:rPr>
        <w:t xml:space="preserve"> </w:t>
      </w:r>
    </w:p>
    <w:p w:rsidR="009954B5" w:rsidRPr="000D44EB" w:rsidP="001110F1">
      <w:pPr>
        <w:spacing w:after="0" w:line="240" w:lineRule="auto"/>
        <w:ind w:left="600"/>
        <w:jc w:val="both"/>
        <w:rPr>
          <w:rFonts w:cs="Arial"/>
        </w:rPr>
      </w:pPr>
    </w:p>
    <w:p w:rsidR="009954B5" w:rsidRPr="000D44EB" w:rsidP="001110F1">
      <w:pPr>
        <w:spacing w:after="0" w:line="240" w:lineRule="auto"/>
        <w:jc w:val="both"/>
        <w:rPr>
          <w:rFonts w:cs="Arial"/>
          <w:b/>
          <w:u w:val="single"/>
        </w:rPr>
      </w:pPr>
      <w:r w:rsidRPr="000D44EB">
        <w:rPr>
          <w:rFonts w:cs="Arial"/>
          <w:b/>
          <w:u w:val="single"/>
        </w:rPr>
        <w:t xml:space="preserve">Capital Departmental Expenditure Limit (CDEL): </w:t>
      </w:r>
    </w:p>
    <w:p w:rsidR="009954B5" w:rsidRPr="000D44EB" w:rsidP="001110F1">
      <w:pPr>
        <w:spacing w:after="0" w:line="240" w:lineRule="auto"/>
        <w:jc w:val="both"/>
        <w:rPr>
          <w:rFonts w:cs="Arial"/>
        </w:rPr>
      </w:pPr>
      <w:r w:rsidRPr="000D44EB">
        <w:rPr>
          <w:rFonts w:cs="Arial"/>
        </w:rPr>
        <w:t>This is for new investment (SUME and Fiscal), including capital additions, disposals, and the capital repayment of loan</w:t>
      </w:r>
      <w:r>
        <w:rPr>
          <w:rFonts w:cs="Arial"/>
        </w:rPr>
        <w:t>s.</w:t>
      </w:r>
    </w:p>
    <w:p w:rsidR="009954B5" w:rsidP="001110F1">
      <w:pPr>
        <w:spacing w:after="0" w:line="240" w:lineRule="auto"/>
        <w:jc w:val="both"/>
        <w:rPr>
          <w:rFonts w:cs="Arial"/>
          <w:b/>
          <w:u w:val="single"/>
        </w:rPr>
      </w:pPr>
    </w:p>
    <w:p w:rsidR="009954B5" w:rsidRPr="000D44EB" w:rsidP="001110F1">
      <w:pPr>
        <w:spacing w:after="0" w:line="240" w:lineRule="auto"/>
        <w:jc w:val="both"/>
        <w:rPr>
          <w:rFonts w:cs="Arial"/>
          <w:b/>
          <w:u w:val="single"/>
        </w:rPr>
      </w:pPr>
      <w:r w:rsidRPr="000D44EB">
        <w:rPr>
          <w:rFonts w:cs="Arial"/>
          <w:b/>
          <w:u w:val="single"/>
        </w:rPr>
        <w:t xml:space="preserve">Provision of Defence Capability: </w:t>
      </w:r>
    </w:p>
    <w:p w:rsidR="009954B5" w:rsidRPr="000D44EB" w:rsidP="001110F1">
      <w:pPr>
        <w:spacing w:after="0" w:line="240" w:lineRule="auto"/>
        <w:jc w:val="both"/>
        <w:rPr>
          <w:rFonts w:cs="Arial"/>
        </w:rPr>
      </w:pPr>
      <w:r w:rsidRPr="000D44EB">
        <w:rPr>
          <w:rFonts w:cs="Arial"/>
        </w:rPr>
        <w:t>Provision of Defence Capability provides for expenditure primarily to meet the Ministry of Defence’s operational support and logistics services costs and the costs of providing the eq</w:t>
      </w:r>
      <w:r>
        <w:rPr>
          <w:rFonts w:cs="Arial"/>
        </w:rPr>
        <w:t>uipment capability required by D</w:t>
      </w:r>
      <w:r w:rsidRPr="000D44EB">
        <w:rPr>
          <w:rFonts w:cs="Arial"/>
        </w:rPr>
        <w:t>efence policy.</w:t>
      </w:r>
    </w:p>
    <w:p w:rsidR="009954B5" w:rsidRPr="000D44EB" w:rsidP="001110F1">
      <w:pPr>
        <w:spacing w:after="0" w:line="240" w:lineRule="auto"/>
        <w:jc w:val="both"/>
        <w:rPr>
          <w:rFonts w:cs="Arial"/>
        </w:rPr>
      </w:pPr>
    </w:p>
    <w:p w:rsidR="009954B5" w:rsidRPr="000D44EB" w:rsidP="001110F1">
      <w:pPr>
        <w:spacing w:after="0" w:line="240" w:lineRule="auto"/>
        <w:jc w:val="both"/>
        <w:rPr>
          <w:rFonts w:cs="Arial"/>
          <w:b/>
          <w:u w:val="single"/>
        </w:rPr>
      </w:pPr>
      <w:r w:rsidRPr="000D44EB">
        <w:rPr>
          <w:rFonts w:cs="Arial"/>
          <w:b/>
          <w:u w:val="single"/>
        </w:rPr>
        <w:t xml:space="preserve">Operations: </w:t>
      </w:r>
    </w:p>
    <w:p w:rsidR="009954B5" w:rsidRPr="000D44EB" w:rsidP="001110F1">
      <w:pPr>
        <w:spacing w:after="0" w:line="240" w:lineRule="auto"/>
        <w:jc w:val="both"/>
        <w:rPr>
          <w:rFonts w:cs="Arial"/>
        </w:rPr>
      </w:pPr>
      <w:r w:rsidRPr="000D44EB">
        <w:rPr>
          <w:rFonts w:cs="Arial"/>
        </w:rPr>
        <w:t xml:space="preserve">This provides primarily for the additional costs of operations. These are the net additional costs incurred: the costs that the Department would have incurred regardless of the operation taking place, such as wages and salaries, are recorded against provision of Defence Capability. </w:t>
      </w:r>
    </w:p>
    <w:p w:rsidR="009954B5" w:rsidRPr="000D44EB" w:rsidP="001110F1">
      <w:pPr>
        <w:spacing w:after="0" w:line="240" w:lineRule="auto"/>
        <w:ind w:left="600"/>
        <w:jc w:val="both"/>
        <w:rPr>
          <w:rFonts w:cs="Arial"/>
        </w:rPr>
      </w:pPr>
    </w:p>
    <w:p w:rsidR="009954B5" w:rsidRPr="000D44EB" w:rsidP="001110F1">
      <w:pPr>
        <w:spacing w:after="0" w:line="240" w:lineRule="auto"/>
        <w:jc w:val="both"/>
        <w:rPr>
          <w:rFonts w:cs="Arial"/>
          <w:b/>
          <w:u w:val="single"/>
        </w:rPr>
      </w:pPr>
      <w:r w:rsidRPr="000D44EB">
        <w:rPr>
          <w:rFonts w:cs="Arial"/>
          <w:b/>
          <w:u w:val="single"/>
        </w:rPr>
        <w:t xml:space="preserve">War Pensions Payments: </w:t>
      </w:r>
    </w:p>
    <w:p w:rsidR="009954B5" w:rsidRPr="000D44EB" w:rsidP="001110F1">
      <w:pPr>
        <w:spacing w:after="0" w:line="240" w:lineRule="auto"/>
        <w:jc w:val="both"/>
        <w:rPr>
          <w:rFonts w:cs="Arial"/>
        </w:rPr>
      </w:pPr>
      <w:r w:rsidRPr="000D44EB">
        <w:rPr>
          <w:rFonts w:cs="Arial"/>
        </w:rPr>
        <w:t xml:space="preserve">War Pensions and Allowances, etc. provides primarily for the payments of pensions and allowances for disablement or death arising out of war or service in the Armed Forces after </w:t>
      </w:r>
      <w:r w:rsidRPr="000D44EB" w:rsidR="0053179D">
        <w:rPr>
          <w:rFonts w:cs="Arial"/>
        </w:rPr>
        <w:t>2 September 1939 and</w:t>
      </w:r>
      <w:r w:rsidRPr="000D44EB">
        <w:rPr>
          <w:rFonts w:cs="Arial"/>
        </w:rPr>
        <w:t xml:space="preserve"> associated non-cash items.   </w:t>
      </w:r>
    </w:p>
    <w:p w:rsidR="009954B5" w:rsidRPr="000D44EB" w:rsidP="001110F1">
      <w:pPr>
        <w:spacing w:after="0" w:line="240" w:lineRule="auto"/>
        <w:ind w:left="600"/>
        <w:jc w:val="both"/>
        <w:rPr>
          <w:rFonts w:cs="Arial"/>
        </w:rPr>
      </w:pPr>
    </w:p>
    <w:p w:rsidR="009954B5" w:rsidRPr="000D44EB" w:rsidP="001110F1">
      <w:pPr>
        <w:spacing w:after="0" w:line="240" w:lineRule="auto"/>
        <w:jc w:val="both"/>
        <w:rPr>
          <w:rFonts w:cs="Arial"/>
          <w:b/>
          <w:u w:val="single"/>
        </w:rPr>
      </w:pPr>
      <w:r w:rsidRPr="000D44EB">
        <w:rPr>
          <w:rFonts w:cs="Arial"/>
          <w:b/>
          <w:u w:val="single"/>
        </w:rPr>
        <w:t>Spending Review:</w:t>
      </w:r>
    </w:p>
    <w:p w:rsidR="009954B5" w:rsidRPr="000D44EB" w:rsidP="001110F1">
      <w:pPr>
        <w:spacing w:after="0" w:line="240" w:lineRule="auto"/>
        <w:jc w:val="both"/>
        <w:outlineLvl w:val="0"/>
        <w:rPr>
          <w:rFonts w:cs="Arial"/>
        </w:rPr>
      </w:pPr>
      <w:r w:rsidRPr="000D44EB">
        <w:rPr>
          <w:rFonts w:cs="Arial"/>
        </w:rPr>
        <w:t xml:space="preserve">Spending Review </w:t>
      </w:r>
      <w:r>
        <w:rPr>
          <w:rFonts w:cs="Arial"/>
        </w:rPr>
        <w:t>2015 (Cm 9162)</w:t>
      </w:r>
    </w:p>
    <w:p w:rsidR="009954B5" w:rsidRPr="000D44EB" w:rsidP="001110F1">
      <w:pPr>
        <w:spacing w:after="0" w:line="240" w:lineRule="auto"/>
        <w:ind w:left="600"/>
        <w:jc w:val="both"/>
        <w:rPr>
          <w:rFonts w:cs="Arial"/>
        </w:rPr>
      </w:pPr>
    </w:p>
    <w:p w:rsidR="009954B5" w:rsidRPr="000D44EB" w:rsidP="001110F1">
      <w:pPr>
        <w:spacing w:after="0" w:line="240" w:lineRule="auto"/>
        <w:jc w:val="both"/>
        <w:rPr>
          <w:rFonts w:cs="Arial"/>
          <w:b/>
          <w:u w:val="single"/>
        </w:rPr>
      </w:pPr>
      <w:r w:rsidRPr="000D44EB">
        <w:rPr>
          <w:rFonts w:cs="Arial"/>
          <w:b/>
          <w:u w:val="single"/>
        </w:rPr>
        <w:t>Total DEL:</w:t>
      </w:r>
    </w:p>
    <w:p w:rsidR="009954B5" w:rsidRPr="000D44EB" w:rsidP="001110F1">
      <w:pPr>
        <w:spacing w:after="0" w:line="240" w:lineRule="auto"/>
        <w:jc w:val="both"/>
        <w:rPr>
          <w:rFonts w:cs="Arial"/>
        </w:rPr>
      </w:pPr>
      <w:r w:rsidRPr="000D44EB">
        <w:rPr>
          <w:rFonts w:cs="Arial"/>
        </w:rPr>
        <w:t>This is the sum of Resource DEL and Capital DEL less the costs of depreciation. This is used as depreciation and is included as part of Resource DEL and, since Capital DEL includes capital spending, the inclusion of depreciation would lead to double counting.</w:t>
      </w:r>
    </w:p>
    <w:p w:rsidR="009954B5" w:rsidP="001110F1">
      <w:pPr>
        <w:spacing w:after="0" w:line="240" w:lineRule="auto"/>
        <w:jc w:val="both"/>
        <w:rPr>
          <w:rFonts w:cs="Arial"/>
          <w:b/>
          <w:u w:val="single"/>
        </w:rPr>
      </w:pPr>
    </w:p>
    <w:p w:rsidR="009954B5" w:rsidRPr="000D44EB" w:rsidP="001110F1">
      <w:pPr>
        <w:spacing w:after="0" w:line="240" w:lineRule="auto"/>
        <w:jc w:val="both"/>
        <w:rPr>
          <w:rFonts w:cs="Arial"/>
          <w:b/>
          <w:u w:val="single"/>
        </w:rPr>
      </w:pPr>
      <w:r w:rsidRPr="000D44EB">
        <w:rPr>
          <w:rFonts w:cs="Arial"/>
          <w:b/>
          <w:u w:val="single"/>
        </w:rPr>
        <w:t>Single Use Military Equipment (SUME):</w:t>
      </w:r>
    </w:p>
    <w:p w:rsidR="009954B5" w:rsidRPr="000D44EB" w:rsidP="001110F1">
      <w:pPr>
        <w:spacing w:after="0" w:line="240" w:lineRule="auto"/>
        <w:jc w:val="both"/>
        <w:rPr>
          <w:rFonts w:cs="Arial"/>
        </w:rPr>
      </w:pPr>
      <w:r w:rsidRPr="000D44EB">
        <w:rPr>
          <w:rFonts w:cs="Arial"/>
        </w:rPr>
        <w:t>National Accounts differentiates between single and dual use military equipment. Spending on single use military equipment is classified as current (resource) expenditure. Single use military assets are those that could not be used by civilian organisations for the production of goods and services (i.e. weapons and equipment that supports and delivers such weapons).  This distinction will disappear in the next Spending Review</w:t>
      </w:r>
      <w:r>
        <w:rPr>
          <w:rFonts w:cs="Arial"/>
        </w:rPr>
        <w:t>.</w:t>
      </w:r>
    </w:p>
    <w:p w:rsidR="009954B5" w:rsidRPr="000D44EB" w:rsidP="001110F1">
      <w:pPr>
        <w:spacing w:after="0" w:line="240" w:lineRule="auto"/>
        <w:ind w:left="600"/>
        <w:jc w:val="both"/>
        <w:rPr>
          <w:rFonts w:cs="Arial"/>
        </w:rPr>
      </w:pPr>
    </w:p>
    <w:p w:rsidR="009954B5" w:rsidRPr="000D44EB" w:rsidP="001110F1">
      <w:pPr>
        <w:spacing w:after="0" w:line="240" w:lineRule="auto"/>
        <w:jc w:val="both"/>
        <w:rPr>
          <w:rFonts w:cs="Arial"/>
          <w:b/>
          <w:u w:val="single"/>
        </w:rPr>
      </w:pPr>
      <w:r w:rsidRPr="000D44EB">
        <w:rPr>
          <w:rFonts w:cs="Arial"/>
          <w:b/>
          <w:u w:val="single"/>
        </w:rPr>
        <w:t>Voted and Non Voted Expenditure:</w:t>
      </w:r>
    </w:p>
    <w:p w:rsidR="009954B5" w:rsidRPr="000D44EB" w:rsidP="001110F1">
      <w:pPr>
        <w:spacing w:after="0" w:line="240" w:lineRule="auto"/>
        <w:jc w:val="both"/>
        <w:outlineLvl w:val="0"/>
        <w:rPr>
          <w:rFonts w:cs="Arial"/>
        </w:rPr>
      </w:pPr>
      <w:r w:rsidRPr="000D44EB">
        <w:rPr>
          <w:rFonts w:cs="Arial"/>
        </w:rPr>
        <w:t xml:space="preserve">The introduction to the Supply Estimate now covers both Voted and Non Voted items. </w:t>
      </w:r>
    </w:p>
    <w:p w:rsidR="009954B5" w:rsidRPr="003A153A" w:rsidP="001110F1">
      <w:pPr>
        <w:spacing w:after="0" w:line="240" w:lineRule="auto"/>
        <w:ind w:left="360"/>
        <w:jc w:val="right"/>
        <w:outlineLvl w:val="0"/>
        <w:rPr>
          <w:rFonts w:cs="Arial"/>
          <w:b/>
          <w:bCs/>
          <w:u w:val="single"/>
        </w:rPr>
      </w:pPr>
      <w:r>
        <w:rPr>
          <w:rFonts w:cs="Arial"/>
          <w:bCs/>
        </w:rPr>
        <w:br w:type="page"/>
      </w:r>
      <w:r w:rsidRPr="003A153A">
        <w:rPr>
          <w:rFonts w:cs="Arial"/>
          <w:b/>
          <w:bCs/>
          <w:u w:val="single"/>
        </w:rPr>
        <w:t xml:space="preserve">Annex </w:t>
      </w:r>
      <w:r>
        <w:rPr>
          <w:rFonts w:cs="Arial"/>
          <w:b/>
          <w:bCs/>
          <w:u w:val="single"/>
        </w:rPr>
        <w:t>A.</w:t>
      </w:r>
      <w:r w:rsidRPr="003A153A">
        <w:rPr>
          <w:rFonts w:cs="Arial"/>
          <w:b/>
          <w:bCs/>
          <w:u w:val="single"/>
        </w:rPr>
        <w:t>2</w:t>
      </w:r>
    </w:p>
    <w:p w:rsidR="00027A6A" w:rsidP="00027A6A">
      <w:pPr>
        <w:spacing w:after="0" w:line="240" w:lineRule="auto"/>
        <w:jc w:val="both"/>
        <w:outlineLvl w:val="0"/>
        <w:rPr>
          <w:rFonts w:cs="Arial"/>
          <w:b/>
          <w:bCs/>
          <w:sz w:val="27"/>
          <w:szCs w:val="27"/>
          <w:u w:val="single"/>
        </w:rPr>
      </w:pPr>
    </w:p>
    <w:p w:rsidR="009954B5" w:rsidP="001110F1">
      <w:pPr>
        <w:spacing w:after="0" w:line="240" w:lineRule="auto"/>
        <w:jc w:val="both"/>
        <w:outlineLvl w:val="0"/>
        <w:rPr>
          <w:rFonts w:cs="Arial"/>
          <w:b/>
          <w:bCs/>
          <w:sz w:val="27"/>
          <w:szCs w:val="27"/>
          <w:u w:val="single"/>
        </w:rPr>
      </w:pPr>
      <w:r>
        <w:rPr>
          <w:rFonts w:cs="Arial"/>
          <w:b/>
          <w:bCs/>
          <w:sz w:val="27"/>
          <w:szCs w:val="27"/>
          <w:u w:val="single"/>
        </w:rPr>
        <w:t>List of Abbreviations used in the Estimate</w:t>
      </w:r>
    </w:p>
    <w:p w:rsidR="009954B5" w:rsidRPr="00BE51CE" w:rsidP="001110F1">
      <w:pPr>
        <w:spacing w:after="0" w:line="240" w:lineRule="auto"/>
        <w:jc w:val="both"/>
        <w:rPr>
          <w:rFonts w:cs="Arial"/>
        </w:rPr>
      </w:pPr>
      <w:r w:rsidRPr="00BE51CE">
        <w:rPr>
          <w:rFonts w:cs="Arial"/>
        </w:rPr>
        <w:t>ABC</w:t>
      </w:r>
      <w:r w:rsidRPr="00BE51CE">
        <w:rPr>
          <w:rFonts w:cs="Arial"/>
        </w:rPr>
        <w:tab/>
      </w:r>
      <w:r w:rsidRPr="00BE51CE">
        <w:rPr>
          <w:rFonts w:cs="Arial"/>
        </w:rPr>
        <w:tab/>
        <w:t>Annual Budget Cycle</w:t>
      </w:r>
    </w:p>
    <w:p w:rsidR="009954B5" w:rsidRPr="00BE51CE" w:rsidP="001110F1">
      <w:pPr>
        <w:spacing w:after="0" w:line="240" w:lineRule="auto"/>
        <w:jc w:val="both"/>
        <w:rPr>
          <w:rFonts w:cs="Arial"/>
        </w:rPr>
      </w:pPr>
      <w:r w:rsidRPr="00BE51CE">
        <w:rPr>
          <w:rFonts w:cs="Arial"/>
        </w:rPr>
        <w:t>ACR</w:t>
      </w:r>
      <w:r w:rsidRPr="00BE51CE">
        <w:rPr>
          <w:rFonts w:cs="Arial"/>
        </w:rPr>
        <w:tab/>
      </w:r>
      <w:r w:rsidRPr="00BE51CE">
        <w:rPr>
          <w:rFonts w:cs="Arial"/>
        </w:rPr>
        <w:tab/>
        <w:t>Administration Cost Regime</w:t>
      </w:r>
    </w:p>
    <w:p w:rsidR="009954B5" w:rsidRPr="00BE51CE" w:rsidP="001110F1">
      <w:pPr>
        <w:spacing w:after="0" w:line="240" w:lineRule="auto"/>
        <w:jc w:val="both"/>
        <w:rPr>
          <w:rFonts w:cs="Arial"/>
        </w:rPr>
      </w:pPr>
      <w:r w:rsidRPr="00BE51CE">
        <w:rPr>
          <w:rFonts w:cs="Arial"/>
        </w:rPr>
        <w:t>ALB</w:t>
      </w:r>
      <w:r w:rsidRPr="00BE51CE">
        <w:rPr>
          <w:rFonts w:cs="Arial"/>
        </w:rPr>
        <w:tab/>
      </w:r>
      <w:r w:rsidRPr="00BE51CE">
        <w:rPr>
          <w:rFonts w:cs="Arial"/>
        </w:rPr>
        <w:tab/>
        <w:t>Arms Length Body</w:t>
      </w:r>
    </w:p>
    <w:p w:rsidR="009954B5" w:rsidRPr="00BE51CE" w:rsidP="001110F1">
      <w:pPr>
        <w:spacing w:after="0" w:line="240" w:lineRule="auto"/>
        <w:jc w:val="both"/>
        <w:rPr>
          <w:rFonts w:cs="Arial"/>
        </w:rPr>
      </w:pPr>
      <w:r w:rsidRPr="00BE51CE">
        <w:rPr>
          <w:rFonts w:cs="Arial"/>
        </w:rPr>
        <w:t>AME</w:t>
      </w:r>
      <w:r w:rsidRPr="00BE51CE">
        <w:rPr>
          <w:rFonts w:cs="Arial"/>
        </w:rPr>
        <w:tab/>
      </w:r>
      <w:r w:rsidRPr="00BE51CE">
        <w:rPr>
          <w:rFonts w:cs="Arial"/>
        </w:rPr>
        <w:tab/>
        <w:t xml:space="preserve">Annually Managed Expenditure </w:t>
      </w:r>
    </w:p>
    <w:p w:rsidR="009954B5" w:rsidRPr="00BE51CE" w:rsidP="001110F1">
      <w:pPr>
        <w:spacing w:after="0" w:line="240" w:lineRule="auto"/>
        <w:jc w:val="both"/>
        <w:rPr>
          <w:rFonts w:cs="Arial"/>
        </w:rPr>
      </w:pPr>
      <w:r w:rsidRPr="00BE51CE">
        <w:rPr>
          <w:rFonts w:cs="Arial"/>
        </w:rPr>
        <w:t>ANSF</w:t>
      </w:r>
      <w:r w:rsidRPr="00BE51CE">
        <w:rPr>
          <w:rFonts w:cs="Arial"/>
        </w:rPr>
        <w:tab/>
      </w:r>
      <w:r w:rsidRPr="00BE51CE">
        <w:rPr>
          <w:rFonts w:cs="Arial"/>
        </w:rPr>
        <w:tab/>
        <w:t>Afghan National Security Force</w:t>
      </w:r>
    </w:p>
    <w:p w:rsidR="009954B5" w:rsidRPr="00BE51CE" w:rsidP="001110F1">
      <w:pPr>
        <w:spacing w:after="0" w:line="240" w:lineRule="auto"/>
        <w:jc w:val="both"/>
        <w:rPr>
          <w:rFonts w:cs="Arial"/>
        </w:rPr>
      </w:pPr>
      <w:r w:rsidRPr="00BE51CE">
        <w:rPr>
          <w:rFonts w:cs="Arial"/>
        </w:rPr>
        <w:t>BTE</w:t>
      </w:r>
      <w:r w:rsidRPr="00BE51CE">
        <w:rPr>
          <w:rFonts w:cs="Arial"/>
        </w:rPr>
        <w:tab/>
      </w:r>
      <w:r w:rsidRPr="00BE51CE">
        <w:rPr>
          <w:rFonts w:cs="Arial"/>
        </w:rPr>
        <w:tab/>
        <w:t>Bespoke Trading Entity</w:t>
      </w:r>
    </w:p>
    <w:p w:rsidR="009954B5" w:rsidRPr="00BE51CE" w:rsidP="001110F1">
      <w:pPr>
        <w:spacing w:after="0" w:line="240" w:lineRule="auto"/>
        <w:jc w:val="both"/>
        <w:rPr>
          <w:rFonts w:cs="Arial"/>
        </w:rPr>
      </w:pPr>
      <w:r w:rsidRPr="00BE51CE">
        <w:rPr>
          <w:rFonts w:cs="Arial"/>
        </w:rPr>
        <w:t>CDEL</w:t>
      </w:r>
      <w:r w:rsidRPr="00BE51CE">
        <w:rPr>
          <w:rFonts w:cs="Arial"/>
        </w:rPr>
        <w:tab/>
      </w:r>
      <w:r w:rsidRPr="00BE51CE">
        <w:rPr>
          <w:rFonts w:cs="Arial"/>
        </w:rPr>
        <w:tab/>
        <w:t>Capital Departmental Expenditure Limit</w:t>
      </w:r>
    </w:p>
    <w:p w:rsidR="009954B5" w:rsidRPr="00BE51CE" w:rsidP="001110F1">
      <w:pPr>
        <w:spacing w:after="0" w:line="240" w:lineRule="auto"/>
        <w:jc w:val="both"/>
        <w:rPr>
          <w:rFonts w:cs="Arial"/>
        </w:rPr>
      </w:pPr>
      <w:r w:rsidRPr="00BE51CE">
        <w:rPr>
          <w:rFonts w:cs="Arial"/>
        </w:rPr>
        <w:t>CLoS</w:t>
      </w:r>
      <w:r w:rsidRPr="00BE51CE">
        <w:rPr>
          <w:rFonts w:cs="Arial"/>
        </w:rPr>
        <w:tab/>
      </w:r>
      <w:r w:rsidRPr="00BE51CE">
        <w:rPr>
          <w:rFonts w:cs="Arial"/>
        </w:rPr>
        <w:tab/>
        <w:t>Clear Line of Sight</w:t>
      </w:r>
    </w:p>
    <w:p w:rsidR="009954B5" w:rsidRPr="00BE51CE" w:rsidP="001110F1">
      <w:pPr>
        <w:spacing w:after="0" w:line="240" w:lineRule="auto"/>
        <w:jc w:val="both"/>
        <w:rPr>
          <w:rFonts w:cs="Arial"/>
        </w:rPr>
      </w:pPr>
      <w:r w:rsidRPr="00BE51CE">
        <w:rPr>
          <w:rFonts w:cs="Arial"/>
        </w:rPr>
        <w:t>CRFCA</w:t>
      </w:r>
      <w:r w:rsidRPr="00BE51CE">
        <w:rPr>
          <w:rFonts w:cs="Arial"/>
        </w:rPr>
        <w:tab/>
      </w:r>
      <w:r w:rsidR="00741F79">
        <w:rPr>
          <w:rFonts w:cs="Arial"/>
        </w:rPr>
        <w:tab/>
      </w:r>
      <w:r w:rsidRPr="00BE51CE">
        <w:rPr>
          <w:rFonts w:cs="Arial"/>
        </w:rPr>
        <w:t>Council for Reserve Forces and Cadets Association</w:t>
      </w:r>
    </w:p>
    <w:p w:rsidR="009954B5" w:rsidRPr="00BE51CE" w:rsidP="001110F1">
      <w:pPr>
        <w:spacing w:after="0" w:line="240" w:lineRule="auto"/>
        <w:jc w:val="both"/>
        <w:rPr>
          <w:rFonts w:cs="Arial"/>
        </w:rPr>
      </w:pPr>
      <w:r w:rsidRPr="00BE51CE">
        <w:rPr>
          <w:rFonts w:cs="Arial"/>
        </w:rPr>
        <w:t>CSR</w:t>
      </w:r>
      <w:r w:rsidRPr="00BE51CE">
        <w:rPr>
          <w:rFonts w:cs="Arial"/>
        </w:rPr>
        <w:tab/>
      </w:r>
      <w:r w:rsidRPr="00BE51CE">
        <w:rPr>
          <w:rFonts w:cs="Arial"/>
        </w:rPr>
        <w:tab/>
        <w:t>Comprehensive Spending Review</w:t>
      </w:r>
    </w:p>
    <w:p w:rsidR="009954B5" w:rsidRPr="00BE51CE" w:rsidP="001110F1">
      <w:pPr>
        <w:spacing w:after="0" w:line="240" w:lineRule="auto"/>
        <w:jc w:val="both"/>
        <w:rPr>
          <w:rFonts w:cs="Arial"/>
        </w:rPr>
      </w:pPr>
      <w:r w:rsidRPr="00BE51CE">
        <w:rPr>
          <w:rFonts w:cs="Arial"/>
        </w:rPr>
        <w:t>CWGC</w:t>
      </w:r>
      <w:r w:rsidRPr="00BE51CE">
        <w:rPr>
          <w:rFonts w:cs="Arial"/>
        </w:rPr>
        <w:tab/>
      </w:r>
      <w:r>
        <w:rPr>
          <w:rFonts w:cs="Arial"/>
        </w:rPr>
        <w:tab/>
      </w:r>
      <w:r w:rsidRPr="00BE51CE">
        <w:rPr>
          <w:rFonts w:cs="Arial"/>
        </w:rPr>
        <w:t xml:space="preserve">Commonwealth War Graves Commission </w:t>
      </w:r>
    </w:p>
    <w:p w:rsidR="009954B5" w:rsidRPr="00BE51CE" w:rsidP="001110F1">
      <w:pPr>
        <w:spacing w:after="0" w:line="240" w:lineRule="auto"/>
        <w:jc w:val="both"/>
        <w:rPr>
          <w:rFonts w:cs="Arial"/>
        </w:rPr>
      </w:pPr>
      <w:r w:rsidRPr="00BE51CE">
        <w:rPr>
          <w:rFonts w:cs="Arial"/>
        </w:rPr>
        <w:t>DCLG</w:t>
      </w:r>
      <w:r w:rsidRPr="00BE51CE">
        <w:rPr>
          <w:rFonts w:cs="Arial"/>
        </w:rPr>
        <w:tab/>
      </w:r>
      <w:r w:rsidRPr="00BE51CE">
        <w:rPr>
          <w:rFonts w:cs="Arial"/>
        </w:rPr>
        <w:tab/>
        <w:t>Department for Communities and Local Government</w:t>
      </w:r>
    </w:p>
    <w:p w:rsidR="009954B5" w:rsidRPr="00BE51CE" w:rsidP="001110F1">
      <w:pPr>
        <w:spacing w:after="0" w:line="240" w:lineRule="auto"/>
        <w:jc w:val="both"/>
        <w:rPr>
          <w:rFonts w:cs="Arial"/>
        </w:rPr>
      </w:pPr>
      <w:r w:rsidRPr="00BE51CE">
        <w:rPr>
          <w:rFonts w:cs="Arial"/>
        </w:rPr>
        <w:t>DOH</w:t>
      </w:r>
      <w:r w:rsidRPr="00BE51CE">
        <w:rPr>
          <w:rFonts w:cs="Arial"/>
        </w:rPr>
        <w:tab/>
      </w:r>
      <w:r w:rsidRPr="00BE51CE">
        <w:rPr>
          <w:rFonts w:cs="Arial"/>
        </w:rPr>
        <w:tab/>
        <w:t>Department of Health</w:t>
      </w:r>
    </w:p>
    <w:p w:rsidR="009954B5" w:rsidRPr="00BE51CE" w:rsidP="001110F1">
      <w:pPr>
        <w:spacing w:after="0" w:line="240" w:lineRule="auto"/>
        <w:jc w:val="both"/>
        <w:rPr>
          <w:rFonts w:cs="Arial"/>
        </w:rPr>
      </w:pPr>
      <w:r w:rsidRPr="00BE51CE">
        <w:rPr>
          <w:rFonts w:cs="Arial"/>
        </w:rPr>
        <w:t>DEL</w:t>
      </w:r>
      <w:r w:rsidRPr="00BE51CE">
        <w:rPr>
          <w:rFonts w:cs="Arial"/>
        </w:rPr>
        <w:tab/>
      </w:r>
      <w:r w:rsidRPr="00BE51CE">
        <w:rPr>
          <w:rFonts w:cs="Arial"/>
        </w:rPr>
        <w:tab/>
        <w:t>Departmental Expenditure Limits</w:t>
      </w:r>
    </w:p>
    <w:p w:rsidR="009954B5" w:rsidRPr="00BE51CE" w:rsidP="001110F1">
      <w:pPr>
        <w:spacing w:after="0" w:line="240" w:lineRule="auto"/>
        <w:jc w:val="both"/>
        <w:rPr>
          <w:rFonts w:cs="Arial"/>
        </w:rPr>
      </w:pPr>
      <w:r w:rsidRPr="00BE51CE">
        <w:rPr>
          <w:rFonts w:cs="Arial"/>
        </w:rPr>
        <w:t>DFID</w:t>
      </w:r>
      <w:r w:rsidRPr="00BE51CE">
        <w:rPr>
          <w:rFonts w:cs="Arial"/>
        </w:rPr>
        <w:tab/>
      </w:r>
      <w:r w:rsidRPr="00BE51CE">
        <w:rPr>
          <w:rFonts w:cs="Arial"/>
        </w:rPr>
        <w:tab/>
        <w:t>Department for International Development</w:t>
      </w:r>
    </w:p>
    <w:p w:rsidR="009954B5" w:rsidRPr="00BE51CE" w:rsidP="001110F1">
      <w:pPr>
        <w:spacing w:after="0" w:line="240" w:lineRule="auto"/>
        <w:jc w:val="both"/>
        <w:rPr>
          <w:rFonts w:cs="Arial"/>
        </w:rPr>
      </w:pPr>
      <w:r w:rsidRPr="00BE51CE">
        <w:rPr>
          <w:rFonts w:cs="Arial"/>
        </w:rPr>
        <w:t>DMAP</w:t>
      </w:r>
      <w:r w:rsidRPr="00BE51CE">
        <w:rPr>
          <w:rFonts w:cs="Arial"/>
        </w:rPr>
        <w:tab/>
      </w:r>
      <w:r w:rsidRPr="00BE51CE">
        <w:rPr>
          <w:rFonts w:cs="Arial"/>
        </w:rPr>
        <w:tab/>
        <w:t>Deployed Military Activity Pool</w:t>
      </w:r>
    </w:p>
    <w:p w:rsidR="009954B5" w:rsidRPr="00BE51CE" w:rsidP="001110F1">
      <w:pPr>
        <w:spacing w:after="0" w:line="240" w:lineRule="auto"/>
        <w:jc w:val="both"/>
        <w:rPr>
          <w:rFonts w:cs="Arial"/>
        </w:rPr>
      </w:pPr>
      <w:r w:rsidRPr="00BE51CE">
        <w:rPr>
          <w:rFonts w:cs="Arial"/>
        </w:rPr>
        <w:t>ERNIC</w:t>
      </w:r>
      <w:r w:rsidRPr="00BE51CE">
        <w:rPr>
          <w:rFonts w:cs="Arial"/>
        </w:rPr>
        <w:tab/>
      </w:r>
      <w:r>
        <w:rPr>
          <w:rFonts w:cs="Arial"/>
        </w:rPr>
        <w:tab/>
      </w:r>
      <w:r w:rsidRPr="00BE51CE">
        <w:rPr>
          <w:rFonts w:cs="Arial"/>
        </w:rPr>
        <w:t>Employer’s National Insurance Contribution</w:t>
      </w:r>
    </w:p>
    <w:p w:rsidR="009954B5" w:rsidRPr="00BE51CE" w:rsidP="001110F1">
      <w:pPr>
        <w:spacing w:after="0" w:line="240" w:lineRule="auto"/>
        <w:jc w:val="both"/>
        <w:rPr>
          <w:rFonts w:cs="Arial"/>
        </w:rPr>
      </w:pPr>
      <w:r w:rsidRPr="00BE51CE">
        <w:rPr>
          <w:rFonts w:cs="Arial"/>
        </w:rPr>
        <w:t>GCHQ</w:t>
      </w:r>
      <w:r w:rsidRPr="00BE51CE">
        <w:rPr>
          <w:rFonts w:cs="Arial"/>
        </w:rPr>
        <w:tab/>
      </w:r>
      <w:r>
        <w:rPr>
          <w:rFonts w:cs="Arial"/>
        </w:rPr>
        <w:tab/>
      </w:r>
      <w:r w:rsidRPr="00BE51CE">
        <w:rPr>
          <w:rFonts w:cs="Arial"/>
        </w:rPr>
        <w:t>Government Communication Headquarters</w:t>
      </w:r>
    </w:p>
    <w:p w:rsidR="009954B5" w:rsidRPr="00BE51CE" w:rsidP="001110F1">
      <w:pPr>
        <w:spacing w:after="0" w:line="240" w:lineRule="auto"/>
        <w:jc w:val="both"/>
        <w:rPr>
          <w:rFonts w:cs="Arial"/>
        </w:rPr>
      </w:pPr>
      <w:r w:rsidRPr="00BE51CE">
        <w:rPr>
          <w:rFonts w:cs="Arial"/>
        </w:rPr>
        <w:t>HMT</w:t>
      </w:r>
      <w:r w:rsidRPr="00BE51CE">
        <w:rPr>
          <w:rFonts w:cs="Arial"/>
        </w:rPr>
        <w:tab/>
      </w:r>
      <w:r w:rsidRPr="00BE51CE">
        <w:rPr>
          <w:rFonts w:cs="Arial"/>
        </w:rPr>
        <w:tab/>
        <w:t>Her Majesty’s Treasury</w:t>
      </w:r>
    </w:p>
    <w:p w:rsidR="009954B5" w:rsidRPr="00BE51CE" w:rsidP="001110F1">
      <w:pPr>
        <w:spacing w:after="0" w:line="240" w:lineRule="auto"/>
        <w:jc w:val="both"/>
        <w:rPr>
          <w:rFonts w:cs="Arial"/>
        </w:rPr>
      </w:pPr>
      <w:r w:rsidRPr="00BE51CE">
        <w:rPr>
          <w:rFonts w:cs="Arial"/>
        </w:rPr>
        <w:t>LIBOR</w:t>
      </w:r>
      <w:r>
        <w:rPr>
          <w:rFonts w:cs="Arial"/>
        </w:rPr>
        <w:tab/>
      </w:r>
      <w:r w:rsidRPr="00BE51CE">
        <w:rPr>
          <w:rFonts w:cs="Arial"/>
        </w:rPr>
        <w:tab/>
        <w:t>London Inter Bank Offered Rate</w:t>
      </w:r>
    </w:p>
    <w:p w:rsidR="009954B5" w:rsidRPr="00BE51CE" w:rsidP="001110F1">
      <w:pPr>
        <w:spacing w:after="0" w:line="240" w:lineRule="auto"/>
        <w:jc w:val="both"/>
        <w:rPr>
          <w:rFonts w:cs="Arial"/>
        </w:rPr>
      </w:pPr>
      <w:r w:rsidRPr="00BE51CE">
        <w:rPr>
          <w:rFonts w:cs="Arial"/>
        </w:rPr>
        <w:t>ME</w:t>
      </w:r>
      <w:r w:rsidRPr="00BE51CE">
        <w:rPr>
          <w:rFonts w:cs="Arial"/>
        </w:rPr>
        <w:tab/>
      </w:r>
      <w:r w:rsidRPr="00BE51CE">
        <w:rPr>
          <w:rFonts w:cs="Arial"/>
        </w:rPr>
        <w:tab/>
        <w:t>Supplementary Estimate</w:t>
      </w:r>
    </w:p>
    <w:p w:rsidR="009954B5" w:rsidRPr="00BE51CE" w:rsidP="001110F1">
      <w:pPr>
        <w:spacing w:after="0" w:line="240" w:lineRule="auto"/>
        <w:jc w:val="both"/>
        <w:rPr>
          <w:rFonts w:cs="Arial"/>
        </w:rPr>
      </w:pPr>
      <w:r w:rsidRPr="00BE51CE">
        <w:rPr>
          <w:rFonts w:cs="Arial"/>
        </w:rPr>
        <w:t>MOD</w:t>
      </w:r>
      <w:r w:rsidRPr="00BE51CE">
        <w:rPr>
          <w:rFonts w:cs="Arial"/>
        </w:rPr>
        <w:tab/>
      </w:r>
      <w:r w:rsidRPr="00BE51CE">
        <w:rPr>
          <w:rFonts w:cs="Arial"/>
        </w:rPr>
        <w:tab/>
        <w:t xml:space="preserve">Ministry of Defence </w:t>
      </w:r>
    </w:p>
    <w:p w:rsidR="009954B5" w:rsidRPr="00BE51CE" w:rsidP="001110F1">
      <w:pPr>
        <w:spacing w:after="0" w:line="240" w:lineRule="auto"/>
        <w:jc w:val="both"/>
        <w:rPr>
          <w:rFonts w:cs="Arial"/>
        </w:rPr>
      </w:pPr>
      <w:r w:rsidRPr="00BE51CE">
        <w:rPr>
          <w:rFonts w:cs="Arial"/>
        </w:rPr>
        <w:t>MOG</w:t>
      </w:r>
      <w:r w:rsidRPr="00BE51CE">
        <w:rPr>
          <w:rFonts w:cs="Arial"/>
        </w:rPr>
        <w:tab/>
      </w:r>
      <w:r w:rsidRPr="00BE51CE">
        <w:rPr>
          <w:rFonts w:cs="Arial"/>
        </w:rPr>
        <w:tab/>
        <w:t>Machinery of Government</w:t>
      </w:r>
    </w:p>
    <w:p w:rsidR="009954B5" w:rsidRPr="00BE51CE" w:rsidP="001110F1">
      <w:pPr>
        <w:spacing w:after="0" w:line="240" w:lineRule="auto"/>
        <w:jc w:val="both"/>
        <w:rPr>
          <w:rFonts w:cs="Arial"/>
        </w:rPr>
      </w:pPr>
      <w:r w:rsidRPr="00BE51CE">
        <w:rPr>
          <w:rFonts w:cs="Arial"/>
        </w:rPr>
        <w:t>NATO</w:t>
      </w:r>
      <w:r w:rsidRPr="00BE51CE">
        <w:rPr>
          <w:rFonts w:cs="Arial"/>
        </w:rPr>
        <w:tab/>
      </w:r>
      <w:r w:rsidRPr="00BE51CE">
        <w:rPr>
          <w:rFonts w:cs="Arial"/>
        </w:rPr>
        <w:tab/>
        <w:t>North Atlantic Treaty Organisation</w:t>
      </w:r>
    </w:p>
    <w:p w:rsidR="009954B5" w:rsidRPr="00BE51CE" w:rsidP="001110F1">
      <w:pPr>
        <w:spacing w:after="0" w:line="240" w:lineRule="auto"/>
        <w:jc w:val="both"/>
        <w:rPr>
          <w:rFonts w:cs="Arial"/>
        </w:rPr>
      </w:pPr>
      <w:r w:rsidRPr="00BE51CE">
        <w:rPr>
          <w:rFonts w:cs="Arial"/>
        </w:rPr>
        <w:t>NDPB</w:t>
      </w:r>
      <w:r w:rsidRPr="00BE51CE">
        <w:rPr>
          <w:rFonts w:cs="Arial"/>
        </w:rPr>
        <w:tab/>
      </w:r>
      <w:r w:rsidRPr="00BE51CE">
        <w:rPr>
          <w:rFonts w:cs="Arial"/>
        </w:rPr>
        <w:tab/>
        <w:t>Non Departmental Public Body</w:t>
      </w:r>
    </w:p>
    <w:p w:rsidR="009954B5" w:rsidRPr="00BE51CE" w:rsidP="001110F1">
      <w:pPr>
        <w:spacing w:after="0" w:line="240" w:lineRule="auto"/>
        <w:jc w:val="both"/>
        <w:rPr>
          <w:rFonts w:cs="Arial"/>
        </w:rPr>
      </w:pPr>
      <w:r w:rsidRPr="00BE51CE">
        <w:rPr>
          <w:rFonts w:cs="Arial"/>
        </w:rPr>
        <w:t>OSCAR</w:t>
      </w:r>
      <w:r w:rsidRPr="00BE51CE">
        <w:rPr>
          <w:rFonts w:cs="Arial"/>
        </w:rPr>
        <w:tab/>
      </w:r>
      <w:r w:rsidR="00741F79">
        <w:rPr>
          <w:rFonts w:cs="Arial"/>
        </w:rPr>
        <w:tab/>
      </w:r>
      <w:r w:rsidRPr="00BE51CE">
        <w:rPr>
          <w:rFonts w:cs="Arial"/>
        </w:rPr>
        <w:t>Online System for Central Accounting and Reporting</w:t>
      </w:r>
    </w:p>
    <w:p w:rsidR="009954B5" w:rsidRPr="00BE51CE" w:rsidP="001110F1">
      <w:pPr>
        <w:spacing w:after="0" w:line="240" w:lineRule="auto"/>
        <w:jc w:val="both"/>
        <w:rPr>
          <w:rFonts w:cs="Arial"/>
        </w:rPr>
      </w:pPr>
      <w:r w:rsidRPr="00BE51CE">
        <w:rPr>
          <w:rFonts w:cs="Arial"/>
        </w:rPr>
        <w:t>ONS</w:t>
      </w:r>
      <w:r w:rsidRPr="00BE51CE">
        <w:rPr>
          <w:rFonts w:cs="Arial"/>
        </w:rPr>
        <w:tab/>
      </w:r>
      <w:r w:rsidRPr="00BE51CE">
        <w:rPr>
          <w:rFonts w:cs="Arial"/>
        </w:rPr>
        <w:tab/>
        <w:t>Office of National Statistics</w:t>
      </w:r>
    </w:p>
    <w:p w:rsidR="009954B5" w:rsidRPr="00BE51CE" w:rsidP="001110F1">
      <w:pPr>
        <w:spacing w:after="0" w:line="240" w:lineRule="auto"/>
        <w:jc w:val="both"/>
        <w:rPr>
          <w:rFonts w:cs="Arial"/>
        </w:rPr>
      </w:pPr>
      <w:r w:rsidRPr="00BE51CE">
        <w:rPr>
          <w:rFonts w:cs="Arial"/>
        </w:rPr>
        <w:t>RDEL</w:t>
      </w:r>
      <w:r w:rsidRPr="00BE51CE">
        <w:rPr>
          <w:rFonts w:cs="Arial"/>
        </w:rPr>
        <w:tab/>
      </w:r>
      <w:r w:rsidRPr="00BE51CE">
        <w:rPr>
          <w:rFonts w:cs="Arial"/>
        </w:rPr>
        <w:tab/>
        <w:t>Resource Departmental Expenditure Limit</w:t>
      </w:r>
    </w:p>
    <w:p w:rsidR="009954B5" w:rsidRPr="00BE51CE" w:rsidP="001110F1">
      <w:pPr>
        <w:spacing w:after="0" w:line="240" w:lineRule="auto"/>
        <w:jc w:val="both"/>
        <w:rPr>
          <w:rFonts w:cs="Arial"/>
        </w:rPr>
      </w:pPr>
      <w:r w:rsidRPr="00BE51CE">
        <w:rPr>
          <w:rFonts w:cs="Arial"/>
        </w:rPr>
        <w:t>RHC</w:t>
      </w:r>
      <w:r w:rsidRPr="00BE51CE">
        <w:rPr>
          <w:rFonts w:cs="Arial"/>
        </w:rPr>
        <w:tab/>
      </w:r>
      <w:r w:rsidRPr="00BE51CE">
        <w:rPr>
          <w:rFonts w:cs="Arial"/>
        </w:rPr>
        <w:tab/>
        <w:t>Royal Hospital Chelsea</w:t>
      </w:r>
    </w:p>
    <w:p w:rsidR="009954B5" w:rsidRPr="00BE51CE" w:rsidP="001110F1">
      <w:pPr>
        <w:spacing w:after="0" w:line="240" w:lineRule="auto"/>
        <w:jc w:val="both"/>
        <w:rPr>
          <w:rFonts w:cs="Arial"/>
        </w:rPr>
      </w:pPr>
      <w:r w:rsidRPr="00BE51CE">
        <w:rPr>
          <w:rFonts w:cs="Arial"/>
        </w:rPr>
        <w:t>SCAPE</w:t>
      </w:r>
      <w:r w:rsidRPr="00BE51CE">
        <w:rPr>
          <w:rFonts w:cs="Arial"/>
        </w:rPr>
        <w:tab/>
      </w:r>
      <w:r w:rsidR="00741F79">
        <w:rPr>
          <w:rFonts w:cs="Arial"/>
        </w:rPr>
        <w:tab/>
      </w:r>
      <w:r w:rsidRPr="00BE51CE">
        <w:rPr>
          <w:rFonts w:cs="Arial"/>
        </w:rPr>
        <w:t>Superannuation Contribution Adjusted for Past Experience</w:t>
      </w:r>
    </w:p>
    <w:p w:rsidR="009954B5" w:rsidRPr="00BE51CE" w:rsidP="001110F1">
      <w:pPr>
        <w:spacing w:after="0" w:line="240" w:lineRule="auto"/>
        <w:jc w:val="both"/>
        <w:rPr>
          <w:rFonts w:cs="Arial"/>
        </w:rPr>
      </w:pPr>
      <w:r w:rsidRPr="00BE51CE">
        <w:rPr>
          <w:rFonts w:cs="Arial"/>
        </w:rPr>
        <w:t>SE</w:t>
      </w:r>
      <w:r w:rsidRPr="00BE51CE">
        <w:rPr>
          <w:rFonts w:cs="Arial"/>
        </w:rPr>
        <w:tab/>
      </w:r>
      <w:r w:rsidRPr="00BE51CE">
        <w:rPr>
          <w:rFonts w:cs="Arial"/>
        </w:rPr>
        <w:tab/>
        <w:t>Supplementary Estimates</w:t>
      </w:r>
    </w:p>
    <w:p w:rsidR="009954B5" w:rsidRPr="00BE51CE" w:rsidP="001110F1">
      <w:pPr>
        <w:spacing w:after="0" w:line="240" w:lineRule="auto"/>
        <w:jc w:val="both"/>
        <w:rPr>
          <w:rFonts w:cs="Arial"/>
        </w:rPr>
      </w:pPr>
      <w:r w:rsidRPr="00BE51CE">
        <w:rPr>
          <w:rFonts w:cs="Arial"/>
        </w:rPr>
        <w:t>SIA</w:t>
      </w:r>
      <w:r w:rsidRPr="00BE51CE">
        <w:rPr>
          <w:rFonts w:cs="Arial"/>
        </w:rPr>
        <w:tab/>
      </w:r>
      <w:r w:rsidRPr="00BE51CE">
        <w:rPr>
          <w:rFonts w:cs="Arial"/>
        </w:rPr>
        <w:tab/>
        <w:t>Single Intelligence Agency</w:t>
      </w:r>
    </w:p>
    <w:p w:rsidR="009954B5" w:rsidRPr="00BE51CE" w:rsidP="001110F1">
      <w:pPr>
        <w:spacing w:after="0" w:line="240" w:lineRule="auto"/>
        <w:jc w:val="both"/>
        <w:rPr>
          <w:rFonts w:cs="Arial"/>
        </w:rPr>
      </w:pPr>
      <w:r w:rsidRPr="00BE51CE">
        <w:rPr>
          <w:rFonts w:cs="Arial"/>
        </w:rPr>
        <w:t>SR</w:t>
      </w:r>
      <w:r w:rsidRPr="00BE51CE">
        <w:rPr>
          <w:rFonts w:cs="Arial"/>
        </w:rPr>
        <w:tab/>
      </w:r>
      <w:r w:rsidRPr="00BE51CE">
        <w:rPr>
          <w:rFonts w:cs="Arial"/>
        </w:rPr>
        <w:tab/>
        <w:t>Spending Review</w:t>
      </w:r>
    </w:p>
    <w:p w:rsidR="009954B5" w:rsidRPr="00BE51CE" w:rsidP="001110F1">
      <w:pPr>
        <w:spacing w:after="0" w:line="240" w:lineRule="auto"/>
        <w:jc w:val="both"/>
        <w:rPr>
          <w:rFonts w:cs="Arial"/>
        </w:rPr>
      </w:pPr>
      <w:r w:rsidRPr="00BE51CE">
        <w:rPr>
          <w:rFonts w:cs="Arial"/>
        </w:rPr>
        <w:t>SUME</w:t>
      </w:r>
      <w:r w:rsidRPr="00BE51CE">
        <w:rPr>
          <w:rFonts w:cs="Arial"/>
        </w:rPr>
        <w:tab/>
      </w:r>
      <w:r w:rsidRPr="00BE51CE">
        <w:rPr>
          <w:rFonts w:cs="Arial"/>
        </w:rPr>
        <w:tab/>
        <w:t>Single Use Military Equipment</w:t>
      </w:r>
    </w:p>
    <w:p w:rsidR="009954B5" w:rsidRPr="00BE51CE" w:rsidP="001110F1">
      <w:pPr>
        <w:spacing w:after="0" w:line="240" w:lineRule="auto"/>
        <w:jc w:val="both"/>
        <w:rPr>
          <w:rFonts w:cs="Arial"/>
        </w:rPr>
      </w:pPr>
      <w:r w:rsidRPr="00BE51CE">
        <w:rPr>
          <w:rFonts w:cs="Arial"/>
        </w:rPr>
        <w:t>TLB</w:t>
      </w:r>
      <w:r w:rsidRPr="00BE51CE">
        <w:rPr>
          <w:rFonts w:cs="Arial"/>
        </w:rPr>
        <w:tab/>
      </w:r>
      <w:r w:rsidRPr="00BE51CE">
        <w:rPr>
          <w:rFonts w:cs="Arial"/>
        </w:rPr>
        <w:tab/>
        <w:t xml:space="preserve">Top Level Budget </w:t>
      </w:r>
    </w:p>
    <w:p w:rsidR="009954B5" w:rsidRPr="00BE51CE" w:rsidP="001110F1">
      <w:pPr>
        <w:spacing w:after="0" w:line="240" w:lineRule="auto"/>
        <w:jc w:val="both"/>
        <w:rPr>
          <w:rFonts w:cs="Arial"/>
        </w:rPr>
      </w:pPr>
      <w:r w:rsidRPr="00BE51CE">
        <w:rPr>
          <w:rFonts w:cs="Arial"/>
        </w:rPr>
        <w:t>UK</w:t>
      </w:r>
      <w:r w:rsidRPr="00BE51CE">
        <w:rPr>
          <w:rFonts w:cs="Arial"/>
        </w:rPr>
        <w:tab/>
      </w:r>
      <w:r w:rsidRPr="00BE51CE">
        <w:rPr>
          <w:rFonts w:cs="Arial"/>
        </w:rPr>
        <w:tab/>
        <w:t xml:space="preserve">United Kingdom </w:t>
      </w:r>
    </w:p>
    <w:p w:rsidR="009954B5" w:rsidP="001110F1">
      <w:pPr>
        <w:spacing w:after="0" w:line="240" w:lineRule="auto"/>
        <w:jc w:val="both"/>
        <w:rPr>
          <w:rFonts w:cs="Arial"/>
        </w:rPr>
      </w:pPr>
      <w:r w:rsidRPr="00BE51CE">
        <w:rPr>
          <w:rFonts w:cs="Arial"/>
        </w:rPr>
        <w:t>UOR</w:t>
      </w:r>
      <w:r w:rsidRPr="00BE51CE">
        <w:rPr>
          <w:rFonts w:cs="Arial"/>
        </w:rPr>
        <w:tab/>
      </w:r>
      <w:r w:rsidRPr="00BE51CE">
        <w:rPr>
          <w:rFonts w:cs="Arial"/>
        </w:rPr>
        <w:tab/>
        <w:t>Urgent Operational Requirement</w:t>
      </w:r>
    </w:p>
    <w:p w:rsidR="009954B5" w:rsidP="001110F1">
      <w:pPr>
        <w:spacing w:after="0" w:line="240" w:lineRule="auto"/>
        <w:jc w:val="right"/>
        <w:outlineLvl w:val="0"/>
        <w:rPr>
          <w:rFonts w:cs="Arial"/>
          <w:b/>
          <w:u w:val="single"/>
        </w:rPr>
      </w:pPr>
      <w:r>
        <w:rPr>
          <w:rFonts w:cs="Arial"/>
          <w:b/>
          <w:u w:val="single"/>
        </w:rPr>
        <w:br w:type="page"/>
      </w:r>
      <w:r w:rsidRPr="003A153A">
        <w:rPr>
          <w:rFonts w:cs="Arial"/>
          <w:b/>
          <w:u w:val="single"/>
        </w:rPr>
        <w:t xml:space="preserve">Annex </w:t>
      </w:r>
      <w:r>
        <w:rPr>
          <w:rFonts w:cs="Arial"/>
          <w:b/>
          <w:u w:val="single"/>
        </w:rPr>
        <w:t>A.</w:t>
      </w:r>
      <w:r w:rsidRPr="003A153A">
        <w:rPr>
          <w:rFonts w:cs="Arial"/>
          <w:b/>
          <w:u w:val="single"/>
        </w:rPr>
        <w:t>3</w:t>
      </w:r>
    </w:p>
    <w:p w:rsidR="00027A6A" w:rsidP="00027A6A">
      <w:pPr>
        <w:spacing w:after="0" w:line="240" w:lineRule="auto"/>
        <w:jc w:val="both"/>
        <w:outlineLvl w:val="0"/>
        <w:rPr>
          <w:rFonts w:cs="Arial"/>
          <w:b/>
          <w:sz w:val="27"/>
          <w:szCs w:val="27"/>
          <w:u w:val="single"/>
        </w:rPr>
      </w:pPr>
    </w:p>
    <w:p w:rsidR="009954B5" w:rsidP="001110F1">
      <w:pPr>
        <w:spacing w:after="0" w:line="240" w:lineRule="auto"/>
        <w:jc w:val="both"/>
        <w:outlineLvl w:val="0"/>
        <w:rPr>
          <w:rFonts w:cs="Arial"/>
          <w:b/>
          <w:sz w:val="27"/>
          <w:szCs w:val="27"/>
          <w:u w:val="single"/>
        </w:rPr>
      </w:pPr>
      <w:r>
        <w:rPr>
          <w:rFonts w:cs="Arial"/>
          <w:b/>
          <w:sz w:val="27"/>
          <w:szCs w:val="27"/>
          <w:u w:val="single"/>
        </w:rPr>
        <w:t xml:space="preserve">Current </w:t>
      </w:r>
      <w:r w:rsidRPr="00592651">
        <w:rPr>
          <w:rFonts w:cs="Arial"/>
          <w:b/>
          <w:sz w:val="27"/>
          <w:szCs w:val="27"/>
          <w:u w:val="single"/>
        </w:rPr>
        <w:t>RDEL Commodity Structure</w:t>
      </w:r>
    </w:p>
    <w:p w:rsidR="009954B5" w:rsidRPr="00592651" w:rsidP="001110F1">
      <w:pPr>
        <w:spacing w:after="0" w:line="240" w:lineRule="auto"/>
        <w:jc w:val="both"/>
        <w:rPr>
          <w:rFonts w:cs="Arial"/>
          <w:b/>
          <w:sz w:val="27"/>
          <w:szCs w:val="27"/>
          <w:u w:val="single"/>
        </w:rPr>
      </w:pP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80"/>
        <w:gridCol w:w="7440"/>
      </w:tblGrid>
      <w:tr w:rsidTr="00BB7DE6">
        <w:tblPrEx>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hRule="exact" w:val="794"/>
          <w:jc w:val="center"/>
        </w:trPr>
        <w:tc>
          <w:tcPr>
            <w:tcW w:w="2880" w:type="dxa"/>
            <w:shd w:val="clear" w:color="auto" w:fill="00CCFF"/>
          </w:tcPr>
          <w:p w:rsidR="009954B5" w:rsidRPr="00EA55B9" w:rsidP="001110F1">
            <w:pPr>
              <w:spacing w:after="0" w:line="240" w:lineRule="auto"/>
              <w:rPr>
                <w:rFonts w:eastAsia="SimSun" w:cs="Arial"/>
                <w:b/>
              </w:rPr>
            </w:pPr>
            <w:r w:rsidRPr="00EA55B9">
              <w:rPr>
                <w:rFonts w:eastAsia="SimSun" w:cs="Arial"/>
                <w:b/>
              </w:rPr>
              <w:t xml:space="preserve">Commodity Block </w:t>
            </w:r>
          </w:p>
        </w:tc>
        <w:tc>
          <w:tcPr>
            <w:tcW w:w="7440" w:type="dxa"/>
            <w:shd w:val="clear" w:color="auto" w:fill="00CCFF"/>
          </w:tcPr>
          <w:p w:rsidR="009954B5" w:rsidRPr="00EA55B9" w:rsidP="001110F1">
            <w:pPr>
              <w:spacing w:after="0" w:line="240" w:lineRule="auto"/>
              <w:jc w:val="both"/>
              <w:rPr>
                <w:rFonts w:eastAsia="SimSun" w:cs="Arial"/>
                <w:b/>
              </w:rPr>
            </w:pPr>
            <w:r w:rsidRPr="00EA55B9">
              <w:rPr>
                <w:rFonts w:eastAsia="SimSun" w:cs="Arial"/>
                <w:b/>
              </w:rPr>
              <w:t>Major Cost Categories</w:t>
            </w:r>
          </w:p>
        </w:tc>
      </w:tr>
      <w:tr w:rsidTr="00BB7DE6">
        <w:tblPrEx>
          <w:tblW w:w="10320" w:type="dxa"/>
          <w:jc w:val="center"/>
          <w:tblLayout w:type="fixed"/>
          <w:tblLook w:val="01E0"/>
        </w:tblPrEx>
        <w:trPr>
          <w:trHeight w:hRule="exact" w:val="794"/>
          <w:jc w:val="center"/>
        </w:trPr>
        <w:tc>
          <w:tcPr>
            <w:tcW w:w="2880" w:type="dxa"/>
          </w:tcPr>
          <w:p w:rsidR="009954B5" w:rsidRPr="00EA55B9" w:rsidP="001110F1">
            <w:pPr>
              <w:spacing w:after="0" w:line="240" w:lineRule="auto"/>
              <w:rPr>
                <w:rFonts w:eastAsia="SimSun" w:cs="Arial"/>
                <w:b/>
              </w:rPr>
            </w:pPr>
            <w:r w:rsidRPr="00EA55B9">
              <w:rPr>
                <w:rFonts w:eastAsia="SimSun" w:cs="Arial"/>
                <w:b/>
              </w:rPr>
              <w:t>Service Personnel Costs</w:t>
            </w:r>
          </w:p>
        </w:tc>
        <w:tc>
          <w:tcPr>
            <w:tcW w:w="7440" w:type="dxa"/>
          </w:tcPr>
          <w:p w:rsidR="009954B5" w:rsidRPr="00EA55B9" w:rsidP="001110F1">
            <w:pPr>
              <w:spacing w:after="0" w:line="240" w:lineRule="auto"/>
              <w:jc w:val="both"/>
              <w:rPr>
                <w:rFonts w:eastAsia="SimSun" w:cs="Arial"/>
              </w:rPr>
            </w:pPr>
            <w:r w:rsidRPr="00EA55B9">
              <w:rPr>
                <w:rFonts w:eastAsia="SimSun" w:cs="Arial"/>
              </w:rPr>
              <w:t>Military and other ranks pay and other allowances; SCAPE; Employer’s National Insurance Contributions (ERNIC)</w:t>
            </w:r>
          </w:p>
        </w:tc>
      </w:tr>
      <w:tr w:rsidTr="00BB7DE6">
        <w:tblPrEx>
          <w:tblW w:w="10320" w:type="dxa"/>
          <w:jc w:val="center"/>
          <w:tblLayout w:type="fixed"/>
          <w:tblLook w:val="01E0"/>
        </w:tblPrEx>
        <w:trPr>
          <w:trHeight w:hRule="exact" w:val="794"/>
          <w:jc w:val="center"/>
        </w:trPr>
        <w:tc>
          <w:tcPr>
            <w:tcW w:w="2880" w:type="dxa"/>
          </w:tcPr>
          <w:p w:rsidR="009954B5" w:rsidRPr="00EA55B9" w:rsidP="001110F1">
            <w:pPr>
              <w:spacing w:after="0" w:line="240" w:lineRule="auto"/>
              <w:rPr>
                <w:rFonts w:eastAsia="SimSun" w:cs="Arial"/>
                <w:b/>
              </w:rPr>
            </w:pPr>
            <w:r w:rsidRPr="00EA55B9">
              <w:rPr>
                <w:rFonts w:eastAsia="SimSun" w:cs="Arial"/>
                <w:b/>
              </w:rPr>
              <w:t>Civilian Personnel Costs</w:t>
            </w:r>
          </w:p>
        </w:tc>
        <w:tc>
          <w:tcPr>
            <w:tcW w:w="7440" w:type="dxa"/>
          </w:tcPr>
          <w:p w:rsidR="009954B5" w:rsidRPr="00EA55B9" w:rsidP="001110F1">
            <w:pPr>
              <w:spacing w:after="0" w:line="240" w:lineRule="auto"/>
              <w:jc w:val="both"/>
              <w:rPr>
                <w:rFonts w:eastAsia="SimSun" w:cs="Arial"/>
              </w:rPr>
            </w:pPr>
            <w:r w:rsidRPr="00EA55B9">
              <w:rPr>
                <w:rFonts w:eastAsia="SimSun" w:cs="Arial"/>
              </w:rPr>
              <w:t>Civilian pay and other allowances; pension contributions; Employer’s National Insurance Contributions (ERNIC)</w:t>
            </w:r>
          </w:p>
        </w:tc>
      </w:tr>
      <w:tr w:rsidTr="00BB7DE6">
        <w:tblPrEx>
          <w:tblW w:w="10320" w:type="dxa"/>
          <w:jc w:val="center"/>
          <w:tblLayout w:type="fixed"/>
          <w:tblLook w:val="01E0"/>
        </w:tblPrEx>
        <w:trPr>
          <w:trHeight w:hRule="exact" w:val="794"/>
          <w:jc w:val="center"/>
        </w:trPr>
        <w:tc>
          <w:tcPr>
            <w:tcW w:w="2880" w:type="dxa"/>
          </w:tcPr>
          <w:p w:rsidR="009954B5" w:rsidRPr="00EA55B9" w:rsidP="001110F1">
            <w:pPr>
              <w:spacing w:after="0" w:line="240" w:lineRule="auto"/>
              <w:rPr>
                <w:rFonts w:eastAsia="SimSun" w:cs="Arial"/>
                <w:b/>
              </w:rPr>
            </w:pPr>
            <w:r w:rsidRPr="00EA55B9">
              <w:rPr>
                <w:rFonts w:eastAsia="SimSun" w:cs="Arial"/>
                <w:b/>
              </w:rPr>
              <w:t>Infrastructure Costs</w:t>
            </w:r>
          </w:p>
        </w:tc>
        <w:tc>
          <w:tcPr>
            <w:tcW w:w="7440" w:type="dxa"/>
          </w:tcPr>
          <w:p w:rsidR="009954B5" w:rsidRPr="00EA55B9" w:rsidP="001110F1">
            <w:pPr>
              <w:spacing w:after="0" w:line="240" w:lineRule="auto"/>
              <w:jc w:val="both"/>
              <w:rPr>
                <w:rFonts w:eastAsia="SimSun" w:cs="Arial"/>
              </w:rPr>
            </w:pPr>
            <w:r w:rsidRPr="00EA55B9">
              <w:rPr>
                <w:rFonts w:eastAsia="SimSun" w:cs="Arial"/>
              </w:rPr>
              <w:t>Property management; service charges;</w:t>
            </w:r>
            <w:r>
              <w:rPr>
                <w:rFonts w:eastAsia="SimSun" w:cs="Arial"/>
              </w:rPr>
              <w:t xml:space="preserve"> </w:t>
            </w:r>
            <w:r w:rsidRPr="00EA55B9">
              <w:rPr>
                <w:rFonts w:eastAsia="SimSun" w:cs="Arial"/>
              </w:rPr>
              <w:t>IT &amp; communications costs; utilities costs.</w:t>
            </w:r>
          </w:p>
        </w:tc>
      </w:tr>
      <w:tr w:rsidTr="00BB7DE6">
        <w:tblPrEx>
          <w:tblW w:w="10320" w:type="dxa"/>
          <w:jc w:val="center"/>
          <w:tblLayout w:type="fixed"/>
          <w:tblLook w:val="01E0"/>
        </w:tblPrEx>
        <w:trPr>
          <w:trHeight w:hRule="exact" w:val="794"/>
          <w:jc w:val="center"/>
        </w:trPr>
        <w:tc>
          <w:tcPr>
            <w:tcW w:w="2880" w:type="dxa"/>
          </w:tcPr>
          <w:p w:rsidR="009954B5" w:rsidRPr="00EA55B9" w:rsidP="001110F1">
            <w:pPr>
              <w:spacing w:after="0" w:line="240" w:lineRule="auto"/>
              <w:rPr>
                <w:rFonts w:eastAsia="SimSun" w:cs="Arial"/>
                <w:b/>
              </w:rPr>
            </w:pPr>
            <w:r w:rsidRPr="00EA55B9">
              <w:rPr>
                <w:rFonts w:eastAsia="SimSun" w:cs="Arial"/>
                <w:b/>
              </w:rPr>
              <w:t>Inventory Consumption</w:t>
            </w:r>
          </w:p>
        </w:tc>
        <w:tc>
          <w:tcPr>
            <w:tcW w:w="7440" w:type="dxa"/>
          </w:tcPr>
          <w:p w:rsidR="009954B5" w:rsidRPr="00EA55B9" w:rsidP="001110F1">
            <w:pPr>
              <w:spacing w:after="0" w:line="240" w:lineRule="auto"/>
              <w:jc w:val="both"/>
              <w:rPr>
                <w:rFonts w:eastAsia="SimSun" w:cs="Arial"/>
              </w:rPr>
            </w:pPr>
            <w:r w:rsidRPr="00EA55B9">
              <w:rPr>
                <w:rFonts w:eastAsia="SimSun" w:cs="Arial"/>
              </w:rPr>
              <w:t>Munitions; stores; fuel (marine &amp; aviation); clothing; other materials consumed e.g. stationary, sundries, general stores etc.</w:t>
            </w:r>
          </w:p>
        </w:tc>
      </w:tr>
      <w:tr w:rsidTr="00BB7DE6">
        <w:tblPrEx>
          <w:tblW w:w="10320" w:type="dxa"/>
          <w:jc w:val="center"/>
          <w:tblLayout w:type="fixed"/>
          <w:tblLook w:val="01E0"/>
        </w:tblPrEx>
        <w:trPr>
          <w:trHeight w:hRule="exact" w:val="794"/>
          <w:jc w:val="center"/>
        </w:trPr>
        <w:tc>
          <w:tcPr>
            <w:tcW w:w="2880" w:type="dxa"/>
          </w:tcPr>
          <w:p w:rsidR="009954B5" w:rsidRPr="00EA55B9" w:rsidP="001110F1">
            <w:pPr>
              <w:spacing w:after="0" w:line="240" w:lineRule="auto"/>
              <w:rPr>
                <w:rFonts w:eastAsia="SimSun" w:cs="Arial"/>
                <w:b/>
              </w:rPr>
            </w:pPr>
            <w:r w:rsidRPr="00EA55B9">
              <w:rPr>
                <w:rFonts w:eastAsia="SimSun" w:cs="Arial"/>
                <w:b/>
              </w:rPr>
              <w:t>Equipment Support Costs</w:t>
            </w:r>
          </w:p>
        </w:tc>
        <w:tc>
          <w:tcPr>
            <w:tcW w:w="7440" w:type="dxa"/>
          </w:tcPr>
          <w:p w:rsidR="009954B5" w:rsidRPr="00EA55B9" w:rsidP="001110F1">
            <w:pPr>
              <w:spacing w:after="0" w:line="240" w:lineRule="auto"/>
              <w:jc w:val="both"/>
              <w:rPr>
                <w:rFonts w:eastAsia="SimSun" w:cs="Arial"/>
              </w:rPr>
            </w:pPr>
            <w:r w:rsidRPr="00EA55B9">
              <w:rPr>
                <w:rFonts w:eastAsia="SimSun" w:cs="Arial"/>
              </w:rPr>
              <w:t>Equipment support costs, including leases &amp; hire charges for plant, machinery and transport.</w:t>
            </w:r>
          </w:p>
        </w:tc>
      </w:tr>
      <w:tr w:rsidTr="00BB7DE6">
        <w:tblPrEx>
          <w:tblW w:w="10320" w:type="dxa"/>
          <w:jc w:val="center"/>
          <w:tblLayout w:type="fixed"/>
          <w:tblLook w:val="01E0"/>
        </w:tblPrEx>
        <w:trPr>
          <w:trHeight w:hRule="exact" w:val="794"/>
          <w:jc w:val="center"/>
        </w:trPr>
        <w:tc>
          <w:tcPr>
            <w:tcW w:w="2880" w:type="dxa"/>
          </w:tcPr>
          <w:p w:rsidR="009954B5" w:rsidRPr="00EA55B9" w:rsidP="001110F1">
            <w:pPr>
              <w:spacing w:after="0" w:line="240" w:lineRule="auto"/>
              <w:rPr>
                <w:rFonts w:eastAsia="SimSun" w:cs="Arial"/>
                <w:b/>
              </w:rPr>
            </w:pPr>
            <w:r w:rsidRPr="00EA55B9">
              <w:rPr>
                <w:rFonts w:eastAsia="SimSun" w:cs="Arial"/>
                <w:b/>
              </w:rPr>
              <w:t>Other Costs &amp; Services</w:t>
            </w:r>
          </w:p>
        </w:tc>
        <w:tc>
          <w:tcPr>
            <w:tcW w:w="7440" w:type="dxa"/>
          </w:tcPr>
          <w:p w:rsidR="009954B5" w:rsidRPr="00EA55B9" w:rsidP="001110F1">
            <w:pPr>
              <w:spacing w:after="0" w:line="240" w:lineRule="auto"/>
              <w:jc w:val="both"/>
              <w:rPr>
                <w:rFonts w:eastAsia="SimSun" w:cs="Arial"/>
              </w:rPr>
            </w:pPr>
            <w:r w:rsidRPr="00EA55B9">
              <w:rPr>
                <w:rFonts w:eastAsia="SimSun" w:cs="Arial"/>
              </w:rPr>
              <w:t>Travel &amp; subsistence; professional services &amp; fees; training.</w:t>
            </w:r>
          </w:p>
        </w:tc>
      </w:tr>
      <w:tr w:rsidTr="00BB7DE6">
        <w:tblPrEx>
          <w:tblW w:w="10320" w:type="dxa"/>
          <w:jc w:val="center"/>
          <w:tblLayout w:type="fixed"/>
          <w:tblLook w:val="01E0"/>
        </w:tblPrEx>
        <w:trPr>
          <w:trHeight w:hRule="exact" w:val="1509"/>
          <w:jc w:val="center"/>
        </w:trPr>
        <w:tc>
          <w:tcPr>
            <w:tcW w:w="2880" w:type="dxa"/>
          </w:tcPr>
          <w:p w:rsidR="009954B5" w:rsidRPr="00EA55B9" w:rsidP="001110F1">
            <w:pPr>
              <w:spacing w:after="0" w:line="240" w:lineRule="auto"/>
              <w:rPr>
                <w:rFonts w:eastAsia="SimSun" w:cs="Arial"/>
                <w:b/>
              </w:rPr>
            </w:pPr>
            <w:r w:rsidRPr="00EA55B9">
              <w:rPr>
                <w:rFonts w:eastAsia="SimSun" w:cs="Arial"/>
                <w:b/>
              </w:rPr>
              <w:t>Research and Development</w:t>
            </w:r>
          </w:p>
        </w:tc>
        <w:tc>
          <w:tcPr>
            <w:tcW w:w="7440" w:type="dxa"/>
          </w:tcPr>
          <w:p w:rsidR="009954B5" w:rsidRPr="00EA55B9" w:rsidP="001110F1">
            <w:pPr>
              <w:spacing w:after="0" w:line="240" w:lineRule="auto"/>
              <w:jc w:val="both"/>
              <w:rPr>
                <w:rFonts w:eastAsia="SimSun" w:cs="Arial"/>
              </w:rPr>
            </w:pPr>
            <w:r w:rsidRPr="00EA55B9">
              <w:rPr>
                <w:rFonts w:eastAsia="SimSun" w:cs="Arial"/>
              </w:rPr>
              <w:t xml:space="preserve">Research and Development expenditure is incurred </w:t>
            </w:r>
            <w:r>
              <w:rPr>
                <w:rFonts w:eastAsia="SimSun" w:cs="Arial"/>
              </w:rPr>
              <w:t>Supplementary</w:t>
            </w:r>
            <w:r w:rsidRPr="00EA55B9">
              <w:rPr>
                <w:rFonts w:eastAsia="SimSun" w:cs="Arial"/>
              </w:rPr>
              <w:t xml:space="preserve"> for the future benefit of the Department. Such expenditure is primarily incurred on the development of new single use military equipment (SUME) and on the improvement of the effectiveness and capability of existing single us</w:t>
            </w:r>
            <w:r>
              <w:rPr>
                <w:rFonts w:eastAsia="SimSun" w:cs="Arial"/>
              </w:rPr>
              <w:t>e</w:t>
            </w:r>
            <w:r w:rsidRPr="00EA55B9">
              <w:rPr>
                <w:rFonts w:eastAsia="SimSun" w:cs="Arial"/>
              </w:rPr>
              <w:t xml:space="preserve"> military equipment.</w:t>
            </w:r>
          </w:p>
        </w:tc>
      </w:tr>
      <w:tr w:rsidTr="00BB7DE6">
        <w:tblPrEx>
          <w:tblW w:w="10320" w:type="dxa"/>
          <w:jc w:val="center"/>
          <w:tblLayout w:type="fixed"/>
          <w:tblLook w:val="01E0"/>
        </w:tblPrEx>
        <w:trPr>
          <w:trHeight w:hRule="exact" w:val="794"/>
          <w:jc w:val="center"/>
        </w:trPr>
        <w:tc>
          <w:tcPr>
            <w:tcW w:w="2880" w:type="dxa"/>
          </w:tcPr>
          <w:p w:rsidR="009954B5" w:rsidRPr="00EA55B9" w:rsidP="001110F1">
            <w:pPr>
              <w:spacing w:after="0" w:line="240" w:lineRule="auto"/>
              <w:rPr>
                <w:rFonts w:eastAsia="SimSun" w:cs="Arial"/>
                <w:b/>
              </w:rPr>
            </w:pPr>
            <w:r w:rsidRPr="00EA55B9">
              <w:rPr>
                <w:rFonts w:eastAsia="SimSun" w:cs="Arial"/>
                <w:b/>
              </w:rPr>
              <w:t>Receipts and Other Income</w:t>
            </w:r>
          </w:p>
        </w:tc>
        <w:tc>
          <w:tcPr>
            <w:tcW w:w="7440" w:type="dxa"/>
          </w:tcPr>
          <w:p w:rsidR="009954B5" w:rsidRPr="00EA55B9" w:rsidP="001110F1">
            <w:pPr>
              <w:spacing w:after="0" w:line="240" w:lineRule="auto"/>
              <w:jc w:val="both"/>
              <w:rPr>
                <w:rFonts w:eastAsia="SimSun" w:cs="Arial"/>
              </w:rPr>
            </w:pPr>
            <w:r w:rsidRPr="00EA55B9">
              <w:rPr>
                <w:rFonts w:eastAsia="SimSun" w:cs="Arial"/>
              </w:rPr>
              <w:t>Receipts from various sources; costs recoveries; dividends; interest.</w:t>
            </w:r>
          </w:p>
        </w:tc>
      </w:tr>
      <w:tr w:rsidTr="00BB7DE6">
        <w:tblPrEx>
          <w:tblW w:w="10320" w:type="dxa"/>
          <w:jc w:val="center"/>
          <w:tblLayout w:type="fixed"/>
          <w:tblLook w:val="01E0"/>
        </w:tblPrEx>
        <w:trPr>
          <w:trHeight w:hRule="exact" w:val="794"/>
          <w:jc w:val="center"/>
        </w:trPr>
        <w:tc>
          <w:tcPr>
            <w:tcW w:w="2880" w:type="dxa"/>
          </w:tcPr>
          <w:p w:rsidR="009954B5" w:rsidRPr="00EA55B9" w:rsidP="001110F1">
            <w:pPr>
              <w:spacing w:after="0" w:line="240" w:lineRule="auto"/>
              <w:rPr>
                <w:rFonts w:eastAsia="SimSun" w:cs="Arial"/>
                <w:b/>
              </w:rPr>
            </w:pPr>
            <w:r w:rsidRPr="00EA55B9">
              <w:rPr>
                <w:rFonts w:eastAsia="SimSun" w:cs="Arial"/>
                <w:b/>
              </w:rPr>
              <w:t>Cash Release of Provisions</w:t>
            </w:r>
          </w:p>
        </w:tc>
        <w:tc>
          <w:tcPr>
            <w:tcW w:w="7440" w:type="dxa"/>
          </w:tcPr>
          <w:p w:rsidR="009954B5" w:rsidRPr="00EA55B9" w:rsidP="001110F1">
            <w:pPr>
              <w:spacing w:after="0" w:line="240" w:lineRule="auto"/>
              <w:jc w:val="both"/>
              <w:rPr>
                <w:rFonts w:eastAsia="SimSun" w:cs="Arial"/>
              </w:rPr>
            </w:pPr>
            <w:r>
              <w:rPr>
                <w:rFonts w:eastAsia="SimSun" w:cs="Arial"/>
              </w:rPr>
              <w:t>Nuclear and non-</w:t>
            </w:r>
            <w:r w:rsidRPr="00EA55B9">
              <w:rPr>
                <w:rFonts w:eastAsia="SimSun" w:cs="Arial"/>
              </w:rPr>
              <w:t xml:space="preserve">nuclear provisions e.g. staff redundancies, legal </w:t>
            </w:r>
            <w:r w:rsidRPr="00EA55B9" w:rsidR="001F2114">
              <w:rPr>
                <w:rFonts w:eastAsia="SimSun" w:cs="Arial"/>
              </w:rPr>
              <w:t>costs, environmental</w:t>
            </w:r>
            <w:r w:rsidRPr="00EA55B9">
              <w:rPr>
                <w:rFonts w:eastAsia="SimSun" w:cs="Arial"/>
              </w:rPr>
              <w:t>, etc.</w:t>
            </w:r>
          </w:p>
        </w:tc>
      </w:tr>
      <w:tr w:rsidTr="00BB7DE6">
        <w:tblPrEx>
          <w:tblW w:w="10320" w:type="dxa"/>
          <w:jc w:val="center"/>
          <w:tblLayout w:type="fixed"/>
          <w:tblLook w:val="01E0"/>
        </w:tblPrEx>
        <w:trPr>
          <w:trHeight w:hRule="exact" w:val="917"/>
          <w:jc w:val="center"/>
        </w:trPr>
        <w:tc>
          <w:tcPr>
            <w:tcW w:w="2880" w:type="dxa"/>
          </w:tcPr>
          <w:p w:rsidR="009954B5" w:rsidRPr="00EA55B9" w:rsidP="001110F1">
            <w:pPr>
              <w:spacing w:after="0" w:line="240" w:lineRule="auto"/>
              <w:rPr>
                <w:rFonts w:eastAsia="SimSun" w:cs="Arial"/>
                <w:b/>
              </w:rPr>
            </w:pPr>
            <w:r w:rsidRPr="00EA55B9">
              <w:rPr>
                <w:rFonts w:eastAsia="SimSun" w:cs="Arial"/>
                <w:b/>
              </w:rPr>
              <w:t>Arm’s Length Bodies</w:t>
            </w:r>
          </w:p>
        </w:tc>
        <w:tc>
          <w:tcPr>
            <w:tcW w:w="7440" w:type="dxa"/>
          </w:tcPr>
          <w:p w:rsidR="009954B5" w:rsidRPr="00EA55B9" w:rsidP="001110F1">
            <w:pPr>
              <w:spacing w:after="0" w:line="240" w:lineRule="auto"/>
              <w:jc w:val="both"/>
              <w:rPr>
                <w:rFonts w:eastAsia="SimSun" w:cs="Arial"/>
              </w:rPr>
            </w:pPr>
            <w:r w:rsidRPr="00EA55B9">
              <w:rPr>
                <w:rFonts w:eastAsia="SimSun" w:cs="Arial"/>
              </w:rPr>
              <w:t>CRFCA; Royal Hospital Chelsea; National Army Museum; RAF Museum; National Museum of the Royal Navy; Commonwealth War Graves Commission.</w:t>
            </w:r>
            <w:r>
              <w:rPr>
                <w:rFonts w:eastAsia="SimSun" w:cs="Arial"/>
              </w:rPr>
              <w:t xml:space="preserve"> Single Source Regulation Office</w:t>
            </w:r>
          </w:p>
        </w:tc>
      </w:tr>
      <w:tr w:rsidTr="00BB7DE6">
        <w:tblPrEx>
          <w:tblW w:w="10320" w:type="dxa"/>
          <w:jc w:val="center"/>
          <w:tblLayout w:type="fixed"/>
          <w:tblLook w:val="01E0"/>
        </w:tblPrEx>
        <w:trPr>
          <w:trHeight w:hRule="exact" w:val="1018"/>
          <w:jc w:val="center"/>
        </w:trPr>
        <w:tc>
          <w:tcPr>
            <w:tcW w:w="2880" w:type="dxa"/>
          </w:tcPr>
          <w:p w:rsidR="009954B5" w:rsidRPr="00EA55B9" w:rsidP="001110F1">
            <w:pPr>
              <w:spacing w:after="0" w:line="240" w:lineRule="auto"/>
              <w:rPr>
                <w:rFonts w:eastAsia="SimSun" w:cs="Arial"/>
                <w:b/>
              </w:rPr>
            </w:pPr>
            <w:r>
              <w:rPr>
                <w:rFonts w:eastAsia="SimSun" w:cs="Arial"/>
                <w:b/>
              </w:rPr>
              <w:t>Ring-</w:t>
            </w:r>
            <w:r w:rsidRPr="00EA55B9">
              <w:rPr>
                <w:rFonts w:eastAsia="SimSun" w:cs="Arial"/>
                <w:b/>
              </w:rPr>
              <w:t xml:space="preserve">Fenced Non Cash: Depreciation/ Impairments </w:t>
            </w:r>
          </w:p>
        </w:tc>
        <w:tc>
          <w:tcPr>
            <w:tcW w:w="7440" w:type="dxa"/>
          </w:tcPr>
          <w:p w:rsidR="009954B5" w:rsidRPr="00EA55B9" w:rsidP="001110F1">
            <w:pPr>
              <w:spacing w:after="0" w:line="240" w:lineRule="auto"/>
              <w:jc w:val="both"/>
              <w:rPr>
                <w:rFonts w:eastAsia="SimSun" w:cs="Arial"/>
              </w:rPr>
            </w:pPr>
            <w:r w:rsidRPr="00EA55B9">
              <w:rPr>
                <w:rFonts w:eastAsia="SimSun" w:cs="Arial"/>
              </w:rPr>
              <w:t>Depr</w:t>
            </w:r>
            <w:r>
              <w:rPr>
                <w:rFonts w:eastAsia="SimSun" w:cs="Arial"/>
              </w:rPr>
              <w:t>eciation and impairments on Non-</w:t>
            </w:r>
            <w:r w:rsidRPr="00EA55B9">
              <w:rPr>
                <w:rFonts w:eastAsia="SimSun" w:cs="Arial"/>
              </w:rPr>
              <w:t>current Assets (Property, SUME, dual purpose).</w:t>
            </w:r>
          </w:p>
        </w:tc>
      </w:tr>
    </w:tbl>
    <w:p w:rsidR="00711FA8" w:rsidRPr="001110F1" w:rsidP="001110F1">
      <w:pPr>
        <w:spacing w:after="0" w:line="240" w:lineRule="auto"/>
        <w:rPr>
          <w:b/>
          <w:color w:val="333333"/>
          <w:sz w:val="29"/>
        </w:rPr>
      </w:pPr>
    </w:p>
    <w:sectPr w:rsidSect="00C5572D">
      <w:footerReference w:type="default" r:id="rId14"/>
      <w:pgSz w:w="11906" w:h="16838"/>
      <w:pgMar w:top="1440" w:right="1558"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umnst777 Lt BT">
    <w:altName w:val="Calibri"/>
    <w:charset w:val="00"/>
    <w:family w:val="swiss"/>
    <w:pitch w:val="variable"/>
    <w:sig w:usb0="800000AF" w:usb1="1000204A" w:usb2="00000000" w:usb3="00000000" w:csb0="0000001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99358948"/>
      <w:docPartObj>
        <w:docPartGallery w:val="Page Numbers (Bottom of Page)"/>
        <w:docPartUnique/>
      </w:docPartObj>
    </w:sdtPr>
    <w:sdtEndPr>
      <w:rPr>
        <w:noProof/>
      </w:rPr>
    </w:sdtEndPr>
    <w:sdtContent>
      <w:p w:rsidR="00C20100">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rsidR="00C20100">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467B86"/>
    <w:multiLevelType w:val="hybridMultilevel"/>
    <w:tmpl w:val="2D6AC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8962510"/>
    <w:multiLevelType w:val="hybridMultilevel"/>
    <w:tmpl w:val="0E089D0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A934828"/>
    <w:multiLevelType w:val="multilevel"/>
    <w:tmpl w:val="D31674A6"/>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nsid w:val="136946BB"/>
    <w:multiLevelType w:val="multilevel"/>
    <w:tmpl w:val="4D20279A"/>
    <w:lvl w:ilvl="0">
      <w:start w:val="2"/>
      <w:numFmt w:val="decimal"/>
      <w:lvlText w:val="%1"/>
      <w:lvlJc w:val="left"/>
      <w:pPr>
        <w:ind w:left="720" w:hanging="720"/>
      </w:pPr>
    </w:lvl>
    <w:lvl w:ilvl="1">
      <w:start w:val="1"/>
      <w:numFmt w:val="decimal"/>
      <w:lvlText w:val="%1.%2"/>
      <w:lvlJc w:val="left"/>
      <w:pPr>
        <w:ind w:left="4406"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nsid w:val="15DA7CC1"/>
    <w:multiLevelType w:val="hybridMultilevel"/>
    <w:tmpl w:val="96ACEE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62A06C0"/>
    <w:multiLevelType w:val="hybridMultilevel"/>
    <w:tmpl w:val="638416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2821935"/>
    <w:multiLevelType w:val="hybridMultilevel"/>
    <w:tmpl w:val="93A222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30B11C3"/>
    <w:multiLevelType w:val="hybridMultilevel"/>
    <w:tmpl w:val="2C1A25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8D52781"/>
    <w:multiLevelType w:val="hybridMultilevel"/>
    <w:tmpl w:val="4FA24BEE"/>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A9F56B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2C64226C"/>
    <w:multiLevelType w:val="hybridMultilevel"/>
    <w:tmpl w:val="6CA42E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EAE02C9"/>
    <w:multiLevelType w:val="hybridMultilevel"/>
    <w:tmpl w:val="FB9C4B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EE3741D"/>
    <w:multiLevelType w:val="hybridMultilevel"/>
    <w:tmpl w:val="83909A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F79008A"/>
    <w:multiLevelType w:val="hybridMultilevel"/>
    <w:tmpl w:val="B76EAA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A5A590F"/>
    <w:multiLevelType w:val="multilevel"/>
    <w:tmpl w:val="AD4E1386"/>
    <w:lvl w:ilvl="0">
      <w:start w:val="2"/>
      <w:numFmt w:val="decimal"/>
      <w:lvlText w:val="%1"/>
      <w:lvlJc w:val="left"/>
      <w:pPr>
        <w:ind w:left="360" w:hanging="360"/>
      </w:pPr>
    </w:lvl>
    <w:lvl w:ilvl="1">
      <w:start w:val="1"/>
      <w:numFmt w:val="decimal"/>
      <w:lvlText w:val="%1.%2"/>
      <w:lvlJc w:val="left"/>
      <w:pPr>
        <w:ind w:left="2628"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nsid w:val="3D1A49BE"/>
    <w:multiLevelType w:val="hybridMultilevel"/>
    <w:tmpl w:val="A334A9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04D09DF"/>
    <w:multiLevelType w:val="hybridMultilevel"/>
    <w:tmpl w:val="CE343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53A77F4"/>
    <w:multiLevelType w:val="hybridMultilevel"/>
    <w:tmpl w:val="5D0E3F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558066A"/>
    <w:multiLevelType w:val="hybridMultilevel"/>
    <w:tmpl w:val="8B083B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45D54D70"/>
    <w:multiLevelType w:val="hybridMultilevel"/>
    <w:tmpl w:val="D77E89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7A72137"/>
    <w:multiLevelType w:val="hybridMultilevel"/>
    <w:tmpl w:val="FC6A238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nsid w:val="4D644457"/>
    <w:multiLevelType w:val="hybridMultilevel"/>
    <w:tmpl w:val="4F2A80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EF01AC1"/>
    <w:multiLevelType w:val="hybridMultilevel"/>
    <w:tmpl w:val="1A4656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1712E3B"/>
    <w:multiLevelType w:val="hybridMultilevel"/>
    <w:tmpl w:val="B15EED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4">
    <w:nsid w:val="53EF36CF"/>
    <w:multiLevelType w:val="hybridMultilevel"/>
    <w:tmpl w:val="E1B461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3F35849"/>
    <w:multiLevelType w:val="hybridMultilevel"/>
    <w:tmpl w:val="6F466C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88768CF"/>
    <w:multiLevelType w:val="hybridMultilevel"/>
    <w:tmpl w:val="41466C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A801AFE"/>
    <w:multiLevelType w:val="hybridMultilevel"/>
    <w:tmpl w:val="5CEC3D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5BAC2E3A"/>
    <w:multiLevelType w:val="hybridMultilevel"/>
    <w:tmpl w:val="D0BAE47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9">
    <w:nsid w:val="65831FD7"/>
    <w:multiLevelType w:val="hybridMultilevel"/>
    <w:tmpl w:val="5BAEA7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6D54342"/>
    <w:multiLevelType w:val="hybridMultilevel"/>
    <w:tmpl w:val="DC80B3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79B66A1"/>
    <w:multiLevelType w:val="hybridMultilevel"/>
    <w:tmpl w:val="DC08A4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8067349"/>
    <w:multiLevelType w:val="hybridMultilevel"/>
    <w:tmpl w:val="101089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8281B9E"/>
    <w:multiLevelType w:val="hybridMultilevel"/>
    <w:tmpl w:val="726E47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E9A5474"/>
    <w:multiLevelType w:val="hybridMultilevel"/>
    <w:tmpl w:val="6FF208F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5">
    <w:nsid w:val="6F73563F"/>
    <w:multiLevelType w:val="hybridMultilevel"/>
    <w:tmpl w:val="D28CCA6C"/>
    <w:lvl w:ilvl="0">
      <w:start w:val="1"/>
      <w:numFmt w:val="bullet"/>
      <w:lvlText w:val=""/>
      <w:lvlJc w:val="left"/>
      <w:pPr>
        <w:ind w:left="87" w:hanging="360"/>
      </w:pPr>
      <w:rPr>
        <w:rFonts w:ascii="Symbol" w:hAnsi="Symbol" w:hint="default"/>
      </w:rPr>
    </w:lvl>
    <w:lvl w:ilvl="1" w:tentative="1">
      <w:start w:val="1"/>
      <w:numFmt w:val="bullet"/>
      <w:lvlText w:val="o"/>
      <w:lvlJc w:val="left"/>
      <w:pPr>
        <w:ind w:left="807" w:hanging="360"/>
      </w:pPr>
      <w:rPr>
        <w:rFonts w:ascii="Courier New" w:hAnsi="Courier New" w:cs="Courier New" w:hint="default"/>
      </w:rPr>
    </w:lvl>
    <w:lvl w:ilvl="2" w:tentative="1">
      <w:start w:val="1"/>
      <w:numFmt w:val="bullet"/>
      <w:lvlText w:val=""/>
      <w:lvlJc w:val="left"/>
      <w:pPr>
        <w:ind w:left="1527" w:hanging="360"/>
      </w:pPr>
      <w:rPr>
        <w:rFonts w:ascii="Wingdings" w:hAnsi="Wingdings" w:hint="default"/>
      </w:rPr>
    </w:lvl>
    <w:lvl w:ilvl="3" w:tentative="1">
      <w:start w:val="1"/>
      <w:numFmt w:val="bullet"/>
      <w:lvlText w:val=""/>
      <w:lvlJc w:val="left"/>
      <w:pPr>
        <w:ind w:left="2247" w:hanging="360"/>
      </w:pPr>
      <w:rPr>
        <w:rFonts w:ascii="Symbol" w:hAnsi="Symbol" w:hint="default"/>
      </w:rPr>
    </w:lvl>
    <w:lvl w:ilvl="4" w:tentative="1">
      <w:start w:val="1"/>
      <w:numFmt w:val="bullet"/>
      <w:lvlText w:val="o"/>
      <w:lvlJc w:val="left"/>
      <w:pPr>
        <w:ind w:left="2967" w:hanging="360"/>
      </w:pPr>
      <w:rPr>
        <w:rFonts w:ascii="Courier New" w:hAnsi="Courier New" w:cs="Courier New" w:hint="default"/>
      </w:rPr>
    </w:lvl>
    <w:lvl w:ilvl="5" w:tentative="1">
      <w:start w:val="1"/>
      <w:numFmt w:val="bullet"/>
      <w:lvlText w:val=""/>
      <w:lvlJc w:val="left"/>
      <w:pPr>
        <w:ind w:left="3687" w:hanging="360"/>
      </w:pPr>
      <w:rPr>
        <w:rFonts w:ascii="Wingdings" w:hAnsi="Wingdings" w:hint="default"/>
      </w:rPr>
    </w:lvl>
    <w:lvl w:ilvl="6" w:tentative="1">
      <w:start w:val="1"/>
      <w:numFmt w:val="bullet"/>
      <w:lvlText w:val=""/>
      <w:lvlJc w:val="left"/>
      <w:pPr>
        <w:ind w:left="4407" w:hanging="360"/>
      </w:pPr>
      <w:rPr>
        <w:rFonts w:ascii="Symbol" w:hAnsi="Symbol" w:hint="default"/>
      </w:rPr>
    </w:lvl>
    <w:lvl w:ilvl="7" w:tentative="1">
      <w:start w:val="1"/>
      <w:numFmt w:val="bullet"/>
      <w:lvlText w:val="o"/>
      <w:lvlJc w:val="left"/>
      <w:pPr>
        <w:ind w:left="5127" w:hanging="360"/>
      </w:pPr>
      <w:rPr>
        <w:rFonts w:ascii="Courier New" w:hAnsi="Courier New" w:cs="Courier New" w:hint="default"/>
      </w:rPr>
    </w:lvl>
    <w:lvl w:ilvl="8" w:tentative="1">
      <w:start w:val="1"/>
      <w:numFmt w:val="bullet"/>
      <w:lvlText w:val=""/>
      <w:lvlJc w:val="left"/>
      <w:pPr>
        <w:ind w:left="5847" w:hanging="360"/>
      </w:pPr>
      <w:rPr>
        <w:rFonts w:ascii="Wingdings" w:hAnsi="Wingdings" w:hint="default"/>
      </w:rPr>
    </w:lvl>
  </w:abstractNum>
  <w:abstractNum w:abstractNumId="36">
    <w:nsid w:val="736E1F62"/>
    <w:multiLevelType w:val="hybridMultilevel"/>
    <w:tmpl w:val="56F6A6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4DC6D5F"/>
    <w:multiLevelType w:val="multilevel"/>
    <w:tmpl w:val="5158F9AC"/>
    <w:lvl w:ilvl="0">
      <w:start w:val="4"/>
      <w:numFmt w:val="decimal"/>
      <w:lvlText w:val="%1"/>
      <w:lvlJc w:val="left"/>
      <w:pPr>
        <w:ind w:left="435" w:hanging="435"/>
      </w:pPr>
      <w:rPr>
        <w:rFonts w:hint="default"/>
      </w:rPr>
    </w:lvl>
    <w:lvl w:ilvl="1">
      <w:start w:val="1"/>
      <w:numFmt w:val="decimal"/>
      <w:lvlText w:val="%1.%2"/>
      <w:lvlJc w:val="left"/>
      <w:pPr>
        <w:ind w:left="1569" w:hanging="435"/>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38">
    <w:nsid w:val="77E96AD4"/>
    <w:multiLevelType w:val="hybridMultilevel"/>
    <w:tmpl w:val="2EF248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C7C78EB"/>
    <w:multiLevelType w:val="hybridMultilevel"/>
    <w:tmpl w:val="221E52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EA83C82"/>
    <w:multiLevelType w:val="hybridMultilevel"/>
    <w:tmpl w:val="32F08B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9"/>
  </w:num>
  <w:num w:numId="2">
    <w:abstractNumId w:val="8"/>
  </w:num>
  <w:num w:numId="3">
    <w:abstractNumId w:val="25"/>
  </w:num>
  <w:num w:numId="4">
    <w:abstractNumId w:val="7"/>
  </w:num>
  <w:num w:numId="5">
    <w:abstractNumId w:val="4"/>
  </w:num>
  <w:num w:numId="6">
    <w:abstractNumId w:val="36"/>
  </w:num>
  <w:num w:numId="7">
    <w:abstractNumId w:val="39"/>
  </w:num>
  <w:num w:numId="8">
    <w:abstractNumId w:val="17"/>
  </w:num>
  <w:num w:numId="9">
    <w:abstractNumId w:val="32"/>
  </w:num>
  <w:num w:numId="10">
    <w:abstractNumId w:val="6"/>
  </w:num>
  <w:num w:numId="11">
    <w:abstractNumId w:val="33"/>
  </w:num>
  <w:num w:numId="12">
    <w:abstractNumId w:val="5"/>
  </w:num>
  <w:num w:numId="13">
    <w:abstractNumId w:val="28"/>
  </w:num>
  <w:num w:numId="14">
    <w:abstractNumId w:val="38"/>
  </w:num>
  <w:num w:numId="15">
    <w:abstractNumId w:val="20"/>
  </w:num>
  <w:num w:numId="16">
    <w:abstractNumId w:val="27"/>
  </w:num>
  <w:num w:numId="17">
    <w:abstractNumId w:val="26"/>
  </w:num>
  <w:num w:numId="18">
    <w:abstractNumId w:val="21"/>
  </w:num>
  <w:num w:numId="19">
    <w:abstractNumId w:val="11"/>
  </w:num>
  <w:num w:numId="20">
    <w:abstractNumId w:val="22"/>
  </w:num>
  <w:num w:numId="21">
    <w:abstractNumId w:val="29"/>
  </w:num>
  <w:num w:numId="22">
    <w:abstractNumId w:val="31"/>
  </w:num>
  <w:num w:numId="23">
    <w:abstractNumId w:val="0"/>
  </w:num>
  <w:num w:numId="24">
    <w:abstractNumId w:val="12"/>
  </w:num>
  <w:num w:numId="25">
    <w:abstractNumId w:val="34"/>
  </w:num>
  <w:num w:numId="26">
    <w:abstractNumId w:val="13"/>
  </w:num>
  <w:num w:numId="27">
    <w:abstractNumId w:val="40"/>
  </w:num>
  <w:num w:numId="28">
    <w:abstractNumId w:val="16"/>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9"/>
  </w:num>
  <w:num w:numId="3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30"/>
  </w:num>
  <w:num w:numId="37">
    <w:abstractNumId w:val="24"/>
  </w:num>
  <w:num w:numId="38">
    <w:abstractNumId w:val="9"/>
  </w:num>
  <w:num w:numId="39">
    <w:abstractNumId w:val="3"/>
  </w:num>
  <w:num w:numId="40">
    <w:abstractNumId w:val="14"/>
  </w:num>
  <w:num w:numId="41">
    <w:abstractNumId w:val="35"/>
  </w:num>
  <w:num w:numId="42">
    <w:abstractNumId w:val="23"/>
  </w:num>
  <w:num w:numId="43">
    <w:abstractNumId w:val="1"/>
  </w:num>
  <w:num w:numId="44">
    <w:abstractNumId w:val="18"/>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5BFD"/>
  </w:style>
  <w:style w:type="paragraph" w:styleId="Heading1">
    <w:name w:val="heading 1"/>
    <w:basedOn w:val="Normal"/>
    <w:next w:val="Normal"/>
    <w:link w:val="Heading1Char"/>
    <w:uiPriority w:val="9"/>
    <w:qFormat/>
    <w:rsid w:val="00EE5BFD"/>
    <w:pPr>
      <w:keepNext/>
      <w:keepLines/>
      <w:numPr>
        <w:numId w:val="33"/>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5BFD"/>
    <w:pPr>
      <w:keepNext/>
      <w:keepLines/>
      <w:numPr>
        <w:ilvl w:val="1"/>
        <w:numId w:val="33"/>
      </w:numPr>
      <w:spacing w:before="40" w:after="0"/>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unhideWhenUsed/>
    <w:qFormat/>
    <w:rsid w:val="00EE5BFD"/>
    <w:pPr>
      <w:keepNext/>
      <w:keepLines/>
      <w:numPr>
        <w:ilvl w:val="2"/>
        <w:numId w:val="33"/>
      </w:numPr>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EE5BFD"/>
    <w:pPr>
      <w:keepNext/>
      <w:keepLines/>
      <w:numPr>
        <w:ilvl w:val="3"/>
        <w:numId w:val="3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E5BFD"/>
    <w:pPr>
      <w:keepNext/>
      <w:keepLines/>
      <w:numPr>
        <w:ilvl w:val="4"/>
        <w:numId w:val="3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EE5BFD"/>
    <w:pPr>
      <w:keepNext/>
      <w:keepLines/>
      <w:numPr>
        <w:ilvl w:val="5"/>
        <w:numId w:val="33"/>
      </w:numPr>
      <w:spacing w:before="40" w:after="0"/>
      <w:outlineLvl w:val="5"/>
    </w:pPr>
    <w:rPr>
      <w:rFonts w:asciiTheme="majorHAnsi" w:eastAsiaTheme="majorEastAsia" w:hAnsiTheme="majorHAnsi" w:cstheme="majorBidi"/>
      <w:color w:val="1F3864" w:themeColor="accent1" w:themeShade="80"/>
    </w:rPr>
  </w:style>
  <w:style w:type="paragraph" w:styleId="Heading7">
    <w:name w:val="heading 7"/>
    <w:basedOn w:val="Normal"/>
    <w:next w:val="Normal"/>
    <w:link w:val="Heading7Char"/>
    <w:uiPriority w:val="9"/>
    <w:semiHidden/>
    <w:unhideWhenUsed/>
    <w:qFormat/>
    <w:rsid w:val="00EE5BFD"/>
    <w:pPr>
      <w:keepNext/>
      <w:keepLines/>
      <w:numPr>
        <w:ilvl w:val="6"/>
        <w:numId w:val="33"/>
      </w:numPr>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EE5BFD"/>
    <w:pPr>
      <w:keepNext/>
      <w:keepLines/>
      <w:numPr>
        <w:ilvl w:val="7"/>
        <w:numId w:val="33"/>
      </w:numPr>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EE5BFD"/>
    <w:pPr>
      <w:keepNext/>
      <w:keepLines/>
      <w:numPr>
        <w:ilvl w:val="8"/>
        <w:numId w:val="33"/>
      </w:numPr>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BF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E5BFD"/>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rsid w:val="00EE5BFD"/>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EE5BF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EE5BF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EE5BFD"/>
    <w:rPr>
      <w:rFonts w:asciiTheme="majorHAnsi" w:eastAsiaTheme="majorEastAsia" w:hAnsiTheme="majorHAnsi" w:cstheme="majorBidi"/>
      <w:color w:val="1F3864" w:themeColor="accent1" w:themeShade="80"/>
    </w:rPr>
  </w:style>
  <w:style w:type="character" w:customStyle="1" w:styleId="Heading7Char">
    <w:name w:val="Heading 7 Char"/>
    <w:basedOn w:val="DefaultParagraphFont"/>
    <w:link w:val="Heading7"/>
    <w:uiPriority w:val="9"/>
    <w:semiHidden/>
    <w:rsid w:val="00EE5BFD"/>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EE5BFD"/>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EE5BFD"/>
    <w:rPr>
      <w:rFonts w:asciiTheme="majorHAnsi" w:eastAsiaTheme="majorEastAsia" w:hAnsiTheme="majorHAnsi" w:cstheme="majorBidi"/>
      <w:i/>
      <w:iCs/>
      <w:color w:val="262626" w:themeColor="text1" w:themeTint="D9"/>
      <w:sz w:val="21"/>
      <w:szCs w:val="21"/>
    </w:rPr>
  </w:style>
  <w:style w:type="paragraph" w:customStyle="1" w:styleId="appendixparacontinued">
    <w:name w:val="appendixparacontinued"/>
    <w:basedOn w:val="Normal"/>
    <w:rsid w:val="00740C96"/>
    <w:pPr>
      <w:spacing w:after="180" w:line="288"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E5BFD"/>
    <w:rPr>
      <w:b/>
      <w:bCs/>
      <w:color w:val="auto"/>
    </w:rPr>
  </w:style>
  <w:style w:type="character" w:customStyle="1" w:styleId="strong-frutiger1">
    <w:name w:val="strong-frutiger1"/>
    <w:basedOn w:val="DefaultParagraphFont"/>
    <w:rsid w:val="00740C96"/>
  </w:style>
  <w:style w:type="paragraph" w:customStyle="1" w:styleId="jcsipara-1-1">
    <w:name w:val="jcsi_para-1-1"/>
    <w:basedOn w:val="Normal"/>
    <w:rsid w:val="00740C96"/>
    <w:pPr>
      <w:spacing w:after="180" w:line="288" w:lineRule="auto"/>
    </w:pPr>
    <w:rPr>
      <w:rFonts w:ascii="Times New Roman" w:eastAsia="Times New Roman" w:hAnsi="Times New Roman" w:cs="Times New Roman"/>
      <w:sz w:val="24"/>
      <w:szCs w:val="24"/>
      <w:lang w:eastAsia="en-GB"/>
    </w:rPr>
  </w:style>
  <w:style w:type="paragraph" w:customStyle="1" w:styleId="tablefrutiger-table-header-white">
    <w:name w:val="table_frutiger-table-header-white"/>
    <w:basedOn w:val="Normal"/>
    <w:rsid w:val="00740C96"/>
    <w:pPr>
      <w:spacing w:after="180" w:line="288" w:lineRule="auto"/>
    </w:pPr>
    <w:rPr>
      <w:rFonts w:ascii="Times New Roman" w:eastAsia="Times New Roman" w:hAnsi="Times New Roman" w:cs="Times New Roman"/>
      <w:sz w:val="24"/>
      <w:szCs w:val="24"/>
      <w:lang w:eastAsia="en-GB"/>
    </w:rPr>
  </w:style>
  <w:style w:type="paragraph" w:customStyle="1" w:styleId="pastreportstitles">
    <w:name w:val="pastreportstitles"/>
    <w:basedOn w:val="Normal"/>
    <w:rsid w:val="00740C96"/>
    <w:pPr>
      <w:spacing w:after="180" w:line="288" w:lineRule="auto"/>
    </w:pPr>
    <w:rPr>
      <w:rFonts w:ascii="Times New Roman" w:eastAsia="Times New Roman" w:hAnsi="Times New Roman" w:cs="Times New Roman"/>
      <w:sz w:val="24"/>
      <w:szCs w:val="24"/>
      <w:lang w:eastAsia="en-GB"/>
    </w:rPr>
  </w:style>
  <w:style w:type="paragraph" w:styleId="ListParagraph">
    <w:name w:val="List Paragraph"/>
    <w:aliases w:val="2,Bullet Styl,Bullet Style,Colorful List - Accent 12,L,List Paragrap,List Paragraph12,List Paragraph3,No Spacing11,Normal numbere,OBC Bullet,Párrafo de lista,Recommendatio,Recommendation"/>
    <w:basedOn w:val="Normal"/>
    <w:uiPriority w:val="34"/>
    <w:qFormat/>
    <w:rsid w:val="003325FE"/>
    <w:pPr>
      <w:ind w:left="720"/>
      <w:contextualSpacing/>
    </w:pPr>
  </w:style>
  <w:style w:type="table" w:styleId="TableGrid">
    <w:name w:val="Table Grid"/>
    <w:basedOn w:val="TableNormal"/>
    <w:uiPriority w:val="39"/>
    <w:rsid w:val="00D525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E6379"/>
    <w:pPr>
      <w:spacing w:after="0" w:line="240" w:lineRule="auto"/>
    </w:pPr>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9E6379"/>
  </w:style>
  <w:style w:type="character" w:customStyle="1" w:styleId="eop">
    <w:name w:val="eop"/>
    <w:basedOn w:val="DefaultParagraphFont"/>
    <w:rsid w:val="009E6379"/>
  </w:style>
  <w:style w:type="character" w:customStyle="1" w:styleId="advancedproofingissue">
    <w:name w:val="advancedproofingissue"/>
    <w:basedOn w:val="DefaultParagraphFont"/>
    <w:rsid w:val="006F30CB"/>
  </w:style>
  <w:style w:type="paragraph" w:styleId="Header">
    <w:name w:val="header"/>
    <w:basedOn w:val="Normal"/>
    <w:link w:val="HeaderChar"/>
    <w:uiPriority w:val="99"/>
    <w:unhideWhenUsed/>
    <w:rsid w:val="00EF63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63D2"/>
  </w:style>
  <w:style w:type="paragraph" w:styleId="Footer">
    <w:name w:val="footer"/>
    <w:basedOn w:val="Normal"/>
    <w:link w:val="FooterChar"/>
    <w:uiPriority w:val="99"/>
    <w:unhideWhenUsed/>
    <w:rsid w:val="00EF63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63D2"/>
  </w:style>
  <w:style w:type="character" w:styleId="Hyperlink">
    <w:name w:val="Hyperlink"/>
    <w:basedOn w:val="DefaultParagraphFont"/>
    <w:uiPriority w:val="99"/>
    <w:unhideWhenUsed/>
    <w:rsid w:val="00D3514F"/>
    <w:rPr>
      <w:color w:val="0000FF"/>
      <w:u w:val="single"/>
    </w:rPr>
  </w:style>
  <w:style w:type="character" w:customStyle="1" w:styleId="gem-c-contents-listnumber">
    <w:name w:val="gem-c-contents-list__number"/>
    <w:basedOn w:val="DefaultParagraphFont"/>
    <w:rsid w:val="00D3514F"/>
  </w:style>
  <w:style w:type="character" w:customStyle="1" w:styleId="gem-c-contents-listnumbered-text">
    <w:name w:val="gem-c-contents-list__numbered-text"/>
    <w:basedOn w:val="DefaultParagraphFont"/>
    <w:rsid w:val="00D3514F"/>
  </w:style>
  <w:style w:type="paragraph" w:styleId="Subtitle">
    <w:name w:val="Subtitle"/>
    <w:basedOn w:val="Normal"/>
    <w:next w:val="Normal"/>
    <w:link w:val="SubtitleChar"/>
    <w:uiPriority w:val="11"/>
    <w:qFormat/>
    <w:rsid w:val="00EE5BFD"/>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EE5BFD"/>
    <w:rPr>
      <w:color w:val="5A5A5A" w:themeColor="text1" w:themeTint="A5"/>
      <w:spacing w:val="15"/>
    </w:rPr>
  </w:style>
  <w:style w:type="character" w:styleId="CommentReference">
    <w:name w:val="annotation reference"/>
    <w:basedOn w:val="DefaultParagraphFont"/>
    <w:uiPriority w:val="99"/>
    <w:semiHidden/>
    <w:unhideWhenUsed/>
    <w:rsid w:val="00561797"/>
    <w:rPr>
      <w:sz w:val="16"/>
      <w:szCs w:val="16"/>
    </w:rPr>
  </w:style>
  <w:style w:type="paragraph" w:styleId="CommentText">
    <w:name w:val="annotation text"/>
    <w:basedOn w:val="Normal"/>
    <w:link w:val="CommentTextChar"/>
    <w:uiPriority w:val="99"/>
    <w:semiHidden/>
    <w:unhideWhenUsed/>
    <w:rsid w:val="00561797"/>
    <w:pPr>
      <w:spacing w:line="240" w:lineRule="auto"/>
    </w:pPr>
    <w:rPr>
      <w:sz w:val="20"/>
      <w:szCs w:val="20"/>
    </w:rPr>
  </w:style>
  <w:style w:type="character" w:customStyle="1" w:styleId="CommentTextChar">
    <w:name w:val="Comment Text Char"/>
    <w:basedOn w:val="DefaultParagraphFont"/>
    <w:link w:val="CommentText"/>
    <w:uiPriority w:val="99"/>
    <w:semiHidden/>
    <w:rsid w:val="00561797"/>
    <w:rPr>
      <w:sz w:val="20"/>
      <w:szCs w:val="20"/>
    </w:rPr>
  </w:style>
  <w:style w:type="paragraph" w:styleId="CommentSubject">
    <w:name w:val="annotation subject"/>
    <w:basedOn w:val="CommentText"/>
    <w:next w:val="CommentText"/>
    <w:link w:val="CommentSubjectChar"/>
    <w:uiPriority w:val="99"/>
    <w:semiHidden/>
    <w:unhideWhenUsed/>
    <w:rsid w:val="00561797"/>
    <w:rPr>
      <w:b/>
      <w:bCs/>
    </w:rPr>
  </w:style>
  <w:style w:type="character" w:customStyle="1" w:styleId="CommentSubjectChar">
    <w:name w:val="Comment Subject Char"/>
    <w:basedOn w:val="CommentTextChar"/>
    <w:link w:val="CommentSubject"/>
    <w:uiPriority w:val="99"/>
    <w:semiHidden/>
    <w:rsid w:val="00561797"/>
    <w:rPr>
      <w:b/>
      <w:bCs/>
      <w:sz w:val="20"/>
      <w:szCs w:val="20"/>
    </w:rPr>
  </w:style>
  <w:style w:type="paragraph" w:styleId="BalloonText">
    <w:name w:val="Balloon Text"/>
    <w:basedOn w:val="Normal"/>
    <w:link w:val="BalloonTextChar"/>
    <w:uiPriority w:val="99"/>
    <w:semiHidden/>
    <w:unhideWhenUsed/>
    <w:rsid w:val="005617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1797"/>
    <w:rPr>
      <w:rFonts w:ascii="Segoe UI" w:hAnsi="Segoe UI" w:cs="Segoe UI"/>
      <w:sz w:val="18"/>
      <w:szCs w:val="18"/>
    </w:rPr>
  </w:style>
  <w:style w:type="character" w:customStyle="1" w:styleId="number">
    <w:name w:val="number"/>
    <w:basedOn w:val="DefaultParagraphFont"/>
    <w:rsid w:val="007A4142"/>
  </w:style>
  <w:style w:type="character" w:customStyle="1" w:styleId="UnresolvedMention">
    <w:name w:val="Unresolved Mention"/>
    <w:basedOn w:val="DefaultParagraphFont"/>
    <w:uiPriority w:val="99"/>
    <w:semiHidden/>
    <w:unhideWhenUsed/>
    <w:rsid w:val="001A0DB4"/>
    <w:rPr>
      <w:color w:val="808080"/>
      <w:shd w:val="clear" w:color="auto" w:fill="E6E6E6"/>
    </w:rPr>
  </w:style>
  <w:style w:type="paragraph" w:customStyle="1" w:styleId="Default">
    <w:name w:val="Default"/>
    <w:rsid w:val="008302F2"/>
    <w:pPr>
      <w:autoSpaceDE w:val="0"/>
      <w:autoSpaceDN w:val="0"/>
      <w:adjustRightInd w:val="0"/>
      <w:spacing w:after="0" w:line="240" w:lineRule="auto"/>
    </w:pPr>
    <w:rPr>
      <w:rFonts w:ascii="Humnst777 Lt BT" w:hAnsi="Humnst777 Lt BT" w:cs="Humnst777 Lt BT"/>
      <w:color w:val="000000"/>
      <w:sz w:val="24"/>
      <w:szCs w:val="24"/>
    </w:rPr>
  </w:style>
  <w:style w:type="paragraph" w:styleId="FootnoteText">
    <w:name w:val="footnote text"/>
    <w:basedOn w:val="Normal"/>
    <w:link w:val="FootnoteTextChar"/>
    <w:rsid w:val="004D18B6"/>
    <w:pPr>
      <w:widowControl w:val="0"/>
      <w:overflowPunct w:val="0"/>
      <w:autoSpaceDE w:val="0"/>
      <w:autoSpaceDN w:val="0"/>
      <w:adjustRightInd w:val="0"/>
      <w:spacing w:after="0" w:line="240" w:lineRule="auto"/>
      <w:textAlignment w:val="baseline"/>
    </w:pPr>
    <w:rPr>
      <w:rFonts w:ascii="Arial" w:eastAsia="Times New Roman" w:hAnsi="Arial" w:cs="Times New Roman"/>
      <w:sz w:val="20"/>
      <w:szCs w:val="20"/>
    </w:rPr>
  </w:style>
  <w:style w:type="character" w:customStyle="1" w:styleId="FootnoteTextChar">
    <w:name w:val="Footnote Text Char"/>
    <w:basedOn w:val="DefaultParagraphFont"/>
    <w:link w:val="FootnoteText"/>
    <w:rsid w:val="004D18B6"/>
    <w:rPr>
      <w:rFonts w:ascii="Arial" w:eastAsia="Times New Roman" w:hAnsi="Arial" w:cs="Times New Roman"/>
      <w:sz w:val="20"/>
      <w:szCs w:val="20"/>
    </w:rPr>
  </w:style>
  <w:style w:type="character" w:styleId="FootnoteReference">
    <w:name w:val="footnote reference"/>
    <w:basedOn w:val="DefaultParagraphFont"/>
    <w:rsid w:val="004D18B6"/>
    <w:rPr>
      <w:vertAlign w:val="superscript"/>
    </w:rPr>
  </w:style>
  <w:style w:type="table" w:customStyle="1" w:styleId="TableGrid1">
    <w:name w:val="Table Grid1"/>
    <w:basedOn w:val="TableNormal"/>
    <w:next w:val="TableGrid"/>
    <w:rsid w:val="004D18B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EE5BFD"/>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EE5BFD"/>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EE5BFD"/>
    <w:rPr>
      <w:rFonts w:asciiTheme="majorHAnsi" w:eastAsiaTheme="majorEastAsia" w:hAnsiTheme="majorHAnsi" w:cstheme="majorBidi"/>
      <w:spacing w:val="-10"/>
      <w:sz w:val="56"/>
      <w:szCs w:val="56"/>
    </w:rPr>
  </w:style>
  <w:style w:type="character" w:styleId="Emphasis">
    <w:name w:val="Emphasis"/>
    <w:basedOn w:val="DefaultParagraphFont"/>
    <w:uiPriority w:val="20"/>
    <w:qFormat/>
    <w:rsid w:val="00EE5BFD"/>
    <w:rPr>
      <w:i/>
      <w:iCs/>
      <w:color w:val="auto"/>
    </w:rPr>
  </w:style>
  <w:style w:type="paragraph" w:styleId="NoSpacing">
    <w:name w:val="No Spacing"/>
    <w:uiPriority w:val="1"/>
    <w:qFormat/>
    <w:rsid w:val="00EE5BFD"/>
    <w:pPr>
      <w:spacing w:after="0" w:line="240" w:lineRule="auto"/>
    </w:pPr>
  </w:style>
  <w:style w:type="paragraph" w:styleId="Quote">
    <w:name w:val="Quote"/>
    <w:basedOn w:val="Normal"/>
    <w:next w:val="Normal"/>
    <w:link w:val="QuoteChar"/>
    <w:uiPriority w:val="29"/>
    <w:qFormat/>
    <w:rsid w:val="00EE5BFD"/>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EE5BFD"/>
    <w:rPr>
      <w:i/>
      <w:iCs/>
      <w:color w:val="404040" w:themeColor="text1" w:themeTint="BF"/>
    </w:rPr>
  </w:style>
  <w:style w:type="paragraph" w:styleId="IntenseQuote">
    <w:name w:val="Intense Quote"/>
    <w:basedOn w:val="Normal"/>
    <w:next w:val="Normal"/>
    <w:link w:val="IntenseQuoteChar"/>
    <w:uiPriority w:val="30"/>
    <w:qFormat/>
    <w:rsid w:val="00EE5BF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E5BFD"/>
    <w:rPr>
      <w:i/>
      <w:iCs/>
      <w:color w:val="4472C4" w:themeColor="accent1"/>
    </w:rPr>
  </w:style>
  <w:style w:type="character" w:styleId="SubtleEmphasis">
    <w:name w:val="Subtle Emphasis"/>
    <w:basedOn w:val="DefaultParagraphFont"/>
    <w:uiPriority w:val="19"/>
    <w:qFormat/>
    <w:rsid w:val="00EE5BFD"/>
    <w:rPr>
      <w:i/>
      <w:iCs/>
      <w:color w:val="404040" w:themeColor="text1" w:themeTint="BF"/>
    </w:rPr>
  </w:style>
  <w:style w:type="character" w:styleId="IntenseEmphasis">
    <w:name w:val="Intense Emphasis"/>
    <w:basedOn w:val="DefaultParagraphFont"/>
    <w:uiPriority w:val="21"/>
    <w:qFormat/>
    <w:rsid w:val="00EE5BFD"/>
    <w:rPr>
      <w:i/>
      <w:iCs/>
      <w:color w:val="4472C4" w:themeColor="accent1"/>
    </w:rPr>
  </w:style>
  <w:style w:type="character" w:styleId="SubtleReference">
    <w:name w:val="Subtle Reference"/>
    <w:basedOn w:val="DefaultParagraphFont"/>
    <w:uiPriority w:val="31"/>
    <w:qFormat/>
    <w:rsid w:val="00EE5BFD"/>
    <w:rPr>
      <w:smallCaps/>
      <w:color w:val="404040" w:themeColor="text1" w:themeTint="BF"/>
    </w:rPr>
  </w:style>
  <w:style w:type="character" w:styleId="IntenseReference">
    <w:name w:val="Intense Reference"/>
    <w:basedOn w:val="DefaultParagraphFont"/>
    <w:uiPriority w:val="32"/>
    <w:qFormat/>
    <w:rsid w:val="00EE5BFD"/>
    <w:rPr>
      <w:b/>
      <w:bCs/>
      <w:smallCaps/>
      <w:color w:val="4472C4" w:themeColor="accent1"/>
      <w:spacing w:val="5"/>
    </w:rPr>
  </w:style>
  <w:style w:type="character" w:styleId="BookTitle">
    <w:name w:val="Book Title"/>
    <w:basedOn w:val="DefaultParagraphFont"/>
    <w:uiPriority w:val="33"/>
    <w:qFormat/>
    <w:rsid w:val="00EE5BFD"/>
    <w:rPr>
      <w:b/>
      <w:bCs/>
      <w:i/>
      <w:iCs/>
      <w:spacing w:val="5"/>
    </w:rPr>
  </w:style>
  <w:style w:type="paragraph" w:styleId="TOCHeading">
    <w:name w:val="TOC Heading"/>
    <w:basedOn w:val="Heading1"/>
    <w:next w:val="Normal"/>
    <w:uiPriority w:val="39"/>
    <w:semiHidden/>
    <w:unhideWhenUsed/>
    <w:qFormat/>
    <w:rsid w:val="00EE5BFD"/>
    <w:pPr>
      <w:outlineLvl w:val="9"/>
    </w:pPr>
  </w:style>
  <w:style w:type="paragraph" w:styleId="NormalWeb">
    <w:name w:val="Normal (Web)"/>
    <w:basedOn w:val="Normal"/>
    <w:uiPriority w:val="99"/>
    <w:semiHidden/>
    <w:unhideWhenUsed/>
    <w:rsid w:val="00D134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3D7FEB"/>
    <w:rPr>
      <w:color w:val="954F72" w:themeColor="followedHyperlink"/>
      <w:u w:val="single"/>
    </w:rPr>
  </w:style>
  <w:style w:type="paragraph" w:styleId="Revision">
    <w:name w:val="Revision"/>
    <w:hidden/>
    <w:uiPriority w:val="99"/>
    <w:semiHidden/>
    <w:rsid w:val="00052B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hart" Target="charts/chart1.xml" /><Relationship Id="rId11" Type="http://schemas.openxmlformats.org/officeDocument/2006/relationships/chart" Target="charts/chart2.xml" /><Relationship Id="rId12" Type="http://schemas.openxmlformats.org/officeDocument/2006/relationships/image" Target="media/image3.png" /><Relationship Id="rId13" Type="http://schemas.openxmlformats.org/officeDocument/2006/relationships/image" Target="media/image4.png"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image" Target="media/image2.png" /></Relationships>
</file>

<file path=word/charts/_rels/chart1.xml.rels>&#65279;<?xml version="1.0" encoding="utf-8" standalone="yes"?><Relationships xmlns="http://schemas.openxmlformats.org/package/2006/relationships"><Relationship Id="rId1" Type="http://schemas.openxmlformats.org/officeDocument/2006/relationships/oleObject" Target="https://modgovuk.sharepoint.com/sites/defenceresources/Shared%20Documents/07-External%20Reporting%20(OSCAR)/2021%20Supps/Working%20Files/20210209-2020-21%20SE%20Memorandum%20Tables.xlsx" TargetMode="External" /></Relationships>
</file>

<file path=word/charts/_rels/chart2.xml.rels>&#65279;<?xml version="1.0" encoding="utf-8" standalone="yes"?><Relationships xmlns="http://schemas.openxmlformats.org/package/2006/relationships"><Relationship Id="rId1" Type="http://schemas.openxmlformats.org/officeDocument/2006/relationships/package" Target="../embeddings/Microsoft_Office_Excel_Worksheet1.xlsx"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MOD Budgets</a:t>
            </a:r>
          </a:p>
          <a:p>
            <a:pPr>
              <a:defRPr/>
            </a:pPr>
            <a:r>
              <a:rPr lang="en-GB" sz="1200" i="1"/>
              <a:t>(-</a:t>
            </a:r>
            <a:r>
              <a:rPr lang="en-GB" sz="1200" i="1" baseline="0"/>
              <a:t> </a:t>
            </a:r>
            <a:r>
              <a:rPr lang="en-GB" sz="1200" i="1"/>
              <a:t>all in £</a:t>
            </a:r>
            <a:r>
              <a:rPr lang="en-GB" sz="1200" i="1" baseline="0"/>
              <a:t> billion)</a:t>
            </a:r>
            <a:endParaRPr lang="en-GB" sz="1200" i="1"/>
          </a:p>
        </c:rich>
      </c:tx>
      <c:layout>
        <c:manualLayout>
          <c:xMode val="edge"/>
          <c:yMode val="edge"/>
          <c:x val="0.40393744531933506"/>
          <c:y val="5.092592592592592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'Table 101'!$S$12</c:f>
              <c:strCache>
                <c:ptCount val="1"/>
                <c:pt idx="0">
                  <c:v>2019-20 Outturn</c:v>
                </c:pt>
              </c:strCache>
            </c:strRef>
          </c:tx>
          <c:spPr>
            <a:solidFill>
              <a:schemeClr val="accent1"/>
            </a:solidFill>
            <a:ln>
              <a:noFill/>
            </a:ln>
            <a:effectLst/>
          </c:spPr>
          <c:invertIfNegative val="0"/>
          <c:cat>
            <c:strRef>
              <c:f>'Table 101'!$T$11:$V$11</c:f>
              <c:strCache>
                <c:ptCount val="3"/>
                <c:pt idx="0">
                  <c:v>AME</c:v>
                </c:pt>
                <c:pt idx="1">
                  <c:v>Capital DEL</c:v>
                </c:pt>
                <c:pt idx="2">
                  <c:v>Resource DEL</c:v>
                </c:pt>
              </c:strCache>
            </c:strRef>
          </c:cat>
          <c:val>
            <c:numRef>
              <c:f>'Table 101'!$T$12:$V$12</c:f>
              <c:numCache>
                <c:formatCode>General</c:formatCode>
                <c:ptCount val="3"/>
                <c:pt idx="0">
                  <c:v>-0.29599999999999999</c:v>
                </c:pt>
                <c:pt idx="1">
                  <c:v>10.313857</c:v>
                </c:pt>
                <c:pt idx="2">
                  <c:v>36.707037999999997</c:v>
                </c:pt>
              </c:numCache>
            </c:numRef>
          </c:val>
          <c:extLst>
            <c:ext xmlns:c16="http://schemas.microsoft.com/office/drawing/2014/chart" uri="{C3380CC4-5D6E-409C-BE32-E72D297353CC}">
              <c16:uniqueId val="{00000000-449F-4D2D-B2FD-76C635F6BB6F}"/>
            </c:ext>
          </c:extLst>
        </c:ser>
        <c:ser>
          <c:idx val="1"/>
          <c:order val="1"/>
          <c:tx>
            <c:strRef>
              <c:f>'Table 101'!$S$13</c:f>
              <c:strCache>
                <c:ptCount val="1"/>
                <c:pt idx="0">
                  <c:v>2020-21 Main Estimate</c:v>
                </c:pt>
              </c:strCache>
            </c:strRef>
          </c:tx>
          <c:spPr>
            <a:solidFill>
              <a:schemeClr val="accent2"/>
            </a:solidFill>
            <a:ln>
              <a:noFill/>
            </a:ln>
            <a:effectLst/>
          </c:spPr>
          <c:invertIfNegative val="0"/>
          <c:cat>
            <c:strRef>
              <c:f>'Table 101'!$T$11:$V$11</c:f>
              <c:strCache>
                <c:ptCount val="3"/>
                <c:pt idx="0">
                  <c:v>AME</c:v>
                </c:pt>
                <c:pt idx="1">
                  <c:v>Capital DEL</c:v>
                </c:pt>
                <c:pt idx="2">
                  <c:v>Resource DEL</c:v>
                </c:pt>
              </c:strCache>
            </c:strRef>
          </c:cat>
          <c:val>
            <c:numRef>
              <c:f>'Table 101'!$T$13:$V$13</c:f>
              <c:numCache>
                <c:formatCode>General</c:formatCode>
                <c:ptCount val="3"/>
                <c:pt idx="0">
                  <c:v>1.519285</c:v>
                </c:pt>
                <c:pt idx="1">
                  <c:v>10.534979999999999</c:v>
                </c:pt>
                <c:pt idx="2">
                  <c:v>39.248823999999999</c:v>
                </c:pt>
              </c:numCache>
            </c:numRef>
          </c:val>
          <c:extLst>
            <c:ext xmlns:c16="http://schemas.microsoft.com/office/drawing/2014/chart" uri="{C3380CC4-5D6E-409C-BE32-E72D297353CC}">
              <c16:uniqueId val="{00000001-449F-4D2D-B2FD-76C635F6BB6F}"/>
            </c:ext>
          </c:extLst>
        </c:ser>
        <c:ser>
          <c:idx val="2"/>
          <c:order val="2"/>
          <c:tx>
            <c:strRef>
              <c:f>'Table 101'!$S$14</c:f>
              <c:strCache>
                <c:ptCount val="1"/>
                <c:pt idx="0">
                  <c:v>2020-21 Supplementary Estimate</c:v>
                </c:pt>
              </c:strCache>
            </c:strRef>
          </c:tx>
          <c:spPr>
            <a:solidFill>
              <a:schemeClr val="accent3"/>
            </a:solidFill>
            <a:ln>
              <a:noFill/>
            </a:ln>
            <a:effectLst/>
          </c:spPr>
          <c:invertIfNegative val="0"/>
          <c:cat>
            <c:strRef>
              <c:f>'Table 101'!$T$11:$V$11</c:f>
              <c:strCache>
                <c:ptCount val="3"/>
                <c:pt idx="0">
                  <c:v>AME</c:v>
                </c:pt>
                <c:pt idx="1">
                  <c:v>Capital DEL</c:v>
                </c:pt>
                <c:pt idx="2">
                  <c:v>Resource DEL</c:v>
                </c:pt>
              </c:strCache>
            </c:strRef>
          </c:cat>
          <c:val>
            <c:numRef>
              <c:f>'Table 101'!$T$14:$V$14</c:f>
              <c:numCache>
                <c:formatCode>General</c:formatCode>
                <c:ptCount val="3"/>
                <c:pt idx="0">
                  <c:v>2.7192849999999997</c:v>
                </c:pt>
                <c:pt idx="1">
                  <c:v>11.716395</c:v>
                </c:pt>
                <c:pt idx="2">
                  <c:v>41.256646999999994</c:v>
                </c:pt>
              </c:numCache>
            </c:numRef>
          </c:val>
          <c:extLst>
            <c:ext xmlns:c16="http://schemas.microsoft.com/office/drawing/2014/chart" uri="{C3380CC4-5D6E-409C-BE32-E72D297353CC}">
              <c16:uniqueId val="{00000002-449F-4D2D-B2FD-76C635F6BB6F}"/>
            </c:ext>
          </c:extLst>
        </c:ser>
        <c:dLbls>
          <c:showLegendKey val="0"/>
          <c:showVal val="0"/>
          <c:showCatName val="0"/>
          <c:showSerName val="0"/>
          <c:showPercent val="0"/>
          <c:showBubbleSize val="0"/>
        </c:dLbls>
        <c:gapWidth val="182"/>
        <c:axId val="546712488"/>
        <c:axId val="481667352"/>
      </c:barChart>
      <c:catAx>
        <c:axId val="546712488"/>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1667352"/>
        <c:crosses val="autoZero"/>
        <c:auto val="1"/>
        <c:lblAlgn val="ctr"/>
        <c:lblOffset val="100"/>
        <c:noMultiLvlLbl val="0"/>
      </c:catAx>
      <c:valAx>
        <c:axId val="481667352"/>
        <c:scaling>
          <c:orientation val="minMax"/>
          <c:min val="-1"/>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712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Spending Trend</a:t>
            </a:r>
          </a:p>
          <a:p>
            <a:pPr>
              <a:defRPr/>
            </a:pPr>
            <a:r>
              <a:rPr lang="en-US"/>
              <a:t>(- all in £ Billion)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'Table 100'!$B$11</c:f>
              <c:strCache>
                <c:ptCount val="1"/>
                <c:pt idx="0">
                  <c:v>Resource DEL</c:v>
                </c:pt>
              </c:strCache>
            </c:strRef>
          </c:tx>
          <c:spPr>
            <a:ln w="28575" cap="rnd">
              <a:solidFill>
                <a:schemeClr val="accent1"/>
              </a:solidFill>
              <a:round/>
            </a:ln>
            <a:effectLst/>
          </c:spPr>
          <c:marker>
            <c:symbol val="none"/>
          </c:marker>
          <c:cat>
            <c:strRef>
              <c:f>'Table 100'!$C$10:$I$10</c:f>
              <c:strCache>
                <c:ptCount val="7"/>
                <c:pt idx="0">
                  <c:v>2014-15
Outturn</c:v>
                </c:pt>
                <c:pt idx="1">
                  <c:v>2015-16
Outturn</c:v>
                </c:pt>
                <c:pt idx="2">
                  <c:v>2016-17
Outturn</c:v>
                </c:pt>
                <c:pt idx="3">
                  <c:v>2017-18
Outturn</c:v>
                </c:pt>
                <c:pt idx="4">
                  <c:v>2018-19
Outturn</c:v>
                </c:pt>
                <c:pt idx="5">
                  <c:v>2019-20
Outturn</c:v>
                </c:pt>
                <c:pt idx="6">
                  <c:v>2020-21
SE</c:v>
                </c:pt>
              </c:strCache>
            </c:strRef>
          </c:cat>
          <c:val>
            <c:numRef>
              <c:f>'Table 100'!$C$11:$I$11</c:f>
              <c:numCache>
                <c:formatCode>[$-3]\ #,##0.0_);[Black]\([$-3]\ #,##0.0\)</c:formatCode>
                <c:ptCount val="7"/>
                <c:pt idx="0">
                  <c:v>34.155037999999998</c:v>
                </c:pt>
                <c:pt idx="1">
                  <c:v>34.424019999999999</c:v>
                </c:pt>
                <c:pt idx="2">
                  <c:v>35.422775000000001</c:v>
                </c:pt>
                <c:pt idx="3">
                  <c:v>34.198735999999997</c:v>
                </c:pt>
                <c:pt idx="4">
                  <c:v>34.570999999999998</c:v>
                </c:pt>
                <c:pt idx="5">
                  <c:v>36.707037999999997</c:v>
                </c:pt>
                <c:pt idx="6">
                  <c:v>41.256646999999994</c:v>
                </c:pt>
              </c:numCache>
            </c:numRef>
          </c:val>
          <c:smooth val="0"/>
          <c:extLst>
            <c:ext xmlns:c16="http://schemas.microsoft.com/office/drawing/2014/chart" uri="{C3380CC4-5D6E-409C-BE32-E72D297353CC}">
              <c16:uniqueId val="{00000000-99D1-436B-8134-D3662BC8FD38}"/>
            </c:ext>
          </c:extLst>
        </c:ser>
        <c:ser>
          <c:idx val="1"/>
          <c:order val="1"/>
          <c:tx>
            <c:strRef>
              <c:f>'Table 100'!$B$12</c:f>
              <c:strCache>
                <c:ptCount val="1"/>
                <c:pt idx="0">
                  <c:v>Capital DEL</c:v>
                </c:pt>
              </c:strCache>
            </c:strRef>
          </c:tx>
          <c:spPr>
            <a:ln w="28575" cap="rnd">
              <a:solidFill>
                <a:schemeClr val="accent2"/>
              </a:solidFill>
              <a:round/>
            </a:ln>
            <a:effectLst/>
          </c:spPr>
          <c:marker>
            <c:symbol val="none"/>
          </c:marker>
          <c:cat>
            <c:strRef>
              <c:f>'Table 100'!$C$10:$I$10</c:f>
              <c:strCache>
                <c:ptCount val="7"/>
                <c:pt idx="0">
                  <c:v>2014-15
Outturn</c:v>
                </c:pt>
                <c:pt idx="1">
                  <c:v>2015-16
Outturn</c:v>
                </c:pt>
                <c:pt idx="2">
                  <c:v>2016-17
Outturn</c:v>
                </c:pt>
                <c:pt idx="3">
                  <c:v>2017-18
Outturn</c:v>
                </c:pt>
                <c:pt idx="4">
                  <c:v>2018-19
Outturn</c:v>
                </c:pt>
                <c:pt idx="5">
                  <c:v>2019-20
Outturn</c:v>
                </c:pt>
                <c:pt idx="6">
                  <c:v>2020-21
SE</c:v>
                </c:pt>
              </c:strCache>
            </c:strRef>
          </c:cat>
          <c:val>
            <c:numRef>
              <c:f>'Table 100'!$C$12:$I$12</c:f>
              <c:numCache>
                <c:formatCode>[$-3]\ #,##0.0_);[Black]\([$-3]\ #,##0.0\)</c:formatCode>
                <c:ptCount val="7"/>
                <c:pt idx="0">
                  <c:v>8.7357219999999991</c:v>
                </c:pt>
                <c:pt idx="1">
                  <c:v>8.4024680000000007</c:v>
                </c:pt>
                <c:pt idx="2">
                  <c:v>8.6885530000000006</c:v>
                </c:pt>
                <c:pt idx="3">
                  <c:v>9.7035859999999996</c:v>
                </c:pt>
                <c:pt idx="4">
                  <c:v>10.295</c:v>
                </c:pt>
                <c:pt idx="5">
                  <c:v>10.313857</c:v>
                </c:pt>
                <c:pt idx="6">
                  <c:v>11.716395</c:v>
                </c:pt>
              </c:numCache>
            </c:numRef>
          </c:val>
          <c:smooth val="0"/>
          <c:extLst>
            <c:ext xmlns:c16="http://schemas.microsoft.com/office/drawing/2014/chart" uri="{C3380CC4-5D6E-409C-BE32-E72D297353CC}">
              <c16:uniqueId val="{00000001-99D1-436B-8134-D3662BC8FD38}"/>
            </c:ext>
          </c:extLst>
        </c:ser>
        <c:ser>
          <c:idx val="2"/>
          <c:order val="2"/>
          <c:tx>
            <c:strRef>
              <c:f>'Table 100'!$B$13</c:f>
              <c:strCache>
                <c:ptCount val="1"/>
                <c:pt idx="0">
                  <c:v>AME</c:v>
                </c:pt>
              </c:strCache>
            </c:strRef>
          </c:tx>
          <c:spPr>
            <a:ln w="28575" cap="rnd">
              <a:solidFill>
                <a:schemeClr val="accent3"/>
              </a:solidFill>
              <a:round/>
            </a:ln>
            <a:effectLst/>
          </c:spPr>
          <c:marker>
            <c:symbol val="none"/>
          </c:marker>
          <c:cat>
            <c:strRef>
              <c:f>'Table 100'!$C$10:$I$10</c:f>
              <c:strCache>
                <c:ptCount val="7"/>
                <c:pt idx="0">
                  <c:v>2014-15
Outturn</c:v>
                </c:pt>
                <c:pt idx="1">
                  <c:v>2015-16
Outturn</c:v>
                </c:pt>
                <c:pt idx="2">
                  <c:v>2016-17
Outturn</c:v>
                </c:pt>
                <c:pt idx="3">
                  <c:v>2017-18
Outturn</c:v>
                </c:pt>
                <c:pt idx="4">
                  <c:v>2018-19
Outturn</c:v>
                </c:pt>
                <c:pt idx="5">
                  <c:v>2019-20
Outturn</c:v>
                </c:pt>
                <c:pt idx="6">
                  <c:v>2020-21
SE</c:v>
                </c:pt>
              </c:strCache>
            </c:strRef>
          </c:cat>
          <c:val>
            <c:numRef>
              <c:f>'Table 100'!$C$13:$I$13</c:f>
              <c:numCache>
                <c:formatCode>[$-3]\ #,##0.0_);[Black]\([$-3]\ #,##0.0\)</c:formatCode>
                <c:ptCount val="7"/>
                <c:pt idx="0">
                  <c:v>1.914865</c:v>
                </c:pt>
                <c:pt idx="1">
                  <c:v>6.1324530000000008</c:v>
                </c:pt>
                <c:pt idx="2">
                  <c:v>-0.21069399999999999</c:v>
                </c:pt>
                <c:pt idx="3">
                  <c:v>9.7348510000000008</c:v>
                </c:pt>
                <c:pt idx="4">
                  <c:v>-7.883</c:v>
                </c:pt>
                <c:pt idx="5">
                  <c:v>-0.29627199999999998</c:v>
                </c:pt>
                <c:pt idx="6">
                  <c:v>2.7192849999999997</c:v>
                </c:pt>
              </c:numCache>
            </c:numRef>
          </c:val>
          <c:smooth val="0"/>
          <c:extLst>
            <c:ext xmlns:c16="http://schemas.microsoft.com/office/drawing/2014/chart" uri="{C3380CC4-5D6E-409C-BE32-E72D297353CC}">
              <c16:uniqueId val="{00000002-99D1-436B-8134-D3662BC8FD38}"/>
            </c:ext>
          </c:extLst>
        </c:ser>
        <c:dLbls>
          <c:showLegendKey val="0"/>
          <c:showVal val="0"/>
          <c:showCatName val="0"/>
          <c:showSerName val="0"/>
          <c:showPercent val="0"/>
          <c:showBubbleSize val="0"/>
        </c:dLbls>
        <c:smooth val="0"/>
        <c:axId val="554222272"/>
        <c:axId val="554223256"/>
      </c:lineChart>
      <c:catAx>
        <c:axId val="554222272"/>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23256"/>
        <c:crosses val="autoZero"/>
        <c:auto val="1"/>
        <c:lblAlgn val="ctr"/>
        <c:lblOffset val="100"/>
        <c:noMultiLvlLbl val="0"/>
      </c:catAx>
      <c:valAx>
        <c:axId val="554223256"/>
        <c:scaling>
          <c:orientation val="minMax"/>
        </c:scaling>
        <c:delete val="0"/>
        <c:axPos val="l"/>
        <c:majorGridlines>
          <c:spPr>
            <a:ln w="9525" cap="flat" cmpd="sng" algn="ctr">
              <a:solidFill>
                <a:schemeClr val="tx1">
                  <a:lumMod val="15000"/>
                  <a:lumOff val="85000"/>
                </a:schemeClr>
              </a:solidFill>
              <a:round/>
            </a:ln>
            <a:effectLst/>
          </c:spPr>
        </c:majorGridlines>
        <c:numFmt formatCode="[$-3]\ #,##0.0_);[Black]\([$-3]\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22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95D4D680971B439DF668C4AC1734C0" ma:contentTypeVersion="11" ma:contentTypeDescription="Create a new document." ma:contentTypeScope="" ma:versionID="4f726d5db490ce8f16c1d85e16013f6e">
  <xsd:schema xmlns:xsd="http://www.w3.org/2001/XMLSchema" xmlns:xs="http://www.w3.org/2001/XMLSchema" xmlns:p="http://schemas.microsoft.com/office/2006/metadata/properties" xmlns:ns3="16e6e859-e2f8-4492-b094-f4792b6aca4b" xmlns:ns4="8a533605-cf11-4888-8796-bb84d0b49bf3" targetNamespace="http://schemas.microsoft.com/office/2006/metadata/properties" ma:root="true" ma:fieldsID="ec3c8b0d5a17bd01063323f78f14fdfd" ns3:_="" ns4:_="">
    <xsd:import namespace="16e6e859-e2f8-4492-b094-f4792b6aca4b"/>
    <xsd:import namespace="8a533605-cf11-4888-8796-bb84d0b49bf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6e859-e2f8-4492-b094-f4792b6aca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533605-cf11-4888-8796-bb84d0b49b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BAE26-0352-4880-8D9C-164114807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6e859-e2f8-4492-b094-f4792b6aca4b"/>
    <ds:schemaRef ds:uri="8a533605-cf11-4888-8796-bb84d0b49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5C13DF-9294-4EC3-A93F-848ABE15DB2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C97C59-FF39-4FE3-A475-A2259DD772A8}">
  <ds:schemaRefs>
    <ds:schemaRef ds:uri="http://schemas.microsoft.com/sharepoint/v3/contenttype/forms"/>
  </ds:schemaRefs>
</ds:datastoreItem>
</file>

<file path=customXml/itemProps4.xml><?xml version="1.0" encoding="utf-8"?>
<ds:datastoreItem xmlns:ds="http://schemas.openxmlformats.org/officeDocument/2006/customXml" ds:itemID="{5161FA1D-AD24-434B-892E-D3148DDDB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