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5715" w:rsidP="00F35715">
      <w:pPr>
        <w:jc w:val="right"/>
        <w:rPr>
          <w:b/>
          <w:color w:val="4472C4" w:themeColor="accent1"/>
          <w:spacing w:val="-10"/>
          <w:kern w:val="28"/>
          <w:sz w:val="36"/>
        </w:rPr>
      </w:pPr>
      <w:bookmarkStart w:id="0" w:name="_Hlk534621357"/>
    </w:p>
    <w:p w:rsidR="00BF1D6F" w:rsidRPr="00CF0D61" w:rsidP="00BF1D6F">
      <w:pPr>
        <w:jc w:val="right"/>
        <w:rPr>
          <w:b/>
          <w:color w:val="13284C"/>
          <w:spacing w:val="-10"/>
          <w:kern w:val="28"/>
          <w:sz w:val="36"/>
        </w:rPr>
      </w:pPr>
      <w:r w:rsidRPr="00CF0D61">
        <w:rPr>
          <w:b/>
          <w:color w:val="13284C"/>
          <w:spacing w:val="-10"/>
          <w:kern w:val="28"/>
          <w:sz w:val="36"/>
        </w:rPr>
        <w:t>Annex A</w:t>
      </w:r>
    </w:p>
    <w:p w:rsidR="005073F2" w:rsidRPr="00CF0D61" w:rsidP="005073F2">
      <w:pPr>
        <w:rPr>
          <w:b/>
          <w:color w:val="13284C"/>
          <w:spacing w:val="-10"/>
          <w:kern w:val="28"/>
          <w:sz w:val="36"/>
        </w:rPr>
      </w:pPr>
      <w:r w:rsidRPr="00CF0D61">
        <w:rPr>
          <w:b/>
          <w:color w:val="13284C"/>
          <w:spacing w:val="-10"/>
          <w:kern w:val="28"/>
          <w:sz w:val="36"/>
        </w:rPr>
        <w:t>MEMORANDUM FOR THE MINISTRY OF DEFENCE</w:t>
      </w:r>
    </w:p>
    <w:p w:rsidR="00DE61E6" w:rsidRPr="00CF0D61" w:rsidP="005073F2">
      <w:pPr>
        <w:rPr>
          <w:b/>
          <w:color w:val="13284C"/>
          <w:spacing w:val="-10"/>
          <w:kern w:val="28"/>
          <w:sz w:val="36"/>
        </w:rPr>
      </w:pPr>
      <w:r w:rsidRPr="00CF0D61">
        <w:rPr>
          <w:b/>
          <w:color w:val="13284C"/>
          <w:spacing w:val="-10"/>
          <w:kern w:val="28"/>
          <w:sz w:val="36"/>
        </w:rPr>
        <w:t>SUPPLEMENTARY</w:t>
      </w:r>
      <w:r w:rsidRPr="00CF0D61" w:rsidR="005073F2">
        <w:rPr>
          <w:b/>
          <w:color w:val="13284C"/>
          <w:spacing w:val="-10"/>
          <w:kern w:val="28"/>
          <w:sz w:val="36"/>
        </w:rPr>
        <w:t xml:space="preserve"> ESTIMATE 20</w:t>
      </w:r>
      <w:r w:rsidRPr="00CF0D61" w:rsidR="0052478E">
        <w:rPr>
          <w:b/>
          <w:color w:val="13284C"/>
          <w:spacing w:val="-10"/>
          <w:kern w:val="28"/>
          <w:sz w:val="36"/>
        </w:rPr>
        <w:t>2</w:t>
      </w:r>
      <w:r w:rsidRPr="00CF0D61" w:rsidR="002020C7">
        <w:rPr>
          <w:b/>
          <w:color w:val="13284C"/>
          <w:spacing w:val="-10"/>
          <w:kern w:val="28"/>
          <w:sz w:val="36"/>
        </w:rPr>
        <w:t>4</w:t>
      </w:r>
      <w:r w:rsidRPr="00CF0D61" w:rsidR="005073F2">
        <w:rPr>
          <w:b/>
          <w:color w:val="13284C"/>
          <w:spacing w:val="-10"/>
          <w:kern w:val="28"/>
          <w:sz w:val="36"/>
        </w:rPr>
        <w:t>-</w:t>
      </w:r>
      <w:r w:rsidRPr="00CF0D61" w:rsidR="006C637B">
        <w:rPr>
          <w:b/>
          <w:color w:val="13284C"/>
          <w:spacing w:val="-10"/>
          <w:kern w:val="28"/>
          <w:sz w:val="36"/>
        </w:rPr>
        <w:t>2</w:t>
      </w:r>
      <w:r w:rsidRPr="00CF0D61" w:rsidR="002020C7">
        <w:rPr>
          <w:b/>
          <w:color w:val="13284C"/>
          <w:spacing w:val="-10"/>
          <w:kern w:val="28"/>
          <w:sz w:val="36"/>
        </w:rPr>
        <w:t>5</w:t>
      </w:r>
    </w:p>
    <w:p w:rsidR="00740C96" w:rsidRPr="00CF0D61" w:rsidP="00C33F82">
      <w:pPr>
        <w:pStyle w:val="Heading1"/>
        <w:rPr>
          <w:rFonts w:asciiTheme="minorHAnsi" w:hAnsiTheme="minorHAnsi"/>
          <w:color w:val="13284C"/>
        </w:rPr>
      </w:pPr>
      <w:bookmarkEnd w:id="0"/>
      <w:r w:rsidRPr="00CF0D61">
        <w:rPr>
          <w:rFonts w:asciiTheme="minorHAnsi" w:hAnsiTheme="minorHAnsi"/>
          <w:color w:val="13284C"/>
        </w:rPr>
        <w:t>Overview</w:t>
      </w:r>
    </w:p>
    <w:p w:rsidR="00951BD0" w:rsidP="00951BD0">
      <w:pPr>
        <w:spacing w:before="100" w:beforeAutospacing="1" w:after="100" w:afterAutospacing="1" w:line="240" w:lineRule="auto"/>
        <w:rPr>
          <w:lang w:eastAsia="en-GB"/>
        </w:rPr>
      </w:pPr>
      <w:r w:rsidRPr="5AE61B80">
        <w:rPr>
          <w:lang w:eastAsia="en-GB"/>
        </w:rPr>
        <w:t>This Memorandum covers the Supplementary Estimate (SE) for the Ministry of Defence (MOD) and should be read in conjunction with the Central Government Main Supply Estimates 20</w:t>
      </w:r>
      <w:r w:rsidR="00CF1F3B">
        <w:rPr>
          <w:lang w:eastAsia="en-GB"/>
        </w:rPr>
        <w:t>2</w:t>
      </w:r>
      <w:r w:rsidR="002020C7">
        <w:rPr>
          <w:lang w:eastAsia="en-GB"/>
        </w:rPr>
        <w:t>4</w:t>
      </w:r>
      <w:r w:rsidRPr="5AE61B80">
        <w:rPr>
          <w:lang w:eastAsia="en-GB"/>
        </w:rPr>
        <w:t>-2</w:t>
      </w:r>
      <w:r w:rsidR="002020C7">
        <w:rPr>
          <w:lang w:eastAsia="en-GB"/>
        </w:rPr>
        <w:t>5</w:t>
      </w:r>
      <w:r w:rsidRPr="5AE61B80">
        <w:rPr>
          <w:lang w:eastAsia="en-GB"/>
        </w:rPr>
        <w:t>.</w:t>
      </w:r>
      <w:r>
        <w:rPr>
          <w:lang w:eastAsia="en-GB"/>
        </w:rPr>
        <w:t xml:space="preserve"> The Department’s spending plans for 202</w:t>
      </w:r>
      <w:r w:rsidR="00B95A4D">
        <w:rPr>
          <w:lang w:eastAsia="en-GB"/>
        </w:rPr>
        <w:t>4</w:t>
      </w:r>
      <w:r>
        <w:rPr>
          <w:lang w:eastAsia="en-GB"/>
        </w:rPr>
        <w:t>-2</w:t>
      </w:r>
      <w:r w:rsidR="00B95A4D">
        <w:rPr>
          <w:lang w:eastAsia="en-GB"/>
        </w:rPr>
        <w:t>5</w:t>
      </w:r>
      <w:r>
        <w:rPr>
          <w:lang w:eastAsia="en-GB"/>
        </w:rPr>
        <w:t xml:space="preserve"> are based on the Spending Review 202</w:t>
      </w:r>
      <w:r w:rsidR="00E7543E">
        <w:rPr>
          <w:lang w:eastAsia="en-GB"/>
        </w:rPr>
        <w:t>0</w:t>
      </w:r>
      <w:r w:rsidR="00C02737">
        <w:rPr>
          <w:lang w:eastAsia="en-GB"/>
        </w:rPr>
        <w:t>/21</w:t>
      </w:r>
      <w:r w:rsidR="00E7543E">
        <w:rPr>
          <w:lang w:eastAsia="en-GB"/>
        </w:rPr>
        <w:t xml:space="preserve"> and </w:t>
      </w:r>
      <w:r w:rsidR="001817C0">
        <w:rPr>
          <w:lang w:eastAsia="en-GB"/>
        </w:rPr>
        <w:t>additional Budget Announcement</w:t>
      </w:r>
      <w:r w:rsidR="00B95A4D">
        <w:rPr>
          <w:lang w:eastAsia="en-GB"/>
        </w:rPr>
        <w:t>s</w:t>
      </w:r>
      <w:r w:rsidR="001817C0">
        <w:rPr>
          <w:lang w:eastAsia="en-GB"/>
        </w:rPr>
        <w:t xml:space="preserve"> at Autumn and Spring Statements</w:t>
      </w:r>
      <w:r>
        <w:rPr>
          <w:lang w:eastAsia="en-GB"/>
        </w:rPr>
        <w:t xml:space="preserve">. </w:t>
      </w:r>
    </w:p>
    <w:p w:rsidR="00CD15B6" w:rsidRPr="003250C8" w:rsidP="00FC4D6A">
      <w:pPr>
        <w:spacing w:before="100" w:beforeAutospacing="1" w:after="100" w:afterAutospacing="1" w:line="240" w:lineRule="auto"/>
        <w:rPr>
          <w:lang w:eastAsia="en-GB"/>
        </w:rPr>
      </w:pPr>
      <w:r w:rsidRPr="5AE61B80">
        <w:rPr>
          <w:lang w:eastAsia="en-GB"/>
        </w:rPr>
        <w:t xml:space="preserve"> </w:t>
      </w:r>
      <w:r w:rsidRPr="003250C8" w:rsidR="007B38D2">
        <w:rPr>
          <w:lang w:eastAsia="en-GB"/>
        </w:rPr>
        <w:t xml:space="preserve">The </w:t>
      </w:r>
      <w:r w:rsidRPr="003250C8" w:rsidR="00BD646F">
        <w:rPr>
          <w:lang w:eastAsia="en-GB"/>
        </w:rPr>
        <w:t xml:space="preserve">Department’s </w:t>
      </w:r>
      <w:r w:rsidRPr="003250C8" w:rsidR="00101C7E">
        <w:rPr>
          <w:lang w:eastAsia="en-GB"/>
        </w:rPr>
        <w:t>Expenditure</w:t>
      </w:r>
      <w:r w:rsidRPr="003250C8" w:rsidR="00BD646F">
        <w:rPr>
          <w:lang w:eastAsia="en-GB"/>
        </w:rPr>
        <w:t xml:space="preserve"> Limit (DEL) (Resource </w:t>
      </w:r>
      <w:r w:rsidRPr="003250C8" w:rsidR="00C06780">
        <w:rPr>
          <w:lang w:eastAsia="en-GB"/>
        </w:rPr>
        <w:t>and Capital) for 20</w:t>
      </w:r>
      <w:r w:rsidRPr="003250C8" w:rsidR="00555C1C">
        <w:rPr>
          <w:lang w:eastAsia="en-GB"/>
        </w:rPr>
        <w:t>2</w:t>
      </w:r>
      <w:r w:rsidRPr="003250C8" w:rsidR="00A61C44">
        <w:rPr>
          <w:lang w:eastAsia="en-GB"/>
        </w:rPr>
        <w:t>4</w:t>
      </w:r>
      <w:r w:rsidRPr="003250C8" w:rsidR="008D0EFD">
        <w:rPr>
          <w:lang w:eastAsia="en-GB"/>
        </w:rPr>
        <w:t>-2</w:t>
      </w:r>
      <w:r w:rsidRPr="003250C8" w:rsidR="00A61C44">
        <w:rPr>
          <w:lang w:eastAsia="en-GB"/>
        </w:rPr>
        <w:t>5</w:t>
      </w:r>
      <w:r w:rsidRPr="003250C8" w:rsidR="00C06780">
        <w:rPr>
          <w:lang w:eastAsia="en-GB"/>
        </w:rPr>
        <w:t xml:space="preserve"> is</w:t>
      </w:r>
      <w:r w:rsidRPr="003250C8" w:rsidR="004C3811">
        <w:rPr>
          <w:lang w:eastAsia="en-GB"/>
        </w:rPr>
        <w:t xml:space="preserve"> £</w:t>
      </w:r>
      <w:r w:rsidRPr="003250C8" w:rsidR="00A61C44">
        <w:rPr>
          <w:lang w:eastAsia="en-GB"/>
        </w:rPr>
        <w:t>60.3</w:t>
      </w:r>
      <w:r w:rsidRPr="003250C8" w:rsidR="003250C8">
        <w:rPr>
          <w:lang w:eastAsia="en-GB"/>
        </w:rPr>
        <w:t>Bn</w:t>
      </w:r>
      <w:r w:rsidRPr="003250C8" w:rsidR="007E69D5">
        <w:rPr>
          <w:lang w:eastAsia="en-GB"/>
        </w:rPr>
        <w:t xml:space="preserve"> (including net budget cover transfers to </w:t>
      </w:r>
      <w:r w:rsidRPr="003250C8" w:rsidR="00D34889">
        <w:rPr>
          <w:lang w:eastAsia="en-GB"/>
        </w:rPr>
        <w:t>Other Government Departments (OGDs)</w:t>
      </w:r>
      <w:r w:rsidRPr="003250C8" w:rsidR="008A1CD6">
        <w:rPr>
          <w:lang w:eastAsia="en-GB"/>
        </w:rPr>
        <w:t xml:space="preserve"> in 20</w:t>
      </w:r>
      <w:r w:rsidRPr="003250C8" w:rsidR="008D0EFD">
        <w:rPr>
          <w:lang w:eastAsia="en-GB"/>
        </w:rPr>
        <w:t>2</w:t>
      </w:r>
      <w:r w:rsidRPr="003250C8" w:rsidR="003250C8">
        <w:rPr>
          <w:lang w:eastAsia="en-GB"/>
        </w:rPr>
        <w:t>4</w:t>
      </w:r>
      <w:r w:rsidRPr="003250C8" w:rsidR="00704A68">
        <w:rPr>
          <w:lang w:eastAsia="en-GB"/>
        </w:rPr>
        <w:t>-2</w:t>
      </w:r>
      <w:r w:rsidRPr="003250C8" w:rsidR="003250C8">
        <w:rPr>
          <w:lang w:eastAsia="en-GB"/>
        </w:rPr>
        <w:t>5</w:t>
      </w:r>
      <w:r w:rsidRPr="003250C8" w:rsidR="008A1CD6">
        <w:rPr>
          <w:lang w:eastAsia="en-GB"/>
        </w:rPr>
        <w:t xml:space="preserve"> but excluding ring fenced</w:t>
      </w:r>
      <w:r w:rsidRPr="003250C8" w:rsidR="00B35CBE">
        <w:rPr>
          <w:lang w:eastAsia="en-GB"/>
        </w:rPr>
        <w:t xml:space="preserve"> (depreciation and impairments)</w:t>
      </w:r>
      <w:r w:rsidRPr="003250C8" w:rsidR="008A1CD6">
        <w:rPr>
          <w:lang w:eastAsia="en-GB"/>
        </w:rPr>
        <w:t xml:space="preserve"> expenditure</w:t>
      </w:r>
      <w:r w:rsidRPr="003250C8" w:rsidR="006459AF">
        <w:rPr>
          <w:lang w:eastAsia="en-GB"/>
        </w:rPr>
        <w:t xml:space="preserve">). </w:t>
      </w:r>
      <w:r w:rsidRPr="003250C8" w:rsidR="00DA4A3B">
        <w:rPr>
          <w:lang w:eastAsia="en-GB"/>
        </w:rPr>
        <w:t xml:space="preserve">This figure is also inclusive of </w:t>
      </w:r>
      <w:r w:rsidRPr="003250C8" w:rsidR="006459AF">
        <w:rPr>
          <w:lang w:eastAsia="en-GB"/>
        </w:rPr>
        <w:t xml:space="preserve">funding </w:t>
      </w:r>
      <w:r w:rsidRPr="003250C8" w:rsidR="00A108A4">
        <w:rPr>
          <w:lang w:eastAsia="en-GB"/>
        </w:rPr>
        <w:t xml:space="preserve">provided </w:t>
      </w:r>
      <w:r w:rsidRPr="003250C8" w:rsidR="00F519FC">
        <w:rPr>
          <w:lang w:eastAsia="en-GB"/>
        </w:rPr>
        <w:t xml:space="preserve">by </w:t>
      </w:r>
      <w:r w:rsidRPr="003250C8" w:rsidR="00A108A4">
        <w:rPr>
          <w:lang w:eastAsia="en-GB"/>
        </w:rPr>
        <w:t>HM</w:t>
      </w:r>
      <w:r w:rsidRPr="003250C8" w:rsidR="00830724">
        <w:rPr>
          <w:lang w:eastAsia="en-GB"/>
        </w:rPr>
        <w:t xml:space="preserve"> </w:t>
      </w:r>
      <w:r w:rsidRPr="003250C8" w:rsidR="00A108A4">
        <w:rPr>
          <w:lang w:eastAsia="en-GB"/>
        </w:rPr>
        <w:t>T</w:t>
      </w:r>
      <w:r w:rsidRPr="003250C8" w:rsidR="00830724">
        <w:rPr>
          <w:lang w:eastAsia="en-GB"/>
        </w:rPr>
        <w:t>reasury</w:t>
      </w:r>
      <w:r w:rsidRPr="003250C8" w:rsidR="00950D5C">
        <w:rPr>
          <w:lang w:eastAsia="en-GB"/>
        </w:rPr>
        <w:t>’s</w:t>
      </w:r>
      <w:r w:rsidRPr="003250C8" w:rsidR="00830724">
        <w:rPr>
          <w:lang w:eastAsia="en-GB"/>
        </w:rPr>
        <w:t xml:space="preserve"> (HMT) Reserve for the net additional costs </w:t>
      </w:r>
      <w:r w:rsidRPr="003250C8" w:rsidR="008E36BB">
        <w:rPr>
          <w:lang w:eastAsia="en-GB"/>
        </w:rPr>
        <w:t xml:space="preserve">of Military </w:t>
      </w:r>
      <w:r w:rsidRPr="003250C8" w:rsidR="00892CE3">
        <w:rPr>
          <w:lang w:eastAsia="en-GB"/>
        </w:rPr>
        <w:t>Operations and Peacekeeping.</w:t>
      </w:r>
    </w:p>
    <w:p w:rsidR="00DE1F34" w:rsidP="00FC4D6A">
      <w:pPr>
        <w:spacing w:before="100" w:beforeAutospacing="1" w:after="100" w:afterAutospacing="1" w:line="240" w:lineRule="auto"/>
        <w:rPr>
          <w:lang w:eastAsia="en-GB"/>
        </w:rPr>
      </w:pPr>
      <w:r w:rsidRPr="003250C8">
        <w:rPr>
          <w:lang w:eastAsia="en-GB"/>
        </w:rPr>
        <w:t xml:space="preserve">There </w:t>
      </w:r>
      <w:r w:rsidRPr="003250C8" w:rsidR="00860D3A">
        <w:rPr>
          <w:lang w:eastAsia="en-GB"/>
        </w:rPr>
        <w:t>are</w:t>
      </w:r>
      <w:r w:rsidRPr="003250C8">
        <w:rPr>
          <w:lang w:eastAsia="en-GB"/>
        </w:rPr>
        <w:t xml:space="preserve"> no contingencies funded </w:t>
      </w:r>
      <w:r w:rsidRPr="003250C8" w:rsidR="004F59E2">
        <w:rPr>
          <w:lang w:eastAsia="en-GB"/>
        </w:rPr>
        <w:t xml:space="preserve">in this Estimate and contingent liabilities are reported in a </w:t>
      </w:r>
      <w:r w:rsidRPr="003250C8" w:rsidR="004060E1">
        <w:rPr>
          <w:lang w:eastAsia="en-GB"/>
        </w:rPr>
        <w:t>separate table in the</w:t>
      </w:r>
      <w:r w:rsidRPr="003250C8" w:rsidR="00B35CBE">
        <w:rPr>
          <w:lang w:eastAsia="en-GB"/>
        </w:rPr>
        <w:t xml:space="preserve"> </w:t>
      </w:r>
      <w:r w:rsidRPr="003250C8" w:rsidR="0028699A">
        <w:rPr>
          <w:lang w:eastAsia="en-GB"/>
        </w:rPr>
        <w:t>Supplem</w:t>
      </w:r>
      <w:r w:rsidRPr="003250C8" w:rsidR="00E8742A">
        <w:rPr>
          <w:lang w:eastAsia="en-GB"/>
        </w:rPr>
        <w:t>entary</w:t>
      </w:r>
      <w:r w:rsidRPr="003250C8" w:rsidR="00B35CBE">
        <w:rPr>
          <w:lang w:eastAsia="en-GB"/>
        </w:rPr>
        <w:t xml:space="preserve"> Supply</w:t>
      </w:r>
      <w:r w:rsidRPr="003250C8" w:rsidR="004060E1">
        <w:rPr>
          <w:lang w:eastAsia="en-GB"/>
        </w:rPr>
        <w:t xml:space="preserve"> Estimate</w:t>
      </w:r>
      <w:r w:rsidRPr="003250C8" w:rsidR="00363214">
        <w:rPr>
          <w:lang w:eastAsia="en-GB"/>
        </w:rPr>
        <w:t>.</w:t>
      </w:r>
    </w:p>
    <w:p w:rsidR="00DE1F34" w:rsidP="00FC4D6A">
      <w:pPr>
        <w:spacing w:before="100" w:beforeAutospacing="1" w:after="100" w:afterAutospacing="1" w:line="240" w:lineRule="auto"/>
        <w:rPr>
          <w:lang w:eastAsia="en-GB"/>
        </w:rPr>
      </w:pPr>
      <w:r w:rsidRPr="00AB2DCF">
        <w:rPr>
          <w:lang w:eastAsia="en-GB"/>
        </w:rPr>
        <w:t>There is a separate Estimate</w:t>
      </w:r>
      <w:r w:rsidRPr="00AB2DCF" w:rsidR="00FC4D6A">
        <w:rPr>
          <w:lang w:eastAsia="en-GB"/>
        </w:rPr>
        <w:t xml:space="preserve"> Memorandum for the Armed Forces Pensions and Compensation Schemes vote.</w:t>
      </w:r>
    </w:p>
    <w:p w:rsidR="00FC4D6A" w:rsidRPr="00DE1F34" w:rsidP="00FC4D6A">
      <w:pPr>
        <w:spacing w:before="100" w:beforeAutospacing="1" w:after="100" w:afterAutospacing="1" w:line="240" w:lineRule="auto"/>
        <w:rPr>
          <w:lang w:eastAsia="en-GB"/>
        </w:rPr>
      </w:pPr>
      <w:r w:rsidRPr="00763070">
        <w:rPr>
          <w:lang w:eastAsia="en-GB"/>
        </w:rPr>
        <w:t>Section 4 contains</w:t>
      </w:r>
      <w:r w:rsidRPr="00252BDD">
        <w:rPr>
          <w:lang w:eastAsia="en-GB"/>
        </w:rPr>
        <w:t xml:space="preserve"> explanations for each new request for resources.</w:t>
      </w:r>
    </w:p>
    <w:p w:rsidR="5FA12D43" w:rsidRPr="00252BDD" w:rsidP="007D59CA">
      <w:pPr>
        <w:spacing w:before="100" w:beforeAutospacing="1" w:after="100" w:afterAutospacing="1" w:line="240" w:lineRule="auto"/>
        <w:rPr>
          <w:lang w:eastAsia="en-GB"/>
        </w:rPr>
      </w:pPr>
      <w:r w:rsidRPr="00252BDD">
        <w:rPr>
          <w:lang w:eastAsia="en-GB"/>
        </w:rPr>
        <w:t>Please note, the figures in the tables within this memorandum have been rounded to one decimal place. In some cases, this has caused a minor discrepancy between the figures in the tables and the totals shown</w:t>
      </w:r>
      <w:r w:rsidRPr="00252BDD" w:rsidR="00FB6E66">
        <w:rPr>
          <w:lang w:eastAsia="en-GB"/>
        </w:rPr>
        <w:t xml:space="preserve"> due </w:t>
      </w:r>
      <w:r w:rsidRPr="00252BDD" w:rsidR="00B011F8">
        <w:rPr>
          <w:lang w:eastAsia="en-GB"/>
        </w:rPr>
        <w:t>to the rounding of the figures</w:t>
      </w:r>
      <w:r w:rsidRPr="00252BDD">
        <w:rPr>
          <w:lang w:eastAsia="en-GB"/>
        </w:rPr>
        <w:t>.</w:t>
      </w:r>
    </w:p>
    <w:p w:rsidR="003325FE" w:rsidRPr="00CF0D61" w:rsidP="00137ED6">
      <w:pPr>
        <w:pStyle w:val="Heading2"/>
        <w:rPr>
          <w:rFonts w:asciiTheme="minorHAnsi" w:hAnsiTheme="minorHAnsi"/>
          <w:color w:val="13284C"/>
        </w:rPr>
      </w:pPr>
      <w:r w:rsidRPr="00CF0D61">
        <w:rPr>
          <w:rFonts w:asciiTheme="minorHAnsi" w:hAnsiTheme="minorHAnsi"/>
          <w:color w:val="13284C"/>
        </w:rPr>
        <w:t>Objectives</w:t>
      </w:r>
    </w:p>
    <w:p w:rsidR="00B66828" w:rsidRPr="00710C30" w:rsidP="00B66828">
      <w:r w:rsidRPr="00710C30">
        <w:t xml:space="preserve">The Ministry of Defence’s Priority Outcomes that guide Defence Planning, as set out in the 2023 Defence Command </w:t>
      </w:r>
      <w:r>
        <w:t>Paper</w:t>
      </w:r>
      <w:r>
        <w:rPr>
          <w:rStyle w:val="FootnoteReference"/>
        </w:rPr>
        <w:footnoteReference w:id="2"/>
      </w:r>
      <w:r w:rsidRPr="00710C30">
        <w:t xml:space="preserve">, are: </w:t>
      </w:r>
    </w:p>
    <w:p w:rsidR="00B66828" w:rsidRPr="00710C30" w:rsidP="009D299C">
      <w:pPr>
        <w:pStyle w:val="ListParagraph"/>
        <w:numPr>
          <w:ilvl w:val="0"/>
          <w:numId w:val="8"/>
        </w:numPr>
        <w:spacing w:before="100" w:beforeAutospacing="1" w:after="100" w:afterAutospacing="1" w:line="240" w:lineRule="auto"/>
        <w:rPr>
          <w:rFonts w:ascii="Calibri" w:hAnsi="Calibri" w:cs="Calibri"/>
        </w:rPr>
      </w:pPr>
      <w:r w:rsidRPr="00710C30">
        <w:rPr>
          <w:rFonts w:ascii="Calibri" w:hAnsi="Calibri" w:cs="Calibri"/>
        </w:rPr>
        <w:t>Protect the UK, its Crown Dependencies, and its Overseas Territories, and contribute to the collective deterrence and defence of the Euro-Atlantic area: able to deter and, if necessary, defend against and defeat, attacks on the UK homeland (including our Overseas Territories) and our NATO Allies.</w:t>
      </w:r>
    </w:p>
    <w:p w:rsidR="00B66828" w:rsidRPr="00710C30" w:rsidP="009D299C">
      <w:pPr>
        <w:pStyle w:val="ListParagraph"/>
        <w:numPr>
          <w:ilvl w:val="0"/>
          <w:numId w:val="8"/>
        </w:numPr>
        <w:spacing w:before="100" w:beforeAutospacing="1" w:after="100" w:afterAutospacing="1" w:line="240" w:lineRule="auto"/>
        <w:rPr>
          <w:rFonts w:ascii="Calibri" w:hAnsi="Calibri" w:cs="Calibri"/>
        </w:rPr>
      </w:pPr>
      <w:r w:rsidRPr="00710C30">
        <w:rPr>
          <w:rFonts w:ascii="Calibri" w:hAnsi="Calibri" w:cs="Calibri"/>
        </w:rPr>
        <w:t>Pursue a campaigning approach to counter the threats from state and non-state actors, wherever they manifest in the world, working in an integrated way with allies and partners to achieve focused and impactful results.</w:t>
      </w:r>
    </w:p>
    <w:p w:rsidR="00B66828" w:rsidRPr="00710C30" w:rsidP="009D299C">
      <w:pPr>
        <w:pStyle w:val="ListParagraph"/>
        <w:numPr>
          <w:ilvl w:val="0"/>
          <w:numId w:val="8"/>
        </w:numPr>
        <w:spacing w:before="100" w:beforeAutospacing="1" w:after="100" w:afterAutospacing="1" w:line="240" w:lineRule="auto"/>
        <w:rPr>
          <w:rFonts w:ascii="Calibri" w:hAnsi="Calibri" w:cs="Calibri"/>
        </w:rPr>
      </w:pPr>
      <w:r w:rsidRPr="00710C30">
        <w:rPr>
          <w:rFonts w:ascii="Calibri" w:hAnsi="Calibri" w:cs="Calibri"/>
        </w:rPr>
        <w:t>Promote our national interests globally, building influential relationships, and maintaining engagement and access.</w:t>
      </w:r>
    </w:p>
    <w:p w:rsidR="00B66828" w:rsidRPr="00710C30" w:rsidP="009D299C">
      <w:pPr>
        <w:pStyle w:val="ListParagraph"/>
        <w:numPr>
          <w:ilvl w:val="0"/>
          <w:numId w:val="8"/>
        </w:numPr>
        <w:spacing w:before="100" w:beforeAutospacing="1" w:after="100" w:afterAutospacing="1" w:line="240" w:lineRule="auto"/>
        <w:rPr>
          <w:rFonts w:ascii="Calibri" w:hAnsi="Calibri" w:cs="Calibri"/>
        </w:rPr>
      </w:pPr>
      <w:r w:rsidRPr="00710C30">
        <w:rPr>
          <w:rFonts w:ascii="Calibri" w:hAnsi="Calibri" w:cs="Calibri"/>
        </w:rPr>
        <w:t>Secure strategic advantage, achieve greater economic and industrial resilience, and contribute to national prosperity.</w:t>
      </w:r>
    </w:p>
    <w:p w:rsidR="000A3EAC" w:rsidRPr="002020C7" w:rsidP="000A3EAC">
      <w:pPr>
        <w:rPr>
          <w:highlight w:val="yellow"/>
        </w:rPr>
      </w:pPr>
    </w:p>
    <w:p w:rsidR="000E0F4E" w:rsidRPr="00CF0D61" w:rsidP="00C33F82">
      <w:pPr>
        <w:pStyle w:val="Heading2"/>
        <w:rPr>
          <w:rFonts w:asciiTheme="minorHAnsi" w:hAnsiTheme="minorHAnsi"/>
          <w:color w:val="13284C"/>
        </w:rPr>
      </w:pPr>
      <w:r w:rsidRPr="00CF0D61">
        <w:rPr>
          <w:rFonts w:asciiTheme="minorHAnsi" w:hAnsiTheme="minorHAnsi"/>
          <w:color w:val="13284C"/>
        </w:rPr>
        <w:t>Spending controls</w:t>
      </w:r>
    </w:p>
    <w:p w:rsidR="00F94CBD" w:rsidRPr="00763070" w:rsidP="00F94CBD">
      <w:pPr>
        <w:rPr>
          <w:i/>
        </w:rPr>
      </w:pPr>
      <w:r w:rsidRPr="00763070">
        <w:t>MOD</w:t>
      </w:r>
      <w:r w:rsidRPr="00763070">
        <w:t>’s spending is broken down into a several different spending totals, for which Parliament’s approval is sought.</w:t>
      </w:r>
      <w:r w:rsidRPr="00763070">
        <w:rPr>
          <w:i/>
        </w:rPr>
        <w:t xml:space="preserve"> </w:t>
      </w:r>
    </w:p>
    <w:p w:rsidR="00F94CBD" w:rsidRPr="00763070" w:rsidP="00F94CBD">
      <w:r w:rsidRPr="00763070">
        <w:t>The spending totals</w:t>
      </w:r>
      <w:r w:rsidRPr="00763070" w:rsidR="00C62F8C">
        <w:t xml:space="preserve"> on</w:t>
      </w:r>
      <w:r w:rsidRPr="00763070">
        <w:t xml:space="preserve"> which Parliament votes are:</w:t>
      </w:r>
    </w:p>
    <w:p w:rsidR="007B4F10" w:rsidRPr="00763070" w:rsidP="009D299C">
      <w:pPr>
        <w:pStyle w:val="ListParagraph"/>
        <w:numPr>
          <w:ilvl w:val="0"/>
          <w:numId w:val="2"/>
        </w:numPr>
      </w:pPr>
      <w:r w:rsidRPr="00763070">
        <w:t>Resource Departmental Expenditure Limit (“</w:t>
      </w:r>
      <w:r w:rsidRPr="00763070">
        <w:rPr>
          <w:b/>
        </w:rPr>
        <w:t>Resource DEL</w:t>
      </w:r>
      <w:r w:rsidRPr="00763070">
        <w:t xml:space="preserve">”)- day to day running </w:t>
      </w:r>
      <w:r w:rsidRPr="00763070" w:rsidR="000D54C0">
        <w:t>costs.</w:t>
      </w:r>
    </w:p>
    <w:p w:rsidR="007B4F10" w:rsidRPr="00763070" w:rsidP="009D299C">
      <w:pPr>
        <w:pStyle w:val="ListParagraph"/>
        <w:numPr>
          <w:ilvl w:val="0"/>
          <w:numId w:val="2"/>
        </w:numPr>
      </w:pPr>
      <w:r w:rsidRPr="00763070">
        <w:t>Capital Departmental Expenditure Limit (“</w:t>
      </w:r>
      <w:r w:rsidRPr="00763070">
        <w:rPr>
          <w:b/>
        </w:rPr>
        <w:t>Capital DEL</w:t>
      </w:r>
      <w:r w:rsidRPr="00763070">
        <w:t>”): - investment in</w:t>
      </w:r>
      <w:r w:rsidRPr="00763070" w:rsidR="007C0BEC">
        <w:t xml:space="preserve"> new equipment and</w:t>
      </w:r>
      <w:r w:rsidRPr="00763070">
        <w:t xml:space="preserve"> </w:t>
      </w:r>
      <w:r w:rsidRPr="00763070" w:rsidR="000D54C0">
        <w:t>infrastructure.</w:t>
      </w:r>
      <w:r w:rsidRPr="00763070">
        <w:t xml:space="preserve"> </w:t>
      </w:r>
    </w:p>
    <w:p w:rsidR="007B4F10" w:rsidRPr="00763070" w:rsidP="009D299C">
      <w:pPr>
        <w:pStyle w:val="ListParagraph"/>
        <w:numPr>
          <w:ilvl w:val="0"/>
          <w:numId w:val="2"/>
        </w:numPr>
      </w:pPr>
      <w:r w:rsidRPr="00763070">
        <w:t>Resource Annually Managed Expenditure (“</w:t>
      </w:r>
      <w:r w:rsidRPr="00763070">
        <w:rPr>
          <w:b/>
        </w:rPr>
        <w:t>Resource AME</w:t>
      </w:r>
      <w:r w:rsidRPr="00763070">
        <w:t>”</w:t>
      </w:r>
      <w:r w:rsidRPr="00763070" w:rsidR="00503B4B">
        <w:t>):</w:t>
      </w:r>
      <w:r w:rsidRPr="00763070">
        <w:t xml:space="preserve"> </w:t>
      </w:r>
      <w:r w:rsidRPr="00763070" w:rsidR="00503B4B">
        <w:t xml:space="preserve">less predictable day to day spending: </w:t>
      </w:r>
      <w:r w:rsidRPr="00763070">
        <w:t xml:space="preserve">in </w:t>
      </w:r>
      <w:r w:rsidRPr="00763070" w:rsidR="00BD0E16">
        <w:t>MOD</w:t>
      </w:r>
      <w:r w:rsidRPr="00763070">
        <w:t xml:space="preserve">’s case, mainly </w:t>
      </w:r>
      <w:r w:rsidRPr="00763070" w:rsidR="00BD0E16">
        <w:t xml:space="preserve">provisions, depreciation and impairment and movements in financial </w:t>
      </w:r>
      <w:r w:rsidRPr="00763070" w:rsidR="000D54C0">
        <w:t>instruments.</w:t>
      </w:r>
    </w:p>
    <w:p w:rsidR="00B40678" w:rsidRPr="00763070" w:rsidP="009D299C">
      <w:pPr>
        <w:pStyle w:val="ListParagraph"/>
        <w:numPr>
          <w:ilvl w:val="0"/>
          <w:numId w:val="2"/>
        </w:numPr>
      </w:pPr>
      <w:r w:rsidRPr="00763070">
        <w:t>Capital Annually Managed Expenditure (“</w:t>
      </w:r>
      <w:r w:rsidRPr="00763070">
        <w:rPr>
          <w:b/>
        </w:rPr>
        <w:t>Capital AME</w:t>
      </w:r>
      <w:r w:rsidRPr="00763070">
        <w:t>”):</w:t>
      </w:r>
      <w:r w:rsidRPr="00763070" w:rsidR="0002776E">
        <w:t xml:space="preserve"> </w:t>
      </w:r>
      <w:r w:rsidRPr="00763070" w:rsidR="00BD0E16">
        <w:t>in MOD</w:t>
      </w:r>
      <w:r w:rsidRPr="00763070">
        <w:t xml:space="preserve">’s case </w:t>
      </w:r>
      <w:r w:rsidRPr="00763070" w:rsidR="00BD0E16">
        <w:t xml:space="preserve">nuclear </w:t>
      </w:r>
      <w:r w:rsidRPr="00763070">
        <w:t>p</w:t>
      </w:r>
      <w:r w:rsidRPr="00763070" w:rsidR="00BD0E16">
        <w:t>rovisions.</w:t>
      </w:r>
    </w:p>
    <w:p w:rsidR="001C24B7" w:rsidRPr="003001CF" w:rsidP="00B40678">
      <w:r w:rsidRPr="00763070">
        <w:t xml:space="preserve">In addition, Parliament votes a </w:t>
      </w:r>
      <w:r w:rsidRPr="00763070">
        <w:rPr>
          <w:b/>
        </w:rPr>
        <w:t>net cash requirement</w:t>
      </w:r>
      <w:r w:rsidRPr="00763070">
        <w:t xml:space="preserve">, designed to cover the elements of the above budgets which require </w:t>
      </w:r>
      <w:r w:rsidRPr="00763070" w:rsidR="00BD0E16">
        <w:t>MOD</w:t>
      </w:r>
      <w:r w:rsidRPr="00763070">
        <w:t xml:space="preserve"> to pay out cash in year</w:t>
      </w:r>
      <w:r w:rsidRPr="00763070" w:rsidR="00BD0E16">
        <w:t>.</w:t>
      </w:r>
    </w:p>
    <w:p w:rsidR="000E0F4E" w:rsidRPr="00CF0D61" w:rsidP="001C24B7">
      <w:pPr>
        <w:pStyle w:val="Heading2"/>
        <w:rPr>
          <w:rFonts w:asciiTheme="minorHAnsi" w:hAnsiTheme="minorHAnsi"/>
          <w:color w:val="13284C"/>
        </w:rPr>
      </w:pPr>
      <w:r w:rsidRPr="00CF0D61">
        <w:rPr>
          <w:rFonts w:asciiTheme="minorHAnsi" w:hAnsiTheme="minorHAnsi"/>
          <w:color w:val="13284C"/>
        </w:rPr>
        <w:tab/>
      </w:r>
      <w:r w:rsidRPr="00CF0D61" w:rsidR="00F94CBD">
        <w:rPr>
          <w:rFonts w:asciiTheme="minorHAnsi" w:hAnsiTheme="minorHAnsi"/>
          <w:color w:val="13284C"/>
        </w:rPr>
        <w:t xml:space="preserve">Main </w:t>
      </w:r>
      <w:r w:rsidRPr="00CF0D61" w:rsidR="00BA4D39">
        <w:rPr>
          <w:rFonts w:asciiTheme="minorHAnsi" w:hAnsiTheme="minorHAnsi"/>
          <w:color w:val="13284C"/>
        </w:rPr>
        <w:t>areas of s</w:t>
      </w:r>
      <w:r w:rsidRPr="00CF0D61" w:rsidR="00F94CBD">
        <w:rPr>
          <w:rFonts w:asciiTheme="minorHAnsi" w:hAnsiTheme="minorHAnsi"/>
          <w:color w:val="13284C"/>
        </w:rPr>
        <w:t>pending</w:t>
      </w:r>
    </w:p>
    <w:p w:rsidR="007B4F10" w:rsidRPr="003001CF" w:rsidP="007B4F10">
      <w:r w:rsidRPr="003001CF">
        <w:t xml:space="preserve">The graphic below shows the main components of </w:t>
      </w:r>
      <w:r w:rsidRPr="003001CF" w:rsidR="006D6D92">
        <w:t>MOD</w:t>
      </w:r>
      <w:r w:rsidRPr="003001CF" w:rsidR="00B40678">
        <w:t>’s proposed budget</w:t>
      </w:r>
      <w:r w:rsidRPr="003001CF" w:rsidR="00503B4B">
        <w:t xml:space="preserve"> for the current year</w:t>
      </w:r>
      <w:r w:rsidRPr="003001CF" w:rsidR="00B40678">
        <w:t>,</w:t>
      </w:r>
      <w:r w:rsidRPr="003001CF" w:rsidR="00291FDA">
        <w:t xml:space="preserve"> </w:t>
      </w:r>
      <w:r w:rsidRPr="003001CF" w:rsidR="00AD4698">
        <w:t xml:space="preserve">after taking </w:t>
      </w:r>
      <w:r w:rsidRPr="003001CF" w:rsidR="00C62F8C">
        <w:t xml:space="preserve">into </w:t>
      </w:r>
      <w:r w:rsidRPr="003001CF" w:rsidR="00AD4698">
        <w:t>account the Supplementa</w:t>
      </w:r>
      <w:r w:rsidRPr="003001CF" w:rsidR="002202DF">
        <w:t>ry</w:t>
      </w:r>
      <w:r w:rsidRPr="003001CF" w:rsidR="003F01CC">
        <w:t xml:space="preserve"> </w:t>
      </w:r>
      <w:r w:rsidRPr="003001CF" w:rsidR="00B40678">
        <w:t>Estimate</w:t>
      </w:r>
      <w:r w:rsidRPr="003001CF" w:rsidR="00503B4B">
        <w:t>.</w:t>
      </w:r>
    </w:p>
    <w:p w:rsidR="00316094" w:rsidRPr="002020C7" w:rsidP="007B4F10">
      <w:pPr>
        <w:rPr>
          <w:highlight w:val="yellow"/>
        </w:rPr>
      </w:pPr>
      <w:r>
        <w:rPr>
          <w:noProof/>
        </w:rPr>
        <w:drawing>
          <wp:inline distT="0" distB="0" distL="0" distR="0">
            <wp:extent cx="5656580" cy="4248150"/>
            <wp:effectExtent l="0" t="0" r="1270" b="0"/>
            <wp:docPr id="1782522074" name="Chart 1"/>
            <wp:cNvGraphicFramePr>
              <a:graphicFrameLocks xmlns:a="http://schemas.openxmlformats.org/drawingml/2006/main" noChangeAspect="1" noGrp="1" noMove="1" noSelect="1"/>
            </wp:cNvGraphicFramePr>
            <a:graphic xmlns:a="http://schemas.openxmlformats.org/drawingml/2006/main">
              <a:graphicData uri="http://schemas.openxmlformats.org/drawingml/2006/picture">
                <pic:pic xmlns:pic="http://schemas.openxmlformats.org/drawingml/2006/picture">
                  <pic:nvPicPr>
                    <pic:cNvPr id="1782522074" name="Chart 1">
                      <a:extLst>
                        <a:ext uri="{FF2B5EF4-FFF2-40B4-BE49-F238E27FC236}">
                          <a16:creationId xmlns:a16="http://schemas.microsoft.com/office/drawing/2014/main" id="{582FE305-16C1-0C4A-62A1-23A20062DBBF}"/>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2"/>
                    <a:stretch>
                      <a:fillRect/>
                    </a:stretch>
                  </pic:blipFill>
                  <pic:spPr>
                    <a:xfrm>
                      <a:off x="0" y="0"/>
                      <a:ext cx="5656580" cy="4248150"/>
                    </a:xfrm>
                    <a:prstGeom prst="rect">
                      <a:avLst/>
                    </a:prstGeom>
                  </pic:spPr>
                </pic:pic>
              </a:graphicData>
            </a:graphic>
          </wp:inline>
        </w:drawing>
      </w:r>
    </w:p>
    <w:p w:rsidR="004D4C3C" w:rsidRPr="00F57691" w:rsidP="007B4F10">
      <w:r w:rsidRPr="00F57691">
        <w:rPr>
          <w:i/>
          <w:sz w:val="20"/>
          <w:szCs w:val="20"/>
          <w:lang w:eastAsia="en-GB"/>
        </w:rPr>
        <w:t>*</w:t>
      </w:r>
      <w:r w:rsidRPr="00F57691" w:rsidR="00F9443C">
        <w:rPr>
          <w:i/>
          <w:sz w:val="20"/>
          <w:szCs w:val="20"/>
          <w:lang w:eastAsia="en-GB"/>
        </w:rPr>
        <w:t xml:space="preserve"> </w:t>
      </w:r>
      <w:r w:rsidRPr="00F57691" w:rsidR="00C7043E">
        <w:rPr>
          <w:sz w:val="16"/>
        </w:rPr>
        <w:t>Includes Other Costs and Services, Receipts and Other Income, Cash Release of Provisions</w:t>
      </w:r>
      <w:r w:rsidRPr="00F57691" w:rsidR="00B211F6">
        <w:rPr>
          <w:sz w:val="16"/>
        </w:rPr>
        <w:t>,</w:t>
      </w:r>
      <w:r w:rsidRPr="00F57691" w:rsidR="00C7043E">
        <w:rPr>
          <w:sz w:val="16"/>
        </w:rPr>
        <w:t xml:space="preserve"> Research and Development Costs related to Provision of Defence Capability</w:t>
      </w:r>
      <w:r w:rsidRPr="00F57691" w:rsidR="00B211F6">
        <w:rPr>
          <w:sz w:val="16"/>
        </w:rPr>
        <w:t xml:space="preserve">, DE&amp;S (BTE) </w:t>
      </w:r>
      <w:r w:rsidRPr="00F57691" w:rsidR="007C22A0">
        <w:rPr>
          <w:sz w:val="16"/>
        </w:rPr>
        <w:t>Costs and War Pension Benefits Programme Costs</w:t>
      </w:r>
      <w:r w:rsidRPr="00F57691" w:rsidR="00F9443C">
        <w:rPr>
          <w:i/>
          <w:sz w:val="20"/>
          <w:szCs w:val="20"/>
          <w:lang w:eastAsia="en-GB"/>
        </w:rPr>
        <w:t>.</w:t>
      </w:r>
      <w:r w:rsidRPr="00F57691" w:rsidR="00F9443C">
        <w:t xml:space="preserve"> </w:t>
      </w:r>
    </w:p>
    <w:p w:rsidR="00FE5F7B" w:rsidRPr="002020C7" w:rsidP="007B4F10">
      <w:pPr>
        <w:rPr>
          <w:highlight w:val="yellow"/>
        </w:rPr>
      </w:pPr>
      <w:r>
        <w:rPr>
          <w:noProof/>
        </w:rPr>
        <w:drawing>
          <wp:inline distT="0" distB="0" distL="0" distR="0">
            <wp:extent cx="5656580" cy="3105150"/>
            <wp:effectExtent l="0" t="0" r="1270" b="0"/>
            <wp:docPr id="606836944" name="Chart 1"/>
            <wp:cNvGraphicFramePr>
              <a:graphicFrameLocks xmlns:a="http://schemas.openxmlformats.org/drawingml/2006/main" noChangeAspect="1" noGrp="1" noMove="1" noSelect="1"/>
            </wp:cNvGraphicFramePr>
            <a:graphic xmlns:a="http://schemas.openxmlformats.org/drawingml/2006/main">
              <a:graphicData uri="http://schemas.openxmlformats.org/drawingml/2006/picture">
                <pic:pic xmlns:pic="http://schemas.openxmlformats.org/drawingml/2006/picture">
                  <pic:nvPicPr>
                    <pic:cNvPr id="606836944" name="Chart 1">
                      <a:extLst>
                        <a:ext uri="{FF2B5EF4-FFF2-40B4-BE49-F238E27FC236}">
                          <a16:creationId xmlns:a16="http://schemas.microsoft.com/office/drawing/2014/main" id="{8CF64DD3-2924-7F5D-D97D-E101B514D2CF}"/>
                        </a:ext>
                      </a:extLst>
                    </pic:cNvPr>
                    <pic:cNvPicPr>
                      <a:picLocks noGrp="1" noRot="1" noChangeAspect="1" noMove="1" noResize="1" noEditPoints="1" noAdjustHandles="1" noChangeArrowheads="1" noChangeShapeType="1"/>
                    </pic:cNvPicPr>
                  </pic:nvPicPr>
                  <pic:blipFill>
                    <a:blip xmlns:r="http://schemas.openxmlformats.org/officeDocument/2006/relationships" r:embed="rId13"/>
                    <a:stretch>
                      <a:fillRect/>
                    </a:stretch>
                  </pic:blipFill>
                  <pic:spPr>
                    <a:xfrm>
                      <a:off x="0" y="0"/>
                      <a:ext cx="5656580" cy="3105150"/>
                    </a:xfrm>
                    <a:prstGeom prst="rect">
                      <a:avLst/>
                    </a:prstGeom>
                  </pic:spPr>
                </pic:pic>
              </a:graphicData>
            </a:graphic>
          </wp:inline>
        </w:drawing>
      </w:r>
    </w:p>
    <w:p w:rsidR="000E0F4E" w:rsidRPr="00CF0D61" w:rsidP="001C24B7">
      <w:pPr>
        <w:pStyle w:val="Heading2"/>
        <w:rPr>
          <w:rFonts w:asciiTheme="minorHAnsi" w:hAnsiTheme="minorHAnsi"/>
          <w:color w:val="13284C"/>
        </w:rPr>
      </w:pPr>
      <w:r w:rsidRPr="00CF0D61">
        <w:rPr>
          <w:rFonts w:asciiTheme="minorHAnsi" w:hAnsiTheme="minorHAnsi"/>
          <w:color w:val="13284C"/>
        </w:rPr>
        <w:t xml:space="preserve">Comparison of spending totals </w:t>
      </w:r>
      <w:r w:rsidRPr="00CF0D61" w:rsidR="000D54C0">
        <w:rPr>
          <w:rFonts w:asciiTheme="minorHAnsi" w:hAnsiTheme="minorHAnsi"/>
          <w:color w:val="13284C"/>
        </w:rPr>
        <w:t>sought</w:t>
      </w:r>
    </w:p>
    <w:p w:rsidR="00B46375" w:rsidP="00740C96">
      <w:pPr>
        <w:shd w:val="clear" w:color="auto" w:fill="FFFFFF"/>
        <w:spacing w:after="180" w:line="288" w:lineRule="auto"/>
        <w:rPr>
          <w:noProof/>
        </w:rPr>
      </w:pPr>
      <w:r w:rsidRPr="00151E43">
        <w:rPr>
          <w:noProof/>
        </w:rPr>
        <w:t xml:space="preserve">The table and graphic below show how the totals sought for the </w:t>
      </w:r>
      <w:r w:rsidRPr="00151E43" w:rsidR="007569FC">
        <w:rPr>
          <w:noProof/>
        </w:rPr>
        <w:t>MOD</w:t>
      </w:r>
      <w:r w:rsidRPr="00151E43">
        <w:rPr>
          <w:noProof/>
        </w:rPr>
        <w:t xml:space="preserve">  compare with</w:t>
      </w:r>
      <w:r w:rsidRPr="00151E43" w:rsidR="002B19BB">
        <w:rPr>
          <w:noProof/>
        </w:rPr>
        <w:t xml:space="preserve"> Main Estimate and</w:t>
      </w:r>
      <w:r w:rsidRPr="00151E43">
        <w:rPr>
          <w:noProof/>
        </w:rPr>
        <w:t xml:space="preserve"> last year</w:t>
      </w:r>
      <w:r w:rsidRPr="00151E43" w:rsidR="002B19BB">
        <w:rPr>
          <w:noProof/>
        </w:rPr>
        <w:t xml:space="preserve"> outturn</w:t>
      </w:r>
      <w:r w:rsidRPr="00151E43">
        <w:rPr>
          <w:noProof/>
        </w:rPr>
        <w:t>:</w:t>
      </w:r>
    </w:p>
    <w:tbl>
      <w:tblPr>
        <w:tblW w:w="9552" w:type="dxa"/>
        <w:tblLayout w:type="fixed"/>
        <w:tblLook w:val="04A0"/>
      </w:tblPr>
      <w:tblGrid>
        <w:gridCol w:w="1701"/>
        <w:gridCol w:w="993"/>
        <w:gridCol w:w="1134"/>
        <w:gridCol w:w="945"/>
        <w:gridCol w:w="1039"/>
        <w:gridCol w:w="992"/>
        <w:gridCol w:w="1087"/>
        <w:gridCol w:w="1040"/>
        <w:gridCol w:w="621"/>
      </w:tblGrid>
      <w:tr w:rsidTr="775DCBD4">
        <w:tblPrEx>
          <w:tblW w:w="9552" w:type="dxa"/>
          <w:tblLayout w:type="fixed"/>
          <w:tblLook w:val="04A0"/>
        </w:tblPrEx>
        <w:trPr>
          <w:trHeight w:val="101"/>
        </w:trPr>
        <w:tc>
          <w:tcPr>
            <w:tcW w:w="9552" w:type="dxa"/>
            <w:gridSpan w:val="9"/>
            <w:tcBorders>
              <w:top w:val="nil"/>
              <w:left w:val="nil"/>
              <w:bottom w:val="nil"/>
              <w:right w:val="nil"/>
            </w:tcBorders>
            <w:shd w:val="clear" w:color="auto" w:fill="auto"/>
            <w:vAlign w:val="bottom"/>
          </w:tcPr>
          <w:p w:rsidR="00EA6FA7" w:rsidRPr="00EA6FA7" w:rsidP="00EA6FA7">
            <w:pPr>
              <w:spacing w:after="0" w:line="240" w:lineRule="auto"/>
              <w:ind w:left="-108"/>
              <w:rPr>
                <w:rFonts w:eastAsia="Times New Roman" w:cstheme="minorHAnsi"/>
                <w:b/>
                <w:bCs/>
                <w:sz w:val="20"/>
                <w:szCs w:val="20"/>
                <w:highlight w:val="yellow"/>
                <w:lang w:eastAsia="en-GB"/>
              </w:rPr>
            </w:pPr>
            <w:r w:rsidRPr="00EA6FA7">
              <w:rPr>
                <w:rFonts w:eastAsia="Times New Roman" w:cstheme="minorHAnsi"/>
                <w:b/>
                <w:bCs/>
                <w:sz w:val="20"/>
                <w:szCs w:val="20"/>
                <w:lang w:eastAsia="en-GB"/>
              </w:rPr>
              <w:t>Table 1a: Main Estimate total sought for MOD compare with last year Note 1</w:t>
            </w:r>
          </w:p>
        </w:tc>
      </w:tr>
      <w:tr w:rsidTr="775DCBD4">
        <w:tblPrEx>
          <w:tblW w:w="9552" w:type="dxa"/>
          <w:tblLayout w:type="fixed"/>
          <w:tblLook w:val="04A0"/>
        </w:tblPrEx>
        <w:trPr>
          <w:gridAfter w:val="1"/>
          <w:wAfter w:w="621" w:type="dxa"/>
          <w:trHeight w:val="480"/>
        </w:trPr>
        <w:tc>
          <w:tcPr>
            <w:tcW w:w="2694" w:type="dxa"/>
            <w:gridSpan w:val="2"/>
            <w:tcBorders>
              <w:top w:val="single" w:sz="8" w:space="0" w:color="auto"/>
              <w:left w:val="single" w:sz="8" w:space="0" w:color="auto"/>
              <w:bottom w:val="nil"/>
              <w:right w:val="single" w:sz="8" w:space="0" w:color="000000" w:themeColor="text1"/>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 xml:space="preserve">Spending total - Supplementary Estimate                                                                                                  </w:t>
            </w:r>
            <w:r w:rsidRPr="00EA6FA7">
              <w:rPr>
                <w:rFonts w:ascii="Calibri" w:eastAsia="Times New Roman" w:hAnsi="Calibri" w:cs="Calibri"/>
                <w:b/>
                <w:bCs/>
                <w:color w:val="FFFFFF"/>
                <w:sz w:val="20"/>
                <w:szCs w:val="20"/>
                <w:lang w:eastAsia="en-GB"/>
              </w:rPr>
              <w:br/>
              <w:t>2024-25</w:t>
            </w:r>
          </w:p>
        </w:tc>
        <w:tc>
          <w:tcPr>
            <w:tcW w:w="1134" w:type="dxa"/>
            <w:tcBorders>
              <w:top w:val="single" w:sz="8" w:space="0" w:color="auto"/>
              <w:left w:val="nil"/>
              <w:bottom w:val="nil"/>
              <w:right w:val="nil"/>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2024-25</w:t>
            </w:r>
            <w:r w:rsidRPr="00EA6FA7">
              <w:rPr>
                <w:rFonts w:ascii="Calibri" w:eastAsia="Times New Roman" w:hAnsi="Calibri" w:cs="Calibri"/>
                <w:b/>
                <w:bCs/>
                <w:color w:val="FFFFFF"/>
                <w:sz w:val="20"/>
                <w:szCs w:val="20"/>
                <w:lang w:eastAsia="en-GB"/>
              </w:rPr>
              <w:br/>
              <w:t>ME</w:t>
            </w:r>
          </w:p>
        </w:tc>
        <w:tc>
          <w:tcPr>
            <w:tcW w:w="1984" w:type="dxa"/>
            <w:gridSpan w:val="2"/>
            <w:tcBorders>
              <w:top w:val="single" w:sz="8" w:space="0" w:color="auto"/>
              <w:left w:val="single" w:sz="8" w:space="0" w:color="auto"/>
              <w:bottom w:val="nil"/>
              <w:right w:val="single" w:sz="8" w:space="0" w:color="000000" w:themeColor="text1"/>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Compared to</w:t>
            </w:r>
            <w:r w:rsidRPr="00EA6FA7">
              <w:rPr>
                <w:rFonts w:ascii="Calibri" w:eastAsia="Times New Roman" w:hAnsi="Calibri" w:cs="Calibri"/>
                <w:b/>
                <w:bCs/>
                <w:color w:val="FFFFFF"/>
                <w:sz w:val="20"/>
                <w:szCs w:val="20"/>
                <w:lang w:eastAsia="en-GB"/>
              </w:rPr>
              <w:br/>
              <w:t>2024-25 ME</w:t>
            </w:r>
          </w:p>
        </w:tc>
        <w:tc>
          <w:tcPr>
            <w:tcW w:w="992" w:type="dxa"/>
            <w:tcBorders>
              <w:top w:val="single" w:sz="8" w:space="0" w:color="auto"/>
              <w:left w:val="nil"/>
              <w:bottom w:val="nil"/>
              <w:right w:val="single" w:sz="4" w:space="0" w:color="auto"/>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2023-24</w:t>
            </w:r>
            <w:r w:rsidRPr="00EA6FA7">
              <w:rPr>
                <w:rFonts w:ascii="Calibri" w:eastAsia="Times New Roman" w:hAnsi="Calibri" w:cs="Calibri"/>
                <w:b/>
                <w:bCs/>
                <w:color w:val="FFFFFF"/>
                <w:sz w:val="20"/>
                <w:szCs w:val="20"/>
                <w:lang w:eastAsia="en-GB"/>
              </w:rPr>
              <w:br/>
              <w:t>Outturn</w:t>
            </w:r>
          </w:p>
        </w:tc>
        <w:tc>
          <w:tcPr>
            <w:tcW w:w="2127" w:type="dxa"/>
            <w:gridSpan w:val="2"/>
            <w:tcBorders>
              <w:top w:val="single" w:sz="8" w:space="0" w:color="auto"/>
              <w:left w:val="nil"/>
              <w:bottom w:val="nil"/>
              <w:right w:val="single" w:sz="8" w:space="0" w:color="000000" w:themeColor="text1"/>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775DCBD4">
              <w:rPr>
                <w:rFonts w:ascii="Calibri" w:eastAsia="Times New Roman" w:hAnsi="Calibri" w:cs="Calibri"/>
                <w:b/>
                <w:bCs/>
                <w:color w:val="FFFFFF" w:themeColor="background1"/>
                <w:sz w:val="20"/>
                <w:szCs w:val="20"/>
                <w:lang w:eastAsia="en-GB"/>
              </w:rPr>
              <w:t>Compared to</w:t>
            </w:r>
            <w:r>
              <w:br/>
            </w:r>
            <w:r w:rsidRPr="775DCBD4">
              <w:rPr>
                <w:rFonts w:ascii="Calibri" w:eastAsia="Times New Roman" w:hAnsi="Calibri" w:cs="Calibri"/>
                <w:b/>
                <w:bCs/>
                <w:color w:val="FFFFFF" w:themeColor="background1"/>
                <w:sz w:val="20"/>
                <w:szCs w:val="20"/>
                <w:lang w:eastAsia="en-GB"/>
              </w:rPr>
              <w:t>202</w:t>
            </w:r>
            <w:r w:rsidR="009477CF">
              <w:rPr>
                <w:rFonts w:ascii="Calibri" w:eastAsia="Times New Roman" w:hAnsi="Calibri" w:cs="Calibri"/>
                <w:b/>
                <w:bCs/>
                <w:color w:val="FFFFFF" w:themeColor="background1"/>
                <w:sz w:val="20"/>
                <w:szCs w:val="20"/>
                <w:lang w:eastAsia="en-GB"/>
              </w:rPr>
              <w:t>3</w:t>
            </w:r>
            <w:r w:rsidRPr="775DCBD4">
              <w:rPr>
                <w:rFonts w:ascii="Calibri" w:eastAsia="Times New Roman" w:hAnsi="Calibri" w:cs="Calibri"/>
                <w:b/>
                <w:bCs/>
                <w:color w:val="FFFFFF" w:themeColor="background1"/>
                <w:sz w:val="20"/>
                <w:szCs w:val="20"/>
                <w:lang w:eastAsia="en-GB"/>
              </w:rPr>
              <w:t>-2</w:t>
            </w:r>
            <w:r w:rsidR="009477CF">
              <w:rPr>
                <w:rFonts w:ascii="Calibri" w:eastAsia="Times New Roman" w:hAnsi="Calibri" w:cs="Calibri"/>
                <w:b/>
                <w:bCs/>
                <w:color w:val="FFFFFF" w:themeColor="background1"/>
                <w:sz w:val="20"/>
                <w:szCs w:val="20"/>
                <w:lang w:eastAsia="en-GB"/>
              </w:rPr>
              <w:t>4</w:t>
            </w:r>
            <w:r w:rsidRPr="775DCBD4">
              <w:rPr>
                <w:rFonts w:ascii="Calibri" w:eastAsia="Times New Roman" w:hAnsi="Calibri" w:cs="Calibri"/>
                <w:b/>
                <w:bCs/>
                <w:color w:val="FFFFFF" w:themeColor="background1"/>
                <w:sz w:val="20"/>
                <w:szCs w:val="20"/>
                <w:lang w:eastAsia="en-GB"/>
              </w:rPr>
              <w:t xml:space="preserve"> Outturn</w:t>
            </w:r>
          </w:p>
        </w:tc>
      </w:tr>
      <w:tr w:rsidTr="775DCBD4">
        <w:tblPrEx>
          <w:tblW w:w="9552" w:type="dxa"/>
          <w:tblLayout w:type="fixed"/>
          <w:tblLook w:val="04A0"/>
        </w:tblPrEx>
        <w:trPr>
          <w:gridAfter w:val="1"/>
          <w:wAfter w:w="621" w:type="dxa"/>
          <w:trHeight w:val="315"/>
        </w:trPr>
        <w:tc>
          <w:tcPr>
            <w:tcW w:w="1701" w:type="dxa"/>
            <w:tcBorders>
              <w:top w:val="nil"/>
              <w:left w:val="single" w:sz="8" w:space="0" w:color="auto"/>
              <w:bottom w:val="single" w:sz="8" w:space="0" w:color="auto"/>
              <w:right w:val="nil"/>
            </w:tcBorders>
            <w:shd w:val="clear" w:color="auto" w:fill="532A45"/>
            <w:vAlign w:val="center"/>
            <w:hideMark/>
          </w:tcPr>
          <w:p w:rsidR="00EA6FA7" w:rsidRPr="00EA6FA7" w:rsidP="00EA6FA7">
            <w:pPr>
              <w:spacing w:after="0" w:line="240" w:lineRule="auto"/>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Budgetary Limit</w:t>
            </w:r>
          </w:p>
        </w:tc>
        <w:tc>
          <w:tcPr>
            <w:tcW w:w="993" w:type="dxa"/>
            <w:tcBorders>
              <w:top w:val="nil"/>
              <w:left w:val="nil"/>
              <w:bottom w:val="single" w:sz="8" w:space="0" w:color="auto"/>
              <w:right w:val="single" w:sz="8" w:space="0" w:color="auto"/>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£M</w:t>
            </w:r>
          </w:p>
        </w:tc>
        <w:tc>
          <w:tcPr>
            <w:tcW w:w="1134" w:type="dxa"/>
            <w:tcBorders>
              <w:top w:val="nil"/>
              <w:left w:val="nil"/>
              <w:bottom w:val="single" w:sz="8" w:space="0" w:color="auto"/>
              <w:right w:val="single" w:sz="8" w:space="0" w:color="auto"/>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£M</w:t>
            </w:r>
          </w:p>
        </w:tc>
        <w:tc>
          <w:tcPr>
            <w:tcW w:w="945" w:type="dxa"/>
            <w:tcBorders>
              <w:top w:val="nil"/>
              <w:left w:val="nil"/>
              <w:bottom w:val="single" w:sz="8" w:space="0" w:color="auto"/>
              <w:right w:val="nil"/>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£M</w:t>
            </w:r>
          </w:p>
        </w:tc>
        <w:tc>
          <w:tcPr>
            <w:tcW w:w="1039" w:type="dxa"/>
            <w:tcBorders>
              <w:top w:val="nil"/>
              <w:left w:val="nil"/>
              <w:bottom w:val="single" w:sz="8" w:space="0" w:color="auto"/>
              <w:right w:val="single" w:sz="8" w:space="0" w:color="auto"/>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w:t>
            </w:r>
          </w:p>
        </w:tc>
        <w:tc>
          <w:tcPr>
            <w:tcW w:w="992" w:type="dxa"/>
            <w:tcBorders>
              <w:top w:val="nil"/>
              <w:left w:val="nil"/>
              <w:bottom w:val="single" w:sz="8" w:space="0" w:color="auto"/>
              <w:right w:val="single" w:sz="4" w:space="0" w:color="auto"/>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£M</w:t>
            </w:r>
          </w:p>
        </w:tc>
        <w:tc>
          <w:tcPr>
            <w:tcW w:w="1087" w:type="dxa"/>
            <w:tcBorders>
              <w:top w:val="nil"/>
              <w:left w:val="nil"/>
              <w:bottom w:val="single" w:sz="8" w:space="0" w:color="auto"/>
              <w:right w:val="nil"/>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£M</w:t>
            </w:r>
          </w:p>
        </w:tc>
        <w:tc>
          <w:tcPr>
            <w:tcW w:w="1040" w:type="dxa"/>
            <w:tcBorders>
              <w:top w:val="nil"/>
              <w:left w:val="nil"/>
              <w:bottom w:val="single" w:sz="8" w:space="0" w:color="auto"/>
              <w:right w:val="single" w:sz="8" w:space="0" w:color="auto"/>
            </w:tcBorders>
            <w:shd w:val="clear" w:color="auto" w:fill="532A45"/>
            <w:vAlign w:val="center"/>
            <w:hideMark/>
          </w:tcPr>
          <w:p w:rsidR="00EA6FA7" w:rsidRPr="00EA6FA7" w:rsidP="00EA6FA7">
            <w:pPr>
              <w:spacing w:after="0" w:line="240" w:lineRule="auto"/>
              <w:jc w:val="center"/>
              <w:rPr>
                <w:rFonts w:ascii="Calibri" w:eastAsia="Times New Roman" w:hAnsi="Calibri" w:cs="Calibri"/>
                <w:b/>
                <w:bCs/>
                <w:color w:val="FFFFFF"/>
                <w:sz w:val="20"/>
                <w:szCs w:val="20"/>
                <w:lang w:eastAsia="en-GB"/>
              </w:rPr>
            </w:pPr>
            <w:r w:rsidRPr="00EA6FA7">
              <w:rPr>
                <w:rFonts w:ascii="Calibri" w:eastAsia="Times New Roman" w:hAnsi="Calibri" w:cs="Calibri"/>
                <w:b/>
                <w:bCs/>
                <w:color w:val="FFFFFF"/>
                <w:sz w:val="20"/>
                <w:szCs w:val="20"/>
                <w:lang w:eastAsia="en-GB"/>
              </w:rPr>
              <w:t>%</w:t>
            </w:r>
          </w:p>
        </w:tc>
      </w:tr>
      <w:tr w:rsidTr="775DCBD4">
        <w:tblPrEx>
          <w:tblW w:w="9552" w:type="dxa"/>
          <w:tblLayout w:type="fixed"/>
          <w:tblLook w:val="04A0"/>
        </w:tblPrEx>
        <w:trPr>
          <w:gridAfter w:val="1"/>
          <w:wAfter w:w="621" w:type="dxa"/>
          <w:trHeight w:val="300"/>
        </w:trPr>
        <w:tc>
          <w:tcPr>
            <w:tcW w:w="1701" w:type="dxa"/>
            <w:tcBorders>
              <w:top w:val="nil"/>
              <w:left w:val="single" w:sz="8" w:space="0" w:color="auto"/>
              <w:bottom w:val="single" w:sz="4" w:space="0" w:color="auto"/>
              <w:right w:val="single" w:sz="4" w:space="0" w:color="auto"/>
            </w:tcBorders>
            <w:shd w:val="clear" w:color="auto" w:fill="auto"/>
            <w:vAlign w:val="bottom"/>
            <w:hideMark/>
          </w:tcPr>
          <w:p w:rsidR="00E3573E" w:rsidRPr="00EA6FA7" w:rsidP="00E3573E">
            <w:pPr>
              <w:spacing w:after="0" w:line="240" w:lineRule="auto"/>
              <w:rPr>
                <w:rFonts w:ascii="Calibri" w:eastAsia="Times New Roman" w:hAnsi="Calibri" w:cs="Calibri"/>
                <w:sz w:val="20"/>
                <w:szCs w:val="20"/>
                <w:lang w:eastAsia="en-GB"/>
              </w:rPr>
            </w:pPr>
            <w:r w:rsidRPr="00EA6FA7">
              <w:rPr>
                <w:rFonts w:ascii="Calibri" w:eastAsia="Times New Roman" w:hAnsi="Calibri" w:cs="Calibri"/>
                <w:sz w:val="20"/>
                <w:szCs w:val="20"/>
                <w:lang w:eastAsia="en-GB"/>
              </w:rPr>
              <w:t>Resource DEL</w:t>
            </w:r>
          </w:p>
        </w:tc>
        <w:tc>
          <w:tcPr>
            <w:tcW w:w="993" w:type="dxa"/>
            <w:tcBorders>
              <w:top w:val="nil"/>
              <w:left w:val="single" w:sz="8" w:space="0" w:color="auto"/>
              <w:bottom w:val="single" w:sz="4" w:space="0" w:color="auto"/>
              <w:right w:val="single" w:sz="8" w:space="0" w:color="auto"/>
            </w:tcBorders>
            <w:shd w:val="clear" w:color="auto" w:fill="FFFFFF" w:themeFill="background1"/>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46,394 </w:t>
            </w:r>
          </w:p>
        </w:tc>
        <w:tc>
          <w:tcPr>
            <w:tcW w:w="1134" w:type="dxa"/>
            <w:tcBorders>
              <w:top w:val="nil"/>
              <w:left w:val="nil"/>
              <w:bottom w:val="single" w:sz="4" w:space="0" w:color="auto"/>
              <w:right w:val="nil"/>
            </w:tcBorders>
            <w:shd w:val="clear" w:color="auto" w:fill="auto"/>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43,410 </w:t>
            </w:r>
          </w:p>
        </w:tc>
        <w:tc>
          <w:tcPr>
            <w:tcW w:w="945" w:type="dxa"/>
            <w:tcBorders>
              <w:top w:val="nil"/>
              <w:left w:val="single" w:sz="8" w:space="0" w:color="auto"/>
              <w:bottom w:val="single" w:sz="4" w:space="0" w:color="auto"/>
              <w:right w:val="single" w:sz="4" w:space="0" w:color="auto"/>
            </w:tcBorders>
            <w:shd w:val="clear" w:color="auto" w:fill="auto"/>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2,984 </w:t>
            </w:r>
          </w:p>
        </w:tc>
        <w:tc>
          <w:tcPr>
            <w:tcW w:w="1039" w:type="dxa"/>
            <w:tcBorders>
              <w:top w:val="nil"/>
              <w:left w:val="nil"/>
              <w:bottom w:val="single" w:sz="4" w:space="0" w:color="auto"/>
              <w:right w:val="single" w:sz="8" w:space="0" w:color="auto"/>
            </w:tcBorders>
            <w:shd w:val="clear" w:color="auto" w:fill="auto"/>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6.9%</w:t>
            </w:r>
          </w:p>
        </w:tc>
        <w:tc>
          <w:tcPr>
            <w:tcW w:w="992" w:type="dxa"/>
            <w:tcBorders>
              <w:top w:val="nil"/>
              <w:left w:val="nil"/>
              <w:bottom w:val="single" w:sz="4" w:space="0" w:color="auto"/>
              <w:right w:val="single" w:sz="4" w:space="0" w:color="auto"/>
            </w:tcBorders>
            <w:shd w:val="clear" w:color="auto" w:fill="auto"/>
            <w:vAlign w:val="bottom"/>
            <w:hideMark/>
          </w:tcPr>
          <w:p w:rsidR="00E3573E" w:rsidRPr="00E3573E" w:rsidP="00E3573E">
            <w:pPr>
              <w:spacing w:after="0" w:line="240" w:lineRule="auto"/>
              <w:jc w:val="center"/>
              <w:rPr>
                <w:rFonts w:ascii="Calibri" w:eastAsia="Times New Roman" w:hAnsi="Calibri" w:cs="Calibri"/>
                <w:sz w:val="20"/>
                <w:szCs w:val="20"/>
                <w:lang w:eastAsia="en-GB"/>
              </w:rPr>
            </w:pPr>
            <w:r w:rsidRPr="00E3573E">
              <w:rPr>
                <w:rFonts w:ascii="Calibri" w:hAnsi="Calibri" w:cs="Calibri"/>
                <w:sz w:val="20"/>
                <w:szCs w:val="20"/>
              </w:rPr>
              <w:t xml:space="preserve"> 42,743 </w:t>
            </w:r>
          </w:p>
        </w:tc>
        <w:tc>
          <w:tcPr>
            <w:tcW w:w="1087" w:type="dxa"/>
            <w:tcBorders>
              <w:top w:val="nil"/>
              <w:left w:val="nil"/>
              <w:bottom w:val="single" w:sz="4" w:space="0" w:color="auto"/>
              <w:right w:val="single" w:sz="4" w:space="0" w:color="auto"/>
            </w:tcBorders>
            <w:shd w:val="clear" w:color="auto" w:fill="auto"/>
            <w:vAlign w:val="bottom"/>
            <w:hideMark/>
          </w:tcPr>
          <w:p w:rsidR="00E3573E" w:rsidRPr="00E3573E" w:rsidP="00E3573E">
            <w:pPr>
              <w:spacing w:after="0" w:line="240" w:lineRule="auto"/>
              <w:jc w:val="center"/>
              <w:rPr>
                <w:rFonts w:ascii="Calibri" w:eastAsia="Times New Roman" w:hAnsi="Calibri" w:cs="Calibri"/>
                <w:sz w:val="20"/>
                <w:szCs w:val="20"/>
                <w:lang w:eastAsia="en-GB"/>
              </w:rPr>
            </w:pPr>
            <w:r w:rsidRPr="00E3573E">
              <w:rPr>
                <w:rFonts w:ascii="Calibri" w:hAnsi="Calibri" w:cs="Calibri"/>
                <w:sz w:val="20"/>
                <w:szCs w:val="20"/>
              </w:rPr>
              <w:t xml:space="preserve"> 3,651 </w:t>
            </w:r>
          </w:p>
        </w:tc>
        <w:tc>
          <w:tcPr>
            <w:tcW w:w="1040" w:type="dxa"/>
            <w:tcBorders>
              <w:top w:val="nil"/>
              <w:left w:val="nil"/>
              <w:bottom w:val="single" w:sz="4" w:space="0" w:color="auto"/>
              <w:right w:val="single" w:sz="8" w:space="0" w:color="auto"/>
            </w:tcBorders>
            <w:shd w:val="clear" w:color="auto" w:fill="auto"/>
            <w:vAlign w:val="bottom"/>
            <w:hideMark/>
          </w:tcPr>
          <w:p w:rsidR="00E3573E" w:rsidRPr="00E3573E" w:rsidP="00E3573E">
            <w:pPr>
              <w:spacing w:after="0" w:line="240" w:lineRule="auto"/>
              <w:jc w:val="center"/>
              <w:rPr>
                <w:rFonts w:ascii="Calibri" w:eastAsia="Times New Roman" w:hAnsi="Calibri" w:cs="Calibri"/>
                <w:sz w:val="20"/>
                <w:szCs w:val="20"/>
                <w:lang w:eastAsia="en-GB"/>
              </w:rPr>
            </w:pPr>
            <w:r w:rsidRPr="00E3573E">
              <w:rPr>
                <w:rFonts w:ascii="Calibri" w:hAnsi="Calibri" w:cs="Calibri"/>
                <w:sz w:val="20"/>
                <w:szCs w:val="20"/>
              </w:rPr>
              <w:t>8.5%</w:t>
            </w:r>
          </w:p>
        </w:tc>
      </w:tr>
      <w:tr w:rsidTr="775DCBD4">
        <w:tblPrEx>
          <w:tblW w:w="9552" w:type="dxa"/>
          <w:tblLayout w:type="fixed"/>
          <w:tblLook w:val="04A0"/>
        </w:tblPrEx>
        <w:trPr>
          <w:gridAfter w:val="1"/>
          <w:wAfter w:w="621" w:type="dxa"/>
          <w:trHeight w:val="300"/>
        </w:trPr>
        <w:tc>
          <w:tcPr>
            <w:tcW w:w="1701" w:type="dxa"/>
            <w:tcBorders>
              <w:top w:val="nil"/>
              <w:left w:val="single" w:sz="8" w:space="0" w:color="auto"/>
              <w:bottom w:val="single" w:sz="4" w:space="0" w:color="auto"/>
              <w:right w:val="single" w:sz="4" w:space="0" w:color="auto"/>
            </w:tcBorders>
            <w:shd w:val="clear" w:color="auto" w:fill="auto"/>
            <w:vAlign w:val="bottom"/>
            <w:hideMark/>
          </w:tcPr>
          <w:p w:rsidR="00132D7F" w:rsidRPr="00EA6FA7" w:rsidP="00132D7F">
            <w:pPr>
              <w:spacing w:after="0" w:line="240" w:lineRule="auto"/>
              <w:rPr>
                <w:rFonts w:ascii="Calibri" w:eastAsia="Times New Roman" w:hAnsi="Calibri" w:cs="Calibri"/>
                <w:sz w:val="20"/>
                <w:szCs w:val="20"/>
                <w:lang w:eastAsia="en-GB"/>
              </w:rPr>
            </w:pPr>
            <w:r w:rsidRPr="00EA6FA7">
              <w:rPr>
                <w:rFonts w:ascii="Calibri" w:eastAsia="Times New Roman" w:hAnsi="Calibri" w:cs="Calibri"/>
                <w:sz w:val="20"/>
                <w:szCs w:val="20"/>
                <w:lang w:eastAsia="en-GB"/>
              </w:rPr>
              <w:t>Capital DEL</w:t>
            </w:r>
          </w:p>
        </w:tc>
        <w:tc>
          <w:tcPr>
            <w:tcW w:w="993" w:type="dxa"/>
            <w:tcBorders>
              <w:top w:val="nil"/>
              <w:left w:val="single" w:sz="8" w:space="0" w:color="auto"/>
              <w:bottom w:val="single" w:sz="4" w:space="0" w:color="auto"/>
              <w:right w:val="single" w:sz="8" w:space="0" w:color="auto"/>
            </w:tcBorders>
            <w:shd w:val="clear" w:color="auto" w:fill="FFFFFF" w:themeFill="background1"/>
            <w:vAlign w:val="bottom"/>
            <w:hideMark/>
          </w:tcPr>
          <w:p w:rsidR="00132D7F" w:rsidRPr="00EA6FA7" w:rsidP="00132D7F">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22,704 </w:t>
            </w:r>
          </w:p>
        </w:tc>
        <w:tc>
          <w:tcPr>
            <w:tcW w:w="1134" w:type="dxa"/>
            <w:tcBorders>
              <w:top w:val="nil"/>
              <w:left w:val="nil"/>
              <w:bottom w:val="single" w:sz="4" w:space="0" w:color="auto"/>
              <w:right w:val="nil"/>
            </w:tcBorders>
            <w:shd w:val="clear" w:color="auto" w:fill="auto"/>
            <w:vAlign w:val="bottom"/>
            <w:hideMark/>
          </w:tcPr>
          <w:p w:rsidR="00132D7F" w:rsidRPr="00EA6FA7" w:rsidP="00132D7F">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21,754 </w:t>
            </w:r>
          </w:p>
        </w:tc>
        <w:tc>
          <w:tcPr>
            <w:tcW w:w="945" w:type="dxa"/>
            <w:tcBorders>
              <w:top w:val="nil"/>
              <w:left w:val="single" w:sz="8" w:space="0" w:color="auto"/>
              <w:bottom w:val="single" w:sz="4" w:space="0" w:color="auto"/>
              <w:right w:val="single" w:sz="4" w:space="0" w:color="auto"/>
            </w:tcBorders>
            <w:shd w:val="clear" w:color="auto" w:fill="auto"/>
            <w:vAlign w:val="bottom"/>
            <w:hideMark/>
          </w:tcPr>
          <w:p w:rsidR="00132D7F" w:rsidRPr="00EA6FA7" w:rsidP="00132D7F">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950 </w:t>
            </w:r>
          </w:p>
        </w:tc>
        <w:tc>
          <w:tcPr>
            <w:tcW w:w="1039" w:type="dxa"/>
            <w:tcBorders>
              <w:top w:val="nil"/>
              <w:left w:val="nil"/>
              <w:bottom w:val="single" w:sz="4" w:space="0" w:color="auto"/>
              <w:right w:val="single" w:sz="8" w:space="0" w:color="auto"/>
            </w:tcBorders>
            <w:shd w:val="clear" w:color="auto" w:fill="auto"/>
            <w:vAlign w:val="bottom"/>
            <w:hideMark/>
          </w:tcPr>
          <w:p w:rsidR="00132D7F" w:rsidRPr="00EA6FA7" w:rsidP="00132D7F">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4.4%</w:t>
            </w:r>
          </w:p>
        </w:tc>
        <w:tc>
          <w:tcPr>
            <w:tcW w:w="992" w:type="dxa"/>
            <w:tcBorders>
              <w:top w:val="nil"/>
              <w:left w:val="nil"/>
              <w:bottom w:val="single" w:sz="4" w:space="0" w:color="auto"/>
              <w:right w:val="single" w:sz="4" w:space="0" w:color="auto"/>
            </w:tcBorders>
            <w:shd w:val="clear" w:color="auto" w:fill="auto"/>
            <w:vAlign w:val="bottom"/>
            <w:hideMark/>
          </w:tcPr>
          <w:p w:rsidR="00132D7F" w:rsidRPr="00132D7F" w:rsidP="00132D7F">
            <w:pPr>
              <w:spacing w:after="0" w:line="240" w:lineRule="auto"/>
              <w:jc w:val="center"/>
              <w:rPr>
                <w:rFonts w:ascii="Calibri" w:eastAsia="Times New Roman" w:hAnsi="Calibri" w:cs="Calibri"/>
                <w:sz w:val="20"/>
                <w:szCs w:val="20"/>
                <w:lang w:eastAsia="en-GB"/>
              </w:rPr>
            </w:pPr>
            <w:r w:rsidRPr="00132D7F">
              <w:rPr>
                <w:rFonts w:ascii="Calibri" w:hAnsi="Calibri" w:cs="Calibri"/>
                <w:sz w:val="20"/>
                <w:szCs w:val="20"/>
              </w:rPr>
              <w:t xml:space="preserve"> 19,128 </w:t>
            </w:r>
          </w:p>
        </w:tc>
        <w:tc>
          <w:tcPr>
            <w:tcW w:w="1087" w:type="dxa"/>
            <w:tcBorders>
              <w:top w:val="nil"/>
              <w:left w:val="nil"/>
              <w:bottom w:val="single" w:sz="4" w:space="0" w:color="auto"/>
              <w:right w:val="single" w:sz="4" w:space="0" w:color="auto"/>
            </w:tcBorders>
            <w:shd w:val="clear" w:color="auto" w:fill="auto"/>
            <w:vAlign w:val="bottom"/>
            <w:hideMark/>
          </w:tcPr>
          <w:p w:rsidR="00132D7F" w:rsidRPr="00132D7F" w:rsidP="00132D7F">
            <w:pPr>
              <w:spacing w:after="0" w:line="240" w:lineRule="auto"/>
              <w:jc w:val="center"/>
              <w:rPr>
                <w:rFonts w:ascii="Calibri" w:eastAsia="Times New Roman" w:hAnsi="Calibri" w:cs="Calibri"/>
                <w:sz w:val="20"/>
                <w:szCs w:val="20"/>
                <w:lang w:eastAsia="en-GB"/>
              </w:rPr>
            </w:pPr>
            <w:r w:rsidRPr="00132D7F">
              <w:rPr>
                <w:rFonts w:ascii="Calibri" w:hAnsi="Calibri" w:cs="Calibri"/>
                <w:sz w:val="20"/>
                <w:szCs w:val="20"/>
              </w:rPr>
              <w:t xml:space="preserve"> 3,576 </w:t>
            </w:r>
          </w:p>
        </w:tc>
        <w:tc>
          <w:tcPr>
            <w:tcW w:w="1040" w:type="dxa"/>
            <w:tcBorders>
              <w:top w:val="nil"/>
              <w:left w:val="nil"/>
              <w:bottom w:val="single" w:sz="4" w:space="0" w:color="auto"/>
              <w:right w:val="single" w:sz="8" w:space="0" w:color="auto"/>
            </w:tcBorders>
            <w:shd w:val="clear" w:color="auto" w:fill="auto"/>
            <w:vAlign w:val="bottom"/>
            <w:hideMark/>
          </w:tcPr>
          <w:p w:rsidR="00132D7F" w:rsidRPr="00132D7F" w:rsidP="00132D7F">
            <w:pPr>
              <w:spacing w:after="0" w:line="240" w:lineRule="auto"/>
              <w:jc w:val="center"/>
              <w:rPr>
                <w:rFonts w:ascii="Calibri" w:eastAsia="Times New Roman" w:hAnsi="Calibri" w:cs="Calibri"/>
                <w:sz w:val="20"/>
                <w:szCs w:val="20"/>
                <w:lang w:eastAsia="en-GB"/>
              </w:rPr>
            </w:pPr>
            <w:r w:rsidRPr="00132D7F">
              <w:rPr>
                <w:rFonts w:ascii="Calibri" w:hAnsi="Calibri" w:cs="Calibri"/>
                <w:sz w:val="20"/>
                <w:szCs w:val="20"/>
              </w:rPr>
              <w:t>18.7%</w:t>
            </w:r>
          </w:p>
        </w:tc>
      </w:tr>
      <w:tr w:rsidTr="775DCBD4">
        <w:tblPrEx>
          <w:tblW w:w="9552" w:type="dxa"/>
          <w:tblLayout w:type="fixed"/>
          <w:tblLook w:val="04A0"/>
        </w:tblPrEx>
        <w:trPr>
          <w:gridAfter w:val="1"/>
          <w:wAfter w:w="621" w:type="dxa"/>
          <w:trHeight w:val="315"/>
        </w:trPr>
        <w:tc>
          <w:tcPr>
            <w:tcW w:w="1701" w:type="dxa"/>
            <w:tcBorders>
              <w:top w:val="nil"/>
              <w:left w:val="single" w:sz="8" w:space="0" w:color="auto"/>
              <w:bottom w:val="single" w:sz="8" w:space="0" w:color="auto"/>
              <w:right w:val="single" w:sz="4" w:space="0" w:color="auto"/>
            </w:tcBorders>
            <w:shd w:val="clear" w:color="auto" w:fill="auto"/>
            <w:vAlign w:val="bottom"/>
            <w:hideMark/>
          </w:tcPr>
          <w:p w:rsidR="00E3573E" w:rsidRPr="00EA6FA7" w:rsidP="00E3573E">
            <w:pPr>
              <w:spacing w:after="0" w:line="240" w:lineRule="auto"/>
              <w:rPr>
                <w:rFonts w:ascii="Calibri" w:eastAsia="Times New Roman" w:hAnsi="Calibri" w:cs="Calibri"/>
                <w:sz w:val="20"/>
                <w:szCs w:val="20"/>
                <w:lang w:eastAsia="en-GB"/>
              </w:rPr>
            </w:pPr>
            <w:r w:rsidRPr="00EA6FA7">
              <w:rPr>
                <w:rFonts w:ascii="Calibri" w:eastAsia="Times New Roman" w:hAnsi="Calibri" w:cs="Calibri"/>
                <w:sz w:val="20"/>
                <w:szCs w:val="20"/>
                <w:lang w:eastAsia="en-GB"/>
              </w:rPr>
              <w:t>AME</w:t>
            </w:r>
          </w:p>
        </w:tc>
        <w:tc>
          <w:tcPr>
            <w:tcW w:w="993" w:type="dxa"/>
            <w:tcBorders>
              <w:top w:val="nil"/>
              <w:left w:val="single" w:sz="8" w:space="0" w:color="auto"/>
              <w:bottom w:val="single" w:sz="8" w:space="0" w:color="auto"/>
              <w:right w:val="single" w:sz="8" w:space="0" w:color="auto"/>
            </w:tcBorders>
            <w:shd w:val="clear" w:color="auto" w:fill="FFFFFF" w:themeFill="background1"/>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8,589 </w:t>
            </w:r>
          </w:p>
        </w:tc>
        <w:tc>
          <w:tcPr>
            <w:tcW w:w="1134" w:type="dxa"/>
            <w:tcBorders>
              <w:top w:val="nil"/>
              <w:left w:val="nil"/>
              <w:bottom w:val="single" w:sz="8" w:space="0" w:color="auto"/>
              <w:right w:val="nil"/>
            </w:tcBorders>
            <w:shd w:val="clear" w:color="auto" w:fill="auto"/>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1,928 </w:t>
            </w:r>
          </w:p>
        </w:tc>
        <w:tc>
          <w:tcPr>
            <w:tcW w:w="945" w:type="dxa"/>
            <w:tcBorders>
              <w:top w:val="nil"/>
              <w:left w:val="single" w:sz="8" w:space="0" w:color="auto"/>
              <w:bottom w:val="single" w:sz="8" w:space="0" w:color="auto"/>
              <w:right w:val="single" w:sz="8" w:space="0" w:color="auto"/>
            </w:tcBorders>
            <w:shd w:val="clear" w:color="auto" w:fill="FFFFFF" w:themeFill="background1"/>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 xml:space="preserve"> 6,661 </w:t>
            </w:r>
          </w:p>
        </w:tc>
        <w:tc>
          <w:tcPr>
            <w:tcW w:w="1039" w:type="dxa"/>
            <w:tcBorders>
              <w:top w:val="nil"/>
              <w:left w:val="single" w:sz="4" w:space="0" w:color="auto"/>
              <w:bottom w:val="single" w:sz="8" w:space="0" w:color="auto"/>
              <w:right w:val="single" w:sz="8" w:space="0" w:color="auto"/>
            </w:tcBorders>
            <w:shd w:val="clear" w:color="auto" w:fill="auto"/>
            <w:vAlign w:val="bottom"/>
            <w:hideMark/>
          </w:tcPr>
          <w:p w:rsidR="00E3573E" w:rsidRPr="00EA6FA7" w:rsidP="00E3573E">
            <w:pPr>
              <w:spacing w:after="0" w:line="240" w:lineRule="auto"/>
              <w:jc w:val="center"/>
              <w:rPr>
                <w:rFonts w:ascii="Calibri" w:eastAsia="Times New Roman" w:hAnsi="Calibri" w:cs="Calibri"/>
                <w:sz w:val="20"/>
                <w:szCs w:val="20"/>
                <w:lang w:eastAsia="en-GB"/>
              </w:rPr>
            </w:pPr>
            <w:r w:rsidRPr="00C15068">
              <w:rPr>
                <w:rFonts w:ascii="Calibri" w:hAnsi="Calibri" w:cs="Calibri"/>
                <w:sz w:val="20"/>
                <w:szCs w:val="20"/>
              </w:rPr>
              <w:t>345.5%</w:t>
            </w:r>
          </w:p>
        </w:tc>
        <w:tc>
          <w:tcPr>
            <w:tcW w:w="992" w:type="dxa"/>
            <w:tcBorders>
              <w:top w:val="nil"/>
              <w:left w:val="nil"/>
              <w:bottom w:val="single" w:sz="8" w:space="0" w:color="auto"/>
              <w:right w:val="single" w:sz="4" w:space="0" w:color="auto"/>
            </w:tcBorders>
            <w:shd w:val="clear" w:color="auto" w:fill="auto"/>
            <w:vAlign w:val="bottom"/>
            <w:hideMark/>
          </w:tcPr>
          <w:p w:rsidR="00E3573E" w:rsidRPr="00E3573E" w:rsidP="00E3573E">
            <w:pPr>
              <w:spacing w:after="0" w:line="240" w:lineRule="auto"/>
              <w:jc w:val="center"/>
              <w:rPr>
                <w:rFonts w:ascii="Calibri" w:eastAsia="Times New Roman" w:hAnsi="Calibri" w:cs="Calibri"/>
                <w:sz w:val="20"/>
                <w:szCs w:val="20"/>
                <w:lang w:eastAsia="en-GB"/>
              </w:rPr>
            </w:pPr>
            <w:r w:rsidRPr="00E3573E">
              <w:rPr>
                <w:rFonts w:ascii="Calibri" w:hAnsi="Calibri" w:cs="Calibri"/>
                <w:color w:val="000000"/>
                <w:sz w:val="20"/>
                <w:szCs w:val="20"/>
              </w:rPr>
              <w:t>(1,145)</w:t>
            </w:r>
          </w:p>
        </w:tc>
        <w:tc>
          <w:tcPr>
            <w:tcW w:w="1087" w:type="dxa"/>
            <w:tcBorders>
              <w:top w:val="nil"/>
              <w:left w:val="nil"/>
              <w:bottom w:val="single" w:sz="8" w:space="0" w:color="auto"/>
              <w:right w:val="single" w:sz="4" w:space="0" w:color="auto"/>
            </w:tcBorders>
            <w:shd w:val="clear" w:color="auto" w:fill="auto"/>
            <w:vAlign w:val="bottom"/>
            <w:hideMark/>
          </w:tcPr>
          <w:p w:rsidR="00E3573E" w:rsidRPr="00E3573E" w:rsidP="00E3573E">
            <w:pPr>
              <w:spacing w:after="0" w:line="240" w:lineRule="auto"/>
              <w:jc w:val="center"/>
              <w:rPr>
                <w:rFonts w:ascii="Calibri" w:eastAsia="Times New Roman" w:hAnsi="Calibri" w:cs="Calibri"/>
                <w:sz w:val="20"/>
                <w:szCs w:val="20"/>
                <w:lang w:eastAsia="en-GB"/>
              </w:rPr>
            </w:pPr>
            <w:r w:rsidRPr="00E3573E">
              <w:rPr>
                <w:rFonts w:ascii="Calibri" w:hAnsi="Calibri" w:cs="Calibri"/>
                <w:sz w:val="20"/>
                <w:szCs w:val="20"/>
              </w:rPr>
              <w:t xml:space="preserve"> 9,734 </w:t>
            </w:r>
          </w:p>
        </w:tc>
        <w:tc>
          <w:tcPr>
            <w:tcW w:w="1040" w:type="dxa"/>
            <w:tcBorders>
              <w:top w:val="nil"/>
              <w:left w:val="nil"/>
              <w:bottom w:val="single" w:sz="8" w:space="0" w:color="auto"/>
              <w:right w:val="single" w:sz="8" w:space="0" w:color="auto"/>
            </w:tcBorders>
            <w:shd w:val="clear" w:color="auto" w:fill="auto"/>
            <w:vAlign w:val="bottom"/>
            <w:hideMark/>
          </w:tcPr>
          <w:p w:rsidR="00E3573E" w:rsidRPr="00E3573E" w:rsidP="00E3573E">
            <w:pPr>
              <w:spacing w:after="0" w:line="240" w:lineRule="auto"/>
              <w:jc w:val="center"/>
              <w:rPr>
                <w:rFonts w:ascii="Calibri" w:eastAsia="Times New Roman" w:hAnsi="Calibri" w:cs="Calibri"/>
                <w:sz w:val="20"/>
                <w:szCs w:val="20"/>
                <w:lang w:eastAsia="en-GB"/>
              </w:rPr>
            </w:pPr>
            <w:r w:rsidRPr="775DCBD4">
              <w:rPr>
                <w:rFonts w:ascii="Calibri" w:hAnsi="Calibri" w:cs="Calibri"/>
                <w:sz w:val="20"/>
                <w:szCs w:val="20"/>
              </w:rPr>
              <w:t>-849.9%</w:t>
            </w:r>
          </w:p>
        </w:tc>
      </w:tr>
      <w:tr w:rsidTr="775DCBD4">
        <w:tblPrEx>
          <w:tblW w:w="9552" w:type="dxa"/>
          <w:tblLayout w:type="fixed"/>
          <w:tblLook w:val="04A0"/>
        </w:tblPrEx>
        <w:trPr>
          <w:gridAfter w:val="1"/>
          <w:wAfter w:w="621" w:type="dxa"/>
          <w:trHeight w:val="300"/>
        </w:trPr>
        <w:tc>
          <w:tcPr>
            <w:tcW w:w="8931" w:type="dxa"/>
            <w:gridSpan w:val="8"/>
            <w:tcBorders>
              <w:top w:val="nil"/>
              <w:left w:val="nil"/>
              <w:bottom w:val="nil"/>
              <w:right w:val="nil"/>
            </w:tcBorders>
            <w:shd w:val="clear" w:color="auto" w:fill="auto"/>
            <w:vAlign w:val="bottom"/>
            <w:hideMark/>
          </w:tcPr>
          <w:p w:rsidR="003A7910" w:rsidRPr="00EA6FA7" w:rsidP="00EA6FA7">
            <w:pPr>
              <w:spacing w:after="0" w:line="240" w:lineRule="auto"/>
              <w:rPr>
                <w:noProof/>
              </w:rPr>
            </w:pPr>
            <w:r w:rsidRPr="00EA6FA7">
              <w:rPr>
                <w:rFonts w:ascii="Calibri" w:eastAsia="Times New Roman" w:hAnsi="Calibri" w:cs="Calibri"/>
                <w:i/>
                <w:iCs/>
                <w:sz w:val="20"/>
                <w:szCs w:val="20"/>
                <w:lang w:eastAsia="en-GB"/>
              </w:rPr>
              <w:t>Note 1: Total include spends for Operations and Peacekeeping.</w:t>
            </w:r>
            <w:r w:rsidRPr="0018170E" w:rsidR="00883D80">
              <w:rPr>
                <w:noProof/>
                <w:sz w:val="20"/>
                <w:szCs w:val="20"/>
              </w:rPr>
              <w:t xml:space="preserve"> </w:t>
            </w:r>
          </w:p>
        </w:tc>
      </w:tr>
    </w:tbl>
    <w:p w:rsidR="00883D80" w:rsidP="00883D80">
      <w:pPr>
        <w:pStyle w:val="Heading2"/>
        <w:numPr>
          <w:ilvl w:val="0"/>
          <w:numId w:val="0"/>
        </w:numPr>
        <w:ind w:left="576"/>
        <w:rPr>
          <w:rFonts w:asciiTheme="minorHAnsi" w:hAnsiTheme="minorHAnsi"/>
          <w:highlight w:val="yellow"/>
        </w:rPr>
      </w:pPr>
    </w:p>
    <w:p w:rsidR="00883D80" w:rsidP="004A0E71">
      <w:pPr>
        <w:rPr>
          <w:highlight w:val="yellow"/>
        </w:rPr>
      </w:pPr>
      <w:r>
        <w:rPr>
          <w:noProof/>
        </w:rPr>
        <w:drawing>
          <wp:inline distT="0" distB="0" distL="0" distR="0">
            <wp:extent cx="5656580" cy="3190875"/>
            <wp:effectExtent l="0" t="0" r="1270" b="9525"/>
            <wp:docPr id="147288417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D6E46" w:rsidRPr="002D37BA" w:rsidP="000E0F4E">
      <w:pPr>
        <w:pStyle w:val="Heading2"/>
        <w:rPr>
          <w:rFonts w:asciiTheme="minorHAnsi" w:hAnsiTheme="minorHAnsi"/>
          <w:color w:val="13284C"/>
        </w:rPr>
      </w:pPr>
      <w:r w:rsidRPr="002D37BA">
        <w:rPr>
          <w:rFonts w:asciiTheme="minorHAnsi" w:hAnsiTheme="minorHAnsi"/>
          <w:color w:val="13284C"/>
        </w:rPr>
        <w:t>Key drivers of spending changes</w:t>
      </w:r>
      <w:r w:rsidRPr="002D37BA" w:rsidR="00FD38EB">
        <w:rPr>
          <w:rFonts w:asciiTheme="minorHAnsi" w:hAnsiTheme="minorHAnsi"/>
          <w:color w:val="13284C"/>
        </w:rPr>
        <w:t xml:space="preserve"> since </w:t>
      </w:r>
      <w:r w:rsidRPr="002D37BA" w:rsidR="00DF1527">
        <w:rPr>
          <w:rFonts w:asciiTheme="minorHAnsi" w:hAnsiTheme="minorHAnsi"/>
          <w:color w:val="13284C"/>
        </w:rPr>
        <w:t>last year</w:t>
      </w:r>
    </w:p>
    <w:p w:rsidR="00B45302" w:rsidRPr="00F81445" w:rsidP="00EF63D2">
      <w:pPr>
        <w:rPr>
          <w:lang w:eastAsia="en-GB"/>
        </w:rPr>
      </w:pPr>
      <w:r w:rsidRPr="00F81445">
        <w:rPr>
          <w:lang w:eastAsia="en-GB"/>
        </w:rPr>
        <w:t>The main causes of th</w:t>
      </w:r>
      <w:r w:rsidRPr="00F81445" w:rsidR="008A6C5E">
        <w:rPr>
          <w:lang w:eastAsia="en-GB"/>
        </w:rPr>
        <w:t>e changes in Resource DEL</w:t>
      </w:r>
      <w:r w:rsidRPr="00F81445">
        <w:rPr>
          <w:lang w:eastAsia="en-GB"/>
        </w:rPr>
        <w:t xml:space="preserve"> are:</w:t>
      </w:r>
    </w:p>
    <w:p w:rsidR="00B857D4" w:rsidRPr="00F81445" w:rsidP="009D299C">
      <w:pPr>
        <w:pStyle w:val="ListParagraph"/>
        <w:numPr>
          <w:ilvl w:val="0"/>
          <w:numId w:val="3"/>
        </w:numPr>
        <w:rPr>
          <w:lang w:eastAsia="en-GB"/>
        </w:rPr>
      </w:pPr>
      <w:r w:rsidRPr="00F81445">
        <w:t>The 2024-25 Supplementary Estimates included a DEL switch from Capital to Resource</w:t>
      </w:r>
    </w:p>
    <w:p w:rsidR="00AD6540" w:rsidRPr="00F81445" w:rsidP="009D299C">
      <w:pPr>
        <w:pStyle w:val="ListParagraph"/>
        <w:numPr>
          <w:ilvl w:val="0"/>
          <w:numId w:val="3"/>
        </w:numPr>
        <w:rPr>
          <w:lang w:eastAsia="en-GB"/>
        </w:rPr>
      </w:pPr>
      <w:r w:rsidRPr="00F81445">
        <w:rPr>
          <w:lang w:eastAsia="en-GB"/>
        </w:rPr>
        <w:t xml:space="preserve">Change in spending for Resource for Operations, including increased Support to Ukraine; </w:t>
      </w:r>
    </w:p>
    <w:p w:rsidR="00AD6540" w:rsidP="009D299C">
      <w:pPr>
        <w:pStyle w:val="ListParagraph"/>
        <w:numPr>
          <w:ilvl w:val="0"/>
          <w:numId w:val="3"/>
        </w:numPr>
        <w:rPr>
          <w:lang w:eastAsia="en-GB"/>
        </w:rPr>
      </w:pPr>
      <w:r>
        <w:rPr>
          <w:lang w:eastAsia="en-GB"/>
        </w:rPr>
        <w:t>Increase in Military Superannuation Contribution Adjusted for Previous Experience (SCAPE); and,</w:t>
      </w:r>
    </w:p>
    <w:p w:rsidR="004A0E71" w:rsidP="009D299C">
      <w:pPr>
        <w:pStyle w:val="ListParagraph"/>
        <w:numPr>
          <w:ilvl w:val="0"/>
          <w:numId w:val="3"/>
        </w:numPr>
        <w:rPr>
          <w:lang w:eastAsia="en-GB"/>
        </w:rPr>
      </w:pPr>
      <w:r>
        <w:rPr>
          <w:lang w:eastAsia="en-GB"/>
        </w:rPr>
        <w:t>Depreciation arising from the retirement of aging equipment;</w:t>
      </w:r>
      <w:r w:rsidRPr="004A0E71">
        <w:rPr>
          <w:lang w:eastAsia="en-GB"/>
        </w:rPr>
        <w:t xml:space="preserve"> </w:t>
      </w:r>
      <w:r>
        <w:rPr>
          <w:lang w:eastAsia="en-GB"/>
        </w:rPr>
        <w:t>and,</w:t>
      </w:r>
    </w:p>
    <w:p w:rsidR="00AD6540" w:rsidP="009D299C">
      <w:pPr>
        <w:pStyle w:val="ListParagraph"/>
        <w:numPr>
          <w:ilvl w:val="0"/>
          <w:numId w:val="3"/>
        </w:numPr>
        <w:rPr>
          <w:lang w:eastAsia="en-GB"/>
        </w:rPr>
      </w:pPr>
      <w:r>
        <w:rPr>
          <w:lang w:eastAsia="en-GB"/>
        </w:rPr>
        <w:t>Budget cover transfers to/from other government departments due to transfer of responsibilities.</w:t>
      </w:r>
    </w:p>
    <w:p w:rsidR="0007361C" w:rsidRPr="00091884" w:rsidP="0007361C">
      <w:pPr>
        <w:rPr>
          <w:lang w:eastAsia="en-GB"/>
        </w:rPr>
      </w:pPr>
      <w:r w:rsidRPr="00091884">
        <w:rPr>
          <w:lang w:eastAsia="en-GB"/>
        </w:rPr>
        <w:t>The main causes of the changes in Capital DEL are:</w:t>
      </w:r>
    </w:p>
    <w:p w:rsidR="36F619B1" w:rsidP="009D299C">
      <w:pPr>
        <w:pStyle w:val="ListParagraph"/>
        <w:numPr>
          <w:ilvl w:val="0"/>
          <w:numId w:val="3"/>
        </w:numPr>
        <w:rPr>
          <w:lang w:eastAsia="en-GB"/>
        </w:rPr>
      </w:pPr>
      <w:r w:rsidRPr="66F6EFD1">
        <w:t>The 2024-25 Supplementary Estimates included a DEL switch from Capital to Resource</w:t>
      </w:r>
    </w:p>
    <w:p w:rsidR="00E351B9" w:rsidRPr="00091884" w:rsidP="009D299C">
      <w:pPr>
        <w:pStyle w:val="ListParagraph"/>
        <w:numPr>
          <w:ilvl w:val="0"/>
          <w:numId w:val="3"/>
        </w:numPr>
        <w:rPr>
          <w:lang w:eastAsia="en-GB"/>
        </w:rPr>
      </w:pPr>
      <w:r w:rsidRPr="00091884">
        <w:rPr>
          <w:lang w:eastAsia="en-GB"/>
        </w:rPr>
        <w:t xml:space="preserve">Additional funding for </w:t>
      </w:r>
      <w:r w:rsidRPr="00091884" w:rsidR="00355A7E">
        <w:rPr>
          <w:lang w:eastAsia="en-GB"/>
        </w:rPr>
        <w:t xml:space="preserve">the purchase of </w:t>
      </w:r>
      <w:r w:rsidRPr="00091884" w:rsidR="008C1F9A">
        <w:rPr>
          <w:lang w:eastAsia="en-GB"/>
        </w:rPr>
        <w:t>Armed forces family housing.</w:t>
      </w:r>
      <w:r w:rsidRPr="00091884" w:rsidR="00EB36C4">
        <w:rPr>
          <w:lang w:eastAsia="en-GB"/>
        </w:rPr>
        <w:t xml:space="preserve"> </w:t>
      </w:r>
    </w:p>
    <w:p w:rsidR="00FE0D03" w:rsidP="009D299C">
      <w:pPr>
        <w:pStyle w:val="ListParagraph"/>
        <w:numPr>
          <w:ilvl w:val="0"/>
          <w:numId w:val="3"/>
        </w:numPr>
        <w:rPr>
          <w:lang w:eastAsia="en-GB"/>
        </w:rPr>
      </w:pPr>
      <w:r>
        <w:rPr>
          <w:lang w:eastAsia="en-GB"/>
        </w:rPr>
        <w:t>Changes in Spending on Operations, including increased Support to Ukraine;</w:t>
      </w:r>
    </w:p>
    <w:p w:rsidR="00FE0D03" w:rsidP="009D299C">
      <w:pPr>
        <w:pStyle w:val="ListParagraph"/>
        <w:numPr>
          <w:ilvl w:val="0"/>
          <w:numId w:val="3"/>
        </w:numPr>
        <w:rPr>
          <w:lang w:eastAsia="en-GB"/>
        </w:rPr>
      </w:pPr>
      <w:r>
        <w:rPr>
          <w:lang w:eastAsia="en-GB"/>
        </w:rPr>
        <w:t>Increased Capital spend on Nuclear;</w:t>
      </w:r>
    </w:p>
    <w:p w:rsidR="00FE0D03" w:rsidP="009D299C">
      <w:pPr>
        <w:pStyle w:val="ListParagraph"/>
        <w:numPr>
          <w:ilvl w:val="0"/>
          <w:numId w:val="3"/>
        </w:numPr>
        <w:rPr>
          <w:lang w:eastAsia="en-GB"/>
        </w:rPr>
      </w:pPr>
      <w:r>
        <w:rPr>
          <w:lang w:eastAsia="en-GB"/>
        </w:rPr>
        <w:t>Additional funding as agreed at SR20/21; and,</w:t>
      </w:r>
    </w:p>
    <w:p w:rsidR="00AF5629" w:rsidRPr="002D2E72" w:rsidP="009D299C">
      <w:pPr>
        <w:pStyle w:val="ListParagraph"/>
        <w:numPr>
          <w:ilvl w:val="0"/>
          <w:numId w:val="3"/>
        </w:numPr>
        <w:rPr>
          <w:lang w:eastAsia="en-GB"/>
        </w:rPr>
      </w:pPr>
      <w:r>
        <w:rPr>
          <w:lang w:eastAsia="en-GB"/>
        </w:rPr>
        <w:t>Budget cover transfers to/from other government departments due to transfer of responsibilities.</w:t>
      </w:r>
    </w:p>
    <w:p w:rsidR="00DF1527" w:rsidRPr="002D2E72" w:rsidP="00DF1527">
      <w:pPr>
        <w:pStyle w:val="Heading2"/>
        <w:rPr>
          <w:rFonts w:asciiTheme="minorHAnsi" w:hAnsiTheme="minorHAnsi"/>
          <w:color w:val="13284C"/>
        </w:rPr>
      </w:pPr>
      <w:r w:rsidRPr="002D2E72">
        <w:rPr>
          <w:rFonts w:asciiTheme="minorHAnsi" w:hAnsiTheme="minorHAnsi"/>
          <w:color w:val="13284C"/>
        </w:rPr>
        <w:t>New policies and programme; ambit changes</w:t>
      </w:r>
    </w:p>
    <w:p w:rsidR="004B606A" w:rsidRPr="0016305C" w:rsidP="00747623">
      <w:r w:rsidRPr="002D2E72">
        <w:t xml:space="preserve">No changes have been made to the ambit </w:t>
      </w:r>
      <w:r w:rsidRPr="002D2E72" w:rsidR="00077305">
        <w:t>for the Supplementary Estimate</w:t>
      </w:r>
      <w:r w:rsidRPr="002D2E72" w:rsidR="00115011">
        <w:t>.</w:t>
      </w:r>
      <w:r w:rsidRPr="002D2E72" w:rsidR="00115011">
        <w:t xml:space="preserve"> </w:t>
      </w:r>
    </w:p>
    <w:p w:rsidR="002A25F8" w:rsidRPr="0016305C" w:rsidP="000E0F4E">
      <w:pPr>
        <w:pStyle w:val="Heading2"/>
        <w:rPr>
          <w:rFonts w:asciiTheme="minorHAnsi" w:hAnsiTheme="minorHAnsi"/>
          <w:color w:val="13284C"/>
        </w:rPr>
      </w:pPr>
      <w:r w:rsidRPr="0016305C">
        <w:rPr>
          <w:rFonts w:asciiTheme="minorHAnsi" w:hAnsiTheme="minorHAnsi"/>
          <w:color w:val="13284C"/>
        </w:rPr>
        <w:t>Spending trends</w:t>
      </w:r>
    </w:p>
    <w:p w:rsidR="00D85DBD" w:rsidRPr="0016305C" w:rsidP="00BE3DFE">
      <w:pPr>
        <w:rPr>
          <w:noProof/>
        </w:rPr>
      </w:pPr>
      <w:r w:rsidRPr="0016305C">
        <w:t xml:space="preserve">The charts below show </w:t>
      </w:r>
      <w:r w:rsidRPr="0016305C" w:rsidR="008A6C5E">
        <w:t xml:space="preserve">overall </w:t>
      </w:r>
      <w:r w:rsidRPr="0016305C" w:rsidR="002B2029">
        <w:t>spending trends for the last f</w:t>
      </w:r>
      <w:r w:rsidRPr="0016305C" w:rsidR="00DB3682">
        <w:t>ive</w:t>
      </w:r>
      <w:r w:rsidRPr="0016305C">
        <w:t xml:space="preserve"> years, plans presented in Estimates for 20</w:t>
      </w:r>
      <w:r w:rsidRPr="0016305C" w:rsidR="00323980">
        <w:t>2</w:t>
      </w:r>
      <w:r w:rsidRPr="0016305C" w:rsidR="00045FED">
        <w:t>3</w:t>
      </w:r>
      <w:r w:rsidRPr="0016305C">
        <w:t>-</w:t>
      </w:r>
      <w:r w:rsidRPr="0016305C" w:rsidR="00D56287">
        <w:t>2</w:t>
      </w:r>
      <w:r w:rsidRPr="0016305C" w:rsidR="00045FED">
        <w:t>4</w:t>
      </w:r>
      <w:r w:rsidRPr="0016305C">
        <w:t>.</w:t>
      </w:r>
      <w:r w:rsidRPr="0016305C" w:rsidR="0090007B">
        <w:rPr>
          <w:noProof/>
        </w:rPr>
        <w:t xml:space="preserve"> </w:t>
      </w:r>
    </w:p>
    <w:p w:rsidR="008F0555" w:rsidRPr="0016305C" w:rsidP="004F4495">
      <w:pPr>
        <w:spacing w:after="0" w:line="240" w:lineRule="auto"/>
        <w:rPr>
          <w:rFonts w:eastAsia="Times New Roman" w:cstheme="minorHAnsi"/>
          <w:b/>
          <w:bCs/>
          <w:sz w:val="20"/>
          <w:szCs w:val="20"/>
          <w:lang w:eastAsia="en-GB"/>
        </w:rPr>
      </w:pPr>
      <w:r w:rsidRPr="0016305C">
        <w:rPr>
          <w:rFonts w:eastAsia="Times New Roman" w:cstheme="minorHAnsi"/>
          <w:b/>
          <w:bCs/>
          <w:sz w:val="20"/>
          <w:szCs w:val="20"/>
          <w:lang w:eastAsia="en-GB"/>
        </w:rPr>
        <w:t xml:space="preserve">Table 1b: Spending trends </w:t>
      </w:r>
    </w:p>
    <w:tbl>
      <w:tblPr>
        <w:tblW w:w="8943" w:type="dxa"/>
        <w:tblLook w:val="04A0"/>
      </w:tblPr>
      <w:tblGrid>
        <w:gridCol w:w="1380"/>
        <w:gridCol w:w="1080"/>
        <w:gridCol w:w="1080"/>
        <w:gridCol w:w="1081"/>
        <w:gridCol w:w="1080"/>
        <w:gridCol w:w="1081"/>
        <w:gridCol w:w="1080"/>
        <w:gridCol w:w="1081"/>
      </w:tblGrid>
      <w:tr w:rsidTr="00D64EF5">
        <w:tblPrEx>
          <w:tblW w:w="8943" w:type="dxa"/>
          <w:tblLook w:val="04A0"/>
        </w:tblPrEx>
        <w:trPr>
          <w:trHeight w:val="525"/>
        </w:trPr>
        <w:tc>
          <w:tcPr>
            <w:tcW w:w="1380" w:type="dxa"/>
            <w:tcBorders>
              <w:top w:val="single" w:sz="8" w:space="0" w:color="auto"/>
              <w:left w:val="single" w:sz="8" w:space="0" w:color="auto"/>
              <w:bottom w:val="nil"/>
              <w:right w:val="nil"/>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Budgetary Limit (£Bn)</w:t>
            </w:r>
          </w:p>
        </w:tc>
        <w:tc>
          <w:tcPr>
            <w:tcW w:w="1080" w:type="dxa"/>
            <w:tcBorders>
              <w:top w:val="single" w:sz="8" w:space="0" w:color="auto"/>
              <w:left w:val="single" w:sz="4" w:space="0" w:color="auto"/>
              <w:bottom w:val="single" w:sz="4" w:space="0" w:color="auto"/>
              <w:right w:val="single" w:sz="4" w:space="0" w:color="auto"/>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2018-19</w:t>
            </w:r>
            <w:r w:rsidRPr="008F0555">
              <w:rPr>
                <w:rFonts w:ascii="Calibri" w:eastAsia="Times New Roman" w:hAnsi="Calibri" w:cs="Calibri"/>
                <w:b/>
                <w:bCs/>
                <w:color w:val="FFFFFF"/>
                <w:sz w:val="20"/>
                <w:szCs w:val="20"/>
                <w:lang w:eastAsia="en-GB"/>
              </w:rPr>
              <w:br/>
              <w:t>Outturn</w:t>
            </w:r>
          </w:p>
        </w:tc>
        <w:tc>
          <w:tcPr>
            <w:tcW w:w="1080" w:type="dxa"/>
            <w:tcBorders>
              <w:top w:val="single" w:sz="8" w:space="0" w:color="auto"/>
              <w:left w:val="nil"/>
              <w:bottom w:val="single" w:sz="4" w:space="0" w:color="auto"/>
              <w:right w:val="single" w:sz="4" w:space="0" w:color="auto"/>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2019-20</w:t>
            </w:r>
            <w:r w:rsidRPr="008F0555">
              <w:rPr>
                <w:rFonts w:ascii="Calibri" w:eastAsia="Times New Roman" w:hAnsi="Calibri" w:cs="Calibri"/>
                <w:b/>
                <w:bCs/>
                <w:color w:val="FFFFFF"/>
                <w:sz w:val="20"/>
                <w:szCs w:val="20"/>
                <w:lang w:eastAsia="en-GB"/>
              </w:rPr>
              <w:br/>
              <w:t>Outturn</w:t>
            </w:r>
          </w:p>
        </w:tc>
        <w:tc>
          <w:tcPr>
            <w:tcW w:w="1081" w:type="dxa"/>
            <w:tcBorders>
              <w:top w:val="single" w:sz="8" w:space="0" w:color="auto"/>
              <w:left w:val="nil"/>
              <w:bottom w:val="single" w:sz="4" w:space="0" w:color="auto"/>
              <w:right w:val="single" w:sz="4" w:space="0" w:color="auto"/>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2020-21</w:t>
            </w:r>
            <w:r w:rsidRPr="008F0555">
              <w:rPr>
                <w:rFonts w:ascii="Calibri" w:eastAsia="Times New Roman" w:hAnsi="Calibri" w:cs="Calibri"/>
                <w:b/>
                <w:bCs/>
                <w:color w:val="FFFFFF"/>
                <w:sz w:val="20"/>
                <w:szCs w:val="20"/>
                <w:lang w:eastAsia="en-GB"/>
              </w:rPr>
              <w:br/>
              <w:t>Outturn</w:t>
            </w:r>
          </w:p>
        </w:tc>
        <w:tc>
          <w:tcPr>
            <w:tcW w:w="1080" w:type="dxa"/>
            <w:tcBorders>
              <w:top w:val="single" w:sz="8" w:space="0" w:color="auto"/>
              <w:left w:val="nil"/>
              <w:bottom w:val="single" w:sz="4" w:space="0" w:color="auto"/>
              <w:right w:val="single" w:sz="4" w:space="0" w:color="auto"/>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2021</w:t>
            </w:r>
            <w:r w:rsidR="00D64EF5">
              <w:rPr>
                <w:rFonts w:ascii="Calibri" w:eastAsia="Times New Roman" w:hAnsi="Calibri" w:cs="Calibri"/>
                <w:b/>
                <w:bCs/>
                <w:color w:val="FFFFFF"/>
                <w:sz w:val="20"/>
                <w:szCs w:val="20"/>
                <w:lang w:eastAsia="en-GB"/>
              </w:rPr>
              <w:t>-</w:t>
            </w:r>
            <w:r w:rsidRPr="008F0555">
              <w:rPr>
                <w:rFonts w:ascii="Calibri" w:eastAsia="Times New Roman" w:hAnsi="Calibri" w:cs="Calibri"/>
                <w:b/>
                <w:bCs/>
                <w:color w:val="FFFFFF"/>
                <w:sz w:val="20"/>
                <w:szCs w:val="20"/>
                <w:lang w:eastAsia="en-GB"/>
              </w:rPr>
              <w:t>22</w:t>
            </w:r>
            <w:r w:rsidR="007E6C3D">
              <w:rPr>
                <w:rFonts w:ascii="Calibri" w:eastAsia="Times New Roman" w:hAnsi="Calibri" w:cs="Calibri"/>
                <w:b/>
                <w:bCs/>
                <w:color w:val="FFFFFF"/>
                <w:sz w:val="20"/>
                <w:szCs w:val="20"/>
                <w:lang w:eastAsia="en-GB"/>
              </w:rPr>
              <w:t xml:space="preserve"> </w:t>
            </w:r>
            <w:r w:rsidR="00D64EF5">
              <w:rPr>
                <w:rFonts w:ascii="Calibri" w:eastAsia="Times New Roman" w:hAnsi="Calibri" w:cs="Calibri"/>
                <w:b/>
                <w:bCs/>
                <w:color w:val="FFFFFF"/>
                <w:sz w:val="20"/>
                <w:szCs w:val="20"/>
                <w:lang w:eastAsia="en-GB"/>
              </w:rPr>
              <w:t>Outturn</w:t>
            </w:r>
            <w:r w:rsidRPr="008F0555">
              <w:rPr>
                <w:rFonts w:ascii="Calibri" w:eastAsia="Times New Roman" w:hAnsi="Calibri" w:cs="Calibri"/>
                <w:b/>
                <w:bCs/>
                <w:color w:val="FFFFFF"/>
                <w:sz w:val="20"/>
                <w:szCs w:val="20"/>
                <w:lang w:eastAsia="en-GB"/>
              </w:rPr>
              <w:t xml:space="preserve">                                                                                 </w:t>
            </w:r>
          </w:p>
        </w:tc>
        <w:tc>
          <w:tcPr>
            <w:tcW w:w="1081" w:type="dxa"/>
            <w:tcBorders>
              <w:top w:val="single" w:sz="8" w:space="0" w:color="auto"/>
              <w:left w:val="nil"/>
              <w:bottom w:val="single" w:sz="4" w:space="0" w:color="auto"/>
              <w:right w:val="single" w:sz="4" w:space="0" w:color="auto"/>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2022-23     Outturn</w:t>
            </w:r>
          </w:p>
        </w:tc>
        <w:tc>
          <w:tcPr>
            <w:tcW w:w="1080" w:type="dxa"/>
            <w:tcBorders>
              <w:top w:val="single" w:sz="8" w:space="0" w:color="auto"/>
              <w:left w:val="nil"/>
              <w:bottom w:val="single" w:sz="4" w:space="0" w:color="auto"/>
              <w:right w:val="single" w:sz="4" w:space="0" w:color="auto"/>
            </w:tcBorders>
            <w:shd w:val="clear" w:color="000000" w:fill="532A45"/>
            <w:vAlign w:val="center"/>
            <w:hideMark/>
          </w:tcPr>
          <w:p w:rsidR="008F0555" w:rsidRPr="000D1B82" w:rsidP="008F0555">
            <w:pPr>
              <w:spacing w:after="0" w:line="240" w:lineRule="auto"/>
              <w:jc w:val="center"/>
              <w:rPr>
                <w:rFonts w:ascii="Calibri" w:eastAsia="Times New Roman" w:hAnsi="Calibri" w:cs="Calibri"/>
                <w:b/>
                <w:bCs/>
                <w:color w:val="FFFFFF"/>
                <w:sz w:val="20"/>
                <w:szCs w:val="20"/>
                <w:lang w:eastAsia="en-GB"/>
              </w:rPr>
            </w:pPr>
            <w:r w:rsidRPr="000D1B82">
              <w:rPr>
                <w:rFonts w:ascii="Calibri" w:eastAsia="Times New Roman" w:hAnsi="Calibri" w:cs="Calibri"/>
                <w:b/>
                <w:bCs/>
                <w:color w:val="FFFFFF"/>
                <w:sz w:val="20"/>
                <w:szCs w:val="20"/>
                <w:lang w:eastAsia="en-GB"/>
              </w:rPr>
              <w:t xml:space="preserve">2023-24     </w:t>
            </w:r>
            <w:r w:rsidRPr="000D1B82" w:rsidR="007E6C3D">
              <w:rPr>
                <w:rFonts w:ascii="Calibri" w:eastAsia="Times New Roman" w:hAnsi="Calibri" w:cs="Calibri"/>
                <w:b/>
                <w:bCs/>
                <w:color w:val="FFFFFF"/>
                <w:sz w:val="20"/>
                <w:szCs w:val="20"/>
                <w:lang w:eastAsia="en-GB"/>
              </w:rPr>
              <w:t>Outturn</w:t>
            </w:r>
          </w:p>
        </w:tc>
        <w:tc>
          <w:tcPr>
            <w:tcW w:w="1081" w:type="dxa"/>
            <w:tcBorders>
              <w:top w:val="single" w:sz="8" w:space="0" w:color="auto"/>
              <w:left w:val="nil"/>
              <w:bottom w:val="single" w:sz="4" w:space="0" w:color="auto"/>
              <w:right w:val="single" w:sz="4" w:space="0" w:color="auto"/>
            </w:tcBorders>
            <w:shd w:val="clear" w:color="000000" w:fill="532A45"/>
            <w:vAlign w:val="center"/>
            <w:hideMark/>
          </w:tcPr>
          <w:p w:rsidR="008F0555" w:rsidRPr="008F0555" w:rsidP="008F0555">
            <w:pPr>
              <w:spacing w:after="0" w:line="240" w:lineRule="auto"/>
              <w:jc w:val="center"/>
              <w:rPr>
                <w:rFonts w:ascii="Calibri" w:eastAsia="Times New Roman" w:hAnsi="Calibri" w:cs="Calibri"/>
                <w:b/>
                <w:bCs/>
                <w:color w:val="FFFFFF"/>
                <w:sz w:val="20"/>
                <w:szCs w:val="20"/>
                <w:lang w:eastAsia="en-GB"/>
              </w:rPr>
            </w:pPr>
            <w:r w:rsidRPr="008F0555">
              <w:rPr>
                <w:rFonts w:ascii="Calibri" w:eastAsia="Times New Roman" w:hAnsi="Calibri" w:cs="Calibri"/>
                <w:b/>
                <w:bCs/>
                <w:color w:val="FFFFFF"/>
                <w:sz w:val="20"/>
                <w:szCs w:val="20"/>
                <w:lang w:eastAsia="en-GB"/>
              </w:rPr>
              <w:t xml:space="preserve">2024-25     </w:t>
            </w:r>
            <w:r w:rsidR="007E6C3D">
              <w:rPr>
                <w:rFonts w:ascii="Calibri" w:eastAsia="Times New Roman" w:hAnsi="Calibri" w:cs="Calibri"/>
                <w:b/>
                <w:bCs/>
                <w:color w:val="FFFFFF"/>
                <w:sz w:val="20"/>
                <w:szCs w:val="20"/>
                <w:lang w:eastAsia="en-GB"/>
              </w:rPr>
              <w:t>SE</w:t>
            </w:r>
          </w:p>
        </w:tc>
      </w:tr>
      <w:tr w:rsidTr="00D64EF5">
        <w:tblPrEx>
          <w:tblW w:w="8943" w:type="dxa"/>
          <w:tblLook w:val="04A0"/>
        </w:tblPrEx>
        <w:trPr>
          <w:trHeight w:val="255"/>
        </w:trPr>
        <w:tc>
          <w:tcPr>
            <w:tcW w:w="1380" w:type="dxa"/>
            <w:tcBorders>
              <w:top w:val="nil"/>
              <w:left w:val="single" w:sz="8" w:space="0" w:color="auto"/>
              <w:bottom w:val="single" w:sz="4" w:space="0" w:color="auto"/>
              <w:right w:val="nil"/>
            </w:tcBorders>
            <w:shd w:val="clear" w:color="auto" w:fill="auto"/>
            <w:vAlign w:val="bottom"/>
            <w:hideMark/>
          </w:tcPr>
          <w:p w:rsidR="008F0555" w:rsidRPr="008F0555" w:rsidP="008F0555">
            <w:pPr>
              <w:spacing w:after="0" w:line="240" w:lineRule="auto"/>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Resource DEL</w:t>
            </w:r>
          </w:p>
        </w:tc>
        <w:tc>
          <w:tcPr>
            <w:tcW w:w="1080" w:type="dxa"/>
            <w:tcBorders>
              <w:top w:val="single" w:sz="8" w:space="0" w:color="auto"/>
              <w:left w:val="single" w:sz="4" w:space="0" w:color="auto"/>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34.6 </w:t>
            </w:r>
          </w:p>
        </w:tc>
        <w:tc>
          <w:tcPr>
            <w:tcW w:w="1080" w:type="dxa"/>
            <w:tcBorders>
              <w:top w:val="single" w:sz="8" w:space="0" w:color="auto"/>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36.7 </w:t>
            </w:r>
          </w:p>
        </w:tc>
        <w:tc>
          <w:tcPr>
            <w:tcW w:w="1081" w:type="dxa"/>
            <w:tcBorders>
              <w:top w:val="single" w:sz="8" w:space="0" w:color="auto"/>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40.2 </w:t>
            </w:r>
          </w:p>
        </w:tc>
        <w:tc>
          <w:tcPr>
            <w:tcW w:w="1080" w:type="dxa"/>
            <w:tcBorders>
              <w:top w:val="single" w:sz="8" w:space="0" w:color="auto"/>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39.7 </w:t>
            </w:r>
          </w:p>
        </w:tc>
        <w:tc>
          <w:tcPr>
            <w:tcW w:w="1081" w:type="dxa"/>
            <w:tcBorders>
              <w:top w:val="single" w:sz="8" w:space="0" w:color="auto"/>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39.8 </w:t>
            </w:r>
          </w:p>
        </w:tc>
        <w:tc>
          <w:tcPr>
            <w:tcW w:w="1080" w:type="dxa"/>
            <w:tcBorders>
              <w:top w:val="single" w:sz="8" w:space="0" w:color="auto"/>
              <w:left w:val="nil"/>
              <w:bottom w:val="single" w:sz="4" w:space="0" w:color="auto"/>
              <w:right w:val="single" w:sz="4" w:space="0" w:color="auto"/>
            </w:tcBorders>
            <w:shd w:val="clear" w:color="auto" w:fill="auto"/>
            <w:vAlign w:val="bottom"/>
            <w:hideMark/>
          </w:tcPr>
          <w:p w:rsidR="008F0555" w:rsidRPr="000D1B82" w:rsidP="008F0555">
            <w:pPr>
              <w:spacing w:after="0" w:line="240" w:lineRule="auto"/>
              <w:jc w:val="center"/>
              <w:rPr>
                <w:rFonts w:ascii="Calibri" w:eastAsia="Times New Roman" w:hAnsi="Calibri" w:cs="Calibri"/>
                <w:sz w:val="20"/>
                <w:szCs w:val="20"/>
                <w:lang w:eastAsia="en-GB"/>
              </w:rPr>
            </w:pPr>
            <w:r w:rsidRPr="000D1B82">
              <w:rPr>
                <w:rFonts w:ascii="Calibri" w:eastAsia="Times New Roman" w:hAnsi="Calibri" w:cs="Calibri"/>
                <w:sz w:val="20"/>
                <w:szCs w:val="20"/>
                <w:lang w:eastAsia="en-GB"/>
              </w:rPr>
              <w:t xml:space="preserve"> 43.8 </w:t>
            </w:r>
          </w:p>
        </w:tc>
        <w:tc>
          <w:tcPr>
            <w:tcW w:w="1081" w:type="dxa"/>
            <w:tcBorders>
              <w:top w:val="single" w:sz="8" w:space="0" w:color="auto"/>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46.4 </w:t>
            </w:r>
          </w:p>
        </w:tc>
      </w:tr>
      <w:tr w:rsidTr="00D64EF5">
        <w:tblPrEx>
          <w:tblW w:w="8943" w:type="dxa"/>
          <w:tblLook w:val="04A0"/>
        </w:tblPrEx>
        <w:trPr>
          <w:trHeight w:val="255"/>
        </w:trPr>
        <w:tc>
          <w:tcPr>
            <w:tcW w:w="1380" w:type="dxa"/>
            <w:tcBorders>
              <w:top w:val="nil"/>
              <w:left w:val="single" w:sz="8" w:space="0" w:color="auto"/>
              <w:bottom w:val="single" w:sz="4" w:space="0" w:color="auto"/>
              <w:right w:val="nil"/>
            </w:tcBorders>
            <w:shd w:val="clear" w:color="auto" w:fill="auto"/>
            <w:vAlign w:val="bottom"/>
            <w:hideMark/>
          </w:tcPr>
          <w:p w:rsidR="008F0555" w:rsidRPr="008F0555" w:rsidP="008F0555">
            <w:pPr>
              <w:spacing w:after="0" w:line="240" w:lineRule="auto"/>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Capital DEL</w:t>
            </w:r>
          </w:p>
        </w:tc>
        <w:tc>
          <w:tcPr>
            <w:tcW w:w="1080" w:type="dxa"/>
            <w:tcBorders>
              <w:top w:val="nil"/>
              <w:left w:val="single" w:sz="4" w:space="0" w:color="auto"/>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10.3 </w:t>
            </w:r>
          </w:p>
        </w:tc>
        <w:tc>
          <w:tcPr>
            <w:tcW w:w="1080" w:type="dxa"/>
            <w:tcBorders>
              <w:top w:val="nil"/>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10.3 </w:t>
            </w:r>
          </w:p>
        </w:tc>
        <w:tc>
          <w:tcPr>
            <w:tcW w:w="1081" w:type="dxa"/>
            <w:tcBorders>
              <w:top w:val="nil"/>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11.7 </w:t>
            </w:r>
          </w:p>
        </w:tc>
        <w:tc>
          <w:tcPr>
            <w:tcW w:w="1080" w:type="dxa"/>
            <w:tcBorders>
              <w:top w:val="nil"/>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14.1 </w:t>
            </w:r>
          </w:p>
        </w:tc>
        <w:tc>
          <w:tcPr>
            <w:tcW w:w="1081" w:type="dxa"/>
            <w:tcBorders>
              <w:top w:val="nil"/>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20.3 </w:t>
            </w:r>
          </w:p>
        </w:tc>
        <w:tc>
          <w:tcPr>
            <w:tcW w:w="1080" w:type="dxa"/>
            <w:tcBorders>
              <w:top w:val="nil"/>
              <w:left w:val="nil"/>
              <w:bottom w:val="single" w:sz="4" w:space="0" w:color="auto"/>
              <w:right w:val="single" w:sz="4" w:space="0" w:color="auto"/>
            </w:tcBorders>
            <w:shd w:val="clear" w:color="auto" w:fill="auto"/>
            <w:vAlign w:val="bottom"/>
            <w:hideMark/>
          </w:tcPr>
          <w:p w:rsidR="008F0555" w:rsidRPr="000D1B82" w:rsidP="008F0555">
            <w:pPr>
              <w:spacing w:after="0" w:line="240" w:lineRule="auto"/>
              <w:jc w:val="center"/>
              <w:rPr>
                <w:rFonts w:ascii="Calibri" w:eastAsia="Times New Roman" w:hAnsi="Calibri" w:cs="Calibri"/>
                <w:sz w:val="20"/>
                <w:szCs w:val="20"/>
                <w:lang w:eastAsia="en-GB"/>
              </w:rPr>
            </w:pPr>
            <w:r w:rsidRPr="000D1B82">
              <w:rPr>
                <w:rFonts w:ascii="Calibri" w:eastAsia="Times New Roman" w:hAnsi="Calibri" w:cs="Calibri"/>
                <w:sz w:val="20"/>
                <w:szCs w:val="20"/>
                <w:lang w:eastAsia="en-GB"/>
              </w:rPr>
              <w:t xml:space="preserve"> 19.2 </w:t>
            </w:r>
          </w:p>
        </w:tc>
        <w:tc>
          <w:tcPr>
            <w:tcW w:w="1081" w:type="dxa"/>
            <w:tcBorders>
              <w:top w:val="nil"/>
              <w:left w:val="nil"/>
              <w:bottom w:val="single" w:sz="4"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22.7 </w:t>
            </w:r>
          </w:p>
        </w:tc>
      </w:tr>
      <w:tr w:rsidTr="00D64EF5">
        <w:tblPrEx>
          <w:tblW w:w="8943" w:type="dxa"/>
          <w:tblLook w:val="04A0"/>
        </w:tblPrEx>
        <w:trPr>
          <w:trHeight w:val="270"/>
        </w:trPr>
        <w:tc>
          <w:tcPr>
            <w:tcW w:w="1380" w:type="dxa"/>
            <w:tcBorders>
              <w:top w:val="nil"/>
              <w:left w:val="single" w:sz="8" w:space="0" w:color="auto"/>
              <w:bottom w:val="single" w:sz="8" w:space="0" w:color="auto"/>
              <w:right w:val="nil"/>
            </w:tcBorders>
            <w:shd w:val="clear" w:color="auto" w:fill="auto"/>
            <w:vAlign w:val="bottom"/>
            <w:hideMark/>
          </w:tcPr>
          <w:p w:rsidR="008F0555" w:rsidRPr="008F0555" w:rsidP="008F0555">
            <w:pPr>
              <w:spacing w:after="0" w:line="240" w:lineRule="auto"/>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AME</w:t>
            </w:r>
          </w:p>
        </w:tc>
        <w:tc>
          <w:tcPr>
            <w:tcW w:w="1080" w:type="dxa"/>
            <w:tcBorders>
              <w:top w:val="nil"/>
              <w:left w:val="single" w:sz="4" w:space="0" w:color="auto"/>
              <w:bottom w:val="single" w:sz="8"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color w:val="000000"/>
                <w:sz w:val="20"/>
                <w:szCs w:val="20"/>
                <w:lang w:eastAsia="en-GB"/>
              </w:rPr>
              <w:t>(7.9)</w:t>
            </w:r>
          </w:p>
        </w:tc>
        <w:tc>
          <w:tcPr>
            <w:tcW w:w="1080" w:type="dxa"/>
            <w:tcBorders>
              <w:top w:val="nil"/>
              <w:left w:val="nil"/>
              <w:bottom w:val="single" w:sz="8"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color w:val="000000"/>
                <w:sz w:val="20"/>
                <w:szCs w:val="20"/>
                <w:lang w:eastAsia="en-GB"/>
              </w:rPr>
              <w:t>(0.3)</w:t>
            </w:r>
          </w:p>
        </w:tc>
        <w:tc>
          <w:tcPr>
            <w:tcW w:w="1081" w:type="dxa"/>
            <w:tcBorders>
              <w:top w:val="nil"/>
              <w:left w:val="nil"/>
              <w:bottom w:val="single" w:sz="8"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2.1 </w:t>
            </w:r>
          </w:p>
        </w:tc>
        <w:tc>
          <w:tcPr>
            <w:tcW w:w="1080" w:type="dxa"/>
            <w:tcBorders>
              <w:top w:val="nil"/>
              <w:left w:val="nil"/>
              <w:bottom w:val="single" w:sz="8"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10.8 </w:t>
            </w:r>
          </w:p>
        </w:tc>
        <w:tc>
          <w:tcPr>
            <w:tcW w:w="1081" w:type="dxa"/>
            <w:tcBorders>
              <w:top w:val="nil"/>
              <w:left w:val="nil"/>
              <w:bottom w:val="single" w:sz="8"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color w:val="000000"/>
                <w:sz w:val="20"/>
                <w:szCs w:val="20"/>
                <w:lang w:eastAsia="en-GB"/>
              </w:rPr>
              <w:t>(13.9)</w:t>
            </w:r>
          </w:p>
        </w:tc>
        <w:tc>
          <w:tcPr>
            <w:tcW w:w="1080" w:type="dxa"/>
            <w:tcBorders>
              <w:top w:val="nil"/>
              <w:left w:val="nil"/>
              <w:bottom w:val="single" w:sz="8" w:space="0" w:color="auto"/>
              <w:right w:val="single" w:sz="4" w:space="0" w:color="auto"/>
            </w:tcBorders>
            <w:shd w:val="clear" w:color="auto" w:fill="auto"/>
            <w:vAlign w:val="bottom"/>
            <w:hideMark/>
          </w:tcPr>
          <w:p w:rsidR="008F0555" w:rsidRPr="000D1B82" w:rsidP="008F0555">
            <w:pPr>
              <w:spacing w:after="0" w:line="240" w:lineRule="auto"/>
              <w:jc w:val="center"/>
              <w:rPr>
                <w:rFonts w:ascii="Calibri" w:eastAsia="Times New Roman" w:hAnsi="Calibri" w:cs="Calibri"/>
                <w:sz w:val="20"/>
                <w:szCs w:val="20"/>
                <w:lang w:eastAsia="en-GB"/>
              </w:rPr>
            </w:pPr>
            <w:r w:rsidRPr="000D1B82">
              <w:rPr>
                <w:rFonts w:ascii="Calibri" w:eastAsia="Times New Roman" w:hAnsi="Calibri" w:cs="Calibri"/>
                <w:sz w:val="20"/>
                <w:szCs w:val="20"/>
                <w:lang w:eastAsia="en-GB"/>
              </w:rPr>
              <w:t>(</w:t>
            </w:r>
            <w:r w:rsidRPr="000D1B82" w:rsidR="000D1B82">
              <w:rPr>
                <w:rFonts w:ascii="Calibri" w:eastAsia="Times New Roman" w:hAnsi="Calibri" w:cs="Calibri"/>
                <w:sz w:val="20"/>
                <w:szCs w:val="20"/>
                <w:lang w:eastAsia="en-GB"/>
              </w:rPr>
              <w:t>1.1)</w:t>
            </w:r>
            <w:r w:rsidRPr="000D1B82">
              <w:rPr>
                <w:rFonts w:ascii="Calibri" w:eastAsia="Times New Roman" w:hAnsi="Calibri" w:cs="Calibri"/>
                <w:sz w:val="20"/>
                <w:szCs w:val="20"/>
                <w:lang w:eastAsia="en-GB"/>
              </w:rPr>
              <w:t xml:space="preserve"> </w:t>
            </w:r>
          </w:p>
        </w:tc>
        <w:tc>
          <w:tcPr>
            <w:tcW w:w="1081" w:type="dxa"/>
            <w:tcBorders>
              <w:top w:val="nil"/>
              <w:left w:val="nil"/>
              <w:bottom w:val="single" w:sz="8" w:space="0" w:color="auto"/>
              <w:right w:val="single" w:sz="4" w:space="0" w:color="auto"/>
            </w:tcBorders>
            <w:shd w:val="clear" w:color="auto" w:fill="auto"/>
            <w:vAlign w:val="bottom"/>
            <w:hideMark/>
          </w:tcPr>
          <w:p w:rsidR="008F0555" w:rsidRPr="008F0555" w:rsidP="008F0555">
            <w:pPr>
              <w:spacing w:after="0" w:line="240" w:lineRule="auto"/>
              <w:jc w:val="center"/>
              <w:rPr>
                <w:rFonts w:ascii="Calibri" w:eastAsia="Times New Roman" w:hAnsi="Calibri" w:cs="Calibri"/>
                <w:sz w:val="20"/>
                <w:szCs w:val="20"/>
                <w:lang w:eastAsia="en-GB"/>
              </w:rPr>
            </w:pPr>
            <w:r w:rsidRPr="008F0555">
              <w:rPr>
                <w:rFonts w:ascii="Calibri" w:eastAsia="Times New Roman" w:hAnsi="Calibri" w:cs="Calibri"/>
                <w:sz w:val="20"/>
                <w:szCs w:val="20"/>
                <w:lang w:eastAsia="en-GB"/>
              </w:rPr>
              <w:t xml:space="preserve"> 8.6 </w:t>
            </w:r>
          </w:p>
        </w:tc>
      </w:tr>
    </w:tbl>
    <w:p w:rsidR="008F0555" w:rsidP="004F4495">
      <w:pPr>
        <w:spacing w:after="0" w:line="240" w:lineRule="auto"/>
        <w:rPr>
          <w:rFonts w:ascii="Arial" w:eastAsia="Times New Roman" w:hAnsi="Arial" w:cs="Arial"/>
          <w:b/>
          <w:bCs/>
          <w:sz w:val="20"/>
          <w:szCs w:val="20"/>
          <w:highlight w:val="yellow"/>
          <w:lang w:eastAsia="en-GB"/>
        </w:rPr>
      </w:pPr>
    </w:p>
    <w:p w:rsidR="008F0555" w:rsidP="004F4495">
      <w:pPr>
        <w:spacing w:after="0" w:line="240" w:lineRule="auto"/>
        <w:rPr>
          <w:rFonts w:ascii="Arial" w:eastAsia="Times New Roman" w:hAnsi="Arial" w:cs="Arial"/>
          <w:b/>
          <w:bCs/>
          <w:sz w:val="20"/>
          <w:szCs w:val="20"/>
          <w:highlight w:val="yellow"/>
          <w:lang w:eastAsia="en-GB"/>
        </w:rPr>
      </w:pPr>
      <w:r>
        <w:rPr>
          <w:noProof/>
        </w:rPr>
        <w:drawing>
          <wp:inline distT="0" distB="0" distL="0" distR="0">
            <wp:extent cx="5639435" cy="2728277"/>
            <wp:effectExtent l="0" t="0" r="18415" b="15240"/>
            <wp:docPr id="4952871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F0555" w:rsidRPr="002020C7" w:rsidP="004F4495">
      <w:pPr>
        <w:spacing w:after="0" w:line="240" w:lineRule="auto"/>
        <w:rPr>
          <w:rFonts w:ascii="Arial" w:eastAsia="Times New Roman" w:hAnsi="Arial" w:cs="Arial"/>
          <w:b/>
          <w:bCs/>
          <w:sz w:val="20"/>
          <w:szCs w:val="20"/>
          <w:highlight w:val="yellow"/>
          <w:lang w:eastAsia="en-GB"/>
        </w:rPr>
      </w:pPr>
      <w:r>
        <w:rPr>
          <w:noProof/>
        </w:rPr>
        <w:drawing>
          <wp:inline distT="0" distB="0" distL="0" distR="0">
            <wp:extent cx="5656580" cy="2670175"/>
            <wp:effectExtent l="0" t="0" r="1270" b="15875"/>
            <wp:docPr id="7010878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14820" w:rsidP="00BE3DFE">
      <w:pPr>
        <w:rPr>
          <w:noProof/>
          <w:highlight w:val="yellow"/>
        </w:rPr>
      </w:pPr>
    </w:p>
    <w:p w:rsidR="006E5170" w:rsidRPr="002020C7" w:rsidP="00F75001">
      <w:pPr>
        <w:rPr>
          <w:noProof/>
          <w:highlight w:val="yellow"/>
        </w:rPr>
      </w:pPr>
      <w:r>
        <w:rPr>
          <w:noProof/>
        </w:rPr>
        <w:drawing>
          <wp:inline distT="0" distB="0" distL="0" distR="0">
            <wp:extent cx="5639435" cy="2728277"/>
            <wp:effectExtent l="0" t="0" r="18415" b="15240"/>
            <wp:docPr id="62653924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F445D" w:rsidRPr="00FD1560" w:rsidP="009D299C">
      <w:pPr>
        <w:pStyle w:val="ListParagraph"/>
        <w:numPr>
          <w:ilvl w:val="0"/>
          <w:numId w:val="4"/>
        </w:numPr>
        <w:rPr>
          <w:i/>
          <w:sz w:val="16"/>
          <w:szCs w:val="16"/>
          <w:lang w:eastAsia="en-GB"/>
        </w:rPr>
      </w:pPr>
      <w:r w:rsidRPr="00FD1560">
        <w:rPr>
          <w:i/>
          <w:sz w:val="16"/>
          <w:szCs w:val="16"/>
          <w:lang w:eastAsia="en-GB"/>
        </w:rPr>
        <w:t xml:space="preserve">Totals include spends for Operations and Peacekeeping. </w:t>
      </w:r>
    </w:p>
    <w:p w:rsidR="00FC4E79" w:rsidRPr="00FD1560" w:rsidP="009D299C">
      <w:pPr>
        <w:pStyle w:val="ListParagraph"/>
        <w:numPr>
          <w:ilvl w:val="0"/>
          <w:numId w:val="4"/>
        </w:numPr>
        <w:rPr>
          <w:i/>
          <w:sz w:val="16"/>
          <w:szCs w:val="16"/>
          <w:lang w:eastAsia="en-GB"/>
        </w:rPr>
      </w:pPr>
      <w:r w:rsidRPr="00FD1560">
        <w:rPr>
          <w:i/>
          <w:sz w:val="16"/>
          <w:szCs w:val="16"/>
          <w:lang w:eastAsia="en-GB"/>
        </w:rPr>
        <w:t>Reduction in Capital reflects the increase</w:t>
      </w:r>
      <w:r w:rsidRPr="00FD1560" w:rsidR="006A552A">
        <w:rPr>
          <w:i/>
          <w:sz w:val="16"/>
          <w:szCs w:val="16"/>
          <w:lang w:eastAsia="en-GB"/>
        </w:rPr>
        <w:t>s</w:t>
      </w:r>
      <w:r w:rsidRPr="00FD1560">
        <w:rPr>
          <w:i/>
          <w:sz w:val="16"/>
          <w:szCs w:val="16"/>
          <w:lang w:eastAsia="en-GB"/>
        </w:rPr>
        <w:t xml:space="preserve"> in budgets </w:t>
      </w:r>
      <w:r w:rsidRPr="00FD1560" w:rsidR="00C47826">
        <w:rPr>
          <w:i/>
          <w:sz w:val="16"/>
          <w:szCs w:val="16"/>
          <w:lang w:eastAsia="en-GB"/>
        </w:rPr>
        <w:t>for 2022-23 for Technica</w:t>
      </w:r>
      <w:r w:rsidRPr="00FD1560" w:rsidR="00941ADE">
        <w:rPr>
          <w:i/>
          <w:sz w:val="16"/>
          <w:szCs w:val="16"/>
          <w:lang w:eastAsia="en-GB"/>
        </w:rPr>
        <w:t>l Accounting adjustments for</w:t>
      </w:r>
      <w:r w:rsidRPr="00FD1560" w:rsidR="00C47826">
        <w:rPr>
          <w:i/>
          <w:sz w:val="16"/>
          <w:szCs w:val="16"/>
          <w:lang w:eastAsia="en-GB"/>
        </w:rPr>
        <w:t xml:space="preserve"> IFRS16</w:t>
      </w:r>
      <w:r w:rsidRPr="00FD1560" w:rsidR="006A552A">
        <w:rPr>
          <w:i/>
          <w:sz w:val="16"/>
          <w:szCs w:val="16"/>
          <w:lang w:eastAsia="en-GB"/>
        </w:rPr>
        <w:t xml:space="preserve"> of 2.3bn</w:t>
      </w:r>
    </w:p>
    <w:p w:rsidR="0084123F" w:rsidRPr="00FD1560" w:rsidP="009D299C">
      <w:pPr>
        <w:pStyle w:val="ListParagraph"/>
        <w:numPr>
          <w:ilvl w:val="0"/>
          <w:numId w:val="4"/>
        </w:numPr>
        <w:rPr>
          <w:i/>
          <w:sz w:val="16"/>
          <w:szCs w:val="16"/>
          <w:lang w:eastAsia="en-GB"/>
        </w:rPr>
      </w:pPr>
      <w:r w:rsidRPr="00FD1560">
        <w:rPr>
          <w:i/>
          <w:sz w:val="16"/>
          <w:szCs w:val="16"/>
          <w:lang w:eastAsia="en-GB"/>
        </w:rPr>
        <w:t xml:space="preserve">Resource AME, due to its nature is volatile and reflects changing Treasury Discount Rates on provisions and fluctuations in Financial instruments. </w:t>
      </w:r>
    </w:p>
    <w:p w:rsidR="002A25F8" w:rsidRPr="004D1476" w:rsidP="000E0F4E">
      <w:pPr>
        <w:pStyle w:val="Heading2"/>
        <w:rPr>
          <w:rFonts w:asciiTheme="minorHAnsi" w:hAnsiTheme="minorHAnsi"/>
          <w:color w:val="13284C"/>
        </w:rPr>
      </w:pPr>
      <w:r w:rsidRPr="004D1476">
        <w:rPr>
          <w:rFonts w:asciiTheme="minorHAnsi" w:hAnsiTheme="minorHAnsi"/>
          <w:color w:val="13284C"/>
        </w:rPr>
        <w:t>Administration costs and e</w:t>
      </w:r>
      <w:r w:rsidRPr="004D1476">
        <w:rPr>
          <w:rFonts w:asciiTheme="minorHAnsi" w:hAnsiTheme="minorHAnsi"/>
          <w:color w:val="13284C"/>
        </w:rPr>
        <w:t>fficiency plans</w:t>
      </w:r>
    </w:p>
    <w:p w:rsidR="00662D2C" w:rsidP="00D807ED">
      <w:pPr>
        <w:rPr>
          <w:lang w:eastAsia="en-GB"/>
        </w:rPr>
      </w:pPr>
      <w:r w:rsidRPr="00941DD1">
        <w:rPr>
          <w:lang w:eastAsia="en-GB"/>
        </w:rPr>
        <w:t>The Department SR</w:t>
      </w:r>
      <w:r w:rsidRPr="00941DD1" w:rsidR="008C29A8">
        <w:rPr>
          <w:lang w:eastAsia="en-GB"/>
        </w:rPr>
        <w:t>2</w:t>
      </w:r>
      <w:r w:rsidRPr="00941DD1" w:rsidR="00ED3BE2">
        <w:rPr>
          <w:lang w:eastAsia="en-GB"/>
        </w:rPr>
        <w:t>5</w:t>
      </w:r>
      <w:r w:rsidRPr="00941DD1" w:rsidR="00AE4AE2">
        <w:rPr>
          <w:lang w:eastAsia="en-GB"/>
        </w:rPr>
        <w:t xml:space="preserve"> Phase 1</w:t>
      </w:r>
      <w:r w:rsidRPr="00941DD1">
        <w:rPr>
          <w:lang w:eastAsia="en-GB"/>
        </w:rPr>
        <w:t xml:space="preserve"> settlement set</w:t>
      </w:r>
      <w:r w:rsidRPr="00941DD1" w:rsidR="00944083">
        <w:rPr>
          <w:lang w:eastAsia="en-GB"/>
        </w:rPr>
        <w:t>s</w:t>
      </w:r>
      <w:r w:rsidRPr="00941DD1">
        <w:rPr>
          <w:lang w:eastAsia="en-GB"/>
        </w:rPr>
        <w:t xml:space="preserve"> out the Administrative Cost Regime (ACR) budgets for the settlement years.</w:t>
      </w:r>
      <w:r w:rsidRPr="004D1476" w:rsidR="00207FD9">
        <w:rPr>
          <w:lang w:eastAsia="en-GB"/>
        </w:rPr>
        <w:t xml:space="preserve"> </w:t>
      </w:r>
    </w:p>
    <w:tbl>
      <w:tblPr>
        <w:tblW w:w="8921" w:type="dxa"/>
        <w:tblLook w:val="04A0"/>
      </w:tblPr>
      <w:tblGrid>
        <w:gridCol w:w="1833"/>
        <w:gridCol w:w="1134"/>
        <w:gridCol w:w="992"/>
        <w:gridCol w:w="992"/>
        <w:gridCol w:w="993"/>
        <w:gridCol w:w="992"/>
        <w:gridCol w:w="992"/>
        <w:gridCol w:w="993"/>
      </w:tblGrid>
      <w:tr w:rsidTr="00E84FCC">
        <w:tblPrEx>
          <w:tblW w:w="8921" w:type="dxa"/>
          <w:tblLook w:val="04A0"/>
        </w:tblPrEx>
        <w:trPr>
          <w:trHeight w:val="480"/>
        </w:trPr>
        <w:tc>
          <w:tcPr>
            <w:tcW w:w="2967" w:type="dxa"/>
            <w:gridSpan w:val="2"/>
            <w:tcBorders>
              <w:top w:val="single" w:sz="8" w:space="0" w:color="auto"/>
              <w:left w:val="single" w:sz="8" w:space="0" w:color="auto"/>
              <w:bottom w:val="nil"/>
              <w:right w:val="single" w:sz="8" w:space="0" w:color="000000"/>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Spending total - Supplementary Estimate 2024-25</w:t>
            </w:r>
          </w:p>
        </w:tc>
        <w:tc>
          <w:tcPr>
            <w:tcW w:w="992" w:type="dxa"/>
            <w:tcBorders>
              <w:top w:val="single" w:sz="8" w:space="0" w:color="auto"/>
              <w:left w:val="nil"/>
              <w:bottom w:val="nil"/>
              <w:right w:val="single" w:sz="4"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202</w:t>
            </w:r>
            <w:r w:rsidR="00AE4AE2">
              <w:rPr>
                <w:rFonts w:eastAsia="Times New Roman" w:cstheme="minorHAnsi"/>
                <w:b/>
                <w:bCs/>
                <w:color w:val="FFFFFF"/>
                <w:sz w:val="20"/>
                <w:szCs w:val="20"/>
                <w:lang w:eastAsia="en-GB"/>
              </w:rPr>
              <w:t>4</w:t>
            </w:r>
            <w:r w:rsidRPr="00DB09D4">
              <w:rPr>
                <w:rFonts w:eastAsia="Times New Roman" w:cstheme="minorHAnsi"/>
                <w:b/>
                <w:bCs/>
                <w:color w:val="FFFFFF"/>
                <w:sz w:val="20"/>
                <w:szCs w:val="20"/>
                <w:lang w:eastAsia="en-GB"/>
              </w:rPr>
              <w:t>-2</w:t>
            </w:r>
            <w:r w:rsidR="00AE4AE2">
              <w:rPr>
                <w:rFonts w:eastAsia="Times New Roman" w:cstheme="minorHAnsi"/>
                <w:b/>
                <w:bCs/>
                <w:color w:val="FFFFFF"/>
                <w:sz w:val="20"/>
                <w:szCs w:val="20"/>
                <w:lang w:eastAsia="en-GB"/>
              </w:rPr>
              <w:t>5</w:t>
            </w:r>
            <w:r w:rsidRPr="00DB09D4">
              <w:rPr>
                <w:rFonts w:eastAsia="Times New Roman" w:cstheme="minorHAnsi"/>
                <w:b/>
                <w:bCs/>
                <w:color w:val="FFFFFF"/>
                <w:sz w:val="20"/>
                <w:szCs w:val="20"/>
                <w:lang w:eastAsia="en-GB"/>
              </w:rPr>
              <w:t xml:space="preserve"> ME</w:t>
            </w:r>
          </w:p>
        </w:tc>
        <w:tc>
          <w:tcPr>
            <w:tcW w:w="1985" w:type="dxa"/>
            <w:gridSpan w:val="2"/>
            <w:tcBorders>
              <w:top w:val="single" w:sz="8" w:space="0" w:color="auto"/>
              <w:left w:val="nil"/>
              <w:bottom w:val="nil"/>
              <w:right w:val="single" w:sz="8" w:space="0" w:color="000000"/>
            </w:tcBorders>
            <w:shd w:val="clear" w:color="000000" w:fill="532A45"/>
            <w:vAlign w:val="center"/>
            <w:hideMark/>
          </w:tcPr>
          <w:p w:rsidR="00791141" w:rsidRPr="003D3FB7" w:rsidP="00E84FCC">
            <w:pPr>
              <w:spacing w:after="0" w:line="240" w:lineRule="auto"/>
              <w:jc w:val="center"/>
              <w:rPr>
                <w:rFonts w:eastAsia="Times New Roman" w:cstheme="minorHAnsi"/>
                <w:b/>
                <w:bCs/>
                <w:color w:val="FFFFFF"/>
                <w:sz w:val="20"/>
                <w:szCs w:val="20"/>
                <w:lang w:eastAsia="en-GB"/>
              </w:rPr>
            </w:pPr>
            <w:r w:rsidRPr="003D3FB7">
              <w:rPr>
                <w:rFonts w:eastAsia="Times New Roman" w:cstheme="minorHAnsi"/>
                <w:b/>
                <w:bCs/>
                <w:color w:val="FFFFFF"/>
                <w:sz w:val="20"/>
                <w:szCs w:val="20"/>
                <w:lang w:eastAsia="en-GB"/>
              </w:rPr>
              <w:t>Compared to</w:t>
            </w:r>
          </w:p>
          <w:p w:rsidR="00DB09D4" w:rsidRPr="00DB09D4" w:rsidP="00E84FCC">
            <w:pPr>
              <w:spacing w:after="0" w:line="240" w:lineRule="auto"/>
              <w:jc w:val="center"/>
              <w:rPr>
                <w:rFonts w:eastAsia="Times New Roman" w:cstheme="minorHAnsi"/>
                <w:b/>
                <w:bCs/>
                <w:color w:val="FFFFFF"/>
                <w:sz w:val="20"/>
                <w:szCs w:val="20"/>
                <w:lang w:eastAsia="en-GB"/>
              </w:rPr>
            </w:pPr>
            <w:r w:rsidRPr="003D3FB7">
              <w:rPr>
                <w:rFonts w:eastAsia="Times New Roman" w:cstheme="minorHAnsi"/>
                <w:b/>
                <w:bCs/>
                <w:color w:val="FFFFFF"/>
                <w:sz w:val="20"/>
                <w:szCs w:val="20"/>
                <w:lang w:eastAsia="en-GB"/>
              </w:rPr>
              <w:t>202</w:t>
            </w:r>
            <w:r w:rsidR="003D3FB7">
              <w:rPr>
                <w:rFonts w:eastAsia="Times New Roman" w:cstheme="minorHAnsi"/>
                <w:b/>
                <w:bCs/>
                <w:color w:val="FFFFFF"/>
                <w:sz w:val="20"/>
                <w:szCs w:val="20"/>
                <w:lang w:eastAsia="en-GB"/>
              </w:rPr>
              <w:t>4</w:t>
            </w:r>
            <w:r w:rsidRPr="003D3FB7">
              <w:rPr>
                <w:rFonts w:eastAsia="Times New Roman" w:cstheme="minorHAnsi"/>
                <w:b/>
                <w:bCs/>
                <w:color w:val="FFFFFF"/>
                <w:sz w:val="20"/>
                <w:szCs w:val="20"/>
                <w:lang w:eastAsia="en-GB"/>
              </w:rPr>
              <w:t>-2</w:t>
            </w:r>
            <w:r w:rsidR="003D3FB7">
              <w:rPr>
                <w:rFonts w:eastAsia="Times New Roman" w:cstheme="minorHAnsi"/>
                <w:b/>
                <w:bCs/>
                <w:color w:val="FFFFFF"/>
                <w:sz w:val="20"/>
                <w:szCs w:val="20"/>
                <w:lang w:eastAsia="en-GB"/>
              </w:rPr>
              <w:t>5</w:t>
            </w:r>
            <w:r w:rsidRPr="003D3FB7">
              <w:rPr>
                <w:rFonts w:eastAsia="Times New Roman" w:cstheme="minorHAnsi"/>
                <w:b/>
                <w:bCs/>
                <w:color w:val="FFFFFF"/>
                <w:sz w:val="20"/>
                <w:szCs w:val="20"/>
                <w:lang w:eastAsia="en-GB"/>
              </w:rPr>
              <w:t xml:space="preserve"> ME</w:t>
            </w:r>
          </w:p>
        </w:tc>
        <w:tc>
          <w:tcPr>
            <w:tcW w:w="992" w:type="dxa"/>
            <w:tcBorders>
              <w:top w:val="single" w:sz="8" w:space="0" w:color="auto"/>
              <w:left w:val="nil"/>
              <w:bottom w:val="nil"/>
              <w:right w:val="single" w:sz="4"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202</w:t>
            </w:r>
            <w:r w:rsidR="003D3FB7">
              <w:rPr>
                <w:rFonts w:eastAsia="Times New Roman" w:cstheme="minorHAnsi"/>
                <w:b/>
                <w:bCs/>
                <w:color w:val="FFFFFF"/>
                <w:sz w:val="20"/>
                <w:szCs w:val="20"/>
                <w:lang w:eastAsia="en-GB"/>
              </w:rPr>
              <w:t>3</w:t>
            </w:r>
            <w:r w:rsidRPr="00DB09D4">
              <w:rPr>
                <w:rFonts w:eastAsia="Times New Roman" w:cstheme="minorHAnsi"/>
                <w:b/>
                <w:bCs/>
                <w:color w:val="FFFFFF"/>
                <w:sz w:val="20"/>
                <w:szCs w:val="20"/>
                <w:lang w:eastAsia="en-GB"/>
              </w:rPr>
              <w:t>-24 Outturn</w:t>
            </w:r>
          </w:p>
        </w:tc>
        <w:tc>
          <w:tcPr>
            <w:tcW w:w="1985" w:type="dxa"/>
            <w:gridSpan w:val="2"/>
            <w:tcBorders>
              <w:top w:val="single" w:sz="8" w:space="0" w:color="auto"/>
              <w:left w:val="nil"/>
              <w:bottom w:val="nil"/>
              <w:right w:val="single" w:sz="8" w:space="0" w:color="000000"/>
            </w:tcBorders>
            <w:shd w:val="clear" w:color="000000" w:fill="532A45"/>
            <w:vAlign w:val="center"/>
            <w:hideMark/>
          </w:tcPr>
          <w:p w:rsidR="00791141" w:rsidRPr="00E84FCC"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Compared to</w:t>
            </w:r>
          </w:p>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2023-24 Outturn</w:t>
            </w:r>
          </w:p>
        </w:tc>
      </w:tr>
      <w:tr w:rsidTr="00E84FCC">
        <w:tblPrEx>
          <w:tblW w:w="8921" w:type="dxa"/>
          <w:tblLook w:val="04A0"/>
        </w:tblPrEx>
        <w:trPr>
          <w:trHeight w:val="274"/>
        </w:trPr>
        <w:tc>
          <w:tcPr>
            <w:tcW w:w="1833" w:type="dxa"/>
            <w:tcBorders>
              <w:top w:val="nil"/>
              <w:left w:val="single" w:sz="8" w:space="0" w:color="auto"/>
              <w:bottom w:val="single" w:sz="8" w:space="0" w:color="auto"/>
              <w:right w:val="nil"/>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p>
        </w:tc>
        <w:tc>
          <w:tcPr>
            <w:tcW w:w="1134" w:type="dxa"/>
            <w:tcBorders>
              <w:top w:val="nil"/>
              <w:left w:val="nil"/>
              <w:bottom w:val="single" w:sz="8" w:space="0" w:color="auto"/>
              <w:right w:val="single" w:sz="8"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£M</w:t>
            </w:r>
          </w:p>
        </w:tc>
        <w:tc>
          <w:tcPr>
            <w:tcW w:w="992" w:type="dxa"/>
            <w:tcBorders>
              <w:top w:val="nil"/>
              <w:left w:val="nil"/>
              <w:bottom w:val="single" w:sz="8" w:space="0" w:color="auto"/>
              <w:right w:val="single" w:sz="4"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£M</w:t>
            </w:r>
          </w:p>
        </w:tc>
        <w:tc>
          <w:tcPr>
            <w:tcW w:w="992" w:type="dxa"/>
            <w:tcBorders>
              <w:top w:val="nil"/>
              <w:left w:val="nil"/>
              <w:bottom w:val="single" w:sz="8" w:space="0" w:color="auto"/>
              <w:right w:val="nil"/>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£M</w:t>
            </w:r>
          </w:p>
        </w:tc>
        <w:tc>
          <w:tcPr>
            <w:tcW w:w="993" w:type="dxa"/>
            <w:tcBorders>
              <w:top w:val="nil"/>
              <w:left w:val="nil"/>
              <w:bottom w:val="single" w:sz="8" w:space="0" w:color="auto"/>
              <w:right w:val="single" w:sz="8"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w:t>
            </w:r>
          </w:p>
        </w:tc>
        <w:tc>
          <w:tcPr>
            <w:tcW w:w="992" w:type="dxa"/>
            <w:tcBorders>
              <w:top w:val="nil"/>
              <w:left w:val="nil"/>
              <w:bottom w:val="single" w:sz="8" w:space="0" w:color="auto"/>
              <w:right w:val="single" w:sz="4"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£M</w:t>
            </w:r>
          </w:p>
        </w:tc>
        <w:tc>
          <w:tcPr>
            <w:tcW w:w="992" w:type="dxa"/>
            <w:tcBorders>
              <w:top w:val="nil"/>
              <w:left w:val="nil"/>
              <w:bottom w:val="single" w:sz="8" w:space="0" w:color="auto"/>
              <w:right w:val="nil"/>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£M</w:t>
            </w:r>
          </w:p>
        </w:tc>
        <w:tc>
          <w:tcPr>
            <w:tcW w:w="993" w:type="dxa"/>
            <w:tcBorders>
              <w:top w:val="nil"/>
              <w:left w:val="nil"/>
              <w:bottom w:val="single" w:sz="8" w:space="0" w:color="auto"/>
              <w:right w:val="single" w:sz="8" w:space="0" w:color="auto"/>
            </w:tcBorders>
            <w:shd w:val="clear" w:color="000000" w:fill="532A45"/>
            <w:vAlign w:val="center"/>
            <w:hideMark/>
          </w:tcPr>
          <w:p w:rsidR="00DB09D4" w:rsidRPr="00DB09D4" w:rsidP="00E84FCC">
            <w:pPr>
              <w:spacing w:after="0" w:line="240" w:lineRule="auto"/>
              <w:jc w:val="center"/>
              <w:rPr>
                <w:rFonts w:eastAsia="Times New Roman" w:cstheme="minorHAnsi"/>
                <w:b/>
                <w:bCs/>
                <w:color w:val="FFFFFF"/>
                <w:sz w:val="20"/>
                <w:szCs w:val="20"/>
                <w:lang w:eastAsia="en-GB"/>
              </w:rPr>
            </w:pPr>
            <w:r w:rsidRPr="00DB09D4">
              <w:rPr>
                <w:rFonts w:eastAsia="Times New Roman" w:cstheme="minorHAnsi"/>
                <w:b/>
                <w:bCs/>
                <w:color w:val="FFFFFF"/>
                <w:sz w:val="20"/>
                <w:szCs w:val="20"/>
                <w:lang w:eastAsia="en-GB"/>
              </w:rPr>
              <w:t>%</w:t>
            </w:r>
          </w:p>
        </w:tc>
      </w:tr>
      <w:tr w:rsidTr="00E84FCC">
        <w:tblPrEx>
          <w:tblW w:w="8921" w:type="dxa"/>
          <w:tblLook w:val="04A0"/>
        </w:tblPrEx>
        <w:trPr>
          <w:trHeight w:val="270"/>
        </w:trPr>
        <w:tc>
          <w:tcPr>
            <w:tcW w:w="1833"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DB09D4" w:rsidRPr="00DB09D4" w:rsidP="00E84FCC">
            <w:pPr>
              <w:spacing w:after="0" w:line="240" w:lineRule="auto"/>
              <w:rPr>
                <w:rFonts w:eastAsia="Times New Roman" w:cstheme="minorHAnsi"/>
                <w:sz w:val="20"/>
                <w:szCs w:val="20"/>
                <w:lang w:eastAsia="en-GB"/>
              </w:rPr>
            </w:pPr>
            <w:r w:rsidRPr="00DB09D4">
              <w:rPr>
                <w:rFonts w:eastAsia="Times New Roman" w:cstheme="minorHAnsi"/>
                <w:sz w:val="20"/>
                <w:szCs w:val="20"/>
                <w:lang w:eastAsia="en-GB"/>
              </w:rPr>
              <w:t>Administration costs</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2,124</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2,042</w:t>
            </w:r>
          </w:p>
        </w:tc>
        <w:tc>
          <w:tcPr>
            <w:tcW w:w="992"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82</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4.0%</w:t>
            </w:r>
          </w:p>
        </w:tc>
        <w:tc>
          <w:tcPr>
            <w:tcW w:w="992" w:type="dxa"/>
            <w:tcBorders>
              <w:top w:val="nil"/>
              <w:left w:val="nil"/>
              <w:bottom w:val="single" w:sz="8" w:space="0" w:color="auto"/>
              <w:right w:val="single" w:sz="4"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1,928</w:t>
            </w:r>
          </w:p>
        </w:tc>
        <w:tc>
          <w:tcPr>
            <w:tcW w:w="992" w:type="dxa"/>
            <w:tcBorders>
              <w:top w:val="nil"/>
              <w:left w:val="nil"/>
              <w:bottom w:val="single" w:sz="8" w:space="0" w:color="auto"/>
              <w:right w:val="single" w:sz="4"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196</w:t>
            </w:r>
          </w:p>
        </w:tc>
        <w:tc>
          <w:tcPr>
            <w:tcW w:w="993" w:type="dxa"/>
            <w:tcBorders>
              <w:top w:val="nil"/>
              <w:left w:val="nil"/>
              <w:bottom w:val="single" w:sz="8" w:space="0" w:color="auto"/>
              <w:right w:val="single" w:sz="8" w:space="0" w:color="auto"/>
            </w:tcBorders>
            <w:shd w:val="clear" w:color="auto" w:fill="auto"/>
            <w:vAlign w:val="center"/>
            <w:hideMark/>
          </w:tcPr>
          <w:p w:rsidR="00DB09D4" w:rsidRPr="00DB09D4" w:rsidP="00E84FCC">
            <w:pPr>
              <w:spacing w:after="0" w:line="240" w:lineRule="auto"/>
              <w:jc w:val="center"/>
              <w:rPr>
                <w:rFonts w:eastAsia="Times New Roman" w:cstheme="minorHAnsi"/>
                <w:sz w:val="20"/>
                <w:szCs w:val="20"/>
                <w:lang w:eastAsia="en-GB"/>
              </w:rPr>
            </w:pPr>
            <w:r w:rsidRPr="00DB09D4">
              <w:rPr>
                <w:rFonts w:eastAsia="Times New Roman" w:cstheme="minorHAnsi"/>
                <w:sz w:val="20"/>
                <w:szCs w:val="20"/>
                <w:lang w:eastAsia="en-GB"/>
              </w:rPr>
              <w:t>10.2%</w:t>
            </w:r>
          </w:p>
        </w:tc>
      </w:tr>
    </w:tbl>
    <w:p w:rsidR="00DB09D4" w:rsidRPr="004D1476" w:rsidP="00D807ED">
      <w:pPr>
        <w:rPr>
          <w:lang w:eastAsia="en-GB"/>
        </w:rPr>
      </w:pPr>
    </w:p>
    <w:p w:rsidR="00E40AC2" w:rsidRPr="00B60986" w:rsidP="00F75001">
      <w:pPr>
        <w:pStyle w:val="Heading2"/>
        <w:rPr>
          <w:color w:val="13284C"/>
        </w:rPr>
      </w:pPr>
      <w:r w:rsidRPr="00B60986">
        <w:rPr>
          <w:rFonts w:asciiTheme="minorHAnsi" w:hAnsiTheme="minorHAnsi"/>
          <w:color w:val="13284C"/>
        </w:rPr>
        <w:t xml:space="preserve">Funding: Spending Review and Budgets </w:t>
      </w:r>
    </w:p>
    <w:p w:rsidR="00484623" w:rsidRPr="00DC3F01" w:rsidP="008E3326">
      <w:pPr>
        <w:rPr>
          <w:lang w:eastAsia="en-GB"/>
        </w:rPr>
      </w:pPr>
      <w:r w:rsidRPr="00DC3F01">
        <w:rPr>
          <w:lang w:eastAsia="en-GB"/>
        </w:rPr>
        <w:t xml:space="preserve">The levels of DEL funding for </w:t>
      </w:r>
      <w:r w:rsidRPr="00DC3F01" w:rsidR="00B16F93">
        <w:rPr>
          <w:lang w:eastAsia="en-GB"/>
        </w:rPr>
        <w:t>MOD</w:t>
      </w:r>
      <w:r w:rsidRPr="00DC3F01" w:rsidR="00683980">
        <w:rPr>
          <w:lang w:eastAsia="en-GB"/>
        </w:rPr>
        <w:t>,</w:t>
      </w:r>
      <w:r w:rsidRPr="00DC3F01" w:rsidR="00B16F93">
        <w:rPr>
          <w:lang w:eastAsia="en-GB"/>
        </w:rPr>
        <w:t xml:space="preserve"> </w:t>
      </w:r>
      <w:r w:rsidRPr="00DC3F01" w:rsidR="00683980">
        <w:rPr>
          <w:lang w:eastAsia="en-GB"/>
        </w:rPr>
        <w:t>in</w:t>
      </w:r>
      <w:r w:rsidRPr="00DC3F01">
        <w:rPr>
          <w:lang w:eastAsia="en-GB"/>
        </w:rPr>
        <w:t xml:space="preserve"> 20</w:t>
      </w:r>
      <w:r w:rsidRPr="00DC3F01" w:rsidR="00D00646">
        <w:rPr>
          <w:lang w:eastAsia="en-GB"/>
        </w:rPr>
        <w:t>2</w:t>
      </w:r>
      <w:r w:rsidRPr="00DC3F01" w:rsidR="00220C7D">
        <w:rPr>
          <w:lang w:eastAsia="en-GB"/>
        </w:rPr>
        <w:t>4</w:t>
      </w:r>
      <w:r w:rsidRPr="00DC3F01" w:rsidR="00D00646">
        <w:rPr>
          <w:lang w:eastAsia="en-GB"/>
        </w:rPr>
        <w:t>-2</w:t>
      </w:r>
      <w:r w:rsidRPr="00DC3F01" w:rsidR="00220C7D">
        <w:rPr>
          <w:lang w:eastAsia="en-GB"/>
        </w:rPr>
        <w:t>5</w:t>
      </w:r>
      <w:r w:rsidRPr="00DC3F01" w:rsidR="00683980">
        <w:rPr>
          <w:lang w:eastAsia="en-GB"/>
        </w:rPr>
        <w:t>,</w:t>
      </w:r>
      <w:r w:rsidRPr="00DC3F01" w:rsidR="006608C5">
        <w:rPr>
          <w:lang w:eastAsia="en-GB"/>
        </w:rPr>
        <w:t xml:space="preserve"> are based on </w:t>
      </w:r>
      <w:r w:rsidR="00467034">
        <w:rPr>
          <w:lang w:eastAsia="en-GB"/>
        </w:rPr>
        <w:t xml:space="preserve">Spending Review 25 </w:t>
      </w:r>
      <w:r w:rsidRPr="00DC3F01" w:rsidR="006608C5">
        <w:rPr>
          <w:lang w:eastAsia="en-GB"/>
        </w:rPr>
        <w:t>settlement for the Ministry of Defence</w:t>
      </w:r>
      <w:r w:rsidR="00467034">
        <w:rPr>
          <w:lang w:eastAsia="en-GB"/>
        </w:rPr>
        <w:t xml:space="preserve">. </w:t>
      </w:r>
      <w:r w:rsidRPr="00DC3F01" w:rsidR="00013F20">
        <w:rPr>
          <w:lang w:eastAsia="en-GB"/>
        </w:rPr>
        <w:t xml:space="preserve">Details </w:t>
      </w:r>
      <w:r w:rsidRPr="00DC3F01" w:rsidR="007E2A25">
        <w:rPr>
          <w:lang w:eastAsia="en-GB"/>
        </w:rPr>
        <w:t xml:space="preserve">of funding changes </w:t>
      </w:r>
      <w:r w:rsidRPr="00DC3F01" w:rsidR="006E7E20">
        <w:rPr>
          <w:lang w:eastAsia="en-GB"/>
        </w:rPr>
        <w:t xml:space="preserve">since Main Estimates </w:t>
      </w:r>
      <w:r w:rsidRPr="00DC3F01" w:rsidR="007E2A25">
        <w:rPr>
          <w:lang w:eastAsia="en-GB"/>
        </w:rPr>
        <w:t>are set out in</w:t>
      </w:r>
      <w:r w:rsidRPr="00DC3F01" w:rsidR="00141D1B">
        <w:rPr>
          <w:lang w:eastAsia="en-GB"/>
        </w:rPr>
        <w:t xml:space="preserve"> </w:t>
      </w:r>
      <w:r w:rsidRPr="00DC3F01" w:rsidR="007E2A25">
        <w:rPr>
          <w:lang w:eastAsia="en-GB"/>
        </w:rPr>
        <w:t>Table</w:t>
      </w:r>
      <w:r w:rsidRPr="00DC3F01" w:rsidR="0032525D">
        <w:rPr>
          <w:lang w:eastAsia="en-GB"/>
        </w:rPr>
        <w:t xml:space="preserve"> </w:t>
      </w:r>
      <w:r w:rsidRPr="00DC3F01" w:rsidR="00AD6C6C">
        <w:rPr>
          <w:lang w:eastAsia="en-GB"/>
        </w:rPr>
        <w:t>9</w:t>
      </w:r>
      <w:r w:rsidRPr="00DC3F01" w:rsidR="00216CEF">
        <w:rPr>
          <w:lang w:eastAsia="en-GB"/>
        </w:rPr>
        <w:t xml:space="preserve"> of this document</w:t>
      </w:r>
      <w:r w:rsidRPr="00DC3F01" w:rsidR="00141D1B">
        <w:rPr>
          <w:lang w:eastAsia="en-GB"/>
        </w:rPr>
        <w:t>.</w:t>
      </w:r>
    </w:p>
    <w:p w:rsidR="005D6384" w:rsidRPr="005E6058" w:rsidP="005D6384">
      <w:pPr>
        <w:pStyle w:val="Heading2"/>
        <w:rPr>
          <w:rFonts w:asciiTheme="minorHAnsi" w:hAnsiTheme="minorHAnsi"/>
          <w:color w:val="13284C"/>
        </w:rPr>
      </w:pPr>
      <w:r w:rsidRPr="005E6058">
        <w:rPr>
          <w:rFonts w:asciiTheme="minorHAnsi" w:hAnsiTheme="minorHAnsi"/>
          <w:color w:val="13284C"/>
        </w:rPr>
        <w:t xml:space="preserve">Other funding announcements </w:t>
      </w:r>
    </w:p>
    <w:p w:rsidR="0084123F" w:rsidRPr="00467034" w:rsidP="00F75001">
      <w:r w:rsidRPr="00467034">
        <w:rPr>
          <w:lang w:eastAsia="en-GB"/>
        </w:rPr>
        <w:t>Table 9 includes all budget changes for 2</w:t>
      </w:r>
      <w:r w:rsidRPr="00467034" w:rsidR="005E6058">
        <w:rPr>
          <w:lang w:eastAsia="en-GB"/>
        </w:rPr>
        <w:t>4/</w:t>
      </w:r>
      <w:r w:rsidRPr="00467034">
        <w:rPr>
          <w:lang w:eastAsia="en-GB"/>
        </w:rPr>
        <w:t>2</w:t>
      </w:r>
      <w:r w:rsidRPr="00467034" w:rsidR="005E6058">
        <w:rPr>
          <w:lang w:eastAsia="en-GB"/>
        </w:rPr>
        <w:t>5</w:t>
      </w:r>
      <w:r w:rsidRPr="00467034">
        <w:rPr>
          <w:lang w:eastAsia="en-GB"/>
        </w:rPr>
        <w:t>.</w:t>
      </w:r>
    </w:p>
    <w:p w:rsidR="00740C96" w:rsidRPr="001C7310" w:rsidP="00C33F82">
      <w:pPr>
        <w:pStyle w:val="Heading1"/>
        <w:rPr>
          <w:rFonts w:asciiTheme="minorHAnsi" w:hAnsiTheme="minorHAnsi"/>
          <w:color w:val="13284C"/>
        </w:rPr>
      </w:pPr>
      <w:r w:rsidRPr="00812827">
        <w:rPr>
          <w:rFonts w:asciiTheme="minorHAnsi" w:hAnsiTheme="minorHAnsi"/>
          <w:color w:val="13284C"/>
        </w:rPr>
        <w:t>Spending de</w:t>
      </w:r>
      <w:r w:rsidRPr="001C7310">
        <w:rPr>
          <w:rFonts w:asciiTheme="minorHAnsi" w:hAnsiTheme="minorHAnsi"/>
          <w:color w:val="13284C"/>
        </w:rPr>
        <w:t>tail</w:t>
      </w:r>
    </w:p>
    <w:p w:rsidR="006F30CB" w:rsidRPr="001C7310" w:rsidP="00C33F82">
      <w:pPr>
        <w:pStyle w:val="Heading2"/>
        <w:rPr>
          <w:rFonts w:asciiTheme="minorHAnsi" w:hAnsiTheme="minorHAnsi"/>
          <w:color w:val="13284C"/>
        </w:rPr>
      </w:pPr>
      <w:r w:rsidRPr="001C7310">
        <w:rPr>
          <w:rFonts w:asciiTheme="minorHAnsi" w:hAnsiTheme="minorHAnsi"/>
          <w:color w:val="13284C"/>
        </w:rPr>
        <w:t>Explanation</w:t>
      </w:r>
      <w:r w:rsidRPr="001C7310" w:rsidR="00EE5BFD">
        <w:rPr>
          <w:rFonts w:asciiTheme="minorHAnsi" w:hAnsiTheme="minorHAnsi"/>
          <w:color w:val="13284C"/>
        </w:rPr>
        <w:t>s</w:t>
      </w:r>
      <w:r w:rsidRPr="001C7310">
        <w:rPr>
          <w:rFonts w:asciiTheme="minorHAnsi" w:hAnsiTheme="minorHAnsi"/>
          <w:color w:val="13284C"/>
        </w:rPr>
        <w:t xml:space="preserve"> of changes in spending </w:t>
      </w:r>
    </w:p>
    <w:p w:rsidR="000720A2" w:rsidRPr="001C7310" w:rsidP="005935ED">
      <w:pPr>
        <w:pStyle w:val="Heading3"/>
        <w:rPr>
          <w:rFonts w:asciiTheme="minorHAnsi" w:hAnsiTheme="minorHAnsi"/>
          <w:color w:val="13284C"/>
        </w:rPr>
      </w:pPr>
      <w:r w:rsidRPr="001C7310">
        <w:rPr>
          <w:rFonts w:asciiTheme="minorHAnsi" w:hAnsiTheme="minorHAnsi"/>
          <w:color w:val="13284C"/>
        </w:rPr>
        <w:t>Resource DEL</w:t>
      </w:r>
      <w:r w:rsidRPr="001C7310" w:rsidR="00EC2B9F">
        <w:rPr>
          <w:rFonts w:asciiTheme="minorHAnsi" w:hAnsiTheme="minorHAnsi"/>
          <w:color w:val="13284C"/>
        </w:rPr>
        <w:t xml:space="preserve"> </w:t>
      </w:r>
    </w:p>
    <w:p w:rsidR="000720A2" w:rsidP="000720A2">
      <w:r w:rsidRPr="002C774F">
        <w:t xml:space="preserve">The table below shows how </w:t>
      </w:r>
      <w:r w:rsidRPr="002C774F" w:rsidR="008E3326">
        <w:t>MOD</w:t>
      </w:r>
      <w:r w:rsidRPr="002C774F" w:rsidR="00594756">
        <w:t xml:space="preserve">’s </w:t>
      </w:r>
      <w:r w:rsidRPr="002C774F">
        <w:t>spending plans for Resource DEL compare with</w:t>
      </w:r>
      <w:r w:rsidRPr="002C774F" w:rsidR="00D45C9A">
        <w:t xml:space="preserve"> </w:t>
      </w:r>
      <w:r w:rsidRPr="002C774F" w:rsidR="00D66F25">
        <w:t xml:space="preserve">earlier </w:t>
      </w:r>
      <w:r w:rsidRPr="002C774F" w:rsidR="00E44078">
        <w:t>this year</w:t>
      </w:r>
      <w:r w:rsidRPr="002C774F">
        <w:t xml:space="preserve">. </w:t>
      </w:r>
    </w:p>
    <w:p w:rsidR="00C3152B" w:rsidRPr="00C46403" w:rsidP="00C3152B">
      <w:pPr>
        <w:spacing w:after="0" w:line="240" w:lineRule="auto"/>
        <w:rPr>
          <w:rFonts w:eastAsia="Times New Roman" w:cstheme="minorHAnsi"/>
          <w:b/>
          <w:bCs/>
          <w:sz w:val="20"/>
          <w:szCs w:val="20"/>
          <w:lang w:eastAsia="en-GB"/>
        </w:rPr>
      </w:pPr>
      <w:r w:rsidRPr="00C46403">
        <w:rPr>
          <w:rFonts w:eastAsia="Times New Roman" w:cstheme="minorHAnsi"/>
          <w:b/>
          <w:bCs/>
          <w:sz w:val="20"/>
          <w:szCs w:val="20"/>
          <w:lang w:eastAsia="en-GB"/>
        </w:rPr>
        <w:t>Table 3: Supplementary Estimate total sought for MOD compared with 202</w:t>
      </w:r>
      <w:r w:rsidRPr="00C46403" w:rsidR="00FA120E">
        <w:rPr>
          <w:rFonts w:eastAsia="Times New Roman" w:cstheme="minorHAnsi"/>
          <w:b/>
          <w:bCs/>
          <w:sz w:val="20"/>
          <w:szCs w:val="20"/>
          <w:lang w:eastAsia="en-GB"/>
        </w:rPr>
        <w:t>4</w:t>
      </w:r>
      <w:r w:rsidRPr="00C46403">
        <w:rPr>
          <w:rFonts w:eastAsia="Times New Roman" w:cstheme="minorHAnsi"/>
          <w:b/>
          <w:bCs/>
          <w:sz w:val="20"/>
          <w:szCs w:val="20"/>
          <w:lang w:eastAsia="en-GB"/>
        </w:rPr>
        <w:t>-2</w:t>
      </w:r>
      <w:r w:rsidRPr="00C46403" w:rsidR="00FA120E">
        <w:rPr>
          <w:rFonts w:eastAsia="Times New Roman" w:cstheme="minorHAnsi"/>
          <w:b/>
          <w:bCs/>
          <w:sz w:val="20"/>
          <w:szCs w:val="20"/>
          <w:lang w:eastAsia="en-GB"/>
        </w:rPr>
        <w:t>5</w:t>
      </w:r>
      <w:r w:rsidRPr="00C46403">
        <w:rPr>
          <w:rFonts w:eastAsia="Times New Roman" w:cstheme="minorHAnsi"/>
          <w:b/>
          <w:bCs/>
          <w:sz w:val="20"/>
          <w:szCs w:val="20"/>
          <w:lang w:eastAsia="en-GB"/>
        </w:rPr>
        <w:t xml:space="preserve"> Main Estimate and 202</w:t>
      </w:r>
      <w:r w:rsidRPr="00C46403" w:rsidR="00C46403">
        <w:rPr>
          <w:rFonts w:eastAsia="Times New Roman" w:cstheme="minorHAnsi"/>
          <w:b/>
          <w:bCs/>
          <w:sz w:val="20"/>
          <w:szCs w:val="20"/>
          <w:lang w:eastAsia="en-GB"/>
        </w:rPr>
        <w:t>3</w:t>
      </w:r>
      <w:r w:rsidRPr="00C46403">
        <w:rPr>
          <w:rFonts w:eastAsia="Times New Roman" w:cstheme="minorHAnsi"/>
          <w:b/>
          <w:bCs/>
          <w:sz w:val="20"/>
          <w:szCs w:val="20"/>
          <w:lang w:eastAsia="en-GB"/>
        </w:rPr>
        <w:t>-2</w:t>
      </w:r>
      <w:r w:rsidRPr="00C46403" w:rsidR="00C46403">
        <w:rPr>
          <w:rFonts w:eastAsia="Times New Roman" w:cstheme="minorHAnsi"/>
          <w:b/>
          <w:bCs/>
          <w:sz w:val="20"/>
          <w:szCs w:val="20"/>
          <w:lang w:eastAsia="en-GB"/>
        </w:rPr>
        <w:t>4</w:t>
      </w:r>
      <w:r w:rsidRPr="00C46403">
        <w:rPr>
          <w:rFonts w:eastAsia="Times New Roman" w:cstheme="minorHAnsi"/>
          <w:b/>
          <w:bCs/>
          <w:sz w:val="20"/>
          <w:szCs w:val="20"/>
          <w:lang w:eastAsia="en-GB"/>
        </w:rPr>
        <w:t xml:space="preserve"> Outturn</w:t>
      </w:r>
    </w:p>
    <w:tbl>
      <w:tblPr>
        <w:tblW w:w="9020" w:type="dxa"/>
        <w:tblLayout w:type="fixed"/>
        <w:tblLook w:val="04A0"/>
      </w:tblPr>
      <w:tblGrid>
        <w:gridCol w:w="1124"/>
        <w:gridCol w:w="1804"/>
        <w:gridCol w:w="930"/>
        <w:gridCol w:w="930"/>
        <w:gridCol w:w="930"/>
        <w:gridCol w:w="843"/>
        <w:gridCol w:w="850"/>
        <w:gridCol w:w="844"/>
        <w:gridCol w:w="765"/>
      </w:tblGrid>
      <w:tr w:rsidTr="00FA120E">
        <w:tblPrEx>
          <w:tblW w:w="9020" w:type="dxa"/>
          <w:tblLayout w:type="fixed"/>
          <w:tblLook w:val="04A0"/>
        </w:tblPrEx>
        <w:trPr>
          <w:trHeight w:val="20"/>
        </w:trPr>
        <w:tc>
          <w:tcPr>
            <w:tcW w:w="2928" w:type="dxa"/>
            <w:gridSpan w:val="2"/>
            <w:tcBorders>
              <w:top w:val="single" w:sz="8" w:space="0" w:color="auto"/>
              <w:left w:val="single" w:sz="8" w:space="0" w:color="auto"/>
              <w:bottom w:val="nil"/>
              <w:right w:val="nil"/>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Resource DEL</w:t>
            </w:r>
          </w:p>
        </w:tc>
        <w:tc>
          <w:tcPr>
            <w:tcW w:w="930" w:type="dxa"/>
            <w:tcBorders>
              <w:top w:val="single" w:sz="8" w:space="0" w:color="auto"/>
              <w:left w:val="single" w:sz="4" w:space="0" w:color="auto"/>
              <w:bottom w:val="nil"/>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2024-25   SE</w:t>
            </w:r>
          </w:p>
        </w:tc>
        <w:tc>
          <w:tcPr>
            <w:tcW w:w="930" w:type="dxa"/>
            <w:tcBorders>
              <w:top w:val="single" w:sz="8" w:space="0" w:color="auto"/>
              <w:left w:val="nil"/>
              <w:bottom w:val="nil"/>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2024-25 ME</w:t>
            </w:r>
          </w:p>
        </w:tc>
        <w:tc>
          <w:tcPr>
            <w:tcW w:w="930" w:type="dxa"/>
            <w:tcBorders>
              <w:top w:val="single" w:sz="8" w:space="0" w:color="auto"/>
              <w:left w:val="nil"/>
              <w:bottom w:val="nil"/>
              <w:right w:val="nil"/>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2023-24 Outturn</w:t>
            </w:r>
          </w:p>
        </w:tc>
        <w:tc>
          <w:tcPr>
            <w:tcW w:w="1693" w:type="dxa"/>
            <w:gridSpan w:val="2"/>
            <w:tcBorders>
              <w:top w:val="single" w:sz="8" w:space="0" w:color="auto"/>
              <w:left w:val="single" w:sz="4" w:space="0" w:color="auto"/>
              <w:bottom w:val="nil"/>
              <w:right w:val="single" w:sz="8" w:space="0" w:color="000000"/>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Change from Main Estimate</w:t>
            </w:r>
          </w:p>
        </w:tc>
        <w:tc>
          <w:tcPr>
            <w:tcW w:w="1609" w:type="dxa"/>
            <w:gridSpan w:val="2"/>
            <w:tcBorders>
              <w:top w:val="single" w:sz="8" w:space="0" w:color="auto"/>
              <w:left w:val="single" w:sz="4" w:space="0" w:color="auto"/>
              <w:bottom w:val="nil"/>
              <w:right w:val="single" w:sz="8" w:space="0" w:color="000000"/>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Change from 2023-24 Outturn</w:t>
            </w:r>
          </w:p>
        </w:tc>
      </w:tr>
      <w:tr w:rsidTr="00FA120E">
        <w:tblPrEx>
          <w:tblW w:w="9020" w:type="dxa"/>
          <w:tblLayout w:type="fixed"/>
          <w:tblLook w:val="04A0"/>
        </w:tblPrEx>
        <w:trPr>
          <w:trHeight w:val="20"/>
        </w:trPr>
        <w:tc>
          <w:tcPr>
            <w:tcW w:w="1124" w:type="dxa"/>
            <w:tcBorders>
              <w:top w:val="nil"/>
              <w:left w:val="single" w:sz="8" w:space="0" w:color="auto"/>
              <w:bottom w:val="single" w:sz="8" w:space="0" w:color="auto"/>
              <w:right w:val="nil"/>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Subheads</w:t>
            </w:r>
          </w:p>
        </w:tc>
        <w:tc>
          <w:tcPr>
            <w:tcW w:w="1804" w:type="dxa"/>
            <w:tcBorders>
              <w:top w:val="nil"/>
              <w:left w:val="nil"/>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Commodity Block</w:t>
            </w:r>
          </w:p>
        </w:tc>
        <w:tc>
          <w:tcPr>
            <w:tcW w:w="930" w:type="dxa"/>
            <w:tcBorders>
              <w:top w:val="nil"/>
              <w:left w:val="nil"/>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£M</w:t>
            </w:r>
          </w:p>
        </w:tc>
        <w:tc>
          <w:tcPr>
            <w:tcW w:w="930" w:type="dxa"/>
            <w:tcBorders>
              <w:top w:val="nil"/>
              <w:left w:val="nil"/>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£M</w:t>
            </w:r>
          </w:p>
        </w:tc>
        <w:tc>
          <w:tcPr>
            <w:tcW w:w="930" w:type="dxa"/>
            <w:tcBorders>
              <w:top w:val="nil"/>
              <w:left w:val="nil"/>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£M</w:t>
            </w:r>
          </w:p>
        </w:tc>
        <w:tc>
          <w:tcPr>
            <w:tcW w:w="843" w:type="dxa"/>
            <w:tcBorders>
              <w:top w:val="nil"/>
              <w:left w:val="nil"/>
              <w:bottom w:val="single" w:sz="8" w:space="0" w:color="auto"/>
              <w:right w:val="nil"/>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£M</w:t>
            </w:r>
          </w:p>
        </w:tc>
        <w:tc>
          <w:tcPr>
            <w:tcW w:w="850" w:type="dxa"/>
            <w:tcBorders>
              <w:top w:val="nil"/>
              <w:left w:val="nil"/>
              <w:bottom w:val="single" w:sz="8" w:space="0" w:color="auto"/>
              <w:right w:val="single" w:sz="8"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w:t>
            </w:r>
          </w:p>
        </w:tc>
        <w:tc>
          <w:tcPr>
            <w:tcW w:w="844" w:type="dxa"/>
            <w:tcBorders>
              <w:top w:val="nil"/>
              <w:left w:val="nil"/>
              <w:bottom w:val="single" w:sz="8" w:space="0" w:color="auto"/>
              <w:right w:val="nil"/>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£M</w:t>
            </w:r>
          </w:p>
        </w:tc>
        <w:tc>
          <w:tcPr>
            <w:tcW w:w="765" w:type="dxa"/>
            <w:tcBorders>
              <w:top w:val="nil"/>
              <w:left w:val="nil"/>
              <w:bottom w:val="single" w:sz="8" w:space="0" w:color="auto"/>
              <w:right w:val="single" w:sz="8"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A, B</w:t>
            </w:r>
          </w:p>
        </w:tc>
        <w:tc>
          <w:tcPr>
            <w:tcW w:w="1804" w:type="dxa"/>
            <w:tcBorders>
              <w:top w:val="nil"/>
              <w:left w:val="nil"/>
              <w:bottom w:val="single" w:sz="4" w:space="0" w:color="auto"/>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Personnel Costs</w:t>
            </w:r>
          </w:p>
        </w:tc>
        <w:tc>
          <w:tcPr>
            <w:tcW w:w="930"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14,156.7</w:t>
            </w:r>
          </w:p>
        </w:tc>
        <w:tc>
          <w:tcPr>
            <w:tcW w:w="930"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13,844.5</w:t>
            </w:r>
          </w:p>
        </w:tc>
        <w:tc>
          <w:tcPr>
            <w:tcW w:w="930"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12,727.0</w:t>
            </w:r>
          </w:p>
        </w:tc>
        <w:tc>
          <w:tcPr>
            <w:tcW w:w="843"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312.2</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2.3%</w:t>
            </w:r>
          </w:p>
        </w:tc>
        <w:tc>
          <w:tcPr>
            <w:tcW w:w="844" w:type="dxa"/>
            <w:tcBorders>
              <w:top w:val="single" w:sz="4" w:space="0" w:color="auto"/>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1,429.7</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11.2%</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C</w:t>
            </w:r>
          </w:p>
        </w:tc>
        <w:tc>
          <w:tcPr>
            <w:tcW w:w="1804" w:type="dxa"/>
            <w:tcBorders>
              <w:top w:val="nil"/>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Infrastructure Costs</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4,780.6</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5,324.0</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5,036.4</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(543.4)</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(10.2%)</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(255.8)</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(5.1%)</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D</w:t>
            </w:r>
          </w:p>
        </w:tc>
        <w:tc>
          <w:tcPr>
            <w:tcW w:w="1804" w:type="dxa"/>
            <w:tcBorders>
              <w:top w:val="single" w:sz="4" w:space="0" w:color="auto"/>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Inventory Consumption</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1,448.2</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1,301.0</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1,502.9</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147.2</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11.3%</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(54.7)</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(3.6%)</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E</w:t>
            </w:r>
          </w:p>
        </w:tc>
        <w:tc>
          <w:tcPr>
            <w:tcW w:w="1804" w:type="dxa"/>
            <w:tcBorders>
              <w:top w:val="single" w:sz="4" w:space="0" w:color="auto"/>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Equipment Support Costs</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6,788.2</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5,835.5</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5,720.5</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952.7</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16.3%</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1,067.6</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18.7%</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F,G,I,M,Y,AB,AC</w:t>
            </w:r>
          </w:p>
        </w:tc>
        <w:tc>
          <w:tcPr>
            <w:tcW w:w="1804" w:type="dxa"/>
            <w:tcBorders>
              <w:top w:val="single" w:sz="4" w:space="0" w:color="auto"/>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Other Costs and Services*</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3,750.8</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1,891.1</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3,923.9</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1,859.7</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98.3%</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(173.1)</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(4.4%)</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AF,AG</w:t>
            </w:r>
          </w:p>
        </w:tc>
        <w:tc>
          <w:tcPr>
            <w:tcW w:w="1804" w:type="dxa"/>
            <w:tcBorders>
              <w:top w:val="single" w:sz="4" w:space="0" w:color="auto"/>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Defence Nuclear Enterprise Programme</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3,045.0</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2,909.0</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2,839.1</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136.0</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4.7%</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205.9</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7.3%</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N,O,Z,AD</w:t>
            </w:r>
          </w:p>
        </w:tc>
        <w:tc>
          <w:tcPr>
            <w:tcW w:w="1804" w:type="dxa"/>
            <w:tcBorders>
              <w:top w:val="single" w:sz="4" w:space="0" w:color="auto"/>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Administration Costs</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1,818.5</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1,762.0</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1,684.2</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56.5</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3.2%</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134.4</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8.0%</w:t>
            </w:r>
          </w:p>
        </w:tc>
      </w:tr>
      <w:tr w:rsidTr="00FA120E">
        <w:tblPrEx>
          <w:tblW w:w="9020" w:type="dxa"/>
          <w:tblLayout w:type="fixed"/>
          <w:tblLook w:val="04A0"/>
        </w:tblPrEx>
        <w:trPr>
          <w:trHeight w:val="20"/>
        </w:trPr>
        <w:tc>
          <w:tcPr>
            <w:tcW w:w="1124" w:type="dxa"/>
            <w:tcBorders>
              <w:top w:val="nil"/>
              <w:left w:val="single" w:sz="8" w:space="0" w:color="auto"/>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P-V,AD</w:t>
            </w:r>
          </w:p>
        </w:tc>
        <w:tc>
          <w:tcPr>
            <w:tcW w:w="1804" w:type="dxa"/>
            <w:tcBorders>
              <w:top w:val="single" w:sz="4" w:space="0" w:color="auto"/>
              <w:left w:val="nil"/>
              <w:bottom w:val="nil"/>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 xml:space="preserve">Operations and Peacekeeping (incl. </w:t>
            </w:r>
            <w:r w:rsidR="00F802D7">
              <w:rPr>
                <w:rFonts w:ascii="Calibri" w:eastAsia="Times New Roman" w:hAnsi="Calibri" w:cs="Calibri"/>
                <w:sz w:val="20"/>
                <w:szCs w:val="20"/>
                <w:lang w:eastAsia="en-GB"/>
              </w:rPr>
              <w:t>I</w:t>
            </w:r>
            <w:r w:rsidRPr="00FA120E">
              <w:rPr>
                <w:rFonts w:ascii="Calibri" w:eastAsia="Times New Roman" w:hAnsi="Calibri" w:cs="Calibri"/>
                <w:sz w:val="20"/>
                <w:szCs w:val="20"/>
                <w:lang w:eastAsia="en-GB"/>
              </w:rPr>
              <w:t>SF)</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1,824.1</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1,761.6</w:t>
            </w:r>
          </w:p>
        </w:tc>
        <w:tc>
          <w:tcPr>
            <w:tcW w:w="930"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1,352.2</w:t>
            </w:r>
          </w:p>
        </w:tc>
        <w:tc>
          <w:tcPr>
            <w:tcW w:w="843" w:type="dxa"/>
            <w:tcBorders>
              <w:top w:val="nil"/>
              <w:left w:val="single" w:sz="8" w:space="0" w:color="auto"/>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62.4</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3.5%</w:t>
            </w:r>
          </w:p>
        </w:tc>
        <w:tc>
          <w:tcPr>
            <w:tcW w:w="844" w:type="dxa"/>
            <w:tcBorders>
              <w:top w:val="nil"/>
              <w:left w:val="nil"/>
              <w:bottom w:val="single" w:sz="4"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471.8</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34.9%</w:t>
            </w:r>
          </w:p>
        </w:tc>
      </w:tr>
      <w:tr w:rsidTr="00FA120E">
        <w:tblPrEx>
          <w:tblW w:w="9020" w:type="dxa"/>
          <w:tblLayout w:type="fixed"/>
          <w:tblLook w:val="04A0"/>
        </w:tblPrEx>
        <w:trPr>
          <w:trHeight w:val="20"/>
        </w:trPr>
        <w:tc>
          <w:tcPr>
            <w:tcW w:w="1124" w:type="dxa"/>
            <w:tcBorders>
              <w:top w:val="nil"/>
              <w:left w:val="single" w:sz="8" w:space="0" w:color="auto"/>
              <w:bottom w:val="single" w:sz="8"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H</w:t>
            </w:r>
          </w:p>
        </w:tc>
        <w:tc>
          <w:tcPr>
            <w:tcW w:w="1804" w:type="dxa"/>
            <w:tcBorders>
              <w:top w:val="single" w:sz="4" w:space="0" w:color="auto"/>
              <w:left w:val="nil"/>
              <w:bottom w:val="single" w:sz="8" w:space="0" w:color="auto"/>
              <w:right w:val="single" w:sz="4" w:space="0" w:color="auto"/>
            </w:tcBorders>
            <w:shd w:val="clear" w:color="auto" w:fill="auto"/>
            <w:vAlign w:val="center"/>
            <w:hideMark/>
          </w:tcPr>
          <w:p w:rsidR="00FA120E" w:rsidRPr="00FA120E" w:rsidP="00FA120E">
            <w:pPr>
              <w:spacing w:after="0" w:line="240" w:lineRule="auto"/>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Depreciation and Impairments Costs</w:t>
            </w:r>
          </w:p>
        </w:tc>
        <w:tc>
          <w:tcPr>
            <w:tcW w:w="930" w:type="dxa"/>
            <w:tcBorders>
              <w:top w:val="nil"/>
              <w:left w:val="single" w:sz="8" w:space="0" w:color="auto"/>
              <w:bottom w:val="single" w:sz="8"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8,781.7</w:t>
            </w:r>
          </w:p>
        </w:tc>
        <w:tc>
          <w:tcPr>
            <w:tcW w:w="930" w:type="dxa"/>
            <w:tcBorders>
              <w:top w:val="nil"/>
              <w:left w:val="single" w:sz="8" w:space="0" w:color="auto"/>
              <w:bottom w:val="single" w:sz="8"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8,781.7</w:t>
            </w:r>
          </w:p>
        </w:tc>
        <w:tc>
          <w:tcPr>
            <w:tcW w:w="930" w:type="dxa"/>
            <w:tcBorders>
              <w:top w:val="nil"/>
              <w:left w:val="single" w:sz="8" w:space="0" w:color="auto"/>
              <w:bottom w:val="single" w:sz="8"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7,956.3</w:t>
            </w:r>
          </w:p>
        </w:tc>
        <w:tc>
          <w:tcPr>
            <w:tcW w:w="843" w:type="dxa"/>
            <w:tcBorders>
              <w:top w:val="nil"/>
              <w:left w:val="single" w:sz="8" w:space="0" w:color="auto"/>
              <w:bottom w:val="single" w:sz="8"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Pr>
                <w:rFonts w:ascii="Calibri" w:eastAsia="Times New Roman" w:hAnsi="Calibri" w:cs="Calibri"/>
                <w:sz w:val="20"/>
                <w:szCs w:val="20"/>
                <w:lang w:eastAsia="en-GB"/>
              </w:rPr>
              <w:t>0.0</w:t>
            </w:r>
          </w:p>
        </w:tc>
        <w:tc>
          <w:tcPr>
            <w:tcW w:w="850"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Pr>
                <w:rFonts w:ascii="Calibri" w:eastAsia="Times New Roman" w:hAnsi="Calibri" w:cs="Calibri"/>
                <w:sz w:val="20"/>
                <w:szCs w:val="20"/>
                <w:lang w:eastAsia="en-GB"/>
              </w:rPr>
              <w:t>0.0%</w:t>
            </w:r>
          </w:p>
        </w:tc>
        <w:tc>
          <w:tcPr>
            <w:tcW w:w="844" w:type="dxa"/>
            <w:tcBorders>
              <w:top w:val="nil"/>
              <w:left w:val="nil"/>
              <w:bottom w:val="single" w:sz="8" w:space="0" w:color="auto"/>
              <w:right w:val="single" w:sz="4" w:space="0" w:color="auto"/>
            </w:tcBorders>
            <w:shd w:val="clear" w:color="000000" w:fill="FFFFFF"/>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825.4</w:t>
            </w:r>
          </w:p>
        </w:tc>
        <w:tc>
          <w:tcPr>
            <w:tcW w:w="765" w:type="dxa"/>
            <w:tcBorders>
              <w:top w:val="nil"/>
              <w:left w:val="nil"/>
              <w:bottom w:val="single" w:sz="4" w:space="0" w:color="auto"/>
              <w:right w:val="single" w:sz="8" w:space="0" w:color="auto"/>
            </w:tcBorders>
            <w:shd w:val="clear" w:color="auto" w:fill="auto"/>
            <w:vAlign w:val="center"/>
            <w:hideMark/>
          </w:tcPr>
          <w:p w:rsidR="00FA120E" w:rsidRPr="00FA120E" w:rsidP="00FA120E">
            <w:pPr>
              <w:spacing w:after="0" w:line="240" w:lineRule="auto"/>
              <w:jc w:val="center"/>
              <w:rPr>
                <w:rFonts w:ascii="Calibri" w:eastAsia="Times New Roman" w:hAnsi="Calibri" w:cs="Calibri"/>
                <w:sz w:val="20"/>
                <w:szCs w:val="20"/>
                <w:lang w:eastAsia="en-GB"/>
              </w:rPr>
            </w:pPr>
            <w:r w:rsidRPr="00FA120E">
              <w:rPr>
                <w:rFonts w:ascii="Calibri" w:eastAsia="Times New Roman" w:hAnsi="Calibri" w:cs="Calibri"/>
                <w:sz w:val="20"/>
                <w:szCs w:val="20"/>
                <w:lang w:eastAsia="en-GB"/>
              </w:rPr>
              <w:t>10.4%</w:t>
            </w:r>
          </w:p>
        </w:tc>
      </w:tr>
      <w:tr w:rsidTr="00FA120E">
        <w:tblPrEx>
          <w:tblW w:w="9020" w:type="dxa"/>
          <w:tblLayout w:type="fixed"/>
          <w:tblLook w:val="04A0"/>
        </w:tblPrEx>
        <w:trPr>
          <w:trHeight w:val="20"/>
        </w:trPr>
        <w:tc>
          <w:tcPr>
            <w:tcW w:w="1124" w:type="dxa"/>
            <w:tcBorders>
              <w:top w:val="nil"/>
              <w:left w:val="nil"/>
              <w:bottom w:val="nil"/>
              <w:right w:val="nil"/>
            </w:tcBorders>
            <w:shd w:val="clear" w:color="auto" w:fill="auto"/>
            <w:noWrap/>
            <w:vAlign w:val="center"/>
            <w:hideMark/>
          </w:tcPr>
          <w:p w:rsidR="00FA120E" w:rsidRPr="00FA120E" w:rsidP="00FA120E">
            <w:pPr>
              <w:spacing w:after="0" w:line="240" w:lineRule="auto"/>
              <w:jc w:val="center"/>
              <w:rPr>
                <w:rFonts w:ascii="Calibri" w:eastAsia="Times New Roman" w:hAnsi="Calibri" w:cs="Calibri"/>
                <w:sz w:val="20"/>
                <w:szCs w:val="20"/>
                <w:lang w:eastAsia="en-GB"/>
              </w:rPr>
            </w:pPr>
          </w:p>
        </w:tc>
        <w:tc>
          <w:tcPr>
            <w:tcW w:w="1804" w:type="dxa"/>
            <w:tcBorders>
              <w:top w:val="nil"/>
              <w:left w:val="nil"/>
              <w:bottom w:val="nil"/>
              <w:right w:val="nil"/>
            </w:tcBorders>
            <w:shd w:val="clear" w:color="auto" w:fill="auto"/>
            <w:noWrap/>
            <w:vAlign w:val="center"/>
            <w:hideMark/>
          </w:tcPr>
          <w:p w:rsidR="00FA120E" w:rsidRPr="00FA120E" w:rsidP="00FA120E">
            <w:pPr>
              <w:spacing w:after="0" w:line="240" w:lineRule="auto"/>
              <w:jc w:val="center"/>
              <w:rPr>
                <w:rFonts w:ascii="Times New Roman" w:eastAsia="Times New Roman" w:hAnsi="Times New Roman" w:cs="Times New Roman"/>
                <w:sz w:val="20"/>
                <w:szCs w:val="20"/>
                <w:lang w:eastAsia="en-GB"/>
              </w:rPr>
            </w:pPr>
          </w:p>
        </w:tc>
        <w:tc>
          <w:tcPr>
            <w:tcW w:w="930" w:type="dxa"/>
            <w:tcBorders>
              <w:top w:val="nil"/>
              <w:left w:val="single" w:sz="8" w:space="0" w:color="auto"/>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46,393.7</w:t>
            </w:r>
          </w:p>
        </w:tc>
        <w:tc>
          <w:tcPr>
            <w:tcW w:w="930" w:type="dxa"/>
            <w:tcBorders>
              <w:top w:val="nil"/>
              <w:left w:val="single" w:sz="8" w:space="0" w:color="auto"/>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43,410.4</w:t>
            </w:r>
          </w:p>
        </w:tc>
        <w:tc>
          <w:tcPr>
            <w:tcW w:w="930" w:type="dxa"/>
            <w:tcBorders>
              <w:top w:val="nil"/>
              <w:left w:val="single" w:sz="8" w:space="0" w:color="auto"/>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42,742.5</w:t>
            </w:r>
          </w:p>
        </w:tc>
        <w:tc>
          <w:tcPr>
            <w:tcW w:w="843" w:type="dxa"/>
            <w:tcBorders>
              <w:top w:val="nil"/>
              <w:left w:val="single" w:sz="8" w:space="0" w:color="auto"/>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2,983.3</w:t>
            </w:r>
          </w:p>
        </w:tc>
        <w:tc>
          <w:tcPr>
            <w:tcW w:w="850" w:type="dxa"/>
            <w:tcBorders>
              <w:top w:val="nil"/>
              <w:left w:val="nil"/>
              <w:bottom w:val="single" w:sz="8" w:space="0" w:color="auto"/>
              <w:right w:val="single" w:sz="8"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6.9%</w:t>
            </w:r>
          </w:p>
        </w:tc>
        <w:tc>
          <w:tcPr>
            <w:tcW w:w="844" w:type="dxa"/>
            <w:tcBorders>
              <w:top w:val="nil"/>
              <w:left w:val="nil"/>
              <w:bottom w:val="single" w:sz="8" w:space="0" w:color="auto"/>
              <w:right w:val="single" w:sz="4"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3,651.2</w:t>
            </w:r>
          </w:p>
        </w:tc>
        <w:tc>
          <w:tcPr>
            <w:tcW w:w="765" w:type="dxa"/>
            <w:tcBorders>
              <w:top w:val="nil"/>
              <w:left w:val="nil"/>
              <w:bottom w:val="single" w:sz="8" w:space="0" w:color="auto"/>
              <w:right w:val="single" w:sz="8" w:space="0" w:color="auto"/>
            </w:tcBorders>
            <w:shd w:val="clear" w:color="000000" w:fill="532A45"/>
            <w:vAlign w:val="center"/>
            <w:hideMark/>
          </w:tcPr>
          <w:p w:rsidR="00FA120E" w:rsidRPr="00FA120E" w:rsidP="00FA120E">
            <w:pPr>
              <w:spacing w:after="0" w:line="240" w:lineRule="auto"/>
              <w:jc w:val="center"/>
              <w:rPr>
                <w:rFonts w:ascii="Calibri" w:eastAsia="Times New Roman" w:hAnsi="Calibri" w:cs="Calibri"/>
                <w:b/>
                <w:bCs/>
                <w:color w:val="FFFFFF"/>
                <w:sz w:val="20"/>
                <w:szCs w:val="20"/>
                <w:lang w:eastAsia="en-GB"/>
              </w:rPr>
            </w:pPr>
            <w:r w:rsidRPr="00FA120E">
              <w:rPr>
                <w:rFonts w:ascii="Calibri" w:eastAsia="Times New Roman" w:hAnsi="Calibri" w:cs="Calibri"/>
                <w:b/>
                <w:bCs/>
                <w:color w:val="FFFFFF"/>
                <w:sz w:val="20"/>
                <w:szCs w:val="20"/>
                <w:lang w:eastAsia="en-GB"/>
              </w:rPr>
              <w:t>8.5%</w:t>
            </w:r>
          </w:p>
        </w:tc>
      </w:tr>
    </w:tbl>
    <w:p w:rsidR="009E2F56" w:rsidRPr="00FA120E"/>
    <w:p w:rsidR="00C3152B" w:rsidRPr="00FA120E" w:rsidP="00C3152B">
      <w:pPr>
        <w:rPr>
          <w:i/>
          <w:sz w:val="16"/>
          <w:szCs w:val="16"/>
          <w:lang w:eastAsia="en-GB"/>
        </w:rPr>
      </w:pPr>
      <w:r w:rsidRPr="00FA120E">
        <w:rPr>
          <w:i/>
          <w:sz w:val="16"/>
          <w:szCs w:val="16"/>
          <w:lang w:eastAsia="en-GB"/>
        </w:rPr>
        <w:t>* Includes Other Costs and Services, Receipts and Other Income, Cash Release of Provisions, Research and Development Costs related      to Provision of Defence Capability, DE&amp;S (BTE) Costs, Arm's Length Bodies and War Pension Benefits Programme Costs.</w:t>
      </w:r>
    </w:p>
    <w:p w:rsidR="003229EE" w:rsidRPr="002020C7">
      <w:pPr>
        <w:rPr>
          <w:highlight w:val="yellow"/>
        </w:rPr>
      </w:pPr>
      <w:r w:rsidRPr="002B350E">
        <w:t xml:space="preserve">With this </w:t>
      </w:r>
      <w:r w:rsidRPr="002B350E" w:rsidR="00004C12">
        <w:t>Supplementary</w:t>
      </w:r>
      <w:r w:rsidRPr="002B350E" w:rsidR="00872E8F">
        <w:t xml:space="preserve"> E</w:t>
      </w:r>
      <w:r w:rsidRPr="002B350E" w:rsidR="00FD4119">
        <w:t>stimate</w:t>
      </w:r>
      <w:r w:rsidRPr="002B350E" w:rsidR="00480FA0">
        <w:t xml:space="preserve">, </w:t>
      </w:r>
      <w:r w:rsidRPr="002B350E" w:rsidR="0072016D">
        <w:t>c</w:t>
      </w:r>
      <w:r w:rsidRPr="002B350E" w:rsidR="007B4A52">
        <w:t>hanges have been made to the</w:t>
      </w:r>
      <w:r w:rsidRPr="002B350E" w:rsidR="0072016D">
        <w:t xml:space="preserve"> Resource</w:t>
      </w:r>
      <w:r w:rsidRPr="002B350E" w:rsidR="007B4A52">
        <w:t xml:space="preserve"> commodity </w:t>
      </w:r>
      <w:r w:rsidRPr="002B350E" w:rsidR="007076E4">
        <w:t>block cost allocations</w:t>
      </w:r>
      <w:r w:rsidRPr="002B350E" w:rsidR="0072016D">
        <w:t xml:space="preserve"> together with a DEL switch from Capital to Resource</w:t>
      </w:r>
      <w:r w:rsidRPr="002B350E" w:rsidR="006031E7">
        <w:t xml:space="preserve">. As stated </w:t>
      </w:r>
      <w:r w:rsidRPr="002B350E" w:rsidR="005A707A">
        <w:t xml:space="preserve">in the Main Estimate </w:t>
      </w:r>
      <w:r w:rsidRPr="002B350E" w:rsidR="00E5122A">
        <w:t>memorandum</w:t>
      </w:r>
      <w:r w:rsidRPr="002B350E" w:rsidR="00CF4DE1">
        <w:t xml:space="preserve">, the initial </w:t>
      </w:r>
      <w:r w:rsidRPr="002B350E" w:rsidR="004C03C6">
        <w:t xml:space="preserve">commodity </w:t>
      </w:r>
      <w:r w:rsidRPr="002B350E" w:rsidR="0063220D">
        <w:t xml:space="preserve">block cost </w:t>
      </w:r>
      <w:r w:rsidRPr="002B350E" w:rsidR="004A32D4">
        <w:t xml:space="preserve">allocations reflected </w:t>
      </w:r>
      <w:r w:rsidRPr="002B350E" w:rsidR="003B394A">
        <w:t xml:space="preserve">the latest </w:t>
      </w:r>
      <w:r w:rsidRPr="002B350E" w:rsidR="002A56F8">
        <w:t>information</w:t>
      </w:r>
      <w:r w:rsidRPr="002B350E" w:rsidR="009C2275">
        <w:t xml:space="preserve"> based</w:t>
      </w:r>
      <w:r w:rsidRPr="002B350E" w:rsidR="002A56F8">
        <w:t xml:space="preserve"> on</w:t>
      </w:r>
      <w:r w:rsidRPr="002B350E" w:rsidR="00F83E8B">
        <w:t xml:space="preserve"> the Department</w:t>
      </w:r>
      <w:r w:rsidRPr="002B350E" w:rsidR="00E8750E">
        <w:t>’s spending plans</w:t>
      </w:r>
      <w:r w:rsidRPr="002B350E" w:rsidR="00514DDD">
        <w:t xml:space="preserve"> for 20</w:t>
      </w:r>
      <w:r w:rsidRPr="002B350E" w:rsidR="00732473">
        <w:t>2</w:t>
      </w:r>
      <w:r w:rsidRPr="002B350E" w:rsidR="00E915E3">
        <w:t>4-</w:t>
      </w:r>
      <w:r w:rsidRPr="002B350E" w:rsidR="00DB6970">
        <w:t>2</w:t>
      </w:r>
      <w:r w:rsidRPr="002B350E" w:rsidR="00E915E3">
        <w:t>5</w:t>
      </w:r>
      <w:r w:rsidRPr="002B350E" w:rsidR="002A56F8">
        <w:t>.</w:t>
      </w:r>
      <w:r w:rsidRPr="002B350E" w:rsidR="00365592">
        <w:t xml:space="preserve"> </w:t>
      </w:r>
      <w:r w:rsidRPr="00FB1F19" w:rsidR="00365592">
        <w:t xml:space="preserve">The </w:t>
      </w:r>
      <w:r w:rsidRPr="00FB1F19" w:rsidR="00D13547">
        <w:t>changes in th</w:t>
      </w:r>
      <w:r w:rsidRPr="00FB1F19" w:rsidR="0039257D">
        <w:t xml:space="preserve">e Supplementary Estimate reflect the </w:t>
      </w:r>
      <w:r w:rsidRPr="00FB1F19" w:rsidR="0038208A">
        <w:t>current in-year forecast</w:t>
      </w:r>
      <w:r w:rsidRPr="00FB1F19" w:rsidR="00604F32">
        <w:t xml:space="preserve">, </w:t>
      </w:r>
      <w:r w:rsidRPr="00FB1F19" w:rsidR="00A76A74">
        <w:t xml:space="preserve">along with </w:t>
      </w:r>
      <w:r w:rsidRPr="00FB1F19" w:rsidR="00CD2D3C">
        <w:t xml:space="preserve">subsequent </w:t>
      </w:r>
      <w:r w:rsidRPr="00FB1F19" w:rsidR="00007ACA">
        <w:t xml:space="preserve">funding </w:t>
      </w:r>
      <w:r w:rsidRPr="00FB1F19" w:rsidR="00C058C3">
        <w:t>adjustments</w:t>
      </w:r>
      <w:r w:rsidRPr="00CA3EC1" w:rsidR="00FA7D57">
        <w:t xml:space="preserve">. </w:t>
      </w:r>
      <w:r w:rsidRPr="00CA3EC1" w:rsidR="00BC0517">
        <w:t>The main elements of the</w:t>
      </w:r>
      <w:r w:rsidRPr="00CA3EC1" w:rsidR="00B056CF">
        <w:t xml:space="preserve"> funding adjustments</w:t>
      </w:r>
      <w:r w:rsidRPr="00CA3EC1" w:rsidR="00BC0517">
        <w:t xml:space="preserve"> are:</w:t>
      </w:r>
    </w:p>
    <w:p w:rsidR="008112DB" w:rsidP="009D299C">
      <w:pPr>
        <w:pStyle w:val="ListParagraph"/>
        <w:numPr>
          <w:ilvl w:val="0"/>
          <w:numId w:val="6"/>
        </w:numPr>
      </w:pPr>
      <w:r w:rsidRPr="00ED46BB">
        <w:t>A</w:t>
      </w:r>
      <w:r w:rsidRPr="00ED46BB" w:rsidR="00442243">
        <w:t>n</w:t>
      </w:r>
      <w:r w:rsidRPr="00ED46BB" w:rsidR="00CC1C86">
        <w:t xml:space="preserve"> increase </w:t>
      </w:r>
      <w:r w:rsidRPr="00ED46BB">
        <w:t>for Operations and Peacekeeping</w:t>
      </w:r>
      <w:r w:rsidRPr="00ED46BB" w:rsidR="00477583">
        <w:t xml:space="preserve"> </w:t>
      </w:r>
      <w:r w:rsidRPr="00ED46BB">
        <w:t>of £</w:t>
      </w:r>
      <w:r w:rsidRPr="00ED46BB" w:rsidR="006F27EF">
        <w:t>50m</w:t>
      </w:r>
      <w:r w:rsidRPr="00ED46BB">
        <w:t xml:space="preserve"> to cover additional costs of operations</w:t>
      </w:r>
      <w:r w:rsidRPr="00ED46BB" w:rsidR="001F000B">
        <w:t>;</w:t>
      </w:r>
    </w:p>
    <w:p w:rsidR="00D07DD6" w:rsidRPr="00ED46BB" w:rsidP="009D299C">
      <w:pPr>
        <w:pStyle w:val="ListParagraph"/>
        <w:numPr>
          <w:ilvl w:val="0"/>
          <w:numId w:val="6"/>
        </w:numPr>
      </w:pPr>
      <w:r>
        <w:t xml:space="preserve">An increase for </w:t>
      </w:r>
      <w:r w:rsidR="00495B5D">
        <w:t>p</w:t>
      </w:r>
      <w:r>
        <w:t>rovision of Defence capability</w:t>
      </w:r>
      <w:r w:rsidR="00495B5D">
        <w:t xml:space="preserve"> of £250m;</w:t>
      </w:r>
    </w:p>
    <w:p w:rsidR="00BB234A" w:rsidRPr="00ED46BB" w:rsidP="009D299C">
      <w:pPr>
        <w:pStyle w:val="ListParagraph"/>
        <w:numPr>
          <w:ilvl w:val="0"/>
          <w:numId w:val="6"/>
        </w:numPr>
      </w:pPr>
      <w:r w:rsidRPr="00ED46BB">
        <w:t xml:space="preserve">Budget cover transfers </w:t>
      </w:r>
      <w:r w:rsidRPr="00ED46BB" w:rsidR="002D278F">
        <w:t>to</w:t>
      </w:r>
      <w:r w:rsidRPr="00ED46BB">
        <w:t>/from Other Government Departments (OGD</w:t>
      </w:r>
      <w:r w:rsidRPr="00ED46BB" w:rsidR="004E7F83">
        <w:t>s</w:t>
      </w:r>
      <w:r w:rsidRPr="00ED46BB">
        <w:t xml:space="preserve">) totalling </w:t>
      </w:r>
      <w:r w:rsidRPr="00ED46BB" w:rsidR="00266C1A">
        <w:t>(</w:t>
      </w:r>
      <w:r w:rsidRPr="00ED46BB">
        <w:t>£</w:t>
      </w:r>
      <w:r w:rsidRPr="00ED46BB" w:rsidR="00E6393D">
        <w:t>4</w:t>
      </w:r>
      <w:r w:rsidRPr="00ED46BB" w:rsidR="00ED46BB">
        <w:t>3</w:t>
      </w:r>
      <w:r w:rsidRPr="00ED46BB" w:rsidR="00266C1A">
        <w:t>m)</w:t>
      </w:r>
      <w:r w:rsidRPr="00ED46BB" w:rsidR="008E7880">
        <w:t>;</w:t>
      </w:r>
    </w:p>
    <w:p w:rsidR="008E7880" w:rsidRPr="00ED46BB" w:rsidP="009D299C">
      <w:pPr>
        <w:pStyle w:val="ListParagraph"/>
        <w:numPr>
          <w:ilvl w:val="0"/>
          <w:numId w:val="6"/>
        </w:numPr>
      </w:pPr>
      <w:r w:rsidRPr="00ED46BB">
        <w:t>Uplifts f</w:t>
      </w:r>
      <w:r w:rsidRPr="00ED46BB" w:rsidR="004D02A3">
        <w:t xml:space="preserve">rom </w:t>
      </w:r>
      <w:r w:rsidRPr="00ED46BB">
        <w:t>Reserve</w:t>
      </w:r>
      <w:r w:rsidRPr="00ED46BB" w:rsidR="004D02A3">
        <w:t xml:space="preserve"> for</w:t>
      </w:r>
      <w:r w:rsidRPr="00ED46BB">
        <w:t xml:space="preserve"> A</w:t>
      </w:r>
      <w:r w:rsidRPr="00ED46BB" w:rsidR="00343C12">
        <w:t xml:space="preserve">fghan </w:t>
      </w:r>
      <w:r w:rsidRPr="00ED46BB" w:rsidR="005526C6">
        <w:t xml:space="preserve">Relocations and Assistance Policy (ARAP), totalling </w:t>
      </w:r>
      <w:r w:rsidRPr="00ED46BB" w:rsidR="0020794C">
        <w:t>£</w:t>
      </w:r>
      <w:r w:rsidRPr="00ED46BB" w:rsidR="00D42E01">
        <w:t>288m</w:t>
      </w:r>
      <w:r w:rsidRPr="00ED46BB" w:rsidR="0020794C">
        <w:t>;</w:t>
      </w:r>
    </w:p>
    <w:p w:rsidR="0061636D" w:rsidRPr="00ED46BB" w:rsidP="009D299C">
      <w:pPr>
        <w:pStyle w:val="ListParagraph"/>
        <w:numPr>
          <w:ilvl w:val="0"/>
          <w:numId w:val="6"/>
        </w:numPr>
      </w:pPr>
      <w:r w:rsidRPr="00ED46BB">
        <w:t>Uplift of £</w:t>
      </w:r>
      <w:r w:rsidRPr="00ED46BB" w:rsidR="00D42E01">
        <w:t xml:space="preserve">120m </w:t>
      </w:r>
      <w:r w:rsidRPr="00ED46BB">
        <w:t xml:space="preserve">for </w:t>
      </w:r>
      <w:r w:rsidRPr="00ED46BB" w:rsidR="00D42E01">
        <w:t>the Defence Nuclear Enterprise</w:t>
      </w:r>
      <w:r w:rsidRPr="00ED46BB" w:rsidR="00FB6114">
        <w:t>;</w:t>
      </w:r>
      <w:r w:rsidRPr="00ED46BB" w:rsidR="00D65C41">
        <w:t xml:space="preserve"> </w:t>
      </w:r>
    </w:p>
    <w:p w:rsidR="00D42E01" w:rsidRPr="00ED46BB" w:rsidP="009D299C">
      <w:pPr>
        <w:pStyle w:val="ListParagraph"/>
        <w:numPr>
          <w:ilvl w:val="0"/>
          <w:numId w:val="6"/>
        </w:numPr>
      </w:pPr>
      <w:r w:rsidRPr="00ED46BB">
        <w:t xml:space="preserve">The </w:t>
      </w:r>
      <w:r w:rsidRPr="00ED46BB" w:rsidR="004408D1">
        <w:t>transfer in of Office for Veterans' Affairs (OVA) from Cabinet Office £19m</w:t>
      </w:r>
    </w:p>
    <w:p w:rsidR="006F1616" w:rsidRPr="00ED46BB" w:rsidP="009D299C">
      <w:pPr>
        <w:pStyle w:val="ListParagraph"/>
        <w:numPr>
          <w:ilvl w:val="0"/>
          <w:numId w:val="6"/>
        </w:numPr>
      </w:pPr>
      <w:r w:rsidRPr="00ED46BB">
        <w:t xml:space="preserve">Cash Forecasting Fine </w:t>
      </w:r>
      <w:r w:rsidR="00430CFC">
        <w:t>(</w:t>
      </w:r>
      <w:r w:rsidRPr="00ED46BB" w:rsidR="004F32D0">
        <w:t>£</w:t>
      </w:r>
      <w:r w:rsidRPr="00ED46BB" w:rsidR="00D42E01">
        <w:t>1m</w:t>
      </w:r>
      <w:r w:rsidR="00430CFC">
        <w:t>)</w:t>
      </w:r>
      <w:r w:rsidRPr="00ED46BB">
        <w:t>; and</w:t>
      </w:r>
    </w:p>
    <w:p w:rsidR="005766DD" w:rsidRPr="00ED46BB" w:rsidP="009D299C">
      <w:pPr>
        <w:pStyle w:val="ListParagraph"/>
        <w:numPr>
          <w:ilvl w:val="0"/>
          <w:numId w:val="6"/>
        </w:numPr>
      </w:pPr>
      <w:r w:rsidRPr="00ED46BB">
        <w:t xml:space="preserve">A budget switch of </w:t>
      </w:r>
      <w:r w:rsidRPr="00ED46BB" w:rsidR="004F32D0">
        <w:t>£</w:t>
      </w:r>
      <w:r w:rsidR="0098439A">
        <w:t>2</w:t>
      </w:r>
      <w:r w:rsidRPr="00ED46BB" w:rsidR="001C416E">
        <w:t>,</w:t>
      </w:r>
      <w:r w:rsidRPr="00ED46BB" w:rsidR="00D42E01">
        <w:t>300</w:t>
      </w:r>
      <w:r w:rsidRPr="00ED46BB" w:rsidR="001C416E">
        <w:t>m from Capital to Resource.</w:t>
      </w:r>
    </w:p>
    <w:p w:rsidR="003F445D" w:rsidRPr="002020C7" w:rsidP="003F445D">
      <w:pPr>
        <w:pStyle w:val="ListParagraph"/>
        <w:rPr>
          <w:highlight w:val="yellow"/>
        </w:rPr>
      </w:pPr>
    </w:p>
    <w:p w:rsidR="00D3272A" w:rsidRPr="00812827" w:rsidP="001C24B7">
      <w:pPr>
        <w:pStyle w:val="Heading3"/>
        <w:rPr>
          <w:rFonts w:asciiTheme="minorHAnsi" w:hAnsiTheme="minorHAnsi"/>
          <w:color w:val="13284C"/>
        </w:rPr>
      </w:pPr>
      <w:r w:rsidRPr="00812827">
        <w:rPr>
          <w:rFonts w:asciiTheme="minorHAnsi" w:hAnsiTheme="minorHAnsi"/>
          <w:color w:val="13284C"/>
        </w:rPr>
        <w:t>Capital DEL</w:t>
      </w:r>
    </w:p>
    <w:p w:rsidR="00D3272A" w:rsidP="00D3272A">
      <w:r w:rsidRPr="00812827">
        <w:t xml:space="preserve">The table below shows how spending plans for </w:t>
      </w:r>
      <w:r w:rsidRPr="00812827" w:rsidR="00EE5BFD">
        <w:t>Capital DEL</w:t>
      </w:r>
      <w:r w:rsidRPr="00812827">
        <w:t xml:space="preserve"> compare with </w:t>
      </w:r>
      <w:r w:rsidRPr="00812827" w:rsidR="0059727C">
        <w:t>the M</w:t>
      </w:r>
      <w:r w:rsidRPr="00812827" w:rsidR="00C93C31">
        <w:t>ain</w:t>
      </w:r>
      <w:r w:rsidRPr="00812827" w:rsidR="00D45C9A">
        <w:t xml:space="preserve"> Estimate</w:t>
      </w:r>
      <w:r w:rsidRPr="00812827">
        <w:t xml:space="preserve">. </w:t>
      </w:r>
    </w:p>
    <w:p w:rsidR="008F34CB" w:rsidRPr="00D52E0E" w:rsidP="00D3272A">
      <w:pPr>
        <w:rPr>
          <w:rFonts w:cstheme="minorHAnsi"/>
        </w:rPr>
      </w:pPr>
      <w:r w:rsidRPr="00D52E0E">
        <w:rPr>
          <w:rFonts w:eastAsia="Times New Roman" w:cstheme="minorHAnsi"/>
          <w:b/>
          <w:bCs/>
          <w:sz w:val="20"/>
          <w:szCs w:val="20"/>
          <w:lang w:eastAsia="en-GB"/>
        </w:rPr>
        <w:t>Table 4: Supplementary Estimate total sought for MOD compared with Main Estimate 202</w:t>
      </w:r>
      <w:r w:rsidRPr="00D52E0E" w:rsidR="00D52E0E">
        <w:rPr>
          <w:rFonts w:eastAsia="Times New Roman" w:cstheme="minorHAnsi"/>
          <w:b/>
          <w:bCs/>
          <w:sz w:val="20"/>
          <w:szCs w:val="20"/>
          <w:lang w:eastAsia="en-GB"/>
        </w:rPr>
        <w:t>4</w:t>
      </w:r>
      <w:r w:rsidRPr="00D52E0E">
        <w:rPr>
          <w:rFonts w:eastAsia="Times New Roman" w:cstheme="minorHAnsi"/>
          <w:b/>
          <w:bCs/>
          <w:sz w:val="20"/>
          <w:szCs w:val="20"/>
          <w:lang w:eastAsia="en-GB"/>
        </w:rPr>
        <w:t>-2</w:t>
      </w:r>
      <w:r w:rsidRPr="00D52E0E" w:rsidR="00D52E0E">
        <w:rPr>
          <w:rFonts w:eastAsia="Times New Roman" w:cstheme="minorHAnsi"/>
          <w:b/>
          <w:bCs/>
          <w:sz w:val="20"/>
          <w:szCs w:val="20"/>
          <w:lang w:eastAsia="en-GB"/>
        </w:rPr>
        <w:t>5</w:t>
      </w:r>
      <w:r w:rsidRPr="00D52E0E">
        <w:rPr>
          <w:rFonts w:eastAsia="Times New Roman" w:cstheme="minorHAnsi"/>
          <w:b/>
          <w:bCs/>
          <w:sz w:val="20"/>
          <w:szCs w:val="20"/>
          <w:lang w:eastAsia="en-GB"/>
        </w:rPr>
        <w:t xml:space="preserve"> and 202</w:t>
      </w:r>
      <w:r w:rsidRPr="00D52E0E" w:rsidR="00D52E0E">
        <w:rPr>
          <w:rFonts w:eastAsia="Times New Roman" w:cstheme="minorHAnsi"/>
          <w:b/>
          <w:bCs/>
          <w:sz w:val="20"/>
          <w:szCs w:val="20"/>
          <w:lang w:eastAsia="en-GB"/>
        </w:rPr>
        <w:t>3</w:t>
      </w:r>
      <w:r w:rsidRPr="00D52E0E">
        <w:rPr>
          <w:rFonts w:eastAsia="Times New Roman" w:cstheme="minorHAnsi"/>
          <w:b/>
          <w:bCs/>
          <w:sz w:val="20"/>
          <w:szCs w:val="20"/>
          <w:lang w:eastAsia="en-GB"/>
        </w:rPr>
        <w:t>-2</w:t>
      </w:r>
      <w:r w:rsidRPr="00D52E0E" w:rsidR="00D52E0E">
        <w:rPr>
          <w:rFonts w:eastAsia="Times New Roman" w:cstheme="minorHAnsi"/>
          <w:b/>
          <w:bCs/>
          <w:sz w:val="20"/>
          <w:szCs w:val="20"/>
          <w:lang w:eastAsia="en-GB"/>
        </w:rPr>
        <w:t>4</w:t>
      </w:r>
      <w:r w:rsidRPr="00D52E0E">
        <w:rPr>
          <w:rFonts w:eastAsia="Times New Roman" w:cstheme="minorHAnsi"/>
          <w:b/>
          <w:bCs/>
          <w:sz w:val="20"/>
          <w:szCs w:val="20"/>
          <w:lang w:eastAsia="en-GB"/>
        </w:rPr>
        <w:t xml:space="preserve"> Outturn</w:t>
      </w:r>
    </w:p>
    <w:tbl>
      <w:tblPr>
        <w:tblW w:w="9181" w:type="dxa"/>
        <w:tblLayout w:type="fixed"/>
        <w:tblLook w:val="04A0"/>
      </w:tblPr>
      <w:tblGrid>
        <w:gridCol w:w="1020"/>
        <w:gridCol w:w="1522"/>
        <w:gridCol w:w="945"/>
        <w:gridCol w:w="945"/>
        <w:gridCol w:w="945"/>
        <w:gridCol w:w="951"/>
        <w:gridCol w:w="951"/>
        <w:gridCol w:w="224"/>
        <w:gridCol w:w="727"/>
        <w:gridCol w:w="951"/>
      </w:tblGrid>
      <w:tr w:rsidTr="00B73AE6">
        <w:tblPrEx>
          <w:tblW w:w="9181" w:type="dxa"/>
          <w:tblLayout w:type="fixed"/>
          <w:tblLook w:val="04A0"/>
        </w:tblPrEx>
        <w:trPr>
          <w:trHeight w:val="20"/>
        </w:trPr>
        <w:tc>
          <w:tcPr>
            <w:tcW w:w="2542" w:type="dxa"/>
            <w:gridSpan w:val="2"/>
            <w:tcBorders>
              <w:top w:val="single" w:sz="8" w:space="0" w:color="auto"/>
              <w:left w:val="single" w:sz="8" w:space="0" w:color="auto"/>
              <w:bottom w:val="nil"/>
              <w:right w:val="nil"/>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Capital DEL</w:t>
            </w:r>
          </w:p>
        </w:tc>
        <w:tc>
          <w:tcPr>
            <w:tcW w:w="945" w:type="dxa"/>
            <w:tcBorders>
              <w:top w:val="single" w:sz="8" w:space="0" w:color="auto"/>
              <w:left w:val="single" w:sz="4" w:space="0" w:color="auto"/>
              <w:bottom w:val="nil"/>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2024-25</w:t>
            </w:r>
            <w:r w:rsidR="00471DB4">
              <w:rPr>
                <w:rFonts w:ascii="Calibri" w:eastAsia="Times New Roman" w:hAnsi="Calibri" w:cs="Calibri"/>
                <w:b/>
                <w:bCs/>
                <w:color w:val="FFFFFF"/>
                <w:sz w:val="20"/>
                <w:szCs w:val="20"/>
                <w:lang w:eastAsia="en-GB"/>
              </w:rPr>
              <w:t xml:space="preserve"> </w:t>
            </w:r>
            <w:r w:rsidRPr="00284C63">
              <w:rPr>
                <w:rFonts w:ascii="Calibri" w:eastAsia="Times New Roman" w:hAnsi="Calibri" w:cs="Calibri"/>
                <w:b/>
                <w:bCs/>
                <w:color w:val="FFFFFF"/>
                <w:sz w:val="20"/>
                <w:szCs w:val="20"/>
                <w:lang w:eastAsia="en-GB"/>
              </w:rPr>
              <w:t>SE</w:t>
            </w:r>
          </w:p>
        </w:tc>
        <w:tc>
          <w:tcPr>
            <w:tcW w:w="945" w:type="dxa"/>
            <w:tcBorders>
              <w:top w:val="single" w:sz="8" w:space="0" w:color="auto"/>
              <w:left w:val="nil"/>
              <w:bottom w:val="nil"/>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2024-25 ME</w:t>
            </w:r>
          </w:p>
        </w:tc>
        <w:tc>
          <w:tcPr>
            <w:tcW w:w="945" w:type="dxa"/>
            <w:tcBorders>
              <w:top w:val="single" w:sz="8" w:space="0" w:color="auto"/>
              <w:left w:val="nil"/>
              <w:bottom w:val="nil"/>
              <w:right w:val="nil"/>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2023-24 Outturn</w:t>
            </w:r>
          </w:p>
        </w:tc>
        <w:tc>
          <w:tcPr>
            <w:tcW w:w="2126" w:type="dxa"/>
            <w:gridSpan w:val="3"/>
            <w:tcBorders>
              <w:top w:val="single" w:sz="8" w:space="0" w:color="auto"/>
              <w:left w:val="single" w:sz="4" w:space="0" w:color="auto"/>
              <w:bottom w:val="nil"/>
              <w:right w:val="single" w:sz="8" w:space="0" w:color="000000"/>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Change from Main Estimate</w:t>
            </w:r>
          </w:p>
        </w:tc>
        <w:tc>
          <w:tcPr>
            <w:tcW w:w="1678" w:type="dxa"/>
            <w:gridSpan w:val="2"/>
            <w:tcBorders>
              <w:top w:val="single" w:sz="8" w:space="0" w:color="auto"/>
              <w:left w:val="single" w:sz="4" w:space="0" w:color="auto"/>
              <w:bottom w:val="nil"/>
              <w:right w:val="single" w:sz="8" w:space="0" w:color="000000"/>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Change from 2023-24 Outturn</w:t>
            </w:r>
          </w:p>
        </w:tc>
      </w:tr>
      <w:tr w:rsidTr="00B73AE6">
        <w:tblPrEx>
          <w:tblW w:w="9181" w:type="dxa"/>
          <w:tblLayout w:type="fixed"/>
          <w:tblLook w:val="04A0"/>
        </w:tblPrEx>
        <w:trPr>
          <w:trHeight w:val="20"/>
        </w:trPr>
        <w:tc>
          <w:tcPr>
            <w:tcW w:w="1020" w:type="dxa"/>
            <w:tcBorders>
              <w:top w:val="nil"/>
              <w:left w:val="single" w:sz="8" w:space="0" w:color="auto"/>
              <w:bottom w:val="single" w:sz="8" w:space="0" w:color="auto"/>
              <w:right w:val="nil"/>
            </w:tcBorders>
            <w:shd w:val="clear" w:color="000000" w:fill="532A45"/>
            <w:vAlign w:val="center"/>
            <w:hideMark/>
          </w:tcPr>
          <w:p w:rsidR="00284C63" w:rsidRPr="00284C63" w:rsidP="00284C63">
            <w:pPr>
              <w:spacing w:after="0" w:line="240" w:lineRule="auto"/>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Subheads</w:t>
            </w:r>
          </w:p>
        </w:tc>
        <w:tc>
          <w:tcPr>
            <w:tcW w:w="1522" w:type="dxa"/>
            <w:tcBorders>
              <w:top w:val="nil"/>
              <w:left w:val="nil"/>
              <w:bottom w:val="single" w:sz="8" w:space="0" w:color="auto"/>
              <w:right w:val="single" w:sz="4" w:space="0" w:color="auto"/>
            </w:tcBorders>
            <w:shd w:val="clear" w:color="000000" w:fill="532A45"/>
            <w:vAlign w:val="center"/>
            <w:hideMark/>
          </w:tcPr>
          <w:p w:rsidR="00284C63" w:rsidRPr="00284C63" w:rsidP="00284C63">
            <w:pPr>
              <w:spacing w:after="0" w:line="240" w:lineRule="auto"/>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Commodity Block</w:t>
            </w:r>
          </w:p>
        </w:tc>
        <w:tc>
          <w:tcPr>
            <w:tcW w:w="945" w:type="dxa"/>
            <w:tcBorders>
              <w:top w:val="nil"/>
              <w:left w:val="nil"/>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£M</w:t>
            </w:r>
          </w:p>
        </w:tc>
        <w:tc>
          <w:tcPr>
            <w:tcW w:w="945" w:type="dxa"/>
            <w:tcBorders>
              <w:top w:val="nil"/>
              <w:left w:val="nil"/>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£M</w:t>
            </w:r>
          </w:p>
        </w:tc>
        <w:tc>
          <w:tcPr>
            <w:tcW w:w="945" w:type="dxa"/>
            <w:tcBorders>
              <w:top w:val="nil"/>
              <w:left w:val="nil"/>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£M</w:t>
            </w:r>
          </w:p>
        </w:tc>
        <w:tc>
          <w:tcPr>
            <w:tcW w:w="951" w:type="dxa"/>
            <w:tcBorders>
              <w:top w:val="nil"/>
              <w:left w:val="nil"/>
              <w:bottom w:val="single" w:sz="8" w:space="0" w:color="auto"/>
              <w:right w:val="nil"/>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£M</w:t>
            </w:r>
          </w:p>
        </w:tc>
        <w:tc>
          <w:tcPr>
            <w:tcW w:w="951" w:type="dxa"/>
            <w:tcBorders>
              <w:top w:val="nil"/>
              <w:left w:val="nil"/>
              <w:bottom w:val="single" w:sz="8" w:space="0" w:color="auto"/>
              <w:right w:val="single" w:sz="8"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w:t>
            </w:r>
          </w:p>
        </w:tc>
        <w:tc>
          <w:tcPr>
            <w:tcW w:w="951" w:type="dxa"/>
            <w:gridSpan w:val="2"/>
            <w:tcBorders>
              <w:top w:val="nil"/>
              <w:left w:val="nil"/>
              <w:bottom w:val="single" w:sz="8" w:space="0" w:color="auto"/>
              <w:right w:val="nil"/>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£M</w:t>
            </w:r>
          </w:p>
        </w:tc>
        <w:tc>
          <w:tcPr>
            <w:tcW w:w="951" w:type="dxa"/>
            <w:tcBorders>
              <w:top w:val="nil"/>
              <w:left w:val="nil"/>
              <w:bottom w:val="single" w:sz="8" w:space="0" w:color="auto"/>
              <w:right w:val="single" w:sz="8"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w:t>
            </w:r>
          </w:p>
        </w:tc>
      </w:tr>
      <w:tr w:rsidTr="00B73AE6">
        <w:tblPrEx>
          <w:tblW w:w="9181" w:type="dxa"/>
          <w:tblLayout w:type="fixed"/>
          <w:tblLook w:val="04A0"/>
        </w:tblPrEx>
        <w:trPr>
          <w:trHeight w:val="20"/>
        </w:trPr>
        <w:tc>
          <w:tcPr>
            <w:tcW w:w="1020" w:type="dxa"/>
            <w:tcBorders>
              <w:top w:val="nil"/>
              <w:left w:val="single" w:sz="8" w:space="0" w:color="auto"/>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J</w:t>
            </w:r>
          </w:p>
        </w:tc>
        <w:tc>
          <w:tcPr>
            <w:tcW w:w="1522" w:type="dxa"/>
            <w:tcBorders>
              <w:top w:val="nil"/>
              <w:left w:val="nil"/>
              <w:bottom w:val="single" w:sz="4" w:space="0" w:color="auto"/>
              <w:right w:val="single" w:sz="4" w:space="0" w:color="auto"/>
            </w:tcBorders>
            <w:shd w:val="clear" w:color="auto" w:fill="auto"/>
            <w:vAlign w:val="center"/>
            <w:hideMark/>
          </w:tcPr>
          <w:p w:rsidR="00284C63" w:rsidRPr="00284C63" w:rsidP="00284C63">
            <w:pPr>
              <w:spacing w:after="0" w:line="240" w:lineRule="auto"/>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Single Use Military Equipment</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5,067.6</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5,238.0</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4,919.7</w:t>
            </w:r>
          </w:p>
        </w:tc>
        <w:tc>
          <w:tcPr>
            <w:tcW w:w="951"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(170.4)</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(3.3%)</w:t>
            </w:r>
          </w:p>
        </w:tc>
        <w:tc>
          <w:tcPr>
            <w:tcW w:w="951" w:type="dxa"/>
            <w:gridSpan w:val="2"/>
            <w:tcBorders>
              <w:top w:val="nil"/>
              <w:left w:val="nil"/>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147.9</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3.0%</w:t>
            </w:r>
          </w:p>
        </w:tc>
      </w:tr>
      <w:tr w:rsidTr="00B73AE6">
        <w:tblPrEx>
          <w:tblW w:w="9181" w:type="dxa"/>
          <w:tblLayout w:type="fixed"/>
          <w:tblLook w:val="04A0"/>
        </w:tblPrEx>
        <w:trPr>
          <w:trHeight w:val="20"/>
        </w:trPr>
        <w:tc>
          <w:tcPr>
            <w:tcW w:w="1020" w:type="dxa"/>
            <w:tcBorders>
              <w:top w:val="nil"/>
              <w:left w:val="single" w:sz="8" w:space="0" w:color="auto"/>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L,K,Z,AB</w:t>
            </w:r>
          </w:p>
        </w:tc>
        <w:tc>
          <w:tcPr>
            <w:tcW w:w="1522" w:type="dxa"/>
            <w:tcBorders>
              <w:top w:val="nil"/>
              <w:left w:val="nil"/>
              <w:bottom w:val="nil"/>
              <w:right w:val="single" w:sz="4" w:space="0" w:color="auto"/>
            </w:tcBorders>
            <w:shd w:val="clear" w:color="auto" w:fill="auto"/>
            <w:vAlign w:val="center"/>
            <w:hideMark/>
          </w:tcPr>
          <w:p w:rsidR="00284C63" w:rsidRPr="00284C63" w:rsidP="00284C63">
            <w:pPr>
              <w:spacing w:after="0" w:line="240" w:lineRule="auto"/>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Other Capital (Fiscal)</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5,601.3</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4,075.9</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4,129.3</w:t>
            </w:r>
          </w:p>
        </w:tc>
        <w:tc>
          <w:tcPr>
            <w:tcW w:w="951"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1,525.4</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37.4%</w:t>
            </w:r>
          </w:p>
        </w:tc>
        <w:tc>
          <w:tcPr>
            <w:tcW w:w="951" w:type="dxa"/>
            <w:gridSpan w:val="2"/>
            <w:tcBorders>
              <w:top w:val="nil"/>
              <w:left w:val="nil"/>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1,472.0</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35.6%</w:t>
            </w:r>
          </w:p>
        </w:tc>
      </w:tr>
      <w:tr w:rsidTr="00B73AE6">
        <w:tblPrEx>
          <w:tblW w:w="9181" w:type="dxa"/>
          <w:tblLayout w:type="fixed"/>
          <w:tblLook w:val="04A0"/>
        </w:tblPrEx>
        <w:trPr>
          <w:trHeight w:val="20"/>
        </w:trPr>
        <w:tc>
          <w:tcPr>
            <w:tcW w:w="1020" w:type="dxa"/>
            <w:tcBorders>
              <w:top w:val="nil"/>
              <w:left w:val="single" w:sz="8" w:space="0" w:color="auto"/>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Y</w:t>
            </w:r>
          </w:p>
        </w:tc>
        <w:tc>
          <w:tcPr>
            <w:tcW w:w="1522" w:type="dxa"/>
            <w:tcBorders>
              <w:top w:val="single" w:sz="4" w:space="0" w:color="auto"/>
              <w:left w:val="nil"/>
              <w:bottom w:val="nil"/>
              <w:right w:val="single" w:sz="4" w:space="0" w:color="auto"/>
            </w:tcBorders>
            <w:shd w:val="clear" w:color="auto" w:fill="auto"/>
            <w:vAlign w:val="center"/>
            <w:hideMark/>
          </w:tcPr>
          <w:p w:rsidR="00284C63" w:rsidRPr="00284C63" w:rsidP="00284C63">
            <w:pPr>
              <w:spacing w:after="0" w:line="240" w:lineRule="auto"/>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Research and Development</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2,592.0</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3,032.0</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2,265.8</w:t>
            </w:r>
          </w:p>
        </w:tc>
        <w:tc>
          <w:tcPr>
            <w:tcW w:w="951"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(440.0)</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(14.5%)</w:t>
            </w:r>
          </w:p>
        </w:tc>
        <w:tc>
          <w:tcPr>
            <w:tcW w:w="951" w:type="dxa"/>
            <w:gridSpan w:val="2"/>
            <w:tcBorders>
              <w:top w:val="nil"/>
              <w:left w:val="nil"/>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326.2</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14.4%</w:t>
            </w:r>
          </w:p>
        </w:tc>
      </w:tr>
      <w:tr w:rsidTr="00B73AE6">
        <w:tblPrEx>
          <w:tblW w:w="9181" w:type="dxa"/>
          <w:tblLayout w:type="fixed"/>
          <w:tblLook w:val="04A0"/>
        </w:tblPrEx>
        <w:trPr>
          <w:trHeight w:val="20"/>
        </w:trPr>
        <w:tc>
          <w:tcPr>
            <w:tcW w:w="1020" w:type="dxa"/>
            <w:tcBorders>
              <w:top w:val="nil"/>
              <w:left w:val="single" w:sz="8" w:space="0" w:color="auto"/>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W,X</w:t>
            </w:r>
          </w:p>
        </w:tc>
        <w:tc>
          <w:tcPr>
            <w:tcW w:w="1522" w:type="dxa"/>
            <w:tcBorders>
              <w:top w:val="single" w:sz="4" w:space="0" w:color="auto"/>
              <w:left w:val="nil"/>
              <w:bottom w:val="nil"/>
              <w:right w:val="single" w:sz="4" w:space="0" w:color="auto"/>
            </w:tcBorders>
            <w:shd w:val="clear" w:color="auto" w:fill="auto"/>
            <w:vAlign w:val="center"/>
            <w:hideMark/>
          </w:tcPr>
          <w:p w:rsidR="00284C63" w:rsidRPr="00284C63" w:rsidP="00284C63">
            <w:pPr>
              <w:spacing w:after="0" w:line="240" w:lineRule="auto"/>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Operations and Peacekeeping</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1,596.8</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1,540.0</w:t>
            </w:r>
          </w:p>
        </w:tc>
        <w:tc>
          <w:tcPr>
            <w:tcW w:w="945"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1,218.7</w:t>
            </w:r>
          </w:p>
        </w:tc>
        <w:tc>
          <w:tcPr>
            <w:tcW w:w="951" w:type="dxa"/>
            <w:tcBorders>
              <w:top w:val="nil"/>
              <w:left w:val="single" w:sz="8" w:space="0" w:color="auto"/>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56.8</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3.7%</w:t>
            </w:r>
          </w:p>
        </w:tc>
        <w:tc>
          <w:tcPr>
            <w:tcW w:w="951" w:type="dxa"/>
            <w:gridSpan w:val="2"/>
            <w:tcBorders>
              <w:top w:val="nil"/>
              <w:left w:val="nil"/>
              <w:bottom w:val="single" w:sz="4"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378.1</w:t>
            </w:r>
          </w:p>
        </w:tc>
        <w:tc>
          <w:tcPr>
            <w:tcW w:w="951" w:type="dxa"/>
            <w:tcBorders>
              <w:top w:val="nil"/>
              <w:left w:val="nil"/>
              <w:bottom w:val="single" w:sz="4"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31.0%</w:t>
            </w:r>
          </w:p>
        </w:tc>
      </w:tr>
      <w:tr w:rsidTr="00B73AE6">
        <w:tblPrEx>
          <w:tblW w:w="9181" w:type="dxa"/>
          <w:tblLayout w:type="fixed"/>
          <w:tblLook w:val="04A0"/>
        </w:tblPrEx>
        <w:trPr>
          <w:trHeight w:val="20"/>
        </w:trPr>
        <w:tc>
          <w:tcPr>
            <w:tcW w:w="1020" w:type="dxa"/>
            <w:tcBorders>
              <w:top w:val="nil"/>
              <w:left w:val="single" w:sz="8" w:space="0" w:color="auto"/>
              <w:bottom w:val="single" w:sz="8"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AC</w:t>
            </w:r>
          </w:p>
        </w:tc>
        <w:tc>
          <w:tcPr>
            <w:tcW w:w="1522" w:type="dxa"/>
            <w:tcBorders>
              <w:top w:val="single" w:sz="4" w:space="0" w:color="auto"/>
              <w:left w:val="nil"/>
              <w:bottom w:val="single" w:sz="8" w:space="0" w:color="auto"/>
              <w:right w:val="single" w:sz="4" w:space="0" w:color="auto"/>
            </w:tcBorders>
            <w:shd w:val="clear" w:color="auto" w:fill="auto"/>
            <w:vAlign w:val="center"/>
            <w:hideMark/>
          </w:tcPr>
          <w:p w:rsidR="00284C63" w:rsidRPr="00284C63" w:rsidP="00284C63">
            <w:pPr>
              <w:spacing w:after="0" w:line="240" w:lineRule="auto"/>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Defence Nuclear Enterprise</w:t>
            </w:r>
          </w:p>
        </w:tc>
        <w:tc>
          <w:tcPr>
            <w:tcW w:w="945" w:type="dxa"/>
            <w:tcBorders>
              <w:top w:val="nil"/>
              <w:left w:val="single" w:sz="8" w:space="0" w:color="auto"/>
              <w:bottom w:val="single" w:sz="8"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7,846.0</w:t>
            </w:r>
          </w:p>
        </w:tc>
        <w:tc>
          <w:tcPr>
            <w:tcW w:w="945" w:type="dxa"/>
            <w:tcBorders>
              <w:top w:val="nil"/>
              <w:left w:val="single" w:sz="8" w:space="0" w:color="auto"/>
              <w:bottom w:val="single" w:sz="8"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7,868.0</w:t>
            </w:r>
          </w:p>
        </w:tc>
        <w:tc>
          <w:tcPr>
            <w:tcW w:w="945" w:type="dxa"/>
            <w:tcBorders>
              <w:top w:val="nil"/>
              <w:left w:val="single" w:sz="8" w:space="0" w:color="auto"/>
              <w:bottom w:val="single" w:sz="8"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Pr>
                <w:rFonts w:ascii="Calibri" w:eastAsia="Times New Roman" w:hAnsi="Calibri" w:cs="Calibri"/>
                <w:sz w:val="20"/>
                <w:szCs w:val="20"/>
                <w:lang w:eastAsia="en-GB"/>
              </w:rPr>
              <w:t>0.0</w:t>
            </w:r>
            <w:r w:rsidRPr="00284C63">
              <w:rPr>
                <w:rFonts w:ascii="Calibri" w:eastAsia="Times New Roman" w:hAnsi="Calibri" w:cs="Calibri"/>
                <w:sz w:val="20"/>
                <w:szCs w:val="20"/>
                <w:lang w:eastAsia="en-GB"/>
              </w:rPr>
              <w:t> </w:t>
            </w:r>
          </w:p>
        </w:tc>
        <w:tc>
          <w:tcPr>
            <w:tcW w:w="951" w:type="dxa"/>
            <w:tcBorders>
              <w:top w:val="nil"/>
              <w:left w:val="single" w:sz="8" w:space="0" w:color="auto"/>
              <w:bottom w:val="single" w:sz="8"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(22.0)</w:t>
            </w:r>
          </w:p>
        </w:tc>
        <w:tc>
          <w:tcPr>
            <w:tcW w:w="951" w:type="dxa"/>
            <w:tcBorders>
              <w:top w:val="nil"/>
              <w:left w:val="nil"/>
              <w:bottom w:val="single" w:sz="8"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(0.3%)</w:t>
            </w:r>
          </w:p>
        </w:tc>
        <w:tc>
          <w:tcPr>
            <w:tcW w:w="951" w:type="dxa"/>
            <w:gridSpan w:val="2"/>
            <w:tcBorders>
              <w:top w:val="nil"/>
              <w:left w:val="nil"/>
              <w:bottom w:val="single" w:sz="8" w:space="0" w:color="auto"/>
              <w:right w:val="single" w:sz="4" w:space="0" w:color="auto"/>
            </w:tcBorders>
            <w:shd w:val="clear" w:color="000000" w:fill="FFFFFF"/>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22.0</w:t>
            </w:r>
          </w:p>
        </w:tc>
        <w:tc>
          <w:tcPr>
            <w:tcW w:w="951" w:type="dxa"/>
            <w:tcBorders>
              <w:top w:val="nil"/>
              <w:left w:val="nil"/>
              <w:bottom w:val="single" w:sz="8" w:space="0" w:color="auto"/>
              <w:right w:val="single" w:sz="8" w:space="0" w:color="auto"/>
            </w:tcBorders>
            <w:shd w:val="clear" w:color="auto" w:fill="auto"/>
            <w:vAlign w:val="center"/>
            <w:hideMark/>
          </w:tcPr>
          <w:p w:rsidR="00284C63" w:rsidRPr="00284C63" w:rsidP="00284C63">
            <w:pPr>
              <w:spacing w:after="0" w:line="240" w:lineRule="auto"/>
              <w:jc w:val="center"/>
              <w:rPr>
                <w:rFonts w:ascii="Calibri" w:eastAsia="Times New Roman" w:hAnsi="Calibri" w:cs="Calibri"/>
                <w:sz w:val="20"/>
                <w:szCs w:val="20"/>
                <w:lang w:eastAsia="en-GB"/>
              </w:rPr>
            </w:pPr>
            <w:r w:rsidRPr="00284C63">
              <w:rPr>
                <w:rFonts w:ascii="Calibri" w:eastAsia="Times New Roman" w:hAnsi="Calibri" w:cs="Calibri"/>
                <w:sz w:val="20"/>
                <w:szCs w:val="20"/>
                <w:lang w:eastAsia="en-GB"/>
              </w:rPr>
              <w:t>(100.0%)</w:t>
            </w:r>
          </w:p>
        </w:tc>
      </w:tr>
      <w:tr w:rsidTr="00B73AE6">
        <w:tblPrEx>
          <w:tblW w:w="9181" w:type="dxa"/>
          <w:tblLayout w:type="fixed"/>
          <w:tblLook w:val="04A0"/>
        </w:tblPrEx>
        <w:trPr>
          <w:trHeight w:val="20"/>
        </w:trPr>
        <w:tc>
          <w:tcPr>
            <w:tcW w:w="1020" w:type="dxa"/>
            <w:tcBorders>
              <w:top w:val="nil"/>
              <w:left w:val="nil"/>
              <w:bottom w:val="nil"/>
              <w:right w:val="nil"/>
            </w:tcBorders>
            <w:shd w:val="clear" w:color="auto" w:fill="auto"/>
            <w:noWrap/>
            <w:vAlign w:val="center"/>
            <w:hideMark/>
          </w:tcPr>
          <w:p w:rsidR="00284C63" w:rsidRPr="00284C63" w:rsidP="00284C63">
            <w:pPr>
              <w:spacing w:after="0" w:line="240" w:lineRule="auto"/>
              <w:jc w:val="center"/>
              <w:rPr>
                <w:rFonts w:ascii="Calibri" w:eastAsia="Times New Roman" w:hAnsi="Calibri" w:cs="Calibri"/>
                <w:sz w:val="20"/>
                <w:szCs w:val="20"/>
                <w:lang w:eastAsia="en-GB"/>
              </w:rPr>
            </w:pPr>
          </w:p>
        </w:tc>
        <w:tc>
          <w:tcPr>
            <w:tcW w:w="1522" w:type="dxa"/>
            <w:tcBorders>
              <w:top w:val="nil"/>
              <w:left w:val="nil"/>
              <w:bottom w:val="nil"/>
              <w:right w:val="nil"/>
            </w:tcBorders>
            <w:shd w:val="clear" w:color="auto" w:fill="auto"/>
            <w:noWrap/>
            <w:vAlign w:val="center"/>
            <w:hideMark/>
          </w:tcPr>
          <w:p w:rsidR="00284C63" w:rsidRPr="00284C63" w:rsidP="00284C63">
            <w:pPr>
              <w:spacing w:after="0" w:line="240" w:lineRule="auto"/>
              <w:rPr>
                <w:rFonts w:ascii="Times New Roman" w:eastAsia="Times New Roman" w:hAnsi="Times New Roman" w:cs="Times New Roman"/>
                <w:sz w:val="20"/>
                <w:szCs w:val="20"/>
                <w:lang w:eastAsia="en-GB"/>
              </w:rPr>
            </w:pPr>
          </w:p>
        </w:tc>
        <w:tc>
          <w:tcPr>
            <w:tcW w:w="945" w:type="dxa"/>
            <w:tcBorders>
              <w:top w:val="nil"/>
              <w:left w:val="single" w:sz="8" w:space="0" w:color="auto"/>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22,703.6</w:t>
            </w:r>
          </w:p>
        </w:tc>
        <w:tc>
          <w:tcPr>
            <w:tcW w:w="945" w:type="dxa"/>
            <w:tcBorders>
              <w:top w:val="nil"/>
              <w:left w:val="single" w:sz="8" w:space="0" w:color="auto"/>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21,753.9</w:t>
            </w:r>
          </w:p>
        </w:tc>
        <w:tc>
          <w:tcPr>
            <w:tcW w:w="945" w:type="dxa"/>
            <w:tcBorders>
              <w:top w:val="nil"/>
              <w:left w:val="single" w:sz="8" w:space="0" w:color="auto"/>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12,533.4</w:t>
            </w:r>
          </w:p>
        </w:tc>
        <w:tc>
          <w:tcPr>
            <w:tcW w:w="951" w:type="dxa"/>
            <w:tcBorders>
              <w:top w:val="nil"/>
              <w:left w:val="single" w:sz="8" w:space="0" w:color="auto"/>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949.7</w:t>
            </w:r>
          </w:p>
        </w:tc>
        <w:tc>
          <w:tcPr>
            <w:tcW w:w="951" w:type="dxa"/>
            <w:tcBorders>
              <w:top w:val="nil"/>
              <w:left w:val="nil"/>
              <w:bottom w:val="single" w:sz="8" w:space="0" w:color="auto"/>
              <w:right w:val="single" w:sz="8"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4.4%</w:t>
            </w:r>
          </w:p>
        </w:tc>
        <w:tc>
          <w:tcPr>
            <w:tcW w:w="951" w:type="dxa"/>
            <w:gridSpan w:val="2"/>
            <w:tcBorders>
              <w:top w:val="nil"/>
              <w:left w:val="nil"/>
              <w:bottom w:val="single" w:sz="8" w:space="0" w:color="auto"/>
              <w:right w:val="single" w:sz="4"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2,346.3</w:t>
            </w:r>
          </w:p>
        </w:tc>
        <w:tc>
          <w:tcPr>
            <w:tcW w:w="951" w:type="dxa"/>
            <w:tcBorders>
              <w:top w:val="nil"/>
              <w:left w:val="nil"/>
              <w:bottom w:val="single" w:sz="8" w:space="0" w:color="auto"/>
              <w:right w:val="single" w:sz="8" w:space="0" w:color="auto"/>
            </w:tcBorders>
            <w:shd w:val="clear" w:color="000000" w:fill="532A45"/>
            <w:vAlign w:val="center"/>
            <w:hideMark/>
          </w:tcPr>
          <w:p w:rsidR="00284C63" w:rsidRPr="00284C63" w:rsidP="00284C63">
            <w:pPr>
              <w:spacing w:after="0" w:line="240" w:lineRule="auto"/>
              <w:jc w:val="center"/>
              <w:rPr>
                <w:rFonts w:ascii="Calibri" w:eastAsia="Times New Roman" w:hAnsi="Calibri" w:cs="Calibri"/>
                <w:b/>
                <w:bCs/>
                <w:color w:val="FFFFFF"/>
                <w:sz w:val="20"/>
                <w:szCs w:val="20"/>
                <w:lang w:eastAsia="en-GB"/>
              </w:rPr>
            </w:pPr>
            <w:r w:rsidRPr="00284C63">
              <w:rPr>
                <w:rFonts w:ascii="Calibri" w:eastAsia="Times New Roman" w:hAnsi="Calibri" w:cs="Calibri"/>
                <w:b/>
                <w:bCs/>
                <w:color w:val="FFFFFF"/>
                <w:sz w:val="20"/>
                <w:szCs w:val="20"/>
                <w:lang w:eastAsia="en-GB"/>
              </w:rPr>
              <w:t>18.7%</w:t>
            </w:r>
          </w:p>
        </w:tc>
      </w:tr>
    </w:tbl>
    <w:p w:rsidR="003D1C11" w:rsidRPr="002020C7" w:rsidP="00E41281">
      <w:pPr>
        <w:rPr>
          <w:highlight w:val="yellow"/>
        </w:rPr>
      </w:pPr>
    </w:p>
    <w:p w:rsidR="00C22D32" w:rsidRPr="006549B4" w:rsidP="006549B4">
      <w:r w:rsidRPr="00901629">
        <w:t>With this</w:t>
      </w:r>
      <w:r w:rsidRPr="00901629" w:rsidR="00CA52F4">
        <w:t xml:space="preserve"> Supplementary </w:t>
      </w:r>
      <w:r w:rsidRPr="00901629" w:rsidR="003007D1">
        <w:t xml:space="preserve">Estimate, </w:t>
      </w:r>
      <w:r w:rsidRPr="00901629" w:rsidR="008E6905">
        <w:t>changes have been made to the</w:t>
      </w:r>
      <w:r w:rsidRPr="00901629" w:rsidR="00B505FD">
        <w:t xml:space="preserve"> Capital </w:t>
      </w:r>
      <w:r w:rsidRPr="00901629" w:rsidR="0096241D">
        <w:t>subhead cost allocations</w:t>
      </w:r>
      <w:r w:rsidRPr="00901629" w:rsidR="00901629">
        <w:t xml:space="preserve">. </w:t>
      </w:r>
      <w:r w:rsidRPr="00901629" w:rsidR="00563455">
        <w:t>The</w:t>
      </w:r>
      <w:r w:rsidRPr="00901629" w:rsidR="00822DC7">
        <w:t xml:space="preserve"> </w:t>
      </w:r>
      <w:r w:rsidRPr="00901629" w:rsidR="00901629">
        <w:t>change</w:t>
      </w:r>
      <w:r w:rsidRPr="00901629" w:rsidR="00971277">
        <w:t xml:space="preserve"> in the Supplementary </w:t>
      </w:r>
      <w:r w:rsidRPr="00901629" w:rsidR="00DE63A1">
        <w:t>Estimate reflect</w:t>
      </w:r>
      <w:r w:rsidRPr="00901629" w:rsidR="001B0823">
        <w:t>s</w:t>
      </w:r>
      <w:r w:rsidRPr="00901629" w:rsidR="00DE63A1">
        <w:t xml:space="preserve"> </w:t>
      </w:r>
      <w:r w:rsidRPr="00901629" w:rsidR="00836D71">
        <w:t>the current in-year forecast</w:t>
      </w:r>
      <w:r w:rsidRPr="00901629" w:rsidR="00901629">
        <w:t xml:space="preserve">. </w:t>
      </w:r>
      <w:r w:rsidRPr="00901629" w:rsidR="009F1181">
        <w:t>The main elements of these changes are:</w:t>
      </w:r>
    </w:p>
    <w:p w:rsidR="00AE61A4" w:rsidP="009D299C">
      <w:pPr>
        <w:pStyle w:val="ListParagraph"/>
        <w:numPr>
          <w:ilvl w:val="0"/>
          <w:numId w:val="6"/>
        </w:numPr>
      </w:pPr>
      <w:r>
        <w:rPr>
          <w:lang w:eastAsia="en-GB"/>
        </w:rPr>
        <w:t xml:space="preserve">An increase </w:t>
      </w:r>
      <w:r w:rsidRPr="00091884">
        <w:rPr>
          <w:lang w:eastAsia="en-GB"/>
        </w:rPr>
        <w:t>for the purchase of Armed forces family housing</w:t>
      </w:r>
      <w:r w:rsidR="006938A6">
        <w:rPr>
          <w:lang w:eastAsia="en-GB"/>
        </w:rPr>
        <w:t xml:space="preserve"> of £1,700m,</w:t>
      </w:r>
    </w:p>
    <w:p w:rsidR="008C2510" w:rsidP="009D299C">
      <w:pPr>
        <w:pStyle w:val="ListParagraph"/>
        <w:numPr>
          <w:ilvl w:val="0"/>
          <w:numId w:val="6"/>
        </w:numPr>
      </w:pPr>
      <w:r>
        <w:t>An increase for provision of Defence capability of £</w:t>
      </w:r>
      <w:r w:rsidR="006938A6">
        <w:t>1</w:t>
      </w:r>
      <w:r w:rsidR="000157D2">
        <w:t>,500</w:t>
      </w:r>
      <w:r>
        <w:t>m;</w:t>
      </w:r>
    </w:p>
    <w:p w:rsidR="00F06EA6" w:rsidP="009D299C">
      <w:pPr>
        <w:pStyle w:val="ListParagraph"/>
        <w:numPr>
          <w:ilvl w:val="0"/>
          <w:numId w:val="6"/>
        </w:numPr>
      </w:pPr>
      <w:r w:rsidRPr="00ED46BB">
        <w:t>An increase for Operations and Peacekeeping of £</w:t>
      </w:r>
      <w:r w:rsidR="007019B0">
        <w:t>57</w:t>
      </w:r>
      <w:r w:rsidRPr="00ED46BB">
        <w:t>m to cover additional costs of operations;</w:t>
      </w:r>
    </w:p>
    <w:p w:rsidR="004B6772" w:rsidP="009D299C">
      <w:pPr>
        <w:pStyle w:val="ListParagraph"/>
        <w:numPr>
          <w:ilvl w:val="0"/>
          <w:numId w:val="6"/>
        </w:numPr>
        <w:rPr>
          <w:lang w:eastAsia="en-GB"/>
        </w:rPr>
      </w:pPr>
      <w:r w:rsidRPr="003053EF">
        <w:rPr>
          <w:lang w:eastAsia="en-GB"/>
        </w:rPr>
        <w:t>(</w:t>
      </w:r>
      <w:r w:rsidRPr="003053EF" w:rsidR="0043739C">
        <w:rPr>
          <w:lang w:eastAsia="en-GB"/>
        </w:rPr>
        <w:t>£</w:t>
      </w:r>
      <w:r w:rsidRPr="003053EF">
        <w:rPr>
          <w:lang w:eastAsia="en-GB"/>
        </w:rPr>
        <w:t>20</w:t>
      </w:r>
      <w:r w:rsidRPr="003053EF" w:rsidR="0043739C">
        <w:rPr>
          <w:lang w:eastAsia="en-GB"/>
        </w:rPr>
        <w:t>m</w:t>
      </w:r>
      <w:r w:rsidRPr="003053EF">
        <w:rPr>
          <w:lang w:eastAsia="en-GB"/>
        </w:rPr>
        <w:t>)</w:t>
      </w:r>
      <w:r w:rsidRPr="003053EF" w:rsidR="0043739C">
        <w:rPr>
          <w:lang w:eastAsia="en-GB"/>
        </w:rPr>
        <w:t xml:space="preserve"> </w:t>
      </w:r>
      <w:r w:rsidR="003053EF">
        <w:rPr>
          <w:lang w:eastAsia="en-GB"/>
        </w:rPr>
        <w:t>decrease in budget</w:t>
      </w:r>
      <w:r w:rsidRPr="003053EF" w:rsidR="003053EF">
        <w:rPr>
          <w:lang w:eastAsia="en-GB"/>
        </w:rPr>
        <w:t xml:space="preserve"> for the Defence Nuclear Enterprise</w:t>
      </w:r>
      <w:r w:rsidRPr="003053EF" w:rsidR="0043739C">
        <w:rPr>
          <w:lang w:eastAsia="en-GB"/>
        </w:rPr>
        <w:t xml:space="preserve">; </w:t>
      </w:r>
    </w:p>
    <w:p w:rsidR="00880E6B" w:rsidRPr="003053EF" w:rsidP="009D299C">
      <w:pPr>
        <w:pStyle w:val="ListParagraph"/>
        <w:numPr>
          <w:ilvl w:val="0"/>
          <w:numId w:val="6"/>
        </w:numPr>
      </w:pPr>
      <w:r w:rsidRPr="00ED46BB">
        <w:t>The transfer in of Office for Veterans' Affairs (OVA) from Cabinet Office £</w:t>
      </w:r>
      <w:r>
        <w:t>8</w:t>
      </w:r>
      <w:r w:rsidRPr="00ED46BB">
        <w:t>m</w:t>
      </w:r>
    </w:p>
    <w:p w:rsidR="003053EF" w:rsidRPr="00A20B87" w:rsidP="009D299C">
      <w:pPr>
        <w:pStyle w:val="ListParagraph"/>
        <w:numPr>
          <w:ilvl w:val="0"/>
          <w:numId w:val="6"/>
        </w:numPr>
      </w:pPr>
      <w:r w:rsidRPr="00A20B87">
        <w:t>Budget cover transfers to/from Other Government Departments (OGDs) totalling £</w:t>
      </w:r>
      <w:r w:rsidRPr="00A20B87" w:rsidR="00A20B87">
        <w:t>5m</w:t>
      </w:r>
      <w:r w:rsidRPr="00A20B87">
        <w:t>; and</w:t>
      </w:r>
      <w:r w:rsidRPr="00A20B87" w:rsidR="00E938A7">
        <w:t>,</w:t>
      </w:r>
    </w:p>
    <w:p w:rsidR="0043739C" w:rsidRPr="002720CF" w:rsidP="009D299C">
      <w:pPr>
        <w:pStyle w:val="ListParagraph"/>
        <w:numPr>
          <w:ilvl w:val="0"/>
          <w:numId w:val="6"/>
        </w:numPr>
        <w:rPr>
          <w:lang w:eastAsia="en-GB"/>
        </w:rPr>
      </w:pPr>
      <w:r w:rsidRPr="002720CF">
        <w:rPr>
          <w:lang w:eastAsia="en-GB"/>
        </w:rPr>
        <w:t>A budget switch of</w:t>
      </w:r>
      <w:r w:rsidRPr="002720CF" w:rsidR="001979D7">
        <w:rPr>
          <w:lang w:eastAsia="en-GB"/>
        </w:rPr>
        <w:t xml:space="preserve"> (£</w:t>
      </w:r>
      <w:r w:rsidRPr="002720CF" w:rsidR="002720CF">
        <w:rPr>
          <w:lang w:eastAsia="en-GB"/>
        </w:rPr>
        <w:t>2,300m</w:t>
      </w:r>
      <w:r w:rsidRPr="002720CF" w:rsidR="003B59CC">
        <w:rPr>
          <w:lang w:eastAsia="en-GB"/>
        </w:rPr>
        <w:t>)</w:t>
      </w:r>
      <w:r w:rsidRPr="002720CF" w:rsidR="001979D7">
        <w:rPr>
          <w:lang w:eastAsia="en-GB"/>
        </w:rPr>
        <w:t xml:space="preserve"> from Capital to Resource</w:t>
      </w:r>
      <w:r w:rsidRPr="002720CF" w:rsidR="002720CF">
        <w:rPr>
          <w:lang w:eastAsia="en-GB"/>
        </w:rPr>
        <w:t>.</w:t>
      </w:r>
    </w:p>
    <w:p w:rsidR="00D3272A" w:rsidRPr="00D117CB" w:rsidP="001C24B7">
      <w:pPr>
        <w:pStyle w:val="Heading3"/>
        <w:rPr>
          <w:rFonts w:asciiTheme="minorHAnsi" w:hAnsiTheme="minorHAnsi"/>
          <w:color w:val="13284C"/>
        </w:rPr>
      </w:pPr>
      <w:r w:rsidRPr="00D117CB">
        <w:rPr>
          <w:rFonts w:asciiTheme="minorHAnsi" w:hAnsiTheme="minorHAnsi"/>
          <w:color w:val="13284C"/>
        </w:rPr>
        <w:t>A</w:t>
      </w:r>
      <w:r w:rsidRPr="00E33BF4">
        <w:rPr>
          <w:rFonts w:asciiTheme="minorHAnsi" w:hAnsiTheme="minorHAnsi"/>
          <w:color w:val="13284C"/>
        </w:rPr>
        <w:t>M</w:t>
      </w:r>
      <w:r w:rsidRPr="00D117CB">
        <w:rPr>
          <w:rFonts w:asciiTheme="minorHAnsi" w:hAnsiTheme="minorHAnsi"/>
          <w:color w:val="13284C"/>
        </w:rPr>
        <w:t xml:space="preserve">E </w:t>
      </w:r>
    </w:p>
    <w:p w:rsidR="00CF3131" w:rsidRPr="00D117CB" w:rsidP="00CF3131">
      <w:pPr>
        <w:spacing w:after="0" w:line="240" w:lineRule="auto"/>
      </w:pPr>
      <w:r w:rsidRPr="00D117CB">
        <w:t xml:space="preserve">The table below shows how spending plans for Resource AME </w:t>
      </w:r>
    </w:p>
    <w:p w:rsidR="00DF32E8" w:rsidRPr="00D117CB" w:rsidP="00CF3131">
      <w:pPr>
        <w:spacing w:after="0" w:line="240" w:lineRule="auto"/>
      </w:pPr>
    </w:p>
    <w:p w:rsidR="00DF32E8" w:rsidRPr="00D117CB" w:rsidP="00CF3131">
      <w:pPr>
        <w:spacing w:after="0" w:line="240" w:lineRule="auto"/>
        <w:rPr>
          <w:rFonts w:cstheme="minorHAnsi"/>
        </w:rPr>
      </w:pPr>
      <w:r w:rsidRPr="00D117CB">
        <w:rPr>
          <w:rFonts w:eastAsia="Times New Roman" w:cstheme="minorHAnsi"/>
          <w:b/>
          <w:bCs/>
          <w:sz w:val="20"/>
          <w:szCs w:val="20"/>
          <w:lang w:eastAsia="en-GB"/>
        </w:rPr>
        <w:t xml:space="preserve">Table 5: </w:t>
      </w:r>
      <w:r w:rsidR="00E91DBC">
        <w:rPr>
          <w:rFonts w:eastAsia="Times New Roman" w:cstheme="minorHAnsi"/>
          <w:b/>
          <w:bCs/>
          <w:sz w:val="20"/>
          <w:szCs w:val="20"/>
          <w:lang w:eastAsia="en-GB"/>
        </w:rPr>
        <w:t>Main</w:t>
      </w:r>
      <w:r w:rsidRPr="00D117CB">
        <w:rPr>
          <w:rFonts w:eastAsia="Times New Roman" w:cstheme="minorHAnsi"/>
          <w:b/>
          <w:bCs/>
          <w:sz w:val="20"/>
          <w:szCs w:val="20"/>
          <w:lang w:eastAsia="en-GB"/>
        </w:rPr>
        <w:t xml:space="preserve"> Estimate total sought for MOD compared with 202</w:t>
      </w:r>
      <w:r w:rsidR="00E91DBC">
        <w:rPr>
          <w:rFonts w:eastAsia="Times New Roman" w:cstheme="minorHAnsi"/>
          <w:b/>
          <w:bCs/>
          <w:sz w:val="20"/>
          <w:szCs w:val="20"/>
          <w:lang w:eastAsia="en-GB"/>
        </w:rPr>
        <w:t>3</w:t>
      </w:r>
      <w:r w:rsidRPr="00D117CB">
        <w:rPr>
          <w:rFonts w:eastAsia="Times New Roman" w:cstheme="minorHAnsi"/>
          <w:b/>
          <w:bCs/>
          <w:sz w:val="20"/>
          <w:szCs w:val="20"/>
          <w:lang w:eastAsia="en-GB"/>
        </w:rPr>
        <w:t>-2</w:t>
      </w:r>
      <w:r w:rsidR="00E91DBC">
        <w:rPr>
          <w:rFonts w:eastAsia="Times New Roman" w:cstheme="minorHAnsi"/>
          <w:b/>
          <w:bCs/>
          <w:sz w:val="20"/>
          <w:szCs w:val="20"/>
          <w:lang w:eastAsia="en-GB"/>
        </w:rPr>
        <w:t>4</w:t>
      </w:r>
      <w:r w:rsidRPr="00D117CB">
        <w:rPr>
          <w:rFonts w:eastAsia="Times New Roman" w:cstheme="minorHAnsi"/>
          <w:b/>
          <w:bCs/>
          <w:sz w:val="20"/>
          <w:szCs w:val="20"/>
          <w:lang w:eastAsia="en-GB"/>
        </w:rPr>
        <w:t xml:space="preserve"> Main Estimate</w:t>
      </w:r>
    </w:p>
    <w:tbl>
      <w:tblPr>
        <w:tblW w:w="6940" w:type="dxa"/>
        <w:tblLook w:val="04A0"/>
      </w:tblPr>
      <w:tblGrid>
        <w:gridCol w:w="3100"/>
        <w:gridCol w:w="960"/>
        <w:gridCol w:w="960"/>
        <w:gridCol w:w="960"/>
        <w:gridCol w:w="960"/>
      </w:tblGrid>
      <w:tr w:rsidTr="00E41BE0">
        <w:tblPrEx>
          <w:tblW w:w="6940" w:type="dxa"/>
          <w:tblLook w:val="04A0"/>
        </w:tblPrEx>
        <w:trPr>
          <w:trHeight w:val="525"/>
        </w:trPr>
        <w:tc>
          <w:tcPr>
            <w:tcW w:w="3100" w:type="dxa"/>
            <w:tcBorders>
              <w:top w:val="nil"/>
              <w:left w:val="nil"/>
              <w:bottom w:val="single" w:sz="8" w:space="0" w:color="auto"/>
              <w:right w:val="single" w:sz="4" w:space="0" w:color="auto"/>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AME</w:t>
            </w:r>
          </w:p>
        </w:tc>
        <w:tc>
          <w:tcPr>
            <w:tcW w:w="960" w:type="dxa"/>
            <w:tcBorders>
              <w:top w:val="single" w:sz="8" w:space="0" w:color="auto"/>
              <w:left w:val="nil"/>
              <w:bottom w:val="nil"/>
              <w:right w:val="single" w:sz="4" w:space="0" w:color="auto"/>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2024-25   SE</w:t>
            </w:r>
          </w:p>
        </w:tc>
        <w:tc>
          <w:tcPr>
            <w:tcW w:w="960" w:type="dxa"/>
            <w:tcBorders>
              <w:top w:val="single" w:sz="8" w:space="0" w:color="auto"/>
              <w:left w:val="nil"/>
              <w:bottom w:val="nil"/>
              <w:right w:val="single" w:sz="4" w:space="0" w:color="auto"/>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2024-25 ME</w:t>
            </w:r>
          </w:p>
        </w:tc>
        <w:tc>
          <w:tcPr>
            <w:tcW w:w="1920" w:type="dxa"/>
            <w:gridSpan w:val="2"/>
            <w:tcBorders>
              <w:top w:val="single" w:sz="8" w:space="0" w:color="auto"/>
              <w:left w:val="nil"/>
              <w:bottom w:val="nil"/>
              <w:right w:val="single" w:sz="8" w:space="0" w:color="000000"/>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Change from ME</w:t>
            </w:r>
          </w:p>
        </w:tc>
      </w:tr>
      <w:tr w:rsidTr="00E41BE0">
        <w:tblPrEx>
          <w:tblW w:w="6940" w:type="dxa"/>
          <w:tblLook w:val="04A0"/>
        </w:tblPrEx>
        <w:trPr>
          <w:trHeight w:val="270"/>
        </w:trPr>
        <w:tc>
          <w:tcPr>
            <w:tcW w:w="3100" w:type="dxa"/>
            <w:tcBorders>
              <w:top w:val="nil"/>
              <w:left w:val="nil"/>
              <w:bottom w:val="single" w:sz="8" w:space="0" w:color="auto"/>
              <w:right w:val="single" w:sz="4" w:space="0" w:color="auto"/>
            </w:tcBorders>
            <w:shd w:val="clear" w:color="000000" w:fill="532A45"/>
            <w:vAlign w:val="center"/>
            <w:hideMark/>
          </w:tcPr>
          <w:p w:rsidR="00E41BE0" w:rsidRPr="00E41BE0" w:rsidP="00E41BE0">
            <w:pPr>
              <w:spacing w:after="0" w:line="240" w:lineRule="auto"/>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Commodity Block</w:t>
            </w:r>
          </w:p>
        </w:tc>
        <w:tc>
          <w:tcPr>
            <w:tcW w:w="960" w:type="dxa"/>
            <w:tcBorders>
              <w:top w:val="nil"/>
              <w:left w:val="nil"/>
              <w:bottom w:val="single" w:sz="8" w:space="0" w:color="auto"/>
              <w:right w:val="single" w:sz="4" w:space="0" w:color="auto"/>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£M</w:t>
            </w:r>
          </w:p>
        </w:tc>
        <w:tc>
          <w:tcPr>
            <w:tcW w:w="960" w:type="dxa"/>
            <w:tcBorders>
              <w:top w:val="nil"/>
              <w:left w:val="nil"/>
              <w:bottom w:val="single" w:sz="8" w:space="0" w:color="auto"/>
              <w:right w:val="single" w:sz="4" w:space="0" w:color="auto"/>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£M</w:t>
            </w:r>
          </w:p>
        </w:tc>
        <w:tc>
          <w:tcPr>
            <w:tcW w:w="960" w:type="dxa"/>
            <w:tcBorders>
              <w:top w:val="nil"/>
              <w:left w:val="nil"/>
              <w:bottom w:val="single" w:sz="8" w:space="0" w:color="auto"/>
              <w:right w:val="nil"/>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£M</w:t>
            </w:r>
          </w:p>
        </w:tc>
        <w:tc>
          <w:tcPr>
            <w:tcW w:w="960" w:type="dxa"/>
            <w:tcBorders>
              <w:top w:val="nil"/>
              <w:left w:val="nil"/>
              <w:bottom w:val="single" w:sz="8" w:space="0" w:color="auto"/>
              <w:right w:val="single" w:sz="8" w:space="0" w:color="auto"/>
            </w:tcBorders>
            <w:shd w:val="clear" w:color="000000" w:fill="532A45"/>
            <w:vAlign w:val="center"/>
            <w:hideMark/>
          </w:tcPr>
          <w:p w:rsidR="00E41BE0" w:rsidRPr="00E41BE0" w:rsidP="00E41BE0">
            <w:pPr>
              <w:spacing w:after="0" w:line="240" w:lineRule="auto"/>
              <w:jc w:val="center"/>
              <w:rPr>
                <w:rFonts w:ascii="Calibri" w:eastAsia="Times New Roman" w:hAnsi="Calibri" w:cs="Calibri"/>
                <w:b/>
                <w:bCs/>
                <w:color w:val="FFFFFF"/>
                <w:sz w:val="20"/>
                <w:szCs w:val="20"/>
                <w:lang w:eastAsia="en-GB"/>
              </w:rPr>
            </w:pPr>
            <w:r w:rsidRPr="00E41BE0">
              <w:rPr>
                <w:rFonts w:ascii="Calibri" w:eastAsia="Times New Roman" w:hAnsi="Calibri" w:cs="Calibri"/>
                <w:b/>
                <w:bCs/>
                <w:color w:val="FFFFFF"/>
                <w:sz w:val="20"/>
                <w:szCs w:val="20"/>
                <w:lang w:eastAsia="en-GB"/>
              </w:rPr>
              <w:t>%</w:t>
            </w:r>
          </w:p>
        </w:tc>
      </w:tr>
      <w:tr w:rsidTr="00E41BE0">
        <w:tblPrEx>
          <w:tblW w:w="6940" w:type="dxa"/>
          <w:tblLook w:val="04A0"/>
        </w:tblPrEx>
        <w:trPr>
          <w:trHeight w:val="255"/>
        </w:trPr>
        <w:tc>
          <w:tcPr>
            <w:tcW w:w="3100" w:type="dxa"/>
            <w:tcBorders>
              <w:top w:val="nil"/>
              <w:left w:val="single" w:sz="8" w:space="0" w:color="auto"/>
              <w:bottom w:val="single" w:sz="4" w:space="0" w:color="auto"/>
              <w:right w:val="single" w:sz="4" w:space="0" w:color="auto"/>
            </w:tcBorders>
            <w:shd w:val="clear" w:color="auto" w:fill="auto"/>
            <w:vAlign w:val="center"/>
            <w:hideMark/>
          </w:tcPr>
          <w:p w:rsidR="00E41BE0" w:rsidRPr="00E41BE0" w:rsidP="00E41BE0">
            <w:pPr>
              <w:spacing w:after="0" w:line="240" w:lineRule="auto"/>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Total Resource AME</w:t>
            </w:r>
          </w:p>
        </w:tc>
        <w:tc>
          <w:tcPr>
            <w:tcW w:w="960" w:type="dxa"/>
            <w:tcBorders>
              <w:top w:val="nil"/>
              <w:left w:val="single" w:sz="8" w:space="0" w:color="auto"/>
              <w:bottom w:val="single" w:sz="4" w:space="0" w:color="auto"/>
              <w:right w:val="single" w:sz="4" w:space="0" w:color="auto"/>
            </w:tcBorders>
            <w:shd w:val="clear" w:color="000000" w:fill="FFFFFF"/>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8,584.1</w:t>
            </w:r>
          </w:p>
        </w:tc>
        <w:tc>
          <w:tcPr>
            <w:tcW w:w="960" w:type="dxa"/>
            <w:tcBorders>
              <w:top w:val="nil"/>
              <w:left w:val="single" w:sz="8" w:space="0" w:color="auto"/>
              <w:bottom w:val="single" w:sz="4" w:space="0" w:color="auto"/>
              <w:right w:val="single" w:sz="4" w:space="0" w:color="auto"/>
            </w:tcBorders>
            <w:shd w:val="clear" w:color="000000" w:fill="FFFFFF"/>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1,928.1</w:t>
            </w:r>
          </w:p>
        </w:tc>
        <w:tc>
          <w:tcPr>
            <w:tcW w:w="960" w:type="dxa"/>
            <w:tcBorders>
              <w:top w:val="nil"/>
              <w:left w:val="single" w:sz="8" w:space="0" w:color="auto"/>
              <w:bottom w:val="single" w:sz="4" w:space="0" w:color="auto"/>
              <w:right w:val="single" w:sz="4" w:space="0" w:color="auto"/>
            </w:tcBorders>
            <w:shd w:val="clear" w:color="000000" w:fill="FFFFFF"/>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6,656.0</w:t>
            </w:r>
          </w:p>
        </w:tc>
        <w:tc>
          <w:tcPr>
            <w:tcW w:w="960" w:type="dxa"/>
            <w:tcBorders>
              <w:top w:val="nil"/>
              <w:left w:val="nil"/>
              <w:bottom w:val="single" w:sz="4" w:space="0" w:color="auto"/>
              <w:right w:val="single" w:sz="8" w:space="0" w:color="auto"/>
            </w:tcBorders>
            <w:shd w:val="clear" w:color="auto" w:fill="auto"/>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345.2%</w:t>
            </w:r>
          </w:p>
        </w:tc>
      </w:tr>
      <w:tr w:rsidTr="00E41BE0">
        <w:tblPrEx>
          <w:tblW w:w="6940" w:type="dxa"/>
          <w:tblLook w:val="04A0"/>
        </w:tblPrEx>
        <w:trPr>
          <w:trHeight w:val="270"/>
        </w:trPr>
        <w:tc>
          <w:tcPr>
            <w:tcW w:w="3100" w:type="dxa"/>
            <w:tcBorders>
              <w:top w:val="nil"/>
              <w:left w:val="single" w:sz="8" w:space="0" w:color="auto"/>
              <w:bottom w:val="single" w:sz="8" w:space="0" w:color="auto"/>
              <w:right w:val="single" w:sz="4" w:space="0" w:color="auto"/>
            </w:tcBorders>
            <w:shd w:val="clear" w:color="auto" w:fill="auto"/>
            <w:vAlign w:val="center"/>
            <w:hideMark/>
          </w:tcPr>
          <w:p w:rsidR="00E41BE0" w:rsidRPr="00E41BE0" w:rsidP="00E41BE0">
            <w:pPr>
              <w:spacing w:after="0" w:line="240" w:lineRule="auto"/>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Total Capital AME</w:t>
            </w:r>
          </w:p>
        </w:tc>
        <w:tc>
          <w:tcPr>
            <w:tcW w:w="960" w:type="dxa"/>
            <w:tcBorders>
              <w:top w:val="nil"/>
              <w:left w:val="single" w:sz="8" w:space="0" w:color="auto"/>
              <w:bottom w:val="single" w:sz="8" w:space="0" w:color="auto"/>
              <w:right w:val="single" w:sz="4" w:space="0" w:color="auto"/>
            </w:tcBorders>
            <w:shd w:val="clear" w:color="000000" w:fill="FFFFFF"/>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5.0</w:t>
            </w:r>
          </w:p>
        </w:tc>
        <w:tc>
          <w:tcPr>
            <w:tcW w:w="960" w:type="dxa"/>
            <w:tcBorders>
              <w:top w:val="nil"/>
              <w:left w:val="single" w:sz="8" w:space="0" w:color="auto"/>
              <w:bottom w:val="single" w:sz="8" w:space="0" w:color="auto"/>
              <w:right w:val="single" w:sz="4" w:space="0" w:color="auto"/>
            </w:tcBorders>
            <w:shd w:val="clear" w:color="000000" w:fill="FFFFFF"/>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Pr>
                <w:rFonts w:ascii="Calibri" w:eastAsia="Times New Roman" w:hAnsi="Calibri" w:cs="Calibri"/>
                <w:sz w:val="20"/>
                <w:szCs w:val="20"/>
                <w:lang w:eastAsia="en-GB"/>
              </w:rPr>
              <w:t>0.0</w:t>
            </w:r>
          </w:p>
        </w:tc>
        <w:tc>
          <w:tcPr>
            <w:tcW w:w="960" w:type="dxa"/>
            <w:tcBorders>
              <w:top w:val="nil"/>
              <w:left w:val="single" w:sz="8" w:space="0" w:color="auto"/>
              <w:bottom w:val="single" w:sz="8" w:space="0" w:color="auto"/>
              <w:right w:val="single" w:sz="4" w:space="0" w:color="auto"/>
            </w:tcBorders>
            <w:shd w:val="clear" w:color="000000" w:fill="FFFFFF"/>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5.0</w:t>
            </w:r>
          </w:p>
        </w:tc>
        <w:tc>
          <w:tcPr>
            <w:tcW w:w="960" w:type="dxa"/>
            <w:tcBorders>
              <w:top w:val="nil"/>
              <w:left w:val="nil"/>
              <w:bottom w:val="single" w:sz="8" w:space="0" w:color="auto"/>
              <w:right w:val="single" w:sz="8" w:space="0" w:color="auto"/>
            </w:tcBorders>
            <w:shd w:val="clear" w:color="auto" w:fill="auto"/>
            <w:vAlign w:val="center"/>
            <w:hideMark/>
          </w:tcPr>
          <w:p w:rsidR="00E41BE0" w:rsidRPr="00E41BE0" w:rsidP="00E41BE0">
            <w:pPr>
              <w:spacing w:after="0" w:line="240" w:lineRule="auto"/>
              <w:jc w:val="center"/>
              <w:rPr>
                <w:rFonts w:ascii="Calibri" w:eastAsia="Times New Roman" w:hAnsi="Calibri" w:cs="Calibri"/>
                <w:sz w:val="20"/>
                <w:szCs w:val="20"/>
                <w:lang w:eastAsia="en-GB"/>
              </w:rPr>
            </w:pPr>
            <w:r w:rsidRPr="00E41BE0">
              <w:rPr>
                <w:rFonts w:ascii="Calibri" w:eastAsia="Times New Roman" w:hAnsi="Calibri" w:cs="Calibri"/>
                <w:sz w:val="20"/>
                <w:szCs w:val="20"/>
                <w:lang w:eastAsia="en-GB"/>
              </w:rPr>
              <w:t>100.0%</w:t>
            </w:r>
          </w:p>
        </w:tc>
      </w:tr>
    </w:tbl>
    <w:p w:rsidR="00BA3872" w:rsidRPr="002020C7" w:rsidP="00CF3131">
      <w:pPr>
        <w:spacing w:after="0" w:line="240" w:lineRule="auto"/>
        <w:rPr>
          <w:b/>
          <w:bCs/>
          <w:highlight w:val="yellow"/>
        </w:rPr>
      </w:pPr>
    </w:p>
    <w:p w:rsidR="000A6DE0" w:rsidRPr="003C1D0D" w:rsidP="001110F1">
      <w:pPr>
        <w:autoSpaceDE w:val="0"/>
        <w:autoSpaceDN w:val="0"/>
        <w:adjustRightInd w:val="0"/>
        <w:ind w:right="113"/>
        <w:mirrorIndents/>
      </w:pPr>
      <w:r w:rsidRPr="003C1D0D">
        <w:t xml:space="preserve">The </w:t>
      </w:r>
      <w:r w:rsidRPr="003C1D0D" w:rsidR="00E91DBC">
        <w:t xml:space="preserve">Supplementary estimate </w:t>
      </w:r>
      <w:r w:rsidRPr="003C1D0D" w:rsidR="009C7401">
        <w:t>accounts for new provision for disposal</w:t>
      </w:r>
      <w:r w:rsidRPr="003C1D0D" w:rsidR="003C1D0D">
        <w:t>s</w:t>
      </w:r>
      <w:r w:rsidRPr="003C1D0D" w:rsidR="009C7401">
        <w:t xml:space="preserve"> in the Nuclear Enterprise and is </w:t>
      </w:r>
      <w:r w:rsidRPr="003C1D0D" w:rsidR="003C1D0D">
        <w:t xml:space="preserve">based on HM Treasury discount rates. </w:t>
      </w:r>
    </w:p>
    <w:p w:rsidR="00E346ED" w:rsidRPr="00E33BF4" w:rsidP="00E346ED">
      <w:pPr>
        <w:pStyle w:val="Heading3"/>
        <w:rPr>
          <w:rFonts w:asciiTheme="minorHAnsi" w:hAnsiTheme="minorHAnsi"/>
          <w:color w:val="13284C"/>
        </w:rPr>
      </w:pPr>
      <w:r w:rsidRPr="00E33BF4">
        <w:rPr>
          <w:rFonts w:asciiTheme="minorHAnsi" w:hAnsiTheme="minorHAnsi"/>
          <w:color w:val="13284C"/>
        </w:rPr>
        <w:t xml:space="preserve">Net Cash Requirement (NCR) </w:t>
      </w:r>
    </w:p>
    <w:p w:rsidR="003E6147" w:rsidP="003E0EB9">
      <w:pPr>
        <w:spacing w:after="0" w:line="240" w:lineRule="auto"/>
        <w:rPr>
          <w:highlight w:val="yellow"/>
        </w:rPr>
      </w:pPr>
      <w:r w:rsidRPr="00831EB9">
        <w:t>The table below set out the current net cash requirement starting with the Main Estimate. The reconciliation between the changes in the Estimate and the NCR is shown in Part II of the Estimate, “Resource to cash reconciliation</w:t>
      </w:r>
      <w:r w:rsidRPr="00221A37" w:rsidR="00260EC0">
        <w:t>.”</w:t>
      </w:r>
      <w:r w:rsidRPr="00221A37">
        <w:t xml:space="preserve">  </w:t>
      </w:r>
      <w:r w:rsidRPr="00221A37" w:rsidR="00114F81">
        <w:t>In addition</w:t>
      </w:r>
      <w:r w:rsidRPr="00221A37" w:rsidR="004764B6">
        <w:t>,</w:t>
      </w:r>
      <w:r w:rsidRPr="00221A37" w:rsidR="00114F81">
        <w:t xml:space="preserve"> to the NCR below</w:t>
      </w:r>
      <w:r w:rsidRPr="00221A37" w:rsidR="004764B6">
        <w:t>,</w:t>
      </w:r>
      <w:r w:rsidRPr="00221A37" w:rsidR="00114F81">
        <w:t xml:space="preserve"> a Contingency Fund Advance was sought for</w:t>
      </w:r>
      <w:r w:rsidRPr="00221A37" w:rsidR="00681D6E">
        <w:t xml:space="preserve"> the procurement of </w:t>
      </w:r>
      <w:r w:rsidRPr="00221A37" w:rsidR="007166F4">
        <w:t xml:space="preserve">Armed forces family housing of </w:t>
      </w:r>
      <w:r w:rsidRPr="00221A37" w:rsidR="00692355">
        <w:t>£</w:t>
      </w:r>
      <w:r w:rsidRPr="00221A37" w:rsidR="00BA26FE">
        <w:t>5</w:t>
      </w:r>
      <w:r w:rsidRPr="00221A37" w:rsidR="00692355">
        <w:t>,995M</w:t>
      </w:r>
      <w:r w:rsidR="00221A37">
        <w:t>,</w:t>
      </w:r>
      <w:r w:rsidRPr="00221A37" w:rsidR="00114F81">
        <w:t xml:space="preserve"> </w:t>
      </w:r>
      <w:r w:rsidR="00BA26FE">
        <w:t xml:space="preserve">and </w:t>
      </w:r>
      <w:r w:rsidR="0059352A">
        <w:t xml:space="preserve">for </w:t>
      </w:r>
      <w:r w:rsidR="00114F81">
        <w:t>business as usual expenditure</w:t>
      </w:r>
      <w:r w:rsidR="00901A92">
        <w:t>,</w:t>
      </w:r>
      <w:r w:rsidR="00114F81">
        <w:t xml:space="preserve"> to cover cash requirements </w:t>
      </w:r>
      <w:r w:rsidR="00091321">
        <w:t>before the Estimate is voted on</w:t>
      </w:r>
      <w:r w:rsidR="00EB1226">
        <w:t xml:space="preserve"> </w:t>
      </w:r>
      <w:r w:rsidR="00E02467">
        <w:t>of £</w:t>
      </w:r>
      <w:r w:rsidR="0077026B">
        <w:t>2</w:t>
      </w:r>
      <w:r w:rsidR="00091321">
        <w:t>,</w:t>
      </w:r>
      <w:r w:rsidR="00E02467">
        <w:t>200m</w:t>
      </w:r>
      <w:r w:rsidRPr="00221A37" w:rsidR="00B539B8">
        <w:t>. Both</w:t>
      </w:r>
      <w:r w:rsidRPr="00221A37" w:rsidR="007F2A75">
        <w:t xml:space="preserve"> advances</w:t>
      </w:r>
      <w:r w:rsidRPr="00221A37" w:rsidR="00B539B8">
        <w:t xml:space="preserve"> will be repaid once </w:t>
      </w:r>
      <w:r w:rsidRPr="00221A37" w:rsidR="00FE29F8">
        <w:t>the Estimate</w:t>
      </w:r>
      <w:r w:rsidRPr="00221A37" w:rsidR="007F2A75">
        <w:t xml:space="preserve"> has been</w:t>
      </w:r>
      <w:r w:rsidRPr="00221A37" w:rsidR="00FE29F8">
        <w:t xml:space="preserve"> voted in Parliament</w:t>
      </w:r>
      <w:r w:rsidRPr="00221A37" w:rsidR="00260EC0">
        <w:t xml:space="preserve">. </w:t>
      </w:r>
    </w:p>
    <w:p w:rsidR="003E6147" w:rsidP="003E0EB9">
      <w:pPr>
        <w:spacing w:after="0" w:line="240" w:lineRule="auto"/>
        <w:rPr>
          <w:highlight w:val="yellow"/>
        </w:rPr>
      </w:pPr>
    </w:p>
    <w:p w:rsidR="003E0EB9" w:rsidRPr="003E6147" w:rsidP="003E0EB9">
      <w:pPr>
        <w:spacing w:after="0" w:line="240" w:lineRule="auto"/>
        <w:rPr>
          <w:rFonts w:cstheme="minorHAnsi"/>
        </w:rPr>
      </w:pPr>
      <w:r w:rsidRPr="003E6147">
        <w:rPr>
          <w:rFonts w:eastAsia="Times New Roman" w:cstheme="minorHAnsi"/>
          <w:b/>
          <w:bCs/>
          <w:sz w:val="20"/>
          <w:szCs w:val="20"/>
          <w:lang w:eastAsia="en-GB"/>
        </w:rPr>
        <w:t>Table 6: Net Cash Requirement</w:t>
      </w:r>
      <w:r w:rsidRPr="003E6147" w:rsidR="00276789">
        <w:rPr>
          <w:rFonts w:cstheme="minorHAnsi"/>
        </w:rPr>
        <w:t xml:space="preserve">            </w:t>
      </w:r>
    </w:p>
    <w:tbl>
      <w:tblPr>
        <w:tblW w:w="5080" w:type="dxa"/>
        <w:tblLook w:val="04A0"/>
      </w:tblPr>
      <w:tblGrid>
        <w:gridCol w:w="4040"/>
        <w:gridCol w:w="1040"/>
      </w:tblGrid>
      <w:tr w:rsidTr="00B17F8F">
        <w:tblPrEx>
          <w:tblW w:w="5080" w:type="dxa"/>
          <w:tblLook w:val="04A0"/>
        </w:tblPrEx>
        <w:trPr>
          <w:trHeight w:val="345"/>
        </w:trPr>
        <w:tc>
          <w:tcPr>
            <w:tcW w:w="4040" w:type="dxa"/>
            <w:tcBorders>
              <w:top w:val="single" w:sz="8" w:space="0" w:color="auto"/>
              <w:left w:val="single" w:sz="8" w:space="0" w:color="auto"/>
              <w:bottom w:val="single" w:sz="8" w:space="0" w:color="auto"/>
              <w:right w:val="nil"/>
            </w:tcBorders>
            <w:shd w:val="clear" w:color="000000" w:fill="532A45"/>
            <w:vAlign w:val="center"/>
            <w:hideMark/>
          </w:tcPr>
          <w:p w:rsidR="00B17F8F" w:rsidRPr="00B17F8F" w:rsidP="00B17F8F">
            <w:pPr>
              <w:spacing w:after="0" w:line="240" w:lineRule="auto"/>
              <w:rPr>
                <w:rFonts w:ascii="Calibri" w:eastAsia="Times New Roman" w:hAnsi="Calibri" w:cs="Calibri"/>
                <w:b/>
                <w:bCs/>
                <w:color w:val="FFFFFF"/>
                <w:sz w:val="20"/>
                <w:szCs w:val="20"/>
                <w:lang w:eastAsia="en-GB"/>
              </w:rPr>
            </w:pPr>
            <w:r w:rsidRPr="00B17F8F">
              <w:rPr>
                <w:rFonts w:ascii="Calibri" w:eastAsia="Times New Roman" w:hAnsi="Calibri" w:cs="Calibri"/>
                <w:b/>
                <w:bCs/>
                <w:color w:val="FFFFFF"/>
                <w:sz w:val="20"/>
                <w:szCs w:val="20"/>
                <w:lang w:eastAsia="en-GB"/>
              </w:rPr>
              <w:t>Net Cash Requirement</w:t>
            </w:r>
          </w:p>
        </w:tc>
        <w:tc>
          <w:tcPr>
            <w:tcW w:w="1040" w:type="dxa"/>
            <w:tcBorders>
              <w:top w:val="single" w:sz="8" w:space="0" w:color="auto"/>
              <w:left w:val="single" w:sz="8" w:space="0" w:color="auto"/>
              <w:bottom w:val="single" w:sz="8" w:space="0" w:color="auto"/>
              <w:right w:val="single" w:sz="8" w:space="0" w:color="auto"/>
            </w:tcBorders>
            <w:shd w:val="clear" w:color="000000" w:fill="532A45"/>
            <w:vAlign w:val="center"/>
            <w:hideMark/>
          </w:tcPr>
          <w:p w:rsidR="00B17F8F" w:rsidRPr="00B17F8F" w:rsidP="00B17F8F">
            <w:pPr>
              <w:spacing w:after="0" w:line="240" w:lineRule="auto"/>
              <w:jc w:val="center"/>
              <w:rPr>
                <w:rFonts w:ascii="Calibri" w:eastAsia="Times New Roman" w:hAnsi="Calibri" w:cs="Calibri"/>
                <w:b/>
                <w:bCs/>
                <w:color w:val="FFFFFF"/>
                <w:sz w:val="20"/>
                <w:szCs w:val="20"/>
                <w:lang w:eastAsia="en-GB"/>
              </w:rPr>
            </w:pPr>
            <w:r w:rsidRPr="00B17F8F">
              <w:rPr>
                <w:rFonts w:ascii="Calibri" w:eastAsia="Times New Roman" w:hAnsi="Calibri" w:cs="Calibri"/>
                <w:b/>
                <w:bCs/>
                <w:color w:val="FFFFFF"/>
                <w:sz w:val="20"/>
                <w:szCs w:val="20"/>
                <w:lang w:eastAsia="en-GB"/>
              </w:rPr>
              <w:t>£M</w:t>
            </w:r>
          </w:p>
        </w:tc>
      </w:tr>
      <w:tr w:rsidTr="00B17F8F">
        <w:tblPrEx>
          <w:tblW w:w="5080" w:type="dxa"/>
          <w:tblLook w:val="04A0"/>
        </w:tblPrEx>
        <w:trPr>
          <w:trHeight w:val="345"/>
        </w:trPr>
        <w:tc>
          <w:tcPr>
            <w:tcW w:w="4040" w:type="dxa"/>
            <w:tcBorders>
              <w:top w:val="nil"/>
              <w:left w:val="single" w:sz="8" w:space="0" w:color="auto"/>
              <w:bottom w:val="single" w:sz="4" w:space="0" w:color="auto"/>
              <w:right w:val="nil"/>
            </w:tcBorders>
            <w:shd w:val="clear" w:color="auto" w:fill="auto"/>
            <w:vAlign w:val="center"/>
            <w:hideMark/>
          </w:tcPr>
          <w:p w:rsidR="00B17F8F" w:rsidRPr="00B17F8F" w:rsidP="00B17F8F">
            <w:pPr>
              <w:spacing w:after="0" w:line="240" w:lineRule="auto"/>
              <w:rPr>
                <w:rFonts w:ascii="Calibri" w:eastAsia="Times New Roman" w:hAnsi="Calibri" w:cs="Calibri"/>
                <w:sz w:val="20"/>
                <w:szCs w:val="20"/>
                <w:lang w:eastAsia="en-GB"/>
              </w:rPr>
            </w:pPr>
            <w:r w:rsidRPr="00B17F8F">
              <w:rPr>
                <w:rFonts w:ascii="Calibri" w:eastAsia="Times New Roman" w:hAnsi="Calibri" w:cs="Calibri"/>
                <w:sz w:val="20"/>
                <w:szCs w:val="20"/>
                <w:lang w:eastAsia="en-GB"/>
              </w:rPr>
              <w:t>Position at 2024-25 Main Estimate</w:t>
            </w:r>
          </w:p>
        </w:tc>
        <w:tc>
          <w:tcPr>
            <w:tcW w:w="1040" w:type="dxa"/>
            <w:tcBorders>
              <w:top w:val="nil"/>
              <w:left w:val="single" w:sz="8" w:space="0" w:color="auto"/>
              <w:bottom w:val="single" w:sz="4" w:space="0" w:color="auto"/>
              <w:right w:val="single" w:sz="8" w:space="0" w:color="auto"/>
            </w:tcBorders>
            <w:shd w:val="clear" w:color="000000" w:fill="FFFFFF"/>
            <w:vAlign w:val="center"/>
            <w:hideMark/>
          </w:tcPr>
          <w:p w:rsidR="00B17F8F" w:rsidRPr="00B17F8F" w:rsidP="00B17F8F">
            <w:pPr>
              <w:spacing w:after="0" w:line="240" w:lineRule="auto"/>
              <w:jc w:val="center"/>
              <w:rPr>
                <w:rFonts w:ascii="Calibri" w:eastAsia="Times New Roman" w:hAnsi="Calibri" w:cs="Calibri"/>
                <w:sz w:val="20"/>
                <w:szCs w:val="20"/>
                <w:lang w:eastAsia="en-GB"/>
              </w:rPr>
            </w:pPr>
            <w:r w:rsidRPr="00B17F8F">
              <w:rPr>
                <w:rFonts w:ascii="Calibri" w:eastAsia="Times New Roman" w:hAnsi="Calibri" w:cs="Calibri"/>
                <w:sz w:val="20"/>
                <w:szCs w:val="20"/>
                <w:lang w:eastAsia="en-GB"/>
              </w:rPr>
              <w:t>56,124.9</w:t>
            </w:r>
          </w:p>
        </w:tc>
      </w:tr>
      <w:tr w:rsidTr="00B17F8F">
        <w:tblPrEx>
          <w:tblW w:w="5080" w:type="dxa"/>
          <w:tblLook w:val="04A0"/>
        </w:tblPrEx>
        <w:trPr>
          <w:trHeight w:val="345"/>
        </w:trPr>
        <w:tc>
          <w:tcPr>
            <w:tcW w:w="4040" w:type="dxa"/>
            <w:tcBorders>
              <w:top w:val="nil"/>
              <w:left w:val="single" w:sz="8" w:space="0" w:color="auto"/>
              <w:bottom w:val="single" w:sz="8" w:space="0" w:color="auto"/>
              <w:right w:val="nil"/>
            </w:tcBorders>
            <w:shd w:val="clear" w:color="auto" w:fill="auto"/>
            <w:vAlign w:val="center"/>
            <w:hideMark/>
          </w:tcPr>
          <w:p w:rsidR="00B17F8F" w:rsidRPr="00B17F8F" w:rsidP="00B17F8F">
            <w:pPr>
              <w:spacing w:after="0" w:line="240" w:lineRule="auto"/>
              <w:rPr>
                <w:rFonts w:ascii="Calibri" w:eastAsia="Times New Roman" w:hAnsi="Calibri" w:cs="Calibri"/>
                <w:sz w:val="20"/>
                <w:szCs w:val="20"/>
                <w:lang w:eastAsia="en-GB"/>
              </w:rPr>
            </w:pPr>
            <w:r w:rsidRPr="00B17F8F">
              <w:rPr>
                <w:rFonts w:ascii="Calibri" w:eastAsia="Times New Roman" w:hAnsi="Calibri" w:cs="Calibri"/>
                <w:sz w:val="20"/>
                <w:szCs w:val="20"/>
                <w:lang w:eastAsia="en-GB"/>
              </w:rPr>
              <w:t>Net Cash Requirement increase</w:t>
            </w:r>
          </w:p>
        </w:tc>
        <w:tc>
          <w:tcPr>
            <w:tcW w:w="1040" w:type="dxa"/>
            <w:tcBorders>
              <w:top w:val="nil"/>
              <w:left w:val="single" w:sz="8" w:space="0" w:color="auto"/>
              <w:bottom w:val="single" w:sz="8" w:space="0" w:color="auto"/>
              <w:right w:val="single" w:sz="8" w:space="0" w:color="auto"/>
            </w:tcBorders>
            <w:shd w:val="clear" w:color="000000" w:fill="FFFFFF"/>
            <w:vAlign w:val="center"/>
            <w:hideMark/>
          </w:tcPr>
          <w:p w:rsidR="00B17F8F" w:rsidRPr="00B17F8F" w:rsidP="00B17F8F">
            <w:pPr>
              <w:spacing w:after="0" w:line="240" w:lineRule="auto"/>
              <w:jc w:val="center"/>
              <w:rPr>
                <w:rFonts w:ascii="Calibri" w:eastAsia="Times New Roman" w:hAnsi="Calibri" w:cs="Calibri"/>
                <w:sz w:val="20"/>
                <w:szCs w:val="20"/>
                <w:lang w:eastAsia="en-GB"/>
              </w:rPr>
            </w:pPr>
            <w:r w:rsidRPr="00B17F8F">
              <w:rPr>
                <w:rFonts w:ascii="Calibri" w:eastAsia="Times New Roman" w:hAnsi="Calibri" w:cs="Calibri"/>
                <w:sz w:val="20"/>
                <w:szCs w:val="20"/>
                <w:lang w:eastAsia="en-GB"/>
              </w:rPr>
              <w:t>8,978.3</w:t>
            </w:r>
          </w:p>
        </w:tc>
      </w:tr>
      <w:tr w:rsidTr="00B17F8F">
        <w:tblPrEx>
          <w:tblW w:w="5080" w:type="dxa"/>
          <w:tblLook w:val="04A0"/>
        </w:tblPrEx>
        <w:trPr>
          <w:trHeight w:val="345"/>
        </w:trPr>
        <w:tc>
          <w:tcPr>
            <w:tcW w:w="4040" w:type="dxa"/>
            <w:tcBorders>
              <w:top w:val="nil"/>
              <w:left w:val="nil"/>
              <w:bottom w:val="nil"/>
              <w:right w:val="nil"/>
            </w:tcBorders>
            <w:shd w:val="clear" w:color="auto" w:fill="auto"/>
            <w:vAlign w:val="bottom"/>
            <w:hideMark/>
          </w:tcPr>
          <w:p w:rsidR="00B17F8F" w:rsidRPr="00B17F8F" w:rsidP="00B17F8F">
            <w:pPr>
              <w:spacing w:after="0" w:line="240" w:lineRule="auto"/>
              <w:jc w:val="center"/>
              <w:rPr>
                <w:rFonts w:ascii="Calibri" w:eastAsia="Times New Roman" w:hAnsi="Calibri" w:cs="Calibri"/>
                <w:sz w:val="20"/>
                <w:szCs w:val="20"/>
                <w:lang w:eastAsia="en-GB"/>
              </w:rPr>
            </w:pPr>
          </w:p>
        </w:tc>
        <w:tc>
          <w:tcPr>
            <w:tcW w:w="1040" w:type="dxa"/>
            <w:tcBorders>
              <w:top w:val="nil"/>
              <w:left w:val="single" w:sz="8" w:space="0" w:color="auto"/>
              <w:bottom w:val="single" w:sz="8" w:space="0" w:color="auto"/>
              <w:right w:val="single" w:sz="8" w:space="0" w:color="auto"/>
            </w:tcBorders>
            <w:shd w:val="clear" w:color="000000" w:fill="532A45"/>
            <w:vAlign w:val="center"/>
            <w:hideMark/>
          </w:tcPr>
          <w:p w:rsidR="00B17F8F" w:rsidRPr="00B17F8F" w:rsidP="00B17F8F">
            <w:pPr>
              <w:spacing w:after="0" w:line="240" w:lineRule="auto"/>
              <w:jc w:val="center"/>
              <w:rPr>
                <w:rFonts w:ascii="Calibri" w:eastAsia="Times New Roman" w:hAnsi="Calibri" w:cs="Calibri"/>
                <w:b/>
                <w:bCs/>
                <w:color w:val="FFFFFF"/>
                <w:sz w:val="20"/>
                <w:szCs w:val="20"/>
                <w:lang w:eastAsia="en-GB"/>
              </w:rPr>
            </w:pPr>
            <w:r w:rsidRPr="00B17F8F">
              <w:rPr>
                <w:rFonts w:ascii="Calibri" w:eastAsia="Times New Roman" w:hAnsi="Calibri" w:cs="Calibri"/>
                <w:b/>
                <w:bCs/>
                <w:color w:val="FFFFFF"/>
                <w:sz w:val="20"/>
                <w:szCs w:val="20"/>
                <w:lang w:eastAsia="en-GB"/>
              </w:rPr>
              <w:t>65,103.2</w:t>
            </w:r>
          </w:p>
        </w:tc>
      </w:tr>
    </w:tbl>
    <w:p w:rsidR="00975AF9" w:rsidRPr="002020C7" w:rsidP="00EB2C7B">
      <w:pPr>
        <w:rPr>
          <w:highlight w:val="yellow"/>
        </w:rPr>
      </w:pPr>
    </w:p>
    <w:p w:rsidR="00137ED6" w:rsidRPr="00D747D6" w:rsidP="001C24B7">
      <w:pPr>
        <w:pStyle w:val="Heading2"/>
        <w:rPr>
          <w:rFonts w:asciiTheme="minorHAnsi" w:hAnsiTheme="minorHAnsi"/>
          <w:color w:val="13284C"/>
        </w:rPr>
      </w:pPr>
      <w:r w:rsidRPr="00D747D6">
        <w:rPr>
          <w:rFonts w:asciiTheme="minorHAnsi" w:hAnsiTheme="minorHAnsi"/>
          <w:color w:val="13284C"/>
        </w:rPr>
        <w:t>Ring fenced budgets</w:t>
      </w:r>
    </w:p>
    <w:p w:rsidR="00A51AAF" w:rsidP="00E216A1">
      <w:r w:rsidRPr="00D747D6">
        <w:t>Within the totals, the following elements are ring fenced</w:t>
      </w:r>
      <w:r w:rsidRPr="00D747D6" w:rsidR="001F0284">
        <w:t>,</w:t>
      </w:r>
      <w:r w:rsidRPr="00D747D6">
        <w:t xml:space="preserve"> i</w:t>
      </w:r>
      <w:r w:rsidRPr="00D747D6" w:rsidR="001F0284">
        <w:t>.</w:t>
      </w:r>
      <w:r w:rsidRPr="00D747D6">
        <w:t>e</w:t>
      </w:r>
      <w:r w:rsidRPr="00D747D6" w:rsidR="001F0284">
        <w:t>.</w:t>
      </w:r>
      <w:r w:rsidRPr="00D747D6">
        <w:t xml:space="preserve"> savings in these budgets may not be used to fund pressures on other</w:t>
      </w:r>
      <w:r w:rsidRPr="00D747D6" w:rsidR="00C43AD5">
        <w:t xml:space="preserve"> elements of the</w:t>
      </w:r>
      <w:r w:rsidRPr="00D747D6">
        <w:t xml:space="preserve"> budgets</w:t>
      </w:r>
      <w:r w:rsidRPr="00D747D6" w:rsidR="00E17B2D">
        <w:t>.</w:t>
      </w:r>
    </w:p>
    <w:p w:rsidR="00E44961" w:rsidRPr="00E44961" w:rsidP="00E216A1">
      <w:pPr>
        <w:rPr>
          <w:rFonts w:cstheme="minorHAnsi"/>
        </w:rPr>
      </w:pPr>
      <w:r w:rsidRPr="00E44961">
        <w:rPr>
          <w:rFonts w:eastAsia="Times New Roman" w:cstheme="minorHAnsi"/>
          <w:b/>
          <w:bCs/>
          <w:sz w:val="20"/>
          <w:szCs w:val="20"/>
          <w:lang w:eastAsia="en-GB"/>
        </w:rPr>
        <w:t>Table 7: Supplementary Estimate total Ring fenced budgets</w:t>
      </w:r>
    </w:p>
    <w:tbl>
      <w:tblPr>
        <w:tblW w:w="9420" w:type="dxa"/>
        <w:tblLook w:val="04A0"/>
      </w:tblPr>
      <w:tblGrid>
        <w:gridCol w:w="3626"/>
        <w:gridCol w:w="820"/>
        <w:gridCol w:w="880"/>
        <w:gridCol w:w="755"/>
        <w:gridCol w:w="819"/>
        <w:gridCol w:w="883"/>
        <w:gridCol w:w="818"/>
        <w:gridCol w:w="819"/>
      </w:tblGrid>
      <w:tr w:rsidTr="004D3EB8">
        <w:tblPrEx>
          <w:tblW w:w="9420" w:type="dxa"/>
          <w:tblLook w:val="04A0"/>
        </w:tblPrEx>
        <w:trPr>
          <w:trHeight w:val="480"/>
        </w:trPr>
        <w:tc>
          <w:tcPr>
            <w:tcW w:w="4446" w:type="dxa"/>
            <w:gridSpan w:val="2"/>
            <w:tcBorders>
              <w:top w:val="single" w:sz="8" w:space="0" w:color="auto"/>
              <w:left w:val="single" w:sz="8" w:space="0" w:color="auto"/>
              <w:bottom w:val="nil"/>
              <w:right w:val="single" w:sz="8" w:space="0" w:color="000000"/>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 xml:space="preserve">Spending total - Supplementary Estimate                                                                                                  </w:t>
            </w:r>
            <w:r w:rsidRPr="005C7AC1">
              <w:rPr>
                <w:rFonts w:ascii="Calibri" w:eastAsia="Times New Roman" w:hAnsi="Calibri" w:cs="Calibri"/>
                <w:b/>
                <w:bCs/>
                <w:color w:val="FFFFFF"/>
                <w:sz w:val="20"/>
                <w:szCs w:val="20"/>
                <w:lang w:eastAsia="en-GB"/>
              </w:rPr>
              <w:br/>
              <w:t>2024-25</w:t>
            </w:r>
          </w:p>
        </w:tc>
        <w:tc>
          <w:tcPr>
            <w:tcW w:w="880" w:type="dxa"/>
            <w:tcBorders>
              <w:top w:val="single" w:sz="8" w:space="0" w:color="auto"/>
              <w:left w:val="nil"/>
              <w:bottom w:val="nil"/>
              <w:right w:val="nil"/>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2024-25</w:t>
            </w:r>
            <w:r w:rsidRPr="005C7AC1">
              <w:rPr>
                <w:rFonts w:ascii="Calibri" w:eastAsia="Times New Roman" w:hAnsi="Calibri" w:cs="Calibri"/>
                <w:b/>
                <w:bCs/>
                <w:color w:val="FFFFFF"/>
                <w:sz w:val="20"/>
                <w:szCs w:val="20"/>
                <w:lang w:eastAsia="en-GB"/>
              </w:rPr>
              <w:br/>
              <w:t>ME</w:t>
            </w:r>
          </w:p>
        </w:tc>
        <w:tc>
          <w:tcPr>
            <w:tcW w:w="1574" w:type="dxa"/>
            <w:gridSpan w:val="2"/>
            <w:tcBorders>
              <w:top w:val="single" w:sz="8" w:space="0" w:color="auto"/>
              <w:left w:val="single" w:sz="8" w:space="0" w:color="auto"/>
              <w:bottom w:val="nil"/>
              <w:right w:val="single" w:sz="8" w:space="0" w:color="000000"/>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Compared to</w:t>
            </w:r>
            <w:r w:rsidRPr="005C7AC1">
              <w:rPr>
                <w:rFonts w:ascii="Calibri" w:eastAsia="Times New Roman" w:hAnsi="Calibri" w:cs="Calibri"/>
                <w:b/>
                <w:bCs/>
                <w:color w:val="FFFFFF"/>
                <w:sz w:val="20"/>
                <w:szCs w:val="20"/>
                <w:lang w:eastAsia="en-GB"/>
              </w:rPr>
              <w:br/>
              <w:t>2024-25 ME</w:t>
            </w:r>
          </w:p>
        </w:tc>
        <w:tc>
          <w:tcPr>
            <w:tcW w:w="883" w:type="dxa"/>
            <w:tcBorders>
              <w:top w:val="single" w:sz="8" w:space="0" w:color="auto"/>
              <w:left w:val="nil"/>
              <w:bottom w:val="nil"/>
              <w:right w:val="nil"/>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2023-24 Outturn</w:t>
            </w:r>
          </w:p>
        </w:tc>
        <w:tc>
          <w:tcPr>
            <w:tcW w:w="1637" w:type="dxa"/>
            <w:gridSpan w:val="2"/>
            <w:tcBorders>
              <w:top w:val="single" w:sz="8" w:space="0" w:color="auto"/>
              <w:left w:val="single" w:sz="8" w:space="0" w:color="auto"/>
              <w:bottom w:val="nil"/>
              <w:right w:val="single" w:sz="8" w:space="0" w:color="000000"/>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Compared to</w:t>
            </w:r>
            <w:r w:rsidRPr="005C7AC1">
              <w:rPr>
                <w:rFonts w:ascii="Calibri" w:eastAsia="Times New Roman" w:hAnsi="Calibri" w:cs="Calibri"/>
                <w:b/>
                <w:bCs/>
                <w:color w:val="FFFFFF"/>
                <w:sz w:val="20"/>
                <w:szCs w:val="20"/>
                <w:lang w:eastAsia="en-GB"/>
              </w:rPr>
              <w:br/>
              <w:t>2023-24 Outturn</w:t>
            </w:r>
          </w:p>
        </w:tc>
      </w:tr>
      <w:tr w:rsidTr="004D3EB8">
        <w:tblPrEx>
          <w:tblW w:w="9420" w:type="dxa"/>
          <w:tblLook w:val="04A0"/>
        </w:tblPrEx>
        <w:trPr>
          <w:trHeight w:val="274"/>
        </w:trPr>
        <w:tc>
          <w:tcPr>
            <w:tcW w:w="3626" w:type="dxa"/>
            <w:tcBorders>
              <w:top w:val="nil"/>
              <w:left w:val="single" w:sz="8" w:space="0" w:color="auto"/>
              <w:bottom w:val="single" w:sz="8" w:space="0" w:color="auto"/>
              <w:right w:val="nil"/>
            </w:tcBorders>
            <w:shd w:val="clear" w:color="000000" w:fill="532A45"/>
            <w:vAlign w:val="center"/>
            <w:hideMark/>
          </w:tcPr>
          <w:p w:rsidR="005C7AC1" w:rsidRPr="005C7AC1" w:rsidP="005C7AC1">
            <w:pPr>
              <w:spacing w:after="0" w:line="240" w:lineRule="auto"/>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Budgetary Limit</w:t>
            </w:r>
          </w:p>
        </w:tc>
        <w:tc>
          <w:tcPr>
            <w:tcW w:w="820" w:type="dxa"/>
            <w:tcBorders>
              <w:top w:val="nil"/>
              <w:left w:val="nil"/>
              <w:bottom w:val="single" w:sz="8" w:space="0" w:color="auto"/>
              <w:right w:val="single" w:sz="8" w:space="0" w:color="auto"/>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£M</w:t>
            </w:r>
          </w:p>
        </w:tc>
        <w:tc>
          <w:tcPr>
            <w:tcW w:w="880" w:type="dxa"/>
            <w:tcBorders>
              <w:top w:val="nil"/>
              <w:left w:val="nil"/>
              <w:bottom w:val="single" w:sz="8" w:space="0" w:color="auto"/>
              <w:right w:val="nil"/>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£M</w:t>
            </w:r>
          </w:p>
        </w:tc>
        <w:tc>
          <w:tcPr>
            <w:tcW w:w="755" w:type="dxa"/>
            <w:tcBorders>
              <w:top w:val="nil"/>
              <w:left w:val="single" w:sz="8" w:space="0" w:color="auto"/>
              <w:bottom w:val="nil"/>
              <w:right w:val="nil"/>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£M</w:t>
            </w:r>
          </w:p>
        </w:tc>
        <w:tc>
          <w:tcPr>
            <w:tcW w:w="819" w:type="dxa"/>
            <w:tcBorders>
              <w:top w:val="nil"/>
              <w:left w:val="nil"/>
              <w:bottom w:val="nil"/>
              <w:right w:val="single" w:sz="8" w:space="0" w:color="auto"/>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w:t>
            </w:r>
          </w:p>
        </w:tc>
        <w:tc>
          <w:tcPr>
            <w:tcW w:w="883" w:type="dxa"/>
            <w:tcBorders>
              <w:top w:val="nil"/>
              <w:left w:val="nil"/>
              <w:bottom w:val="single" w:sz="8" w:space="0" w:color="auto"/>
              <w:right w:val="nil"/>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£M</w:t>
            </w:r>
          </w:p>
        </w:tc>
        <w:tc>
          <w:tcPr>
            <w:tcW w:w="818" w:type="dxa"/>
            <w:tcBorders>
              <w:top w:val="nil"/>
              <w:left w:val="single" w:sz="8" w:space="0" w:color="auto"/>
              <w:bottom w:val="single" w:sz="8" w:space="0" w:color="auto"/>
              <w:right w:val="nil"/>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£M</w:t>
            </w:r>
          </w:p>
        </w:tc>
        <w:tc>
          <w:tcPr>
            <w:tcW w:w="819" w:type="dxa"/>
            <w:tcBorders>
              <w:top w:val="nil"/>
              <w:left w:val="nil"/>
              <w:bottom w:val="single" w:sz="8" w:space="0" w:color="auto"/>
              <w:right w:val="single" w:sz="8" w:space="0" w:color="auto"/>
            </w:tcBorders>
            <w:shd w:val="clear" w:color="000000" w:fill="532A45"/>
            <w:vAlign w:val="center"/>
            <w:hideMark/>
          </w:tcPr>
          <w:p w:rsidR="005C7AC1" w:rsidRPr="005C7AC1" w:rsidP="005C7AC1">
            <w:pPr>
              <w:spacing w:after="0" w:line="240" w:lineRule="auto"/>
              <w:jc w:val="center"/>
              <w:rPr>
                <w:rFonts w:ascii="Calibri" w:eastAsia="Times New Roman" w:hAnsi="Calibri" w:cs="Calibri"/>
                <w:b/>
                <w:bCs/>
                <w:color w:val="FFFFFF"/>
                <w:sz w:val="20"/>
                <w:szCs w:val="20"/>
                <w:lang w:eastAsia="en-GB"/>
              </w:rPr>
            </w:pPr>
            <w:r w:rsidRPr="005C7AC1">
              <w:rPr>
                <w:rFonts w:ascii="Calibri" w:eastAsia="Times New Roman" w:hAnsi="Calibri" w:cs="Calibri"/>
                <w:b/>
                <w:bCs/>
                <w:color w:val="FFFFFF"/>
                <w:sz w:val="20"/>
                <w:szCs w:val="20"/>
                <w:lang w:eastAsia="en-GB"/>
              </w:rPr>
              <w:t>%</w:t>
            </w:r>
          </w:p>
        </w:tc>
      </w:tr>
      <w:tr w:rsidTr="004D3EB8">
        <w:tblPrEx>
          <w:tblW w:w="9420" w:type="dxa"/>
          <w:tblLook w:val="04A0"/>
        </w:tblPrEx>
        <w:trPr>
          <w:trHeight w:val="255"/>
        </w:trPr>
        <w:tc>
          <w:tcPr>
            <w:tcW w:w="3626"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Operations - RDEL and CDEL</w:t>
            </w:r>
          </w:p>
        </w:tc>
        <w:tc>
          <w:tcPr>
            <w:tcW w:w="820" w:type="dxa"/>
            <w:tcBorders>
              <w:top w:val="nil"/>
              <w:left w:val="single" w:sz="8" w:space="0" w:color="auto"/>
              <w:bottom w:val="single" w:sz="4" w:space="0" w:color="auto"/>
              <w:right w:val="single" w:sz="8" w:space="0" w:color="auto"/>
            </w:tcBorders>
            <w:shd w:val="clear" w:color="000000" w:fill="FFFFFF"/>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3,365 </w:t>
            </w:r>
          </w:p>
        </w:tc>
        <w:tc>
          <w:tcPr>
            <w:tcW w:w="880" w:type="dxa"/>
            <w:tcBorders>
              <w:top w:val="nil"/>
              <w:left w:val="nil"/>
              <w:bottom w:val="single" w:sz="4"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3,302 </w:t>
            </w:r>
          </w:p>
        </w:tc>
        <w:tc>
          <w:tcPr>
            <w:tcW w:w="75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64 </w:t>
            </w:r>
          </w:p>
        </w:tc>
        <w:tc>
          <w:tcPr>
            <w:tcW w:w="819" w:type="dxa"/>
            <w:tcBorders>
              <w:top w:val="single" w:sz="4" w:space="0" w:color="auto"/>
              <w:left w:val="nil"/>
              <w:bottom w:val="single" w:sz="4"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1.9%</w:t>
            </w:r>
          </w:p>
        </w:tc>
        <w:tc>
          <w:tcPr>
            <w:tcW w:w="883" w:type="dxa"/>
            <w:tcBorders>
              <w:top w:val="nil"/>
              <w:left w:val="nil"/>
              <w:bottom w:val="single" w:sz="4"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2,516 </w:t>
            </w:r>
          </w:p>
        </w:tc>
        <w:tc>
          <w:tcPr>
            <w:tcW w:w="818"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849 </w:t>
            </w:r>
          </w:p>
        </w:tc>
        <w:tc>
          <w:tcPr>
            <w:tcW w:w="819" w:type="dxa"/>
            <w:tcBorders>
              <w:top w:val="nil"/>
              <w:left w:val="nil"/>
              <w:bottom w:val="single" w:sz="4"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25.2%</w:t>
            </w:r>
          </w:p>
        </w:tc>
      </w:tr>
      <w:tr w:rsidTr="004D3EB8">
        <w:tblPrEx>
          <w:tblW w:w="9420" w:type="dxa"/>
          <w:tblLook w:val="04A0"/>
        </w:tblPrEx>
        <w:trPr>
          <w:trHeight w:val="255"/>
        </w:trPr>
        <w:tc>
          <w:tcPr>
            <w:tcW w:w="3626"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UK Integrated Security Fund</w:t>
            </w:r>
          </w:p>
        </w:tc>
        <w:tc>
          <w:tcPr>
            <w:tcW w:w="820" w:type="dxa"/>
            <w:tcBorders>
              <w:top w:val="nil"/>
              <w:left w:val="single" w:sz="8" w:space="0" w:color="auto"/>
              <w:bottom w:val="single" w:sz="4" w:space="0" w:color="auto"/>
              <w:right w:val="single" w:sz="8" w:space="0" w:color="auto"/>
            </w:tcBorders>
            <w:shd w:val="clear" w:color="000000" w:fill="FFFFFF"/>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56 </w:t>
            </w:r>
          </w:p>
        </w:tc>
        <w:tc>
          <w:tcPr>
            <w:tcW w:w="880" w:type="dxa"/>
            <w:tcBorders>
              <w:top w:val="nil"/>
              <w:left w:val="nil"/>
              <w:bottom w:val="single" w:sz="4"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43 </w:t>
            </w:r>
          </w:p>
        </w:tc>
        <w:tc>
          <w:tcPr>
            <w:tcW w:w="755"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13 </w:t>
            </w:r>
          </w:p>
        </w:tc>
        <w:tc>
          <w:tcPr>
            <w:tcW w:w="819" w:type="dxa"/>
            <w:tcBorders>
              <w:top w:val="nil"/>
              <w:left w:val="nil"/>
              <w:bottom w:val="single" w:sz="4"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30.3%</w:t>
            </w:r>
          </w:p>
        </w:tc>
        <w:tc>
          <w:tcPr>
            <w:tcW w:w="883" w:type="dxa"/>
            <w:tcBorders>
              <w:top w:val="nil"/>
              <w:left w:val="nil"/>
              <w:bottom w:val="single" w:sz="4"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55 </w:t>
            </w:r>
          </w:p>
        </w:tc>
        <w:tc>
          <w:tcPr>
            <w:tcW w:w="818"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1 </w:t>
            </w:r>
          </w:p>
        </w:tc>
        <w:tc>
          <w:tcPr>
            <w:tcW w:w="819" w:type="dxa"/>
            <w:tcBorders>
              <w:top w:val="nil"/>
              <w:left w:val="nil"/>
              <w:bottom w:val="single" w:sz="4"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1.2%</w:t>
            </w:r>
          </w:p>
        </w:tc>
      </w:tr>
      <w:tr w:rsidTr="004D3EB8">
        <w:tblPrEx>
          <w:tblW w:w="9420" w:type="dxa"/>
          <w:tblLook w:val="04A0"/>
        </w:tblPrEx>
        <w:trPr>
          <w:trHeight w:val="255"/>
        </w:trPr>
        <w:tc>
          <w:tcPr>
            <w:tcW w:w="3626"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War Pension Benefits</w:t>
            </w:r>
          </w:p>
        </w:tc>
        <w:tc>
          <w:tcPr>
            <w:tcW w:w="820" w:type="dxa"/>
            <w:tcBorders>
              <w:top w:val="nil"/>
              <w:left w:val="single" w:sz="8" w:space="0" w:color="auto"/>
              <w:bottom w:val="single" w:sz="4" w:space="0" w:color="auto"/>
              <w:right w:val="single" w:sz="8" w:space="0" w:color="auto"/>
            </w:tcBorders>
            <w:shd w:val="clear" w:color="000000" w:fill="FFFFFF"/>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658 </w:t>
            </w:r>
          </w:p>
        </w:tc>
        <w:tc>
          <w:tcPr>
            <w:tcW w:w="880" w:type="dxa"/>
            <w:tcBorders>
              <w:top w:val="nil"/>
              <w:left w:val="nil"/>
              <w:bottom w:val="single" w:sz="4"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653 </w:t>
            </w:r>
          </w:p>
        </w:tc>
        <w:tc>
          <w:tcPr>
            <w:tcW w:w="755"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5 </w:t>
            </w:r>
          </w:p>
        </w:tc>
        <w:tc>
          <w:tcPr>
            <w:tcW w:w="819" w:type="dxa"/>
            <w:tcBorders>
              <w:top w:val="nil"/>
              <w:left w:val="nil"/>
              <w:bottom w:val="single" w:sz="4"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0.8%</w:t>
            </w:r>
          </w:p>
        </w:tc>
        <w:tc>
          <w:tcPr>
            <w:tcW w:w="883" w:type="dxa"/>
            <w:tcBorders>
              <w:top w:val="nil"/>
              <w:left w:val="nil"/>
              <w:bottom w:val="single" w:sz="4"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651 </w:t>
            </w:r>
          </w:p>
        </w:tc>
        <w:tc>
          <w:tcPr>
            <w:tcW w:w="818" w:type="dxa"/>
            <w:tcBorders>
              <w:top w:val="nil"/>
              <w:left w:val="single" w:sz="8" w:space="0" w:color="auto"/>
              <w:bottom w:val="single" w:sz="4"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6 </w:t>
            </w:r>
          </w:p>
        </w:tc>
        <w:tc>
          <w:tcPr>
            <w:tcW w:w="819" w:type="dxa"/>
            <w:tcBorders>
              <w:top w:val="nil"/>
              <w:left w:val="nil"/>
              <w:bottom w:val="single" w:sz="4"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0.9%</w:t>
            </w:r>
          </w:p>
        </w:tc>
      </w:tr>
      <w:tr w:rsidTr="00EE0DB8">
        <w:tblPrEx>
          <w:tblW w:w="9420" w:type="dxa"/>
          <w:tblLook w:val="04A0"/>
        </w:tblPrEx>
        <w:trPr>
          <w:trHeight w:val="255"/>
        </w:trPr>
        <w:tc>
          <w:tcPr>
            <w:tcW w:w="3626" w:type="dxa"/>
            <w:tcBorders>
              <w:top w:val="nil"/>
              <w:left w:val="single" w:sz="8" w:space="0" w:color="auto"/>
              <w:bottom w:val="single" w:sz="4" w:space="0" w:color="auto"/>
              <w:right w:val="single" w:sz="4" w:space="0" w:color="auto"/>
            </w:tcBorders>
            <w:shd w:val="clear" w:color="auto" w:fill="auto"/>
            <w:vAlign w:val="center"/>
            <w:hideMark/>
          </w:tcPr>
          <w:p w:rsidR="004D3EB8" w:rsidRPr="005C7AC1" w:rsidP="00EE0DB8">
            <w:pPr>
              <w:spacing w:after="0" w:line="240" w:lineRule="auto"/>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Defence Nuclear Enterprise Programme RDEL and CDEL</w:t>
            </w:r>
          </w:p>
        </w:tc>
        <w:tc>
          <w:tcPr>
            <w:tcW w:w="820" w:type="dxa"/>
            <w:tcBorders>
              <w:top w:val="nil"/>
              <w:left w:val="single" w:sz="8" w:space="0" w:color="auto"/>
              <w:bottom w:val="single" w:sz="4" w:space="0" w:color="auto"/>
              <w:right w:val="single" w:sz="8" w:space="0" w:color="auto"/>
            </w:tcBorders>
            <w:shd w:val="clear" w:color="000000" w:fill="FFFFFF"/>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Pr>
                <w:rFonts w:ascii="Calibri" w:hAnsi="Calibri" w:cs="Calibri"/>
                <w:sz w:val="20"/>
                <w:szCs w:val="20"/>
              </w:rPr>
              <w:t>10,891</w:t>
            </w:r>
          </w:p>
        </w:tc>
        <w:tc>
          <w:tcPr>
            <w:tcW w:w="880" w:type="dxa"/>
            <w:tcBorders>
              <w:top w:val="nil"/>
              <w:left w:val="nil"/>
              <w:bottom w:val="single" w:sz="4" w:space="0" w:color="auto"/>
              <w:right w:val="nil"/>
            </w:tcBorders>
            <w:shd w:val="clear" w:color="auto" w:fill="auto"/>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Pr>
                <w:rFonts w:ascii="Calibri" w:hAnsi="Calibri" w:cs="Calibri"/>
                <w:sz w:val="20"/>
                <w:szCs w:val="20"/>
              </w:rPr>
              <w:t>10,777</w:t>
            </w:r>
          </w:p>
        </w:tc>
        <w:tc>
          <w:tcPr>
            <w:tcW w:w="755" w:type="dxa"/>
            <w:tcBorders>
              <w:top w:val="nil"/>
              <w:left w:val="single" w:sz="8" w:space="0" w:color="auto"/>
              <w:bottom w:val="single" w:sz="4" w:space="0" w:color="auto"/>
              <w:right w:val="single" w:sz="4" w:space="0" w:color="auto"/>
            </w:tcBorders>
            <w:shd w:val="clear" w:color="auto" w:fill="auto"/>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114</w:t>
            </w:r>
          </w:p>
        </w:tc>
        <w:tc>
          <w:tcPr>
            <w:tcW w:w="819" w:type="dxa"/>
            <w:tcBorders>
              <w:top w:val="nil"/>
              <w:left w:val="nil"/>
              <w:bottom w:val="single" w:sz="4" w:space="0" w:color="auto"/>
              <w:right w:val="single" w:sz="8" w:space="0" w:color="auto"/>
            </w:tcBorders>
            <w:shd w:val="clear" w:color="auto" w:fill="auto"/>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1.1%</w:t>
            </w:r>
          </w:p>
        </w:tc>
        <w:tc>
          <w:tcPr>
            <w:tcW w:w="883" w:type="dxa"/>
            <w:tcBorders>
              <w:top w:val="nil"/>
              <w:left w:val="nil"/>
              <w:bottom w:val="single" w:sz="4" w:space="0" w:color="auto"/>
              <w:right w:val="nil"/>
            </w:tcBorders>
            <w:shd w:val="clear" w:color="auto" w:fill="auto"/>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9,434</w:t>
            </w:r>
          </w:p>
        </w:tc>
        <w:tc>
          <w:tcPr>
            <w:tcW w:w="818" w:type="dxa"/>
            <w:tcBorders>
              <w:top w:val="nil"/>
              <w:left w:val="single" w:sz="8" w:space="0" w:color="auto"/>
              <w:bottom w:val="single" w:sz="4" w:space="0" w:color="auto"/>
              <w:right w:val="single" w:sz="4" w:space="0" w:color="auto"/>
            </w:tcBorders>
            <w:shd w:val="clear" w:color="auto" w:fill="auto"/>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1,458</w:t>
            </w:r>
          </w:p>
        </w:tc>
        <w:tc>
          <w:tcPr>
            <w:tcW w:w="819" w:type="dxa"/>
            <w:tcBorders>
              <w:top w:val="nil"/>
              <w:left w:val="nil"/>
              <w:bottom w:val="single" w:sz="4" w:space="0" w:color="auto"/>
              <w:right w:val="single" w:sz="8" w:space="0" w:color="auto"/>
            </w:tcBorders>
            <w:shd w:val="clear" w:color="auto" w:fill="auto"/>
            <w:vAlign w:val="center"/>
            <w:hideMark/>
          </w:tcPr>
          <w:p w:rsidR="004D3EB8" w:rsidRPr="005C7AC1" w:rsidP="00EE0DB8">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13.4%</w:t>
            </w:r>
          </w:p>
        </w:tc>
      </w:tr>
      <w:tr w:rsidTr="004D3EB8">
        <w:tblPrEx>
          <w:tblW w:w="9420" w:type="dxa"/>
          <w:tblLook w:val="04A0"/>
        </w:tblPrEx>
        <w:trPr>
          <w:trHeight w:val="270"/>
        </w:trPr>
        <w:tc>
          <w:tcPr>
            <w:tcW w:w="3626" w:type="dxa"/>
            <w:tcBorders>
              <w:top w:val="nil"/>
              <w:left w:val="single" w:sz="8" w:space="0" w:color="auto"/>
              <w:bottom w:val="single" w:sz="8" w:space="0" w:color="auto"/>
              <w:right w:val="single" w:sz="4" w:space="0" w:color="auto"/>
            </w:tcBorders>
            <w:shd w:val="clear" w:color="auto" w:fill="auto"/>
            <w:vAlign w:val="bottom"/>
            <w:hideMark/>
          </w:tcPr>
          <w:p w:rsidR="005C7AC1" w:rsidRPr="005C7AC1" w:rsidP="005C7AC1">
            <w:pPr>
              <w:spacing w:after="0" w:line="240" w:lineRule="auto"/>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Core Depreciation and Impairment Costs</w:t>
            </w:r>
          </w:p>
        </w:tc>
        <w:tc>
          <w:tcPr>
            <w:tcW w:w="820" w:type="dxa"/>
            <w:tcBorders>
              <w:top w:val="nil"/>
              <w:left w:val="single" w:sz="8" w:space="0" w:color="auto"/>
              <w:bottom w:val="single" w:sz="8" w:space="0" w:color="auto"/>
              <w:right w:val="single" w:sz="8" w:space="0" w:color="auto"/>
            </w:tcBorders>
            <w:shd w:val="clear" w:color="000000" w:fill="FFFFFF"/>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8,782 </w:t>
            </w:r>
          </w:p>
        </w:tc>
        <w:tc>
          <w:tcPr>
            <w:tcW w:w="880" w:type="dxa"/>
            <w:tcBorders>
              <w:top w:val="nil"/>
              <w:left w:val="nil"/>
              <w:bottom w:val="single" w:sz="8"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8,782 </w:t>
            </w:r>
          </w:p>
        </w:tc>
        <w:tc>
          <w:tcPr>
            <w:tcW w:w="755" w:type="dxa"/>
            <w:tcBorders>
              <w:top w:val="nil"/>
              <w:left w:val="single" w:sz="8" w:space="0" w:color="auto"/>
              <w:bottom w:val="single" w:sz="8"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0 </w:t>
            </w:r>
          </w:p>
        </w:tc>
        <w:tc>
          <w:tcPr>
            <w:tcW w:w="819" w:type="dxa"/>
            <w:tcBorders>
              <w:top w:val="nil"/>
              <w:left w:val="nil"/>
              <w:bottom w:val="single" w:sz="8"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0.0%</w:t>
            </w:r>
          </w:p>
        </w:tc>
        <w:tc>
          <w:tcPr>
            <w:tcW w:w="883" w:type="dxa"/>
            <w:tcBorders>
              <w:top w:val="nil"/>
              <w:left w:val="nil"/>
              <w:bottom w:val="single" w:sz="8" w:space="0" w:color="auto"/>
              <w:right w:val="nil"/>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7,956 </w:t>
            </w:r>
          </w:p>
        </w:tc>
        <w:tc>
          <w:tcPr>
            <w:tcW w:w="818" w:type="dxa"/>
            <w:tcBorders>
              <w:top w:val="nil"/>
              <w:left w:val="single" w:sz="8" w:space="0" w:color="auto"/>
              <w:bottom w:val="single" w:sz="8" w:space="0" w:color="auto"/>
              <w:right w:val="single" w:sz="4"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 xml:space="preserve"> 825 </w:t>
            </w:r>
          </w:p>
        </w:tc>
        <w:tc>
          <w:tcPr>
            <w:tcW w:w="819" w:type="dxa"/>
            <w:tcBorders>
              <w:top w:val="nil"/>
              <w:left w:val="nil"/>
              <w:bottom w:val="single" w:sz="8" w:space="0" w:color="auto"/>
              <w:right w:val="single" w:sz="8" w:space="0" w:color="auto"/>
            </w:tcBorders>
            <w:shd w:val="clear" w:color="auto" w:fill="auto"/>
            <w:vAlign w:val="bottom"/>
            <w:hideMark/>
          </w:tcPr>
          <w:p w:rsidR="005C7AC1" w:rsidRPr="005C7AC1" w:rsidP="005C7AC1">
            <w:pPr>
              <w:spacing w:after="0" w:line="240" w:lineRule="auto"/>
              <w:jc w:val="center"/>
              <w:rPr>
                <w:rFonts w:ascii="Calibri" w:eastAsia="Times New Roman" w:hAnsi="Calibri" w:cs="Calibri"/>
                <w:sz w:val="20"/>
                <w:szCs w:val="20"/>
                <w:lang w:eastAsia="en-GB"/>
              </w:rPr>
            </w:pPr>
            <w:r w:rsidRPr="005C7AC1">
              <w:rPr>
                <w:rFonts w:ascii="Calibri" w:eastAsia="Times New Roman" w:hAnsi="Calibri" w:cs="Calibri"/>
                <w:sz w:val="20"/>
                <w:szCs w:val="20"/>
                <w:lang w:eastAsia="en-GB"/>
              </w:rPr>
              <w:t>9.4%</w:t>
            </w:r>
          </w:p>
        </w:tc>
      </w:tr>
    </w:tbl>
    <w:p w:rsidR="00CD674E" w:rsidRPr="00086091" w:rsidP="00E216A1"/>
    <w:p w:rsidR="0038554F" w:rsidRPr="00086091" w:rsidP="001C24B7">
      <w:pPr>
        <w:pStyle w:val="Heading2"/>
        <w:rPr>
          <w:rFonts w:asciiTheme="minorHAnsi" w:hAnsiTheme="minorHAnsi"/>
          <w:color w:val="13284C"/>
        </w:rPr>
      </w:pPr>
      <w:r w:rsidRPr="00086091">
        <w:rPr>
          <w:rFonts w:asciiTheme="minorHAnsi" w:hAnsiTheme="minorHAnsi"/>
          <w:color w:val="13284C"/>
        </w:rPr>
        <w:t>C</w:t>
      </w:r>
      <w:r w:rsidRPr="00086091">
        <w:rPr>
          <w:rFonts w:asciiTheme="minorHAnsi" w:hAnsiTheme="minorHAnsi"/>
          <w:color w:val="13284C"/>
        </w:rPr>
        <w:t>hanges to contingent liabilities</w:t>
      </w:r>
    </w:p>
    <w:p w:rsidR="00DE61E6" w:rsidRPr="00086091" w:rsidP="001110F1">
      <w:r w:rsidRPr="00086091">
        <w:rPr>
          <w:rFonts w:cs="Arial"/>
        </w:rPr>
        <w:t xml:space="preserve">Provisions for liabilities and charges are based on realistic and prudent estimates of the expenditure required to settle future legal or constructive obligations. </w:t>
      </w:r>
      <w:r w:rsidRPr="00086091" w:rsidR="00760CF5">
        <w:t xml:space="preserve">The Department is required to identify contingent liabilities when agreeing contracts, and to seek HM Treasury approval and provide timely notification to Parliament of those </w:t>
      </w:r>
      <w:r w:rsidRPr="00086091">
        <w:t>more than</w:t>
      </w:r>
      <w:r w:rsidRPr="00086091" w:rsidR="00760CF5">
        <w:t xml:space="preserve"> £300</w:t>
      </w:r>
      <w:r w:rsidRPr="00086091" w:rsidR="00DE6BF8">
        <w:t>k</w:t>
      </w:r>
      <w:r w:rsidRPr="00086091" w:rsidR="00760CF5">
        <w:t>. This allows Parliament and HM Treasury to scrutinise the extent to which the taxpayer might be exposed to potentially significant liabilities in the future</w:t>
      </w:r>
      <w:r w:rsidRPr="00086091" w:rsidR="00E50D9A">
        <w:t>.</w:t>
      </w:r>
      <w:r w:rsidRPr="00086091">
        <w:t xml:space="preserve"> </w:t>
      </w:r>
    </w:p>
    <w:p w:rsidR="00CA73A1" w:rsidP="001110F1">
      <w:pPr>
        <w:rPr>
          <w:rFonts w:cs="Arial"/>
        </w:rPr>
      </w:pPr>
      <w:r w:rsidRPr="00086091">
        <w:rPr>
          <w:rFonts w:cs="Arial"/>
        </w:rPr>
        <w:t xml:space="preserve">The MOD’s provisions cover legal claims, civilian early departure costs, environmental costs, restructuring and nuclear decommissioning and restoration costs. Details of the Department’s Contingent Liabilities are set out in a separate table in the </w:t>
      </w:r>
      <w:r w:rsidRPr="00086091" w:rsidR="00E25E99">
        <w:rPr>
          <w:rFonts w:cs="Arial"/>
        </w:rPr>
        <w:t>Supplementary</w:t>
      </w:r>
      <w:r w:rsidRPr="00086091" w:rsidR="00166C92">
        <w:rPr>
          <w:rFonts w:cs="Arial"/>
        </w:rPr>
        <w:t xml:space="preserve"> </w:t>
      </w:r>
      <w:r w:rsidRPr="00086091">
        <w:rPr>
          <w:rFonts w:cs="Arial"/>
        </w:rPr>
        <w:t>Estimate. We are currently assessing the impact on future contingent liabilities and will provide further detail on this in our 20</w:t>
      </w:r>
      <w:r w:rsidRPr="00086091" w:rsidR="00E978AD">
        <w:rPr>
          <w:rFonts w:cs="Arial"/>
        </w:rPr>
        <w:t>2</w:t>
      </w:r>
      <w:r w:rsidRPr="00086091" w:rsidR="00086091">
        <w:rPr>
          <w:rFonts w:cs="Arial"/>
        </w:rPr>
        <w:t>4</w:t>
      </w:r>
      <w:r w:rsidRPr="00086091" w:rsidR="004F37C0">
        <w:rPr>
          <w:rFonts w:cs="Arial"/>
        </w:rPr>
        <w:t>-2</w:t>
      </w:r>
      <w:r w:rsidRPr="00086091" w:rsidR="00086091">
        <w:rPr>
          <w:rFonts w:cs="Arial"/>
        </w:rPr>
        <w:t>5</w:t>
      </w:r>
      <w:r w:rsidRPr="00086091">
        <w:rPr>
          <w:rFonts w:cs="Arial"/>
        </w:rPr>
        <w:t xml:space="preserve"> Annual Report and Accounts.</w:t>
      </w:r>
    </w:p>
    <w:p w:rsidR="00BD56CE" w:rsidRPr="00086091" w:rsidP="001110F1">
      <w:pPr>
        <w:rPr>
          <w:rFonts w:cs="Arial"/>
        </w:rPr>
      </w:pPr>
    </w:p>
    <w:p w:rsidR="00740C96" w:rsidRPr="00F562FB" w:rsidP="00C33F82">
      <w:pPr>
        <w:pStyle w:val="Heading1"/>
        <w:rPr>
          <w:rFonts w:asciiTheme="minorHAnsi" w:hAnsiTheme="minorHAnsi"/>
          <w:color w:val="13284C"/>
        </w:rPr>
      </w:pPr>
      <w:r w:rsidRPr="00F562FB">
        <w:rPr>
          <w:rFonts w:asciiTheme="minorHAnsi" w:hAnsiTheme="minorHAnsi"/>
          <w:color w:val="13284C"/>
        </w:rPr>
        <w:t>P</w:t>
      </w:r>
      <w:r w:rsidRPr="00F562FB" w:rsidR="00165E62">
        <w:rPr>
          <w:rFonts w:asciiTheme="minorHAnsi" w:hAnsiTheme="minorHAnsi"/>
          <w:color w:val="13284C"/>
        </w:rPr>
        <w:t>riorities and performance</w:t>
      </w:r>
    </w:p>
    <w:p w:rsidR="00740C96" w:rsidRPr="00F562FB" w:rsidP="00137ED6">
      <w:pPr>
        <w:pStyle w:val="Heading2"/>
        <w:rPr>
          <w:rFonts w:asciiTheme="minorHAnsi" w:hAnsiTheme="minorHAnsi"/>
          <w:color w:val="13284C"/>
        </w:rPr>
      </w:pPr>
      <w:r w:rsidRPr="00F562FB">
        <w:rPr>
          <w:rFonts w:asciiTheme="minorHAnsi" w:hAnsiTheme="minorHAnsi"/>
          <w:color w:val="13284C"/>
        </w:rPr>
        <w:t>How spending relates to objectives</w:t>
      </w:r>
      <w:r w:rsidRPr="00F562FB">
        <w:rPr>
          <w:rFonts w:asciiTheme="minorHAnsi" w:hAnsiTheme="minorHAnsi"/>
          <w:color w:val="13284C"/>
        </w:rPr>
        <w:t xml:space="preserve"> </w:t>
      </w:r>
    </w:p>
    <w:p w:rsidR="00DC4B3D" w:rsidRPr="008B3D8B" w:rsidP="00165E62">
      <w:pPr>
        <w:rPr>
          <w:lang w:eastAsia="en-GB"/>
        </w:rPr>
      </w:pPr>
      <w:r w:rsidRPr="008B3D8B">
        <w:t>The table below shows expenditure against each subhead</w:t>
      </w:r>
      <w:r w:rsidRPr="008B3D8B" w:rsidR="00D0211D">
        <w:t xml:space="preserve">. </w:t>
      </w:r>
      <w:r w:rsidRPr="008B3D8B" w:rsidR="004A24A2">
        <w:rPr>
          <w:lang w:eastAsia="en-GB"/>
        </w:rPr>
        <w:t>The budgetary structure of the MOD does not show separately the exact costs or budgets for the</w:t>
      </w:r>
      <w:r w:rsidRPr="008B3D8B" w:rsidR="00D0211D">
        <w:rPr>
          <w:lang w:eastAsia="en-GB"/>
        </w:rPr>
        <w:t xml:space="preserve"> individual</w:t>
      </w:r>
      <w:r w:rsidRPr="008B3D8B" w:rsidR="004A24A2">
        <w:rPr>
          <w:lang w:eastAsia="en-GB"/>
        </w:rPr>
        <w:t xml:space="preserve"> f</w:t>
      </w:r>
      <w:r w:rsidRPr="008B3D8B" w:rsidR="00D0211D">
        <w:rPr>
          <w:lang w:eastAsia="en-GB"/>
        </w:rPr>
        <w:t xml:space="preserve">ive priority outcomes </w:t>
      </w:r>
      <w:r w:rsidRPr="008B3D8B" w:rsidR="004A24A2">
        <w:rPr>
          <w:lang w:eastAsia="en-GB"/>
        </w:rPr>
        <w:t xml:space="preserve">as set out </w:t>
      </w:r>
      <w:r w:rsidRPr="008B3D8B" w:rsidR="00D0211D">
        <w:rPr>
          <w:lang w:eastAsia="en-GB"/>
        </w:rPr>
        <w:t>in Section 1.1</w:t>
      </w:r>
      <w:r w:rsidRPr="008B3D8B" w:rsidR="004A24A2">
        <w:rPr>
          <w:lang w:eastAsia="en-GB"/>
        </w:rPr>
        <w:t xml:space="preserve">. This is because large parts of the Armed Services operate as fully integrated joint organisations in which elements from the Navy, Army and Air Force work closely together and share land, buildings, facilities and sometimes equipment. Detail of these areas of spending </w:t>
      </w:r>
      <w:r w:rsidRPr="008B3D8B" w:rsidR="00D0211D">
        <w:rPr>
          <w:lang w:eastAsia="en-GB"/>
        </w:rPr>
        <w:t>are provided below</w:t>
      </w:r>
      <w:r w:rsidRPr="008B3D8B" w:rsidR="004A24A2">
        <w:rPr>
          <w:lang w:eastAsia="en-GB"/>
        </w:rPr>
        <w:t>.</w:t>
      </w:r>
    </w:p>
    <w:p w:rsidR="00F56A2B" w:rsidRPr="002020C7" w:rsidP="00F56A2B">
      <w:pPr>
        <w:rPr>
          <w:rFonts w:eastAsiaTheme="minorHAnsi"/>
          <w:highlight w:val="yellow"/>
        </w:rPr>
      </w:pPr>
      <w:r>
        <w:rPr>
          <w:noProof/>
        </w:rPr>
        <w:pict>
          <v:group id="Group 54" o:spid="_x0000_s1025" style="height:531.15pt;margin-left:-60.4pt;margin-top:4.95pt;mso-height-relative:margin;mso-width-relative:margin;position:absolute;width:566.85pt;z-index:-251658240" coordorigin="209,0" coordsize="75787,71022">
            <o:lock v:ext="edit" aspectratio="t"/>
            <v:group id="Group 922063182" o:spid="_x0000_s1026" style="height:69419;left:11241;position:absolute;width:62680" coordorigin="11241,0" coordsize="62680,69419">
              <v:oval id="Oval 693000270" o:spid="_x0000_s1027" style="height:36000;left:20994;mso-wrap-style:square;position:absolute;top:21753;v-text-anchor:middle;visibility:visible;width:36000" fillcolor="#532a45" stroked="f">
                <v:fill color2="#532a45" o:opacity2="34734f" rotate="t" colors="0 #532a45;1966f #532a45;12452f #532a45;1 #532a45" focusposition="0.5,0.5" focussize="" focus="100%" type="gradientRadial"/>
                <o:lock v:ext="edit" aspectratio="t"/>
                <v:textbox>
                  <w:txbxContent>
                    <w:p w:rsidR="00522BE6" w:rsidP="00522BE6">
                      <w:pPr>
                        <w:jc w:val="center"/>
                        <w:rPr>
                          <w:rFonts w:hAnsi="Calibri"/>
                          <w:b/>
                          <w:color w:val="FFFFFF" w:themeColor="light1"/>
                          <w:sz w:val="28"/>
                          <w:szCs w:val="28"/>
                        </w:rPr>
                      </w:pPr>
                      <w:r>
                        <w:rPr>
                          <w:rFonts w:hAnsi="Calibri"/>
                          <w:b/>
                          <w:color w:val="FFFFFF" w:themeColor="light1"/>
                          <w:sz w:val="28"/>
                          <w:szCs w:val="28"/>
                        </w:rPr>
                        <w:t xml:space="preserve">Total </w:t>
                      </w:r>
                    </w:p>
                    <w:p w:rsidR="00522BE6" w:rsidP="00522BE6">
                      <w:pPr>
                        <w:jc w:val="center"/>
                        <w:rPr>
                          <w:rFonts w:hAnsi="Calibri"/>
                          <w:b/>
                          <w:color w:val="FFFFFF" w:themeColor="light1"/>
                          <w:sz w:val="28"/>
                          <w:szCs w:val="28"/>
                        </w:rPr>
                      </w:pPr>
                      <w:r>
                        <w:rPr>
                          <w:rFonts w:hAnsi="Calibri"/>
                          <w:b/>
                          <w:color w:val="FFFFFF" w:themeColor="light1"/>
                          <w:sz w:val="28"/>
                          <w:szCs w:val="28"/>
                        </w:rPr>
                        <w:t xml:space="preserve">Defence Spending </w:t>
                      </w:r>
                    </w:p>
                    <w:p w:rsidR="00522BE6" w:rsidP="00522BE6">
                      <w:pPr>
                        <w:jc w:val="center"/>
                        <w:textAlignment w:val="baseline"/>
                        <w:rPr>
                          <w:rFonts w:hAnsi="Calibri"/>
                          <w:b/>
                          <w:color w:val="FFFFFF" w:themeColor="light1"/>
                          <w:sz w:val="28"/>
                          <w:szCs w:val="28"/>
                        </w:rPr>
                      </w:pPr>
                      <w:r>
                        <w:rPr>
                          <w:rFonts w:hAnsi="Calibri"/>
                          <w:b/>
                          <w:color w:val="FFFFFF" w:themeColor="light1"/>
                          <w:sz w:val="28"/>
                          <w:szCs w:val="28"/>
                        </w:rPr>
                        <w:t>£60.3bn</w:t>
                      </w:r>
                    </w:p>
                  </w:txbxContent>
                </v:textbox>
              </v:oval>
              <v:oval id="Oval 937491352" o:spid="_x0000_s1028" style="height:16920;left:30625;mso-wrap-style:square;position:absolute;v-text-anchor:middle;visibility:visible;width:16920" fillcolor="#532a45" stroked="f">
                <v:fill color2="#532a45" o:opacity2="34734f" rotate="t" colors="0 #532a45;1966f #532a45;12452f #532a45;1 #532a45" focusposition="0.5,0.5" focussize="" focus="100%" type="gradientRadial"/>
                <o:lock v:ext="edit" aspectratio="t"/>
                <v:textbox>
                  <w:txbxContent>
                    <w:p w:rsidR="00522BE6" w:rsidP="00764B57">
                      <w:pPr>
                        <w:jc w:val="center"/>
                        <w:rPr>
                          <w:rFonts w:hAnsi="Calibri"/>
                          <w:color w:val="FFFFFF" w:themeColor="light1"/>
                          <w:sz w:val="20"/>
                          <w:szCs w:val="20"/>
                        </w:rPr>
                      </w:pPr>
                      <w:r>
                        <w:rPr>
                          <w:rFonts w:hAnsi="Calibri"/>
                          <w:color w:val="FFFFFF" w:themeColor="light1"/>
                          <w:sz w:val="20"/>
                          <w:szCs w:val="20"/>
                        </w:rPr>
                        <w:t>Capital Expenditure</w:t>
                      </w:r>
                      <w:r w:rsidR="00764B57">
                        <w:rPr>
                          <w:rFonts w:hAnsi="Calibri"/>
                          <w:color w:val="FFFFFF" w:themeColor="light1"/>
                          <w:sz w:val="20"/>
                          <w:szCs w:val="20"/>
                        </w:rPr>
                        <w:t xml:space="preserve"> </w:t>
                      </w:r>
                      <w:r>
                        <w:rPr>
                          <w:rFonts w:hAnsi="Calibri"/>
                          <w:color w:val="FFFFFF" w:themeColor="light1"/>
                          <w:sz w:val="20"/>
                          <w:szCs w:val="20"/>
                        </w:rPr>
                        <w:t>£13.1bn</w:t>
                      </w:r>
                    </w:p>
                  </w:txbxContent>
                </v:textbox>
              </v:oval>
              <v:shapetype id="_x0000_t32" coordsize="21600,21600" o:spt="32" o:oned="t" path="m,l21600,21600e" filled="f">
                <v:path arrowok="t" fillok="f" o:connecttype="none"/>
                <o:lock v:ext="edit" shapetype="t"/>
              </v:shapetype>
              <v:shape id="Straight Arrow Connector 1527441433" o:spid="_x0000_s1029" type="#_x0000_t32" style="flip:x;height:5066;left:38994;mso-wrap-style:square;position:absolute;top:16920;visibility:visible;width:91" o:connectortype="straight" strokecolor="#532a45" strokeweight="0.5pt">
                <v:stroke joinstyle="miter" endarrow="block"/>
              </v:shape>
              <v:oval id="Oval 1520933292" o:spid="_x0000_s1030" style="height:12240;left:61681;mso-wrap-style:square;position:absolute;top:34882;v-text-anchor:middle;visibility:visible;width:12240" fillcolor="#532a45" stroked="f">
                <v:fill color2="#532a45" o:opacity2="34734f" rotate="t" colors="0 #532a45;1966f #532a45;12452f #532a45;1 #532a45" focusposition="0.5,0.5" focussize="" focus="100%" type="gradientRadial"/>
                <o:lock v:ext="edit" aspectratio="t"/>
                <v:textbox>
                  <w:txbxContent>
                    <w:p w:rsidR="00522BE6" w:rsidP="00080891">
                      <w:pPr>
                        <w:jc w:val="center"/>
                        <w:rPr>
                          <w:rFonts w:hAnsi="Calibri"/>
                          <w:color w:val="FFFFFF" w:themeColor="light1"/>
                          <w:sz w:val="20"/>
                          <w:szCs w:val="20"/>
                        </w:rPr>
                      </w:pPr>
                      <w:r>
                        <w:rPr>
                          <w:rFonts w:hAnsi="Calibri"/>
                          <w:color w:val="FFFFFF" w:themeColor="light1"/>
                          <w:sz w:val="20"/>
                          <w:szCs w:val="20"/>
                        </w:rPr>
                        <w:t>Equipment Support</w:t>
                      </w:r>
                      <w:r w:rsidR="00080891">
                        <w:rPr>
                          <w:rFonts w:hAnsi="Calibri"/>
                          <w:color w:val="FFFFFF" w:themeColor="light1"/>
                          <w:sz w:val="20"/>
                          <w:szCs w:val="20"/>
                        </w:rPr>
                        <w:t xml:space="preserve">  </w:t>
                      </w:r>
                      <w:r>
                        <w:rPr>
                          <w:rFonts w:hAnsi="Calibri"/>
                          <w:color w:val="FFFFFF" w:themeColor="light1"/>
                          <w:sz w:val="20"/>
                          <w:szCs w:val="20"/>
                        </w:rPr>
                        <w:t>£6.8bn</w:t>
                      </w:r>
                    </w:p>
                  </w:txbxContent>
                </v:textbox>
              </v:oval>
              <v:oval id="Oval 656976842" o:spid="_x0000_s1031" style="height:16200;left:47537;mso-wrap-style:square;position:absolute;top:5619;v-text-anchor:middle;visibility:visible;width:16200" fillcolor="#532a45" stroked="f">
                <v:fill color2="#532a45" o:opacity2="34734f" rotate="t" colors="0 #532a45;1966f #532a45;12452f #532a45;1 #532a45" focusposition="0.5,0.5" focussize="" focus="100%" type="gradientRadial"/>
                <o:lock v:ext="edit" aspectratio="t"/>
                <v:textbox>
                  <w:txbxContent>
                    <w:p w:rsidR="00522BE6" w:rsidP="00764B57">
                      <w:pPr>
                        <w:jc w:val="center"/>
                        <w:rPr>
                          <w:rFonts w:hAnsi="Calibri"/>
                          <w:color w:val="FFFFFF" w:themeColor="light1"/>
                          <w:sz w:val="20"/>
                          <w:szCs w:val="20"/>
                        </w:rPr>
                      </w:pPr>
                      <w:r>
                        <w:rPr>
                          <w:rFonts w:hAnsi="Calibri"/>
                          <w:color w:val="FFFFFF" w:themeColor="light1"/>
                          <w:sz w:val="20"/>
                          <w:szCs w:val="20"/>
                        </w:rPr>
                        <w:t>Service Personnel</w:t>
                      </w:r>
                      <w:r w:rsidR="00764B57">
                        <w:rPr>
                          <w:rFonts w:hAnsi="Calibri"/>
                          <w:color w:val="FFFFFF" w:themeColor="light1"/>
                          <w:sz w:val="20"/>
                          <w:szCs w:val="20"/>
                        </w:rPr>
                        <w:t xml:space="preserve"> </w:t>
                      </w:r>
                      <w:r>
                        <w:rPr>
                          <w:rFonts w:hAnsi="Calibri"/>
                          <w:color w:val="FFFFFF" w:themeColor="light1"/>
                          <w:sz w:val="20"/>
                          <w:szCs w:val="20"/>
                        </w:rPr>
                        <w:t>£12.0bn</w:t>
                      </w:r>
                    </w:p>
                  </w:txbxContent>
                </v:textbox>
              </v:oval>
              <v:oval id="Oval 915849114" o:spid="_x0000_s1032" style="height:15120;left:58589;mso-wrap-style:square;position:absolute;top:18554;v-text-anchor:middle;visibility:visible;width:15120" fillcolor="#532a45" stroked="f">
                <v:fill color2="#532a45" o:opacity2="34734f" rotate="t" colors="0 #532a45;1966f #532a45;12452f #532a45;1 #532a45" focusposition="0.5,0.5" focussize="" focus="100%" type="gradientRadial"/>
                <o:lock v:ext="edit" aspectratio="t"/>
                <v:textbox>
                  <w:txbxContent>
                    <w:p w:rsidR="00522BE6" w:rsidP="00764B57">
                      <w:pPr>
                        <w:jc w:val="center"/>
                        <w:rPr>
                          <w:rFonts w:hAnsi="Calibri"/>
                          <w:color w:val="FFFFFF" w:themeColor="light1"/>
                          <w:sz w:val="20"/>
                          <w:szCs w:val="20"/>
                        </w:rPr>
                      </w:pPr>
                      <w:r>
                        <w:rPr>
                          <w:rFonts w:hAnsi="Calibri"/>
                          <w:color w:val="FFFFFF" w:themeColor="light1"/>
                          <w:sz w:val="20"/>
                          <w:szCs w:val="20"/>
                        </w:rPr>
                        <w:t>Defence Nuclear Enterprise (inc</w:t>
                      </w:r>
                      <w:r w:rsidR="00683AEC">
                        <w:rPr>
                          <w:rFonts w:hAnsi="Calibri"/>
                          <w:color w:val="FFFFFF" w:themeColor="light1"/>
                          <w:sz w:val="20"/>
                          <w:szCs w:val="20"/>
                        </w:rPr>
                        <w:t>.</w:t>
                      </w:r>
                      <w:r>
                        <w:rPr>
                          <w:rFonts w:hAnsi="Calibri"/>
                          <w:color w:val="FFFFFF" w:themeColor="light1"/>
                          <w:sz w:val="20"/>
                          <w:szCs w:val="20"/>
                        </w:rPr>
                        <w:t xml:space="preserve"> Admin)</w:t>
                      </w:r>
                      <w:r w:rsidR="00764B57">
                        <w:rPr>
                          <w:rFonts w:hAnsi="Calibri"/>
                          <w:color w:val="FFFFFF" w:themeColor="light1"/>
                          <w:sz w:val="20"/>
                          <w:szCs w:val="20"/>
                        </w:rPr>
                        <w:t xml:space="preserve"> </w:t>
                      </w:r>
                      <w:r w:rsidR="00080891">
                        <w:rPr>
                          <w:rFonts w:hAnsi="Calibri"/>
                          <w:color w:val="FFFFFF" w:themeColor="light1"/>
                          <w:sz w:val="20"/>
                          <w:szCs w:val="20"/>
                        </w:rPr>
                        <w:t xml:space="preserve"> </w:t>
                      </w:r>
                      <w:r>
                        <w:rPr>
                          <w:rFonts w:hAnsi="Calibri"/>
                          <w:color w:val="FFFFFF" w:themeColor="light1"/>
                          <w:sz w:val="20"/>
                          <w:szCs w:val="20"/>
                        </w:rPr>
                        <w:t>£10.9bn</w:t>
                      </w:r>
                    </w:p>
                  </w:txbxContent>
                </v:textbox>
              </v:oval>
              <v:shape id="Straight Arrow Connector 1215455177" o:spid="_x0000_s1033" type="#_x0000_t32" style="flip:x y;height:4833;left:38994;mso-wrap-style:square;position:absolute;top:57687;visibility:visible;width:91" o:connectortype="straight" strokecolor="#532a45" strokeweight="0.5pt">
                <v:stroke joinstyle="miter" endarrow="block"/>
              </v:shape>
              <v:oval id="Oval 225443313" o:spid="_x0000_s1034" style="height:6840;left:35673;mso-wrap-style:square;position:absolute;top:62579;v-text-anchor:middle;visibility:visible;width:6840" fillcolor="#532a45" stroked="f">
                <v:fill color2="#532a45" o:opacity2="34734f" rotate="t" colors="0 #532a45;1966f #532a45;12452f #532a45;1 #532a45" focusposition="0.5,0.5" focussize="" focus="100%" type="gradientRadial"/>
                <o:lock v:ext="edit" aspectratio="t"/>
              </v:oval>
              <v:oval id="Oval 1072542780" o:spid="_x0000_s1035" style="height:8640;left:49613;mso-wrap-style:square;position:absolute;top:58120;v-text-anchor:middle;visibility:visible;width:8640" fillcolor="#532a45" stroked="f">
                <v:fill color2="#532a45" o:opacity2="34734f" rotate="t" colors="0 #532a45;1966f #532a45;12452f #532a45;1 #532a45" focusposition="0.5,0.5" focussize="" focus="100%" type="gradientRadial"/>
                <o:lock v:ext="edit" aspectratio="t"/>
                <v:textbox>
                  <w:txbxContent>
                    <w:p w:rsidR="00522BE6" w:rsidP="00522BE6">
                      <w:pPr>
                        <w:jc w:val="center"/>
                        <w:rPr>
                          <w:rFonts w:hAnsi="Calibri"/>
                          <w:color w:val="FFFFFF" w:themeColor="light1"/>
                          <w:sz w:val="20"/>
                          <w:szCs w:val="20"/>
                        </w:rPr>
                      </w:pPr>
                      <w:r>
                        <w:rPr>
                          <w:rFonts w:hAnsi="Calibri"/>
                          <w:color w:val="FFFFFF" w:themeColor="light1"/>
                          <w:sz w:val="20"/>
                          <w:szCs w:val="20"/>
                        </w:rPr>
                        <w:t>£4.5bn</w:t>
                      </w:r>
                    </w:p>
                  </w:txbxContent>
                </v:textbox>
              </v:oval>
              <v:oval id="Oval 290191088" o:spid="_x0000_s1036" style="height:10080;left:58356;mso-wrap-style:square;position:absolute;top:47900;v-text-anchor:middle;visibility:visible;width:10080" fillcolor="#532a45" stroked="f">
                <v:fill color2="#532a45" o:opacity2="34734f" rotate="t" colors="0 #532a45;1966f #532a45;12452f #532a45;1 #532a45" focusposition="0.5,0.5" focussize="" focus="100%" type="gradientRadial"/>
                <o:lock v:ext="edit" aspectratio="t"/>
                <v:textbox>
                  <w:txbxContent>
                    <w:p w:rsidR="00522BE6" w:rsidP="00522BE6">
                      <w:pPr>
                        <w:jc w:val="center"/>
                        <w:rPr>
                          <w:rFonts w:hAnsi="Calibri"/>
                          <w:color w:val="FFFFFF" w:themeColor="light1"/>
                          <w:sz w:val="20"/>
                          <w:szCs w:val="20"/>
                        </w:rPr>
                      </w:pPr>
                      <w:r>
                        <w:rPr>
                          <w:rFonts w:hAnsi="Calibri"/>
                          <w:color w:val="FFFFFF" w:themeColor="light1"/>
                          <w:sz w:val="20"/>
                          <w:szCs w:val="20"/>
                        </w:rPr>
                        <w:t>£4.8bn</w:t>
                      </w:r>
                    </w:p>
                  </w:txbxContent>
                </v:textbox>
              </v:oval>
              <v:shape id="Straight Arrow Connector 700467666" o:spid="_x0000_s1037" type="#_x0000_t32" style="flip:y;height:4416;left:28563;mso-wrap-style:square;position:absolute;top:55972;visibility:visible;width:2811" o:connectortype="straight" strokecolor="#532a45" strokeweight="0.5pt">
                <v:stroke joinstyle="miter" endarrow="block"/>
              </v:shape>
              <v:shape id="Straight Arrow Connector 2089699004" o:spid="_x0000_s1038" type="#_x0000_t32" style="flip:x;height:5066;left:49206;mso-wrap-style:square;position:absolute;rotation:-42;top:19661;visibility:visible;width:91" o:connectortype="straight" strokecolor="#532a45" strokeweight="0.5pt">
                <v:stroke joinstyle="miter" endarrow="block"/>
              </v:shape>
              <v:shape id="Straight Arrow Connector 1621840171" o:spid="_x0000_s1039" type="#_x0000_t32" style="flip:x;height:5023;left:57379;mso-wrap-style:square;position:absolute;rotation:-55;top:28574;visibility:visible;width:91" o:connectortype="straight" strokecolor="#532a45" strokeweight="0.5pt">
                <v:stroke joinstyle="miter" endarrow="block"/>
              </v:shape>
              <v:shape id="Straight Arrow Connector 1649212114" o:spid="_x0000_s1040" type="#_x0000_t32" style="flip:x;height:5023;left:59137;mso-wrap-style:square;position:absolute;rotation:-96;top:37980;visibility:visible;width:91" o:connectortype="straight" strokecolor="#532a45" strokeweight="0.5pt">
                <v:stroke joinstyle="miter" endarrow="block"/>
              </v:shape>
              <v:shape id="Straight Arrow Connector 810508443" o:spid="_x0000_s1041" type="#_x0000_t32" style="flip:x;height:5023;left:56674;mso-wrap-style:square;position:absolute;rotation:-118;top:46937;visibility:visible;width:92" o:connectortype="straight" strokecolor="#532a45" strokeweight="0.5pt">
                <v:stroke joinstyle="miter" endarrow="block"/>
              </v:shape>
              <v:shape id="Straight Arrow Connector 800644383" o:spid="_x0000_s1042" type="#_x0000_t32" style="flip:x;height:5023;left:49597;mso-wrap-style:square;position:absolute;rotation:-139;top:54565;visibility:visible;width:91" o:connectortype="straight" strokecolor="#532a45" strokeweight="0.5pt">
                <v:stroke joinstyle="miter" endarrow="block"/>
              </v:shape>
              <v:shape id="Straight Arrow Connector 1760428397" o:spid="_x0000_s1043" type="#_x0000_t32" style="flip:x y;height:4833;left:24060;mso-wrap-style:square;position:absolute;rotation:49;top:50760;visibility:visible;width:90" o:connectortype="straight" strokecolor="#532a45" strokeweight="0.5pt">
                <v:stroke joinstyle="miter" endarrow="block"/>
              </v:shape>
              <v:shape id="Straight Arrow Connector 318449950" o:spid="_x0000_s1044" type="#_x0000_t32" style="flip:x y;height:4834;left:19615;mso-wrap-style:square;position:absolute;rotation:75;top:43552;visibility:visible;width:91" o:connectortype="straight" strokecolor="#532a45" strokeweight="0.5pt">
                <v:stroke joinstyle="miter" endarrow="block"/>
              </v:shape>
              <v:shape id="Straight Arrow Connector 1523120149" o:spid="_x0000_s1045" type="#_x0000_t32" style="flip:x y;height:4833;left:18922;mso-wrap-style:square;position:absolute;rotation:100;top:34943;visibility:visible;width:90" o:connectortype="straight" strokecolor="#532a45" strokeweight="0.5pt">
                <v:stroke joinstyle="miter" endarrow="block"/>
              </v:shape>
              <v:shape id="Straight Arrow Connector 1064545451" o:spid="_x0000_s1046" type="#_x0000_t32" style="flip:x y;height:4833;left:22114;mso-wrap-style:square;position:absolute;rotation:124;top:26448;visibility:visible;width:91" o:connectortype="straight" strokecolor="#532a45" strokeweight="0.5pt">
                <v:stroke joinstyle="miter" endarrow="block"/>
              </v:shape>
              <v:shape id="Straight Arrow Connector 463381306" o:spid="_x0000_s1047" type="#_x0000_t32" style="flip:x y;height:4834;left:28742;mso-wrap-style:square;position:absolute;rotation:142;top:19949;visibility:visible;width:91" o:connectortype="straight" strokecolor="#532a45" strokeweight="0.5pt">
                <v:stroke joinstyle="miter" endarrow="block"/>
              </v:shape>
              <v:oval id="Oval 397975450" o:spid="_x0000_s1048" style="height:6120;left:24434;mso-wrap-style:square;position:absolute;top:60293;v-text-anchor:middle;visibility:visible;width:6120" fillcolor="#532a45" stroked="f">
                <v:fill color2="#532a45" o:opacity2="34734f" rotate="t" colors="0 #532a45;1966f #532a45;12452f #532a45;1 #532a45" focusposition="0.5,0.5" focussize="" focus="100%" type="gradientRadial"/>
                <o:lock v:ext="edit" aspectratio="t"/>
              </v:oval>
              <v:oval id="Oval 1969700878" o:spid="_x0000_s1049" style="height:5760;left:17671;mso-wrap-style:square;position:absolute;top:54006;v-text-anchor:middle;visibility:visible;width:5760" fillcolor="#532a45" stroked="f">
                <v:fill color2="#532a45" o:opacity2="34734f" rotate="t" colors="0 #532a45;1966f #532a45;12452f #532a45;1 #532a45" focusposition="0.5,0.5" focussize="" focus="100%" type="gradientRadial"/>
                <o:lock v:ext="edit" aspectratio="t"/>
              </v:oval>
              <v:oval id="Oval 595766131" o:spid="_x0000_s1050" style="height:5760;left:11765;mso-wrap-style:square;position:absolute;top:44481;v-text-anchor:middle;visibility:visible;width:5760" fillcolor="#532a45" stroked="f">
                <v:fill color2="#532a45" o:opacity2="34734f" rotate="t" colors="0 #532a45;1966f #532a45;12452f #532a45;1 #532a45" focusposition="0.5,0.5" focussize="" focus="100%" type="gradientRadial"/>
                <o:lock v:ext="edit" aspectratio="t"/>
              </v:oval>
              <v:oval id="Oval 852154659" o:spid="_x0000_s1051" style="height:5400;left:11241;mso-wrap-style:square;position:absolute;top:33838;v-text-anchor:middle;visibility:visible;width:5400" fillcolor="#532a45" stroked="f">
                <v:fill color2="#532a45" o:opacity2="34734f" rotate="t" colors="0 #532a45;1966f #532a45;12452f #532a45;1 #532a45" focusposition="0.5,0.5" focussize="" focus="100%" type="gradientRadial"/>
                <o:lock v:ext="edit" aspectratio="t"/>
              </v:oval>
              <v:oval id="Oval 1178804541" o:spid="_x0000_s1052" style="height:3600;left:16909;mso-wrap-style:square;position:absolute;top:24574;v-text-anchor:middle;visibility:visible;width:3600" fillcolor="#532a45" stroked="f">
                <v:fill color2="#532a45" o:opacity2="34734f" rotate="t" colors="0 #532a45;1966f #532a45;12452f #532a45;1 #532a45" focusposition="0.5,0.5" focussize="" focus="100%" type="gradientRadial"/>
                <o:lock v:ext="edit" aspectratio="t"/>
              </v:oval>
              <v:oval id="Oval 1524385037" o:spid="_x0000_s1053" style="height:2160;left:25481;mso-wrap-style:square;position:absolute;top:18669;v-text-anchor:middle;visibility:visible;width:2160" fillcolor="#532a45" stroked="f">
                <v:fill color2="#532a45" o:opacity2="34734f" rotate="t" colors="0 #532a45;1966f #532a45;12452f #532a45;1 #532a45" focusposition="0.5,0.5" focussize="" focus="100%" type="gradientRadial"/>
                <o:lock v:ext="edit" aspectratio="t"/>
              </v:oval>
            </v:group>
            <v:shapetype id="_x0000_t202" coordsize="21600,21600" o:spt="202" path="m,l,21600r21600,l21600,xe">
              <v:stroke joinstyle="miter"/>
              <v:path gradientshapeok="t" o:connecttype="rect"/>
            </v:shapetype>
            <v:shape id="TextBox 53" o:spid="_x0000_s1054" type="#_x0000_t202" style="height:3791;left:66532;mso-wrap-style:none;position:absolute;top:55782;v-text-anchor:top;visibility:visible;width:9465"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Infrastructure</w:t>
                    </w:r>
                  </w:p>
                </w:txbxContent>
              </v:textbox>
            </v:shape>
            <v:shape id="TextBox 55" o:spid="_x0000_s1055" type="#_x0000_t202" style="height:3790;left:57240;mso-wrap-style:none;position:absolute;top:63969;v-text-anchor:top;visibility:visible;width:18128"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Operations and Peacekeeping</w:t>
                    </w:r>
                  </w:p>
                </w:txbxContent>
              </v:textbox>
            </v:shape>
            <v:shape id="TextBox 56" o:spid="_x0000_s1056" type="#_x0000_t202" style="height:3790;left:41413;mso-wrap-style:none;position:absolute;top:67232;v-text-anchor:top;visibility:visible;width:15956"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Civilian</w:t>
                    </w:r>
                    <w:r>
                      <w:rPr>
                        <w:rFonts w:hAnsi="Calibri"/>
                        <w:color w:val="000000" w:themeColor="text1"/>
                        <w:sz w:val="20"/>
                        <w:szCs w:val="20"/>
                      </w:rPr>
                      <w:t xml:space="preserve"> Personnel, £2.2bn</w:t>
                    </w:r>
                  </w:p>
                </w:txbxContent>
              </v:textbox>
            </v:shape>
            <v:shape id="TextBox 77" o:spid="_x0000_s1057" type="#_x0000_t202" style="height:3791;left:11703;mso-wrap-style:none;position:absolute;top:64658;v-text-anchor:top;visibility:visible;width:14439"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Administration, £1.8bn</w:t>
                    </w:r>
                  </w:p>
                </w:txbxContent>
              </v:textbox>
            </v:shape>
            <v:shape id="TextBox 79" o:spid="_x0000_s1058" type="#_x0000_t202" style="height:3791;left:209;mso-wrap-style:none;position:absolute;top:36640;v-text-anchor:top;visibility:visible;width:11572"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Inventory, £1.4bn</w:t>
                    </w:r>
                  </w:p>
                </w:txbxContent>
              </v:textbox>
            </v:shape>
            <v:shape id="TextBox 82" o:spid="_x0000_s1059" type="#_x0000_t202" style="height:3791;left:5500;mso-wrap-style:none;position:absolute;top:57432;v-text-anchor:top;visibility:visible;width:12721"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Other Costs, £1.6bn</w:t>
                    </w:r>
                  </w:p>
                </w:txbxContent>
              </v:textbox>
            </v:shape>
            <v:shape id="TextBox 83" o:spid="_x0000_s1060" type="#_x0000_t202" style="height:3791;left:3358;mso-wrap-style:none;position:absolute;top:47812;v-text-anchor:top;visibility:visible;width:9339"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DE&amp;S, £1.5bn</w:t>
                    </w:r>
                  </w:p>
                </w:txbxContent>
              </v:textbox>
            </v:shape>
            <v:shape id="TextBox 85" o:spid="_x0000_s1061" type="#_x0000_t202" style="height:3791;left:209;mso-wrap-style:square;position:absolute;top:27106;v-text-anchor:top;visibility:visible;width:20784"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War Pensions Benefits, £0.7bn</w:t>
                    </w:r>
                  </w:p>
                </w:txbxContent>
              </v:textbox>
            </v:shape>
            <v:shape id="TextBox 87" o:spid="_x0000_s1062" type="#_x0000_t202" style="height:3790;left:8845;mso-wrap-style:none;position:absolute;top:18554;v-text-anchor:top;visibility:visible;width:17408" filled="f" stroked="f">
              <v:textbox style="mso-fit-shape-to-text:t">
                <w:txbxContent>
                  <w:p w:rsidR="00522BE6" w:rsidP="00522BE6">
                    <w:pPr>
                      <w:rPr>
                        <w:rFonts w:hAnsi="Calibri"/>
                        <w:color w:val="000000" w:themeColor="text1"/>
                        <w:sz w:val="20"/>
                        <w:szCs w:val="20"/>
                      </w:rPr>
                    </w:pPr>
                    <w:r>
                      <w:rPr>
                        <w:rFonts w:hAnsi="Calibri"/>
                        <w:color w:val="000000" w:themeColor="text1"/>
                        <w:sz w:val="20"/>
                        <w:szCs w:val="20"/>
                      </w:rPr>
                      <w:t>Arms</w:t>
                    </w:r>
                    <w:r w:rsidR="00260EC0">
                      <w:rPr>
                        <w:rFonts w:hAnsi="Calibri"/>
                        <w:color w:val="000000" w:themeColor="text1"/>
                        <w:sz w:val="20"/>
                        <w:szCs w:val="20"/>
                      </w:rPr>
                      <w:t>’</w:t>
                    </w:r>
                    <w:r>
                      <w:rPr>
                        <w:rFonts w:hAnsi="Calibri"/>
                        <w:color w:val="000000" w:themeColor="text1"/>
                        <w:sz w:val="20"/>
                        <w:szCs w:val="20"/>
                      </w:rPr>
                      <w:t xml:space="preserve"> Length Bodies, £0.6bn</w:t>
                    </w:r>
                  </w:p>
                </w:txbxContent>
              </v:textbox>
            </v:shape>
            <w10:wrap type="tight"/>
          </v:group>
        </w:pict>
      </w:r>
    </w:p>
    <w:p w:rsidR="00DC4B3D" w:rsidRPr="002020C7" w:rsidP="00165E62">
      <w:pPr>
        <w:rPr>
          <w:highlight w:val="yellow"/>
          <w:lang w:eastAsia="en-GB"/>
        </w:rPr>
      </w:pPr>
    </w:p>
    <w:p w:rsidR="00DC4B3D" w:rsidRPr="002020C7" w:rsidP="00165E62">
      <w:pPr>
        <w:rPr>
          <w:highlight w:val="yellow"/>
          <w:lang w:eastAsia="en-GB"/>
        </w:rPr>
      </w:pPr>
    </w:p>
    <w:p w:rsidR="00A8332A" w:rsidRPr="002020C7" w:rsidP="00165E62">
      <w:pPr>
        <w:rPr>
          <w:highlight w:val="yellow"/>
        </w:rPr>
      </w:pPr>
    </w:p>
    <w:p w:rsidR="00A8332A" w:rsidRPr="002020C7" w:rsidP="00165E62">
      <w:pPr>
        <w:rPr>
          <w:highlight w:val="yellow"/>
        </w:rPr>
      </w:pPr>
    </w:p>
    <w:p w:rsidR="00DB5778"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3B73F6" w:rsidRPr="002020C7" w:rsidP="00165E62">
      <w:pPr>
        <w:rPr>
          <w:highlight w:val="yellow"/>
        </w:rPr>
      </w:pPr>
    </w:p>
    <w:p w:rsidR="005E627F" w:rsidRPr="008B3D8B" w:rsidP="00EC07AB">
      <w:pPr>
        <w:pStyle w:val="Heading2"/>
        <w:rPr>
          <w:rFonts w:asciiTheme="minorHAnsi" w:hAnsiTheme="minorHAnsi"/>
          <w:color w:val="13284C"/>
        </w:rPr>
      </w:pPr>
      <w:r w:rsidRPr="008B3D8B">
        <w:rPr>
          <w:rFonts w:asciiTheme="minorHAnsi" w:hAnsiTheme="minorHAnsi"/>
          <w:color w:val="13284C"/>
        </w:rPr>
        <w:t xml:space="preserve">Measures of performance against each </w:t>
      </w:r>
      <w:r w:rsidRPr="008B3D8B" w:rsidR="00740C96">
        <w:rPr>
          <w:rFonts w:asciiTheme="minorHAnsi" w:hAnsiTheme="minorHAnsi"/>
          <w:color w:val="13284C"/>
        </w:rPr>
        <w:t xml:space="preserve">priority </w:t>
      </w:r>
    </w:p>
    <w:p w:rsidR="0054086E" w:rsidP="0054086E">
      <w:pPr>
        <w:rPr>
          <w:lang w:eastAsia="en-GB"/>
        </w:rPr>
      </w:pPr>
      <w:r w:rsidRPr="008B3D8B">
        <w:rPr>
          <w:lang w:eastAsia="en-GB"/>
        </w:rPr>
        <w:t xml:space="preserve">The </w:t>
      </w:r>
      <w:r w:rsidRPr="5DFEAA59" w:rsidR="3C1D4665">
        <w:rPr>
          <w:lang w:eastAsia="en-GB"/>
        </w:rPr>
        <w:t xml:space="preserve">Strategic Defence Review is currently underway and will set </w:t>
      </w:r>
      <w:r w:rsidRPr="008B3D8B">
        <w:rPr>
          <w:lang w:eastAsia="en-GB"/>
        </w:rPr>
        <w:t>MOD’s priority outcomes and strategic enablers</w:t>
      </w:r>
      <w:r w:rsidRPr="5DFEAA59" w:rsidR="2FA6AD40">
        <w:rPr>
          <w:lang w:eastAsia="en-GB"/>
        </w:rPr>
        <w:t>. Further details will follow in the Spring</w:t>
      </w:r>
      <w:r w:rsidR="008C6EAB">
        <w:rPr>
          <w:lang w:eastAsia="en-GB"/>
        </w:rPr>
        <w:t>. T</w:t>
      </w:r>
      <w:r w:rsidR="008E2E49">
        <w:rPr>
          <w:lang w:eastAsia="en-GB"/>
        </w:rPr>
        <w:t xml:space="preserve">he Department’s </w:t>
      </w:r>
      <w:r w:rsidRPr="368EEEB3" w:rsidR="2FA6AD40">
        <w:rPr>
          <w:lang w:eastAsia="en-GB"/>
        </w:rPr>
        <w:t xml:space="preserve">performance </w:t>
      </w:r>
      <w:r w:rsidR="008E2E49">
        <w:rPr>
          <w:lang w:eastAsia="en-GB"/>
        </w:rPr>
        <w:t xml:space="preserve">will be </w:t>
      </w:r>
      <w:r w:rsidRPr="4981650A" w:rsidR="2FA6AD40">
        <w:rPr>
          <w:lang w:eastAsia="en-GB"/>
        </w:rPr>
        <w:t xml:space="preserve">reported </w:t>
      </w:r>
      <w:r w:rsidR="008E2E49">
        <w:rPr>
          <w:lang w:eastAsia="en-GB"/>
        </w:rPr>
        <w:t>on annually with</w:t>
      </w:r>
      <w:r w:rsidRPr="008B3D8B">
        <w:rPr>
          <w:lang w:eastAsia="en-GB"/>
        </w:rPr>
        <w:t xml:space="preserve">in </w:t>
      </w:r>
      <w:r w:rsidR="008E2E49">
        <w:rPr>
          <w:lang w:eastAsia="en-GB"/>
        </w:rPr>
        <w:t xml:space="preserve">MOD’s </w:t>
      </w:r>
      <w:r w:rsidRPr="008B3D8B">
        <w:rPr>
          <w:lang w:eastAsia="en-GB"/>
        </w:rPr>
        <w:t xml:space="preserve">Annual Report and Accounts. </w:t>
      </w:r>
    </w:p>
    <w:p w:rsidR="0060398E" w:rsidRPr="008B3D8B" w:rsidP="0054086E">
      <w:pPr>
        <w:rPr>
          <w:rStyle w:val="Hyperlink"/>
          <w:lang w:eastAsia="en-GB"/>
        </w:rPr>
      </w:pPr>
    </w:p>
    <w:p w:rsidR="00A10A91" w:rsidRPr="00552E51" w:rsidP="00A10A91">
      <w:pPr>
        <w:pStyle w:val="Heading2"/>
        <w:rPr>
          <w:rFonts w:asciiTheme="minorHAnsi" w:hAnsiTheme="minorHAnsi"/>
          <w:color w:val="13284C"/>
        </w:rPr>
      </w:pPr>
      <w:r w:rsidRPr="00552E51">
        <w:rPr>
          <w:rFonts w:asciiTheme="minorHAnsi" w:hAnsiTheme="minorHAnsi"/>
          <w:color w:val="13284C"/>
        </w:rPr>
        <w:t xml:space="preserve">Commentary on steps being taken to address performance issues </w:t>
      </w:r>
    </w:p>
    <w:p w:rsidR="001B379E" w:rsidP="00A10A91">
      <w:pPr>
        <w:rPr>
          <w:lang w:eastAsia="en-GB"/>
        </w:rPr>
      </w:pPr>
      <w:r w:rsidRPr="10F16BE2">
        <w:rPr>
          <w:lang w:eastAsia="en-GB"/>
        </w:rPr>
        <w:t xml:space="preserve">In previous </w:t>
      </w:r>
      <w:r w:rsidRPr="10F16BE2" w:rsidR="00260EC0">
        <w:rPr>
          <w:lang w:eastAsia="en-GB"/>
        </w:rPr>
        <w:t>years,</w:t>
      </w:r>
      <w:r w:rsidRPr="10F16BE2">
        <w:rPr>
          <w:lang w:eastAsia="en-GB"/>
        </w:rPr>
        <w:t xml:space="preserve"> the NAO and PAC have made recommendations as they </w:t>
      </w:r>
      <w:r w:rsidRPr="3A110013">
        <w:rPr>
          <w:lang w:eastAsia="en-GB"/>
        </w:rPr>
        <w:t>cons</w:t>
      </w:r>
      <w:r w:rsidRPr="3A110013" w:rsidR="7407004F">
        <w:rPr>
          <w:lang w:eastAsia="en-GB"/>
        </w:rPr>
        <w:t>ider</w:t>
      </w:r>
      <w:r w:rsidRPr="10F16BE2">
        <w:rPr>
          <w:lang w:eastAsia="en-GB"/>
        </w:rPr>
        <w:t xml:space="preserve"> the </w:t>
      </w:r>
      <w:r w:rsidRPr="3A110013" w:rsidR="2B03DEFF">
        <w:rPr>
          <w:lang w:eastAsia="en-GB"/>
        </w:rPr>
        <w:t>Equipment</w:t>
      </w:r>
      <w:r w:rsidRPr="10F16BE2">
        <w:rPr>
          <w:lang w:eastAsia="en-GB"/>
        </w:rPr>
        <w:t xml:space="preserve"> Plan. </w:t>
      </w:r>
      <w:r w:rsidRPr="51FC9B2C">
        <w:rPr>
          <w:lang w:eastAsia="en-GB"/>
        </w:rPr>
        <w:t xml:space="preserve">The department is currently considering </w:t>
      </w:r>
      <w:r w:rsidRPr="6810C98F">
        <w:rPr>
          <w:lang w:eastAsia="en-GB"/>
        </w:rPr>
        <w:t>its</w:t>
      </w:r>
      <w:r w:rsidRPr="2DADBDE7">
        <w:rPr>
          <w:lang w:eastAsia="en-GB"/>
        </w:rPr>
        <w:t xml:space="preserve"> approach </w:t>
      </w:r>
      <w:r w:rsidRPr="1DDD946F">
        <w:rPr>
          <w:lang w:eastAsia="en-GB"/>
        </w:rPr>
        <w:t xml:space="preserve">to future Equipment Plan </w:t>
      </w:r>
      <w:r w:rsidRPr="6810C98F">
        <w:rPr>
          <w:lang w:eastAsia="en-GB"/>
        </w:rPr>
        <w:t>publications</w:t>
      </w:r>
      <w:r w:rsidRPr="3A110013" w:rsidR="4B20E468">
        <w:rPr>
          <w:lang w:eastAsia="en-GB"/>
        </w:rPr>
        <w:t>.</w:t>
      </w:r>
      <w:r w:rsidRPr="6810C98F">
        <w:rPr>
          <w:lang w:eastAsia="en-GB"/>
        </w:rPr>
        <w:t xml:space="preserve"> </w:t>
      </w:r>
    </w:p>
    <w:p w:rsidR="004D2BA2" w:rsidRPr="00552E51" w:rsidP="00A10A91">
      <w:pPr>
        <w:rPr>
          <w:lang w:eastAsia="en-GB"/>
        </w:rPr>
      </w:pPr>
    </w:p>
    <w:p w:rsidR="00A10A91" w:rsidRPr="00A03B98" w:rsidP="00A10A91">
      <w:pPr>
        <w:pStyle w:val="Heading2"/>
        <w:rPr>
          <w:rFonts w:asciiTheme="minorHAnsi" w:hAnsiTheme="minorHAnsi"/>
          <w:color w:val="13284C"/>
        </w:rPr>
      </w:pPr>
      <w:r w:rsidRPr="00A03B98">
        <w:rPr>
          <w:rFonts w:asciiTheme="minorHAnsi" w:hAnsiTheme="minorHAnsi"/>
          <w:color w:val="13284C"/>
        </w:rPr>
        <w:t xml:space="preserve">Major projects </w:t>
      </w:r>
    </w:p>
    <w:p w:rsidR="004B1DE3" w:rsidRPr="00A03B98" w:rsidP="001110F1">
      <w:pPr>
        <w:rPr>
          <w:lang w:eastAsia="en-GB"/>
        </w:rPr>
      </w:pPr>
      <w:r w:rsidRPr="00A03B98">
        <w:rPr>
          <w:lang w:eastAsia="en-GB"/>
        </w:rPr>
        <w:t>The</w:t>
      </w:r>
      <w:r w:rsidRPr="00A03B98" w:rsidR="003829FD">
        <w:rPr>
          <w:lang w:eastAsia="en-GB"/>
        </w:rPr>
        <w:t xml:space="preserve"> </w:t>
      </w:r>
      <w:r w:rsidRPr="00A03B98" w:rsidR="003829FD">
        <w:t xml:space="preserve">Ministry of Defence (MoD) </w:t>
      </w:r>
      <w:r w:rsidRPr="00A03B98" w:rsidR="00C1323F">
        <w:t>March 202</w:t>
      </w:r>
      <w:r w:rsidRPr="00A03B98" w:rsidR="009D6A36">
        <w:t>4</w:t>
      </w:r>
      <w:r w:rsidRPr="00A03B98" w:rsidR="003829FD">
        <w:t xml:space="preserve"> Government Major Projects Portfolio data that supports the 202</w:t>
      </w:r>
      <w:r w:rsidRPr="00A03B98" w:rsidR="00A03B98">
        <w:t>3</w:t>
      </w:r>
      <w:r w:rsidRPr="00A03B98" w:rsidR="00CA3AFC">
        <w:t>-2</w:t>
      </w:r>
      <w:r w:rsidRPr="00A03B98" w:rsidR="00A03B98">
        <w:t>4</w:t>
      </w:r>
      <w:r w:rsidRPr="00A03B98" w:rsidR="003829FD">
        <w:t xml:space="preserve"> Infrastructure and Projects Authority (IPA) annual report </w:t>
      </w:r>
      <w:r w:rsidRPr="00A03B98">
        <w:rPr>
          <w:lang w:eastAsia="en-GB"/>
        </w:rPr>
        <w:t>can be found</w:t>
      </w:r>
      <w:r w:rsidRPr="00A03B98" w:rsidR="006F2745">
        <w:rPr>
          <w:lang w:eastAsia="en-GB"/>
        </w:rPr>
        <w:t xml:space="preserve"> at:</w:t>
      </w:r>
      <w:r w:rsidRPr="00A03B98" w:rsidR="001D4652">
        <w:rPr>
          <w:lang w:eastAsia="en-GB"/>
        </w:rPr>
        <w:t xml:space="preserve"> </w:t>
      </w:r>
    </w:p>
    <w:p w:rsidR="009550C2" w:rsidRPr="00A03B98" w:rsidP="001110F1">
      <w:pPr>
        <w:rPr>
          <w:lang w:eastAsia="en-GB"/>
        </w:rPr>
      </w:pPr>
      <w:r>
        <w:fldChar w:fldCharType="begin"/>
      </w:r>
      <w:r>
        <w:instrText xml:space="preserve"> HYPERLINK "https://www.gov.uk/government/publications/mod-government-major-projects-portfolio-data-2024" </w:instrText>
      </w:r>
      <w:r>
        <w:fldChar w:fldCharType="separate"/>
      </w:r>
      <w:r w:rsidRPr="00A03B98" w:rsidR="00A03B98">
        <w:rPr>
          <w:rStyle w:val="Hyperlink"/>
          <w:lang w:eastAsia="en-GB"/>
        </w:rPr>
        <w:t>MOD Government Major Project Portfolio Data, 2024 - GOV.UK (www.gov.uk)</w:t>
      </w:r>
      <w:r>
        <w:fldChar w:fldCharType="end"/>
      </w:r>
    </w:p>
    <w:p w:rsidR="001110F1">
      <w:pPr>
        <w:rPr>
          <w:lang w:eastAsia="en-GB"/>
        </w:rPr>
      </w:pPr>
      <w:r w:rsidRPr="00EC4969">
        <w:rPr>
          <w:lang w:eastAsia="en-GB"/>
        </w:rPr>
        <w:t>MOD Capability Programmes are funded internally by the Department, via HM Treasury.</w:t>
      </w:r>
    </w:p>
    <w:p w:rsidR="00B65942" w:rsidRPr="00EC4969">
      <w:pPr>
        <w:rPr>
          <w:lang w:eastAsia="en-GB"/>
        </w:rPr>
      </w:pPr>
    </w:p>
    <w:p w:rsidR="0038554F" w:rsidP="0038554F">
      <w:pPr>
        <w:pStyle w:val="Heading1"/>
        <w:rPr>
          <w:rFonts w:asciiTheme="minorHAnsi" w:hAnsiTheme="minorHAnsi"/>
          <w:color w:val="13284C"/>
        </w:rPr>
      </w:pPr>
      <w:r w:rsidRPr="00EC4969">
        <w:rPr>
          <w:rFonts w:asciiTheme="minorHAnsi" w:hAnsiTheme="minorHAnsi"/>
          <w:color w:val="13284C"/>
        </w:rPr>
        <w:t>Other information</w:t>
      </w:r>
    </w:p>
    <w:p w:rsidR="00B65942" w:rsidRPr="004D2BA2" w:rsidP="004D2BA2"/>
    <w:p w:rsidR="00740C96" w:rsidRPr="00EC4969" w:rsidP="00137ED6">
      <w:pPr>
        <w:pStyle w:val="Heading2"/>
        <w:rPr>
          <w:rFonts w:asciiTheme="minorHAnsi" w:hAnsiTheme="minorHAnsi"/>
          <w:color w:val="13284C"/>
        </w:rPr>
      </w:pPr>
      <w:r w:rsidRPr="00EC4969">
        <w:rPr>
          <w:rFonts w:asciiTheme="minorHAnsi" w:hAnsiTheme="minorHAnsi"/>
          <w:color w:val="13284C"/>
        </w:rPr>
        <w:t>Summary of Resources sought in the Estimate</w:t>
      </w:r>
    </w:p>
    <w:p w:rsidR="005A2938" w:rsidRPr="006D4AE1" w:rsidP="001110F1">
      <w:pPr>
        <w:ind w:right="113"/>
        <w:mirrorIndents/>
        <w:rPr>
          <w:rFonts w:cs="Arial"/>
        </w:rPr>
      </w:pPr>
      <w:r w:rsidRPr="006D4AE1">
        <w:rPr>
          <w:rFonts w:cs="Arial"/>
        </w:rPr>
        <w:t xml:space="preserve">The </w:t>
      </w:r>
      <w:r w:rsidRPr="006D4AE1" w:rsidR="00370F75">
        <w:rPr>
          <w:rFonts w:cs="Arial"/>
        </w:rPr>
        <w:t>introduction to the Estimate</w:t>
      </w:r>
      <w:r w:rsidRPr="006D4AE1" w:rsidR="00C07755">
        <w:rPr>
          <w:rFonts w:cs="Arial"/>
        </w:rPr>
        <w:t xml:space="preserve"> shows a net </w:t>
      </w:r>
      <w:r w:rsidRPr="006D4AE1" w:rsidR="004553EC">
        <w:rPr>
          <w:rFonts w:cs="Arial"/>
        </w:rPr>
        <w:t>increase</w:t>
      </w:r>
      <w:r w:rsidRPr="006D4AE1" w:rsidR="00C07755">
        <w:rPr>
          <w:rFonts w:cs="Arial"/>
        </w:rPr>
        <w:t xml:space="preserve"> in Resource</w:t>
      </w:r>
      <w:r w:rsidRPr="006D4AE1" w:rsidR="00FB0F30">
        <w:rPr>
          <w:rFonts w:cs="Arial"/>
        </w:rPr>
        <w:t xml:space="preserve"> DEL (RDEL)</w:t>
      </w:r>
      <w:r w:rsidRPr="006D4AE1" w:rsidR="00231665">
        <w:rPr>
          <w:rFonts w:cs="Arial"/>
        </w:rPr>
        <w:t xml:space="preserve"> of </w:t>
      </w:r>
      <w:r w:rsidRPr="006D4AE1" w:rsidR="00D37C75">
        <w:rPr>
          <w:rFonts w:cs="Arial"/>
        </w:rPr>
        <w:t>£</w:t>
      </w:r>
      <w:r w:rsidRPr="006D4AE1" w:rsidR="00974B4A">
        <w:rPr>
          <w:rFonts w:cs="Arial"/>
        </w:rPr>
        <w:t>2,</w:t>
      </w:r>
      <w:r w:rsidRPr="006D4AE1" w:rsidR="00B13EC1">
        <w:rPr>
          <w:rFonts w:cs="Arial"/>
        </w:rPr>
        <w:t>984</w:t>
      </w:r>
      <w:r w:rsidRPr="006D4AE1" w:rsidR="00E0345D">
        <w:rPr>
          <w:rFonts w:cs="Arial"/>
        </w:rPr>
        <w:t>m</w:t>
      </w:r>
      <w:r w:rsidRPr="006D4AE1" w:rsidR="00974B4A">
        <w:rPr>
          <w:rFonts w:cs="Arial"/>
        </w:rPr>
        <w:t>.</w:t>
      </w:r>
      <w:r w:rsidRPr="006D4AE1" w:rsidR="00857BC1">
        <w:rPr>
          <w:rFonts w:cs="Arial"/>
        </w:rPr>
        <w:t xml:space="preserve"> There </w:t>
      </w:r>
      <w:r w:rsidRPr="006D4AE1" w:rsidR="001744D4">
        <w:rPr>
          <w:rFonts w:cs="Arial"/>
        </w:rPr>
        <w:t>is also a</w:t>
      </w:r>
      <w:r w:rsidRPr="006D4AE1" w:rsidR="00C700EE">
        <w:rPr>
          <w:rFonts w:cs="Arial"/>
        </w:rPr>
        <w:t>n</w:t>
      </w:r>
      <w:r w:rsidRPr="006D4AE1" w:rsidR="001744D4">
        <w:rPr>
          <w:rFonts w:cs="Arial"/>
        </w:rPr>
        <w:t xml:space="preserve"> </w:t>
      </w:r>
      <w:r w:rsidRPr="006D4AE1" w:rsidR="00C700EE">
        <w:rPr>
          <w:rFonts w:cs="Arial"/>
        </w:rPr>
        <w:t>increase</w:t>
      </w:r>
      <w:r w:rsidRPr="006D4AE1" w:rsidR="00C42DBB">
        <w:rPr>
          <w:rFonts w:cs="Arial"/>
        </w:rPr>
        <w:t xml:space="preserve"> in </w:t>
      </w:r>
      <w:r w:rsidRPr="006D4AE1" w:rsidR="00890AD7">
        <w:rPr>
          <w:rFonts w:cs="Arial"/>
        </w:rPr>
        <w:t>Capital DEL (CDEL)</w:t>
      </w:r>
      <w:r w:rsidRPr="006D4AE1" w:rsidR="00D06553">
        <w:rPr>
          <w:rFonts w:cs="Arial"/>
        </w:rPr>
        <w:t xml:space="preserve"> of £</w:t>
      </w:r>
      <w:r w:rsidRPr="006D4AE1" w:rsidR="00351C76">
        <w:rPr>
          <w:rFonts w:cs="Arial"/>
        </w:rPr>
        <w:t>950</w:t>
      </w:r>
      <w:r w:rsidRPr="006D4AE1" w:rsidR="006422B4">
        <w:rPr>
          <w:rFonts w:cs="Arial"/>
        </w:rPr>
        <w:t>m</w:t>
      </w:r>
      <w:r w:rsidRPr="006D4AE1" w:rsidR="00615722">
        <w:rPr>
          <w:rFonts w:cs="Arial"/>
        </w:rPr>
        <w:t xml:space="preserve">. </w:t>
      </w:r>
    </w:p>
    <w:p w:rsidR="003B68C1" w:rsidP="001110F1">
      <w:pPr>
        <w:ind w:right="113"/>
        <w:mirrorIndents/>
        <w:rPr>
          <w:rFonts w:cs="Arial"/>
        </w:rPr>
      </w:pPr>
      <w:r w:rsidRPr="006D4AE1">
        <w:rPr>
          <w:rFonts w:cs="Arial"/>
        </w:rPr>
        <w:t xml:space="preserve">The </w:t>
      </w:r>
      <w:r w:rsidRPr="006D4AE1" w:rsidR="002C028D">
        <w:rPr>
          <w:rFonts w:cs="Arial"/>
        </w:rPr>
        <w:t>R</w:t>
      </w:r>
      <w:r w:rsidRPr="006D4AE1">
        <w:rPr>
          <w:rFonts w:cs="Arial"/>
        </w:rPr>
        <w:t>esource</w:t>
      </w:r>
      <w:r w:rsidRPr="006D4AE1" w:rsidR="006462B1">
        <w:rPr>
          <w:rFonts w:cs="Arial"/>
        </w:rPr>
        <w:t xml:space="preserve"> changes </w:t>
      </w:r>
      <w:r w:rsidRPr="006D4AE1" w:rsidR="00D078A2">
        <w:rPr>
          <w:rFonts w:cs="Arial"/>
        </w:rPr>
        <w:t xml:space="preserve">are summarised in the </w:t>
      </w:r>
      <w:r w:rsidRPr="006D4AE1" w:rsidR="000E2CB3">
        <w:rPr>
          <w:rFonts w:cs="Arial"/>
        </w:rPr>
        <w:t>following tables</w:t>
      </w:r>
      <w:r w:rsidRPr="006D4AE1" w:rsidR="008D50F0">
        <w:rPr>
          <w:rFonts w:cs="Arial"/>
        </w:rPr>
        <w:t>:</w:t>
      </w:r>
    </w:p>
    <w:p w:rsidR="009E2B75" w:rsidP="001110F1">
      <w:pPr>
        <w:ind w:right="113"/>
        <w:mirrorIndents/>
        <w:rPr>
          <w:rFonts w:eastAsia="Times New Roman" w:cstheme="minorHAnsi"/>
          <w:b/>
          <w:bCs/>
          <w:sz w:val="20"/>
          <w:szCs w:val="20"/>
          <w:u w:val="single"/>
          <w:lang w:eastAsia="en-GB"/>
        </w:rPr>
      </w:pPr>
      <w:r w:rsidRPr="009E2B75">
        <w:rPr>
          <w:rFonts w:eastAsia="Times New Roman" w:cstheme="minorHAnsi"/>
          <w:b/>
          <w:bCs/>
          <w:sz w:val="20"/>
          <w:szCs w:val="20"/>
          <w:u w:val="single"/>
          <w:lang w:eastAsia="en-GB"/>
        </w:rPr>
        <w:t>Table 8: Changes in Net Resource and Capital Expenditure and AME</w:t>
      </w:r>
    </w:p>
    <w:tbl>
      <w:tblPr>
        <w:tblW w:w="5940" w:type="dxa"/>
        <w:tblLook w:val="04A0"/>
      </w:tblPr>
      <w:tblGrid>
        <w:gridCol w:w="4780"/>
        <w:gridCol w:w="1160"/>
      </w:tblGrid>
      <w:tr w:rsidTr="0054093B">
        <w:tblPrEx>
          <w:tblW w:w="5940" w:type="dxa"/>
          <w:tblLook w:val="04A0"/>
        </w:tblPrEx>
        <w:trPr>
          <w:trHeight w:val="270"/>
        </w:trPr>
        <w:tc>
          <w:tcPr>
            <w:tcW w:w="4780" w:type="dxa"/>
            <w:tcBorders>
              <w:top w:val="single" w:sz="8" w:space="0" w:color="auto"/>
              <w:left w:val="single" w:sz="8" w:space="0" w:color="auto"/>
              <w:bottom w:val="single" w:sz="8" w:space="0" w:color="auto"/>
              <w:right w:val="nil"/>
            </w:tcBorders>
            <w:shd w:val="clear" w:color="000000" w:fill="532A45"/>
            <w:vAlign w:val="center"/>
            <w:hideMark/>
          </w:tcPr>
          <w:p w:rsidR="0054093B" w:rsidRPr="0054093B" w:rsidP="0054093B">
            <w:pPr>
              <w:spacing w:after="0" w:line="240" w:lineRule="auto"/>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Resource Expenditure</w:t>
            </w:r>
          </w:p>
        </w:tc>
        <w:tc>
          <w:tcPr>
            <w:tcW w:w="1160" w:type="dxa"/>
            <w:tcBorders>
              <w:top w:val="single" w:sz="8" w:space="0" w:color="auto"/>
              <w:left w:val="single" w:sz="8" w:space="0" w:color="auto"/>
              <w:bottom w:val="single" w:sz="8" w:space="0" w:color="auto"/>
              <w:right w:val="single" w:sz="8" w:space="0" w:color="auto"/>
            </w:tcBorders>
            <w:shd w:val="clear" w:color="000000" w:fill="532A45"/>
            <w:vAlign w:val="center"/>
            <w:hideMark/>
          </w:tcPr>
          <w:p w:rsidR="0054093B" w:rsidRPr="0054093B" w:rsidP="0054093B">
            <w:pPr>
              <w:spacing w:after="0" w:line="240" w:lineRule="auto"/>
              <w:jc w:val="center"/>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£M</w:t>
            </w:r>
          </w:p>
        </w:tc>
      </w:tr>
      <w:tr w:rsidTr="0054093B">
        <w:tblPrEx>
          <w:tblW w:w="5940" w:type="dxa"/>
          <w:tblLook w:val="04A0"/>
        </w:tblPrEx>
        <w:trPr>
          <w:trHeight w:val="255"/>
        </w:trPr>
        <w:tc>
          <w:tcPr>
            <w:tcW w:w="4780" w:type="dxa"/>
            <w:tcBorders>
              <w:top w:val="nil"/>
              <w:left w:val="single" w:sz="8" w:space="0" w:color="auto"/>
              <w:bottom w:val="single" w:sz="4" w:space="0" w:color="auto"/>
              <w:right w:val="nil"/>
            </w:tcBorders>
            <w:shd w:val="clear" w:color="auto" w:fill="auto"/>
            <w:vAlign w:val="center"/>
            <w:hideMark/>
          </w:tcPr>
          <w:p w:rsidR="0054093B" w:rsidRPr="0054093B" w:rsidP="0054093B">
            <w:pPr>
              <w:spacing w:after="0" w:line="240" w:lineRule="auto"/>
              <w:rPr>
                <w:rFonts w:eastAsia="Times New Roman" w:cstheme="minorHAnsi"/>
                <w:sz w:val="20"/>
                <w:szCs w:val="20"/>
                <w:lang w:eastAsia="en-GB"/>
              </w:rPr>
            </w:pPr>
            <w:r w:rsidRPr="0054093B">
              <w:rPr>
                <w:rFonts w:eastAsia="Times New Roman" w:cstheme="minorHAnsi"/>
                <w:sz w:val="20"/>
                <w:szCs w:val="20"/>
                <w:lang w:eastAsia="en-GB"/>
              </w:rPr>
              <w:t>Resource DEL: Provision of Defence Capability</w:t>
            </w:r>
          </w:p>
        </w:tc>
        <w:tc>
          <w:tcPr>
            <w:tcW w:w="1160" w:type="dxa"/>
            <w:tcBorders>
              <w:top w:val="nil"/>
              <w:left w:val="single" w:sz="8" w:space="0" w:color="auto"/>
              <w:bottom w:val="single" w:sz="4" w:space="0" w:color="auto"/>
              <w:right w:val="single" w:sz="8" w:space="0" w:color="auto"/>
            </w:tcBorders>
            <w:shd w:val="clear" w:color="000000" w:fill="FFFFFF"/>
            <w:vAlign w:val="center"/>
            <w:hideMark/>
          </w:tcPr>
          <w:p w:rsidR="0054093B" w:rsidRPr="0054093B" w:rsidP="0054093B">
            <w:pPr>
              <w:spacing w:after="0" w:line="240" w:lineRule="auto"/>
              <w:jc w:val="center"/>
              <w:rPr>
                <w:rFonts w:eastAsia="Times New Roman" w:cstheme="minorHAnsi"/>
                <w:sz w:val="20"/>
                <w:szCs w:val="20"/>
                <w:lang w:eastAsia="en-GB"/>
              </w:rPr>
            </w:pPr>
            <w:r w:rsidRPr="0054093B">
              <w:rPr>
                <w:rFonts w:eastAsia="Times New Roman" w:cstheme="minorHAnsi"/>
                <w:sz w:val="20"/>
                <w:szCs w:val="20"/>
                <w:lang w:eastAsia="en-GB"/>
              </w:rPr>
              <w:t>2,920.8</w:t>
            </w:r>
          </w:p>
        </w:tc>
      </w:tr>
      <w:tr w:rsidTr="0054093B">
        <w:tblPrEx>
          <w:tblW w:w="5940" w:type="dxa"/>
          <w:tblLook w:val="04A0"/>
        </w:tblPrEx>
        <w:trPr>
          <w:trHeight w:val="270"/>
        </w:trPr>
        <w:tc>
          <w:tcPr>
            <w:tcW w:w="4780" w:type="dxa"/>
            <w:tcBorders>
              <w:top w:val="nil"/>
              <w:left w:val="single" w:sz="8" w:space="0" w:color="auto"/>
              <w:bottom w:val="single" w:sz="8" w:space="0" w:color="auto"/>
              <w:right w:val="nil"/>
            </w:tcBorders>
            <w:shd w:val="clear" w:color="auto" w:fill="auto"/>
            <w:vAlign w:val="center"/>
            <w:hideMark/>
          </w:tcPr>
          <w:p w:rsidR="0054093B" w:rsidRPr="0054093B" w:rsidP="0054093B">
            <w:pPr>
              <w:spacing w:after="0" w:line="240" w:lineRule="auto"/>
              <w:rPr>
                <w:rFonts w:eastAsia="Times New Roman" w:cstheme="minorHAnsi"/>
                <w:sz w:val="20"/>
                <w:szCs w:val="20"/>
                <w:lang w:eastAsia="en-GB"/>
              </w:rPr>
            </w:pPr>
            <w:r w:rsidRPr="0054093B">
              <w:rPr>
                <w:rFonts w:eastAsia="Times New Roman" w:cstheme="minorHAnsi"/>
                <w:sz w:val="20"/>
                <w:szCs w:val="20"/>
                <w:lang w:eastAsia="en-GB"/>
              </w:rPr>
              <w:t>Resource DEL: Operations and Peacekeeping &amp; ISF</w:t>
            </w:r>
          </w:p>
        </w:tc>
        <w:tc>
          <w:tcPr>
            <w:tcW w:w="1160" w:type="dxa"/>
            <w:tcBorders>
              <w:top w:val="nil"/>
              <w:left w:val="single" w:sz="8" w:space="0" w:color="auto"/>
              <w:bottom w:val="single" w:sz="8" w:space="0" w:color="auto"/>
              <w:right w:val="single" w:sz="8" w:space="0" w:color="auto"/>
            </w:tcBorders>
            <w:shd w:val="clear" w:color="000000" w:fill="FFFFFF"/>
            <w:vAlign w:val="center"/>
            <w:hideMark/>
          </w:tcPr>
          <w:p w:rsidR="0054093B" w:rsidRPr="0054093B" w:rsidP="0054093B">
            <w:pPr>
              <w:spacing w:after="0" w:line="240" w:lineRule="auto"/>
              <w:jc w:val="center"/>
              <w:rPr>
                <w:rFonts w:eastAsia="Times New Roman" w:cstheme="minorHAnsi"/>
                <w:sz w:val="20"/>
                <w:szCs w:val="20"/>
                <w:lang w:eastAsia="en-GB"/>
              </w:rPr>
            </w:pPr>
            <w:r w:rsidRPr="0054093B">
              <w:rPr>
                <w:rFonts w:eastAsia="Times New Roman" w:cstheme="minorHAnsi"/>
                <w:sz w:val="20"/>
                <w:szCs w:val="20"/>
                <w:lang w:eastAsia="en-GB"/>
              </w:rPr>
              <w:t>62.4</w:t>
            </w:r>
          </w:p>
        </w:tc>
      </w:tr>
      <w:tr w:rsidTr="0054093B">
        <w:tblPrEx>
          <w:tblW w:w="5940" w:type="dxa"/>
          <w:tblLook w:val="04A0"/>
        </w:tblPrEx>
        <w:trPr>
          <w:trHeight w:val="270"/>
        </w:trPr>
        <w:tc>
          <w:tcPr>
            <w:tcW w:w="4780" w:type="dxa"/>
            <w:tcBorders>
              <w:top w:val="nil"/>
              <w:left w:val="single" w:sz="8" w:space="0" w:color="auto"/>
              <w:bottom w:val="single" w:sz="8" w:space="0" w:color="auto"/>
              <w:right w:val="nil"/>
            </w:tcBorders>
            <w:shd w:val="clear" w:color="000000" w:fill="532A45"/>
            <w:vAlign w:val="center"/>
            <w:hideMark/>
          </w:tcPr>
          <w:p w:rsidR="0054093B" w:rsidRPr="0054093B" w:rsidP="0054093B">
            <w:pPr>
              <w:spacing w:after="0" w:line="240" w:lineRule="auto"/>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Resource DEL</w:t>
            </w:r>
          </w:p>
        </w:tc>
        <w:tc>
          <w:tcPr>
            <w:tcW w:w="1160" w:type="dxa"/>
            <w:tcBorders>
              <w:top w:val="nil"/>
              <w:left w:val="single" w:sz="8" w:space="0" w:color="auto"/>
              <w:bottom w:val="single" w:sz="8" w:space="0" w:color="auto"/>
              <w:right w:val="single" w:sz="8" w:space="0" w:color="auto"/>
            </w:tcBorders>
            <w:shd w:val="clear" w:color="000000" w:fill="532A45"/>
            <w:vAlign w:val="center"/>
            <w:hideMark/>
          </w:tcPr>
          <w:p w:rsidR="0054093B" w:rsidRPr="0054093B" w:rsidP="0054093B">
            <w:pPr>
              <w:spacing w:after="0" w:line="240" w:lineRule="auto"/>
              <w:jc w:val="center"/>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2,983.3</w:t>
            </w:r>
          </w:p>
        </w:tc>
      </w:tr>
      <w:tr w:rsidTr="0054093B">
        <w:tblPrEx>
          <w:tblW w:w="5940" w:type="dxa"/>
          <w:tblLook w:val="04A0"/>
        </w:tblPrEx>
        <w:trPr>
          <w:trHeight w:val="270"/>
        </w:trPr>
        <w:tc>
          <w:tcPr>
            <w:tcW w:w="4780" w:type="dxa"/>
            <w:tcBorders>
              <w:top w:val="single" w:sz="4" w:space="0" w:color="auto"/>
              <w:left w:val="single" w:sz="8" w:space="0" w:color="auto"/>
              <w:bottom w:val="single" w:sz="8" w:space="0" w:color="auto"/>
              <w:right w:val="nil"/>
            </w:tcBorders>
            <w:shd w:val="clear" w:color="auto" w:fill="auto"/>
            <w:vAlign w:val="center"/>
            <w:hideMark/>
          </w:tcPr>
          <w:p w:rsidR="0054093B" w:rsidRPr="0054093B" w:rsidP="0054093B">
            <w:pPr>
              <w:spacing w:after="0" w:line="240" w:lineRule="auto"/>
              <w:rPr>
                <w:rFonts w:eastAsia="Times New Roman" w:cstheme="minorHAnsi"/>
                <w:sz w:val="20"/>
                <w:szCs w:val="20"/>
                <w:lang w:eastAsia="en-GB"/>
              </w:rPr>
            </w:pPr>
            <w:r w:rsidRPr="0054093B">
              <w:rPr>
                <w:rFonts w:eastAsia="Times New Roman" w:cstheme="minorHAnsi"/>
                <w:sz w:val="20"/>
                <w:szCs w:val="20"/>
                <w:lang w:eastAsia="en-GB"/>
              </w:rPr>
              <w:t>Resource AME Provision of Defence Capability</w:t>
            </w:r>
          </w:p>
        </w:tc>
        <w:tc>
          <w:tcPr>
            <w:tcW w:w="1160"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4093B" w:rsidRPr="0054093B" w:rsidP="0054093B">
            <w:pPr>
              <w:spacing w:after="0" w:line="240" w:lineRule="auto"/>
              <w:jc w:val="center"/>
              <w:rPr>
                <w:rFonts w:eastAsia="Times New Roman" w:cstheme="minorHAnsi"/>
                <w:sz w:val="20"/>
                <w:szCs w:val="20"/>
                <w:lang w:eastAsia="en-GB"/>
              </w:rPr>
            </w:pPr>
            <w:r w:rsidRPr="0054093B">
              <w:rPr>
                <w:rFonts w:eastAsia="Times New Roman" w:cstheme="minorHAnsi"/>
                <w:sz w:val="20"/>
                <w:szCs w:val="20"/>
                <w:lang w:eastAsia="en-GB"/>
              </w:rPr>
              <w:t>6,656.0</w:t>
            </w:r>
          </w:p>
        </w:tc>
      </w:tr>
      <w:tr w:rsidTr="0054093B">
        <w:tblPrEx>
          <w:tblW w:w="5940" w:type="dxa"/>
          <w:tblLook w:val="04A0"/>
        </w:tblPrEx>
        <w:trPr>
          <w:trHeight w:val="270"/>
        </w:trPr>
        <w:tc>
          <w:tcPr>
            <w:tcW w:w="4780" w:type="dxa"/>
            <w:tcBorders>
              <w:top w:val="nil"/>
              <w:left w:val="single" w:sz="8" w:space="0" w:color="auto"/>
              <w:bottom w:val="single" w:sz="8" w:space="0" w:color="auto"/>
              <w:right w:val="nil"/>
            </w:tcBorders>
            <w:shd w:val="clear" w:color="000000" w:fill="532A45"/>
            <w:vAlign w:val="center"/>
            <w:hideMark/>
          </w:tcPr>
          <w:p w:rsidR="0054093B" w:rsidRPr="0054093B" w:rsidP="0054093B">
            <w:pPr>
              <w:spacing w:after="0" w:line="240" w:lineRule="auto"/>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Total Net Request for Resource at 2024-25 ME</w:t>
            </w:r>
          </w:p>
        </w:tc>
        <w:tc>
          <w:tcPr>
            <w:tcW w:w="1160" w:type="dxa"/>
            <w:tcBorders>
              <w:top w:val="nil"/>
              <w:left w:val="single" w:sz="8" w:space="0" w:color="auto"/>
              <w:bottom w:val="single" w:sz="8" w:space="0" w:color="auto"/>
              <w:right w:val="single" w:sz="8" w:space="0" w:color="auto"/>
            </w:tcBorders>
            <w:shd w:val="clear" w:color="000000" w:fill="532A45"/>
            <w:vAlign w:val="center"/>
            <w:hideMark/>
          </w:tcPr>
          <w:p w:rsidR="0054093B" w:rsidRPr="0054093B" w:rsidP="0054093B">
            <w:pPr>
              <w:spacing w:after="0" w:line="240" w:lineRule="auto"/>
              <w:jc w:val="center"/>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9,639.3</w:t>
            </w:r>
          </w:p>
        </w:tc>
      </w:tr>
      <w:tr w:rsidTr="0054093B">
        <w:tblPrEx>
          <w:tblW w:w="5940" w:type="dxa"/>
          <w:tblLook w:val="04A0"/>
        </w:tblPrEx>
        <w:trPr>
          <w:trHeight w:val="270"/>
        </w:trPr>
        <w:tc>
          <w:tcPr>
            <w:tcW w:w="4780" w:type="dxa"/>
            <w:tcBorders>
              <w:top w:val="nil"/>
              <w:left w:val="nil"/>
              <w:bottom w:val="nil"/>
              <w:right w:val="nil"/>
            </w:tcBorders>
            <w:shd w:val="clear" w:color="auto" w:fill="auto"/>
            <w:noWrap/>
            <w:vAlign w:val="bottom"/>
            <w:hideMark/>
          </w:tcPr>
          <w:p w:rsidR="0054093B" w:rsidRPr="0054093B" w:rsidP="0054093B">
            <w:pPr>
              <w:spacing w:after="0" w:line="240" w:lineRule="auto"/>
              <w:jc w:val="center"/>
              <w:rPr>
                <w:rFonts w:eastAsia="Times New Roman" w:cstheme="minorHAnsi"/>
                <w:b/>
                <w:bCs/>
                <w:color w:val="FFFFFF"/>
                <w:sz w:val="20"/>
                <w:szCs w:val="20"/>
                <w:lang w:eastAsia="en-GB"/>
              </w:rPr>
            </w:pPr>
          </w:p>
        </w:tc>
        <w:tc>
          <w:tcPr>
            <w:tcW w:w="1160" w:type="dxa"/>
            <w:tcBorders>
              <w:top w:val="nil"/>
              <w:left w:val="nil"/>
              <w:bottom w:val="nil"/>
              <w:right w:val="nil"/>
            </w:tcBorders>
            <w:shd w:val="clear" w:color="auto" w:fill="auto"/>
            <w:noWrap/>
            <w:vAlign w:val="bottom"/>
            <w:hideMark/>
          </w:tcPr>
          <w:p w:rsidR="0054093B" w:rsidRPr="0054093B" w:rsidP="0054093B">
            <w:pPr>
              <w:spacing w:after="0" w:line="240" w:lineRule="auto"/>
              <w:rPr>
                <w:rFonts w:eastAsia="Times New Roman" w:cstheme="minorHAnsi"/>
                <w:sz w:val="20"/>
                <w:szCs w:val="20"/>
                <w:lang w:eastAsia="en-GB"/>
              </w:rPr>
            </w:pPr>
          </w:p>
        </w:tc>
      </w:tr>
      <w:tr w:rsidTr="0054093B">
        <w:tblPrEx>
          <w:tblW w:w="5940" w:type="dxa"/>
          <w:tblLook w:val="04A0"/>
        </w:tblPrEx>
        <w:trPr>
          <w:trHeight w:val="270"/>
        </w:trPr>
        <w:tc>
          <w:tcPr>
            <w:tcW w:w="4780" w:type="dxa"/>
            <w:tcBorders>
              <w:top w:val="single" w:sz="8" w:space="0" w:color="auto"/>
              <w:left w:val="single" w:sz="8" w:space="0" w:color="auto"/>
              <w:bottom w:val="single" w:sz="8" w:space="0" w:color="auto"/>
              <w:right w:val="nil"/>
            </w:tcBorders>
            <w:shd w:val="clear" w:color="000000" w:fill="532A45"/>
            <w:vAlign w:val="center"/>
            <w:hideMark/>
          </w:tcPr>
          <w:p w:rsidR="0054093B" w:rsidRPr="0054093B" w:rsidP="0054093B">
            <w:pPr>
              <w:spacing w:after="0" w:line="240" w:lineRule="auto"/>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Capital Expenditure</w:t>
            </w:r>
          </w:p>
        </w:tc>
        <w:tc>
          <w:tcPr>
            <w:tcW w:w="1160" w:type="dxa"/>
            <w:tcBorders>
              <w:top w:val="single" w:sz="8" w:space="0" w:color="auto"/>
              <w:left w:val="single" w:sz="8" w:space="0" w:color="auto"/>
              <w:bottom w:val="single" w:sz="8" w:space="0" w:color="auto"/>
              <w:right w:val="single" w:sz="8" w:space="0" w:color="auto"/>
            </w:tcBorders>
            <w:shd w:val="clear" w:color="000000" w:fill="532A45"/>
            <w:vAlign w:val="center"/>
            <w:hideMark/>
          </w:tcPr>
          <w:p w:rsidR="0054093B" w:rsidRPr="0054093B" w:rsidP="0054093B">
            <w:pPr>
              <w:spacing w:after="0" w:line="240" w:lineRule="auto"/>
              <w:jc w:val="center"/>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£M</w:t>
            </w:r>
          </w:p>
        </w:tc>
      </w:tr>
      <w:tr w:rsidTr="0054093B">
        <w:tblPrEx>
          <w:tblW w:w="5940" w:type="dxa"/>
          <w:tblLook w:val="04A0"/>
        </w:tblPrEx>
        <w:trPr>
          <w:trHeight w:val="255"/>
        </w:trPr>
        <w:tc>
          <w:tcPr>
            <w:tcW w:w="4780" w:type="dxa"/>
            <w:tcBorders>
              <w:top w:val="single" w:sz="4" w:space="0" w:color="auto"/>
              <w:left w:val="single" w:sz="4" w:space="0" w:color="auto"/>
              <w:bottom w:val="single" w:sz="4" w:space="0" w:color="auto"/>
              <w:right w:val="nil"/>
            </w:tcBorders>
            <w:shd w:val="clear" w:color="auto" w:fill="auto"/>
            <w:vAlign w:val="bottom"/>
            <w:hideMark/>
          </w:tcPr>
          <w:p w:rsidR="0054093B" w:rsidRPr="0054093B" w:rsidP="0054093B">
            <w:pPr>
              <w:spacing w:after="0" w:line="240" w:lineRule="auto"/>
              <w:rPr>
                <w:rFonts w:eastAsia="Times New Roman" w:cstheme="minorHAnsi"/>
                <w:sz w:val="20"/>
                <w:szCs w:val="20"/>
                <w:lang w:eastAsia="en-GB"/>
              </w:rPr>
            </w:pPr>
            <w:r w:rsidRPr="0054093B">
              <w:rPr>
                <w:rFonts w:eastAsia="Times New Roman" w:cstheme="minorHAnsi"/>
                <w:sz w:val="20"/>
                <w:szCs w:val="20"/>
                <w:lang w:eastAsia="en-GB"/>
              </w:rPr>
              <w:t>Capital DEL: Provision of Defence Capability</w:t>
            </w:r>
          </w:p>
        </w:tc>
        <w:tc>
          <w:tcPr>
            <w:tcW w:w="1160" w:type="dxa"/>
            <w:tcBorders>
              <w:top w:val="nil"/>
              <w:left w:val="single" w:sz="8" w:space="0" w:color="auto"/>
              <w:bottom w:val="single" w:sz="4" w:space="0" w:color="auto"/>
              <w:right w:val="single" w:sz="8" w:space="0" w:color="auto"/>
            </w:tcBorders>
            <w:shd w:val="clear" w:color="000000" w:fill="FFFFFF"/>
            <w:vAlign w:val="center"/>
            <w:hideMark/>
          </w:tcPr>
          <w:p w:rsidR="0054093B" w:rsidRPr="0054093B" w:rsidP="0054093B">
            <w:pPr>
              <w:spacing w:after="0" w:line="240" w:lineRule="auto"/>
              <w:jc w:val="center"/>
              <w:rPr>
                <w:rFonts w:eastAsia="Times New Roman" w:cstheme="minorHAnsi"/>
                <w:sz w:val="20"/>
                <w:szCs w:val="20"/>
                <w:lang w:eastAsia="en-GB"/>
              </w:rPr>
            </w:pPr>
            <w:r w:rsidRPr="0054093B">
              <w:rPr>
                <w:rFonts w:eastAsia="Times New Roman" w:cstheme="minorHAnsi"/>
                <w:sz w:val="20"/>
                <w:szCs w:val="20"/>
                <w:lang w:eastAsia="en-GB"/>
              </w:rPr>
              <w:t>892.9</w:t>
            </w:r>
          </w:p>
        </w:tc>
      </w:tr>
      <w:tr w:rsidTr="0054093B">
        <w:tblPrEx>
          <w:tblW w:w="5940" w:type="dxa"/>
          <w:tblLook w:val="04A0"/>
        </w:tblPrEx>
        <w:trPr>
          <w:trHeight w:val="270"/>
        </w:trPr>
        <w:tc>
          <w:tcPr>
            <w:tcW w:w="4780" w:type="dxa"/>
            <w:tcBorders>
              <w:top w:val="nil"/>
              <w:left w:val="single" w:sz="4" w:space="0" w:color="auto"/>
              <w:bottom w:val="single" w:sz="4" w:space="0" w:color="auto"/>
              <w:right w:val="nil"/>
            </w:tcBorders>
            <w:shd w:val="clear" w:color="auto" w:fill="auto"/>
            <w:vAlign w:val="bottom"/>
            <w:hideMark/>
          </w:tcPr>
          <w:p w:rsidR="0054093B" w:rsidRPr="0054093B" w:rsidP="0054093B">
            <w:pPr>
              <w:spacing w:after="0" w:line="240" w:lineRule="auto"/>
              <w:rPr>
                <w:rFonts w:eastAsia="Times New Roman" w:cstheme="minorHAnsi"/>
                <w:sz w:val="20"/>
                <w:szCs w:val="20"/>
                <w:lang w:eastAsia="en-GB"/>
              </w:rPr>
            </w:pPr>
            <w:r w:rsidRPr="0054093B">
              <w:rPr>
                <w:rFonts w:eastAsia="Times New Roman" w:cstheme="minorHAnsi"/>
                <w:sz w:val="20"/>
                <w:szCs w:val="20"/>
                <w:lang w:eastAsia="en-GB"/>
              </w:rPr>
              <w:t>Capital DEL: Operations and Peacekeeping &amp; ISF</w:t>
            </w:r>
          </w:p>
        </w:tc>
        <w:tc>
          <w:tcPr>
            <w:tcW w:w="1160" w:type="dxa"/>
            <w:tcBorders>
              <w:top w:val="nil"/>
              <w:left w:val="single" w:sz="8" w:space="0" w:color="auto"/>
              <w:bottom w:val="single" w:sz="8" w:space="0" w:color="auto"/>
              <w:right w:val="single" w:sz="8" w:space="0" w:color="auto"/>
            </w:tcBorders>
            <w:shd w:val="clear" w:color="000000" w:fill="FFFFFF"/>
            <w:vAlign w:val="center"/>
            <w:hideMark/>
          </w:tcPr>
          <w:p w:rsidR="0054093B" w:rsidRPr="0054093B" w:rsidP="0054093B">
            <w:pPr>
              <w:spacing w:after="0" w:line="240" w:lineRule="auto"/>
              <w:jc w:val="center"/>
              <w:rPr>
                <w:rFonts w:eastAsia="Times New Roman" w:cstheme="minorHAnsi"/>
                <w:sz w:val="20"/>
                <w:szCs w:val="20"/>
                <w:lang w:eastAsia="en-GB"/>
              </w:rPr>
            </w:pPr>
            <w:r w:rsidRPr="0054093B">
              <w:rPr>
                <w:rFonts w:eastAsia="Times New Roman" w:cstheme="minorHAnsi"/>
                <w:sz w:val="20"/>
                <w:szCs w:val="20"/>
                <w:lang w:eastAsia="en-GB"/>
              </w:rPr>
              <w:t>56.8</w:t>
            </w:r>
          </w:p>
        </w:tc>
      </w:tr>
      <w:tr w:rsidTr="0054093B">
        <w:tblPrEx>
          <w:tblW w:w="5940" w:type="dxa"/>
          <w:tblLook w:val="04A0"/>
        </w:tblPrEx>
        <w:trPr>
          <w:trHeight w:val="270"/>
        </w:trPr>
        <w:tc>
          <w:tcPr>
            <w:tcW w:w="4780" w:type="dxa"/>
            <w:tcBorders>
              <w:top w:val="single" w:sz="8" w:space="0" w:color="auto"/>
              <w:left w:val="single" w:sz="8" w:space="0" w:color="auto"/>
              <w:bottom w:val="single" w:sz="8" w:space="0" w:color="auto"/>
              <w:right w:val="nil"/>
            </w:tcBorders>
            <w:shd w:val="clear" w:color="000000" w:fill="532A45"/>
            <w:vAlign w:val="center"/>
            <w:hideMark/>
          </w:tcPr>
          <w:p w:rsidR="0054093B" w:rsidRPr="0054093B" w:rsidP="0054093B">
            <w:pPr>
              <w:spacing w:after="0" w:line="240" w:lineRule="auto"/>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Capital DEL</w:t>
            </w:r>
          </w:p>
        </w:tc>
        <w:tc>
          <w:tcPr>
            <w:tcW w:w="1160" w:type="dxa"/>
            <w:tcBorders>
              <w:top w:val="nil"/>
              <w:left w:val="single" w:sz="8" w:space="0" w:color="auto"/>
              <w:bottom w:val="single" w:sz="8" w:space="0" w:color="auto"/>
              <w:right w:val="single" w:sz="8" w:space="0" w:color="auto"/>
            </w:tcBorders>
            <w:shd w:val="clear" w:color="000000" w:fill="532A45"/>
            <w:vAlign w:val="center"/>
            <w:hideMark/>
          </w:tcPr>
          <w:p w:rsidR="0054093B" w:rsidRPr="0054093B" w:rsidP="0054093B">
            <w:pPr>
              <w:spacing w:after="0" w:line="240" w:lineRule="auto"/>
              <w:jc w:val="center"/>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949.7</w:t>
            </w:r>
          </w:p>
        </w:tc>
      </w:tr>
      <w:tr w:rsidTr="0054093B">
        <w:tblPrEx>
          <w:tblW w:w="5940" w:type="dxa"/>
          <w:tblLook w:val="04A0"/>
        </w:tblPrEx>
        <w:trPr>
          <w:trHeight w:val="270"/>
        </w:trPr>
        <w:tc>
          <w:tcPr>
            <w:tcW w:w="4780" w:type="dxa"/>
            <w:tcBorders>
              <w:top w:val="single" w:sz="4" w:space="0" w:color="auto"/>
              <w:left w:val="single" w:sz="8" w:space="0" w:color="auto"/>
              <w:bottom w:val="single" w:sz="8" w:space="0" w:color="auto"/>
              <w:right w:val="nil"/>
            </w:tcBorders>
            <w:shd w:val="clear" w:color="auto" w:fill="auto"/>
            <w:vAlign w:val="center"/>
            <w:hideMark/>
          </w:tcPr>
          <w:p w:rsidR="0054093B" w:rsidRPr="0054093B" w:rsidP="0054093B">
            <w:pPr>
              <w:spacing w:after="0" w:line="240" w:lineRule="auto"/>
              <w:rPr>
                <w:rFonts w:eastAsia="Times New Roman" w:cstheme="minorHAnsi"/>
                <w:sz w:val="20"/>
                <w:szCs w:val="20"/>
                <w:lang w:eastAsia="en-GB"/>
              </w:rPr>
            </w:pPr>
            <w:r w:rsidRPr="0054093B">
              <w:rPr>
                <w:rFonts w:eastAsia="Times New Roman" w:cstheme="minorHAnsi"/>
                <w:sz w:val="20"/>
                <w:szCs w:val="20"/>
                <w:lang w:eastAsia="en-GB"/>
              </w:rPr>
              <w:t>Capital AME Provision of Defence Capability</w:t>
            </w:r>
          </w:p>
        </w:tc>
        <w:tc>
          <w:tcPr>
            <w:tcW w:w="1160"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4093B" w:rsidRPr="0054093B" w:rsidP="0054093B">
            <w:pPr>
              <w:spacing w:after="0" w:line="240" w:lineRule="auto"/>
              <w:jc w:val="center"/>
              <w:rPr>
                <w:rFonts w:eastAsia="Times New Roman" w:cstheme="minorHAnsi"/>
                <w:sz w:val="20"/>
                <w:szCs w:val="20"/>
                <w:lang w:eastAsia="en-GB"/>
              </w:rPr>
            </w:pPr>
            <w:r w:rsidRPr="0054093B">
              <w:rPr>
                <w:rFonts w:eastAsia="Times New Roman" w:cstheme="minorHAnsi"/>
                <w:sz w:val="20"/>
                <w:szCs w:val="20"/>
                <w:lang w:eastAsia="en-GB"/>
              </w:rPr>
              <w:t>5.0</w:t>
            </w:r>
          </w:p>
        </w:tc>
      </w:tr>
      <w:tr w:rsidTr="0054093B">
        <w:tblPrEx>
          <w:tblW w:w="5940" w:type="dxa"/>
          <w:tblLook w:val="04A0"/>
        </w:tblPrEx>
        <w:trPr>
          <w:trHeight w:val="270"/>
        </w:trPr>
        <w:tc>
          <w:tcPr>
            <w:tcW w:w="4780" w:type="dxa"/>
            <w:tcBorders>
              <w:top w:val="nil"/>
              <w:left w:val="single" w:sz="8" w:space="0" w:color="auto"/>
              <w:bottom w:val="single" w:sz="8" w:space="0" w:color="auto"/>
              <w:right w:val="nil"/>
            </w:tcBorders>
            <w:shd w:val="clear" w:color="000000" w:fill="532A45"/>
            <w:vAlign w:val="center"/>
            <w:hideMark/>
          </w:tcPr>
          <w:p w:rsidR="0054093B" w:rsidRPr="0054093B" w:rsidP="0054093B">
            <w:pPr>
              <w:spacing w:after="0" w:line="240" w:lineRule="auto"/>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Total Net Request for Capital at 2024-25 ME</w:t>
            </w:r>
          </w:p>
        </w:tc>
        <w:tc>
          <w:tcPr>
            <w:tcW w:w="1160" w:type="dxa"/>
            <w:tcBorders>
              <w:top w:val="nil"/>
              <w:left w:val="single" w:sz="8" w:space="0" w:color="auto"/>
              <w:bottom w:val="single" w:sz="8" w:space="0" w:color="auto"/>
              <w:right w:val="single" w:sz="8" w:space="0" w:color="auto"/>
            </w:tcBorders>
            <w:shd w:val="clear" w:color="000000" w:fill="532A45"/>
            <w:vAlign w:val="center"/>
            <w:hideMark/>
          </w:tcPr>
          <w:p w:rsidR="0054093B" w:rsidRPr="0054093B" w:rsidP="0054093B">
            <w:pPr>
              <w:spacing w:after="0" w:line="240" w:lineRule="auto"/>
              <w:jc w:val="center"/>
              <w:rPr>
                <w:rFonts w:eastAsia="Times New Roman" w:cstheme="minorHAnsi"/>
                <w:b/>
                <w:bCs/>
                <w:color w:val="FFFFFF"/>
                <w:sz w:val="20"/>
                <w:szCs w:val="20"/>
                <w:lang w:eastAsia="en-GB"/>
              </w:rPr>
            </w:pPr>
            <w:r w:rsidRPr="0054093B">
              <w:rPr>
                <w:rFonts w:eastAsia="Times New Roman" w:cstheme="minorHAnsi"/>
                <w:b/>
                <w:bCs/>
                <w:color w:val="FFFFFF"/>
                <w:sz w:val="20"/>
                <w:szCs w:val="20"/>
                <w:lang w:eastAsia="en-GB"/>
              </w:rPr>
              <w:t>954.7</w:t>
            </w:r>
          </w:p>
        </w:tc>
      </w:tr>
    </w:tbl>
    <w:p w:rsidR="00B65942" w:rsidRPr="00B65942" w:rsidP="004D2BA2">
      <w:pPr>
        <w:rPr>
          <w:highlight w:val="yellow"/>
        </w:rPr>
      </w:pPr>
    </w:p>
    <w:p w:rsidR="003D7FEB" w:rsidRPr="007127E7" w:rsidP="003D7FEB">
      <w:pPr>
        <w:pStyle w:val="Heading2"/>
        <w:rPr>
          <w:rFonts w:asciiTheme="minorHAnsi" w:hAnsiTheme="minorHAnsi"/>
          <w:color w:val="13284C"/>
        </w:rPr>
      </w:pPr>
      <w:r w:rsidRPr="007127E7">
        <w:rPr>
          <w:rFonts w:asciiTheme="minorHAnsi" w:hAnsiTheme="minorHAnsi"/>
          <w:color w:val="13284C"/>
        </w:rPr>
        <w:t>Cha</w:t>
      </w:r>
      <w:r w:rsidRPr="007127E7" w:rsidR="00EB5D6A">
        <w:rPr>
          <w:rFonts w:asciiTheme="minorHAnsi" w:hAnsiTheme="minorHAnsi"/>
          <w:color w:val="13284C"/>
        </w:rPr>
        <w:t>nges to Resource and Capital</w:t>
      </w:r>
    </w:p>
    <w:p w:rsidR="00840E1E" w:rsidP="003D7FEB">
      <w:pPr>
        <w:rPr>
          <w:rFonts w:cs="Arial"/>
        </w:rPr>
      </w:pPr>
      <w:r w:rsidRPr="007127E7">
        <w:rPr>
          <w:rFonts w:cs="Arial"/>
        </w:rPr>
        <w:t xml:space="preserve">Table </w:t>
      </w:r>
      <w:r w:rsidRPr="007127E7" w:rsidR="00C10AFD">
        <w:rPr>
          <w:rFonts w:cs="Arial"/>
        </w:rPr>
        <w:t>9</w:t>
      </w:r>
      <w:r w:rsidRPr="007127E7" w:rsidR="00CC0F8C">
        <w:rPr>
          <w:rFonts w:cs="Arial"/>
        </w:rPr>
        <w:t xml:space="preserve"> below shows how the SE is compiled</w:t>
      </w:r>
      <w:r w:rsidRPr="007127E7" w:rsidR="00174208">
        <w:rPr>
          <w:rFonts w:cs="Arial"/>
        </w:rPr>
        <w:t xml:space="preserve">, identifying the changes since the </w:t>
      </w:r>
      <w:r w:rsidRPr="54728879" w:rsidR="00174208">
        <w:rPr>
          <w:rFonts w:cs="Arial"/>
        </w:rPr>
        <w:t>20</w:t>
      </w:r>
      <w:r w:rsidRPr="54728879" w:rsidR="003A40B7">
        <w:rPr>
          <w:rFonts w:cs="Arial"/>
        </w:rPr>
        <w:t>2</w:t>
      </w:r>
      <w:r w:rsidRPr="54728879" w:rsidR="431E8E76">
        <w:rPr>
          <w:rFonts w:cs="Arial"/>
        </w:rPr>
        <w:t>4-25</w:t>
      </w:r>
      <w:r w:rsidRPr="007127E7" w:rsidR="009A76FC">
        <w:rPr>
          <w:rFonts w:cs="Arial"/>
        </w:rPr>
        <w:t xml:space="preserve"> Main Es</w:t>
      </w:r>
      <w:r w:rsidRPr="007127E7" w:rsidR="003D09BF">
        <w:rPr>
          <w:rFonts w:cs="Arial"/>
        </w:rPr>
        <w:t>timate</w:t>
      </w:r>
      <w:r w:rsidRPr="007127E7" w:rsidR="00626F34">
        <w:rPr>
          <w:rFonts w:cs="Arial"/>
        </w:rPr>
        <w:t>.</w:t>
      </w:r>
    </w:p>
    <w:p w:rsidR="004D2BA2" w:rsidP="003D7FEB">
      <w:pPr>
        <w:rPr>
          <w:rFonts w:eastAsia="Times New Roman"/>
          <w:b/>
          <w:sz w:val="20"/>
          <w:szCs w:val="20"/>
          <w:u w:val="single"/>
          <w:lang w:eastAsia="en-GB"/>
        </w:rPr>
      </w:pPr>
    </w:p>
    <w:p w:rsidR="007127E7" w:rsidRPr="007127E7" w:rsidP="003D7FEB">
      <w:r w:rsidRPr="04CE5363">
        <w:rPr>
          <w:rFonts w:eastAsia="Times New Roman"/>
          <w:b/>
          <w:sz w:val="20"/>
          <w:szCs w:val="20"/>
          <w:u w:val="single"/>
          <w:lang w:eastAsia="en-GB"/>
        </w:rPr>
        <w:t>Table 9: Changes to Resource and Capital DEL and AME at 2024-25 Supplementary Estimate</w:t>
      </w:r>
    </w:p>
    <w:tbl>
      <w:tblPr>
        <w:tblW w:w="9582" w:type="dxa"/>
        <w:tblLayout w:type="fixed"/>
        <w:tblLook w:val="04A0"/>
      </w:tblPr>
      <w:tblGrid>
        <w:gridCol w:w="3823"/>
        <w:gridCol w:w="1151"/>
        <w:gridCol w:w="1152"/>
        <w:gridCol w:w="1152"/>
        <w:gridCol w:w="1152"/>
        <w:gridCol w:w="1152"/>
      </w:tblGrid>
      <w:tr w:rsidTr="009D4AFE">
        <w:tblPrEx>
          <w:tblW w:w="9582" w:type="dxa"/>
          <w:tblLayout w:type="fixed"/>
          <w:tblLook w:val="04A0"/>
        </w:tblPrEx>
        <w:trPr>
          <w:trHeight w:val="780"/>
        </w:trPr>
        <w:tc>
          <w:tcPr>
            <w:tcW w:w="3823" w:type="dxa"/>
            <w:tcBorders>
              <w:top w:val="single" w:sz="8" w:space="0" w:color="auto"/>
              <w:left w:val="single" w:sz="4" w:space="0" w:color="auto"/>
              <w:bottom w:val="nil"/>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 xml:space="preserve">£M </w:t>
            </w:r>
          </w:p>
        </w:tc>
        <w:tc>
          <w:tcPr>
            <w:tcW w:w="1151" w:type="dxa"/>
            <w:tcBorders>
              <w:top w:val="single" w:sz="8" w:space="0" w:color="auto"/>
              <w:left w:val="nil"/>
              <w:bottom w:val="nil"/>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Non Ring Fenced RDEL</w:t>
            </w:r>
          </w:p>
        </w:tc>
        <w:tc>
          <w:tcPr>
            <w:tcW w:w="1152" w:type="dxa"/>
            <w:tcBorders>
              <w:top w:val="single" w:sz="8" w:space="0" w:color="auto"/>
              <w:left w:val="nil"/>
              <w:bottom w:val="nil"/>
              <w:right w:val="nil"/>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Ring Fenced RDEL</w:t>
            </w:r>
          </w:p>
        </w:tc>
        <w:tc>
          <w:tcPr>
            <w:tcW w:w="1152" w:type="dxa"/>
            <w:tcBorders>
              <w:top w:val="single" w:sz="8" w:space="0" w:color="auto"/>
              <w:left w:val="single" w:sz="8" w:space="0" w:color="auto"/>
              <w:bottom w:val="nil"/>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Total RDEL</w:t>
            </w:r>
          </w:p>
        </w:tc>
        <w:tc>
          <w:tcPr>
            <w:tcW w:w="1152" w:type="dxa"/>
            <w:tcBorders>
              <w:top w:val="single" w:sz="8" w:space="0" w:color="auto"/>
              <w:left w:val="nil"/>
              <w:bottom w:val="nil"/>
              <w:right w:val="nil"/>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CDEL</w:t>
            </w:r>
          </w:p>
        </w:tc>
        <w:tc>
          <w:tcPr>
            <w:tcW w:w="1152" w:type="dxa"/>
            <w:tcBorders>
              <w:top w:val="single" w:sz="8" w:space="0" w:color="auto"/>
              <w:left w:val="single" w:sz="8" w:space="0" w:color="auto"/>
              <w:bottom w:val="nil"/>
              <w:right w:val="single" w:sz="8" w:space="0" w:color="auto"/>
            </w:tcBorders>
            <w:shd w:val="clear" w:color="000000" w:fill="532A45"/>
            <w:vAlign w:val="center"/>
            <w:hideMark/>
          </w:tcPr>
          <w:p w:rsidR="009D4AFE" w:rsidRPr="009D4AFE" w:rsidP="009D4AFE">
            <w:pPr>
              <w:spacing w:after="0" w:line="240" w:lineRule="auto"/>
              <w:ind w:right="86"/>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 xml:space="preserve"> AME</w:t>
            </w:r>
          </w:p>
        </w:tc>
      </w:tr>
      <w:tr w:rsidTr="009D4AFE">
        <w:tblPrEx>
          <w:tblW w:w="9582" w:type="dxa"/>
          <w:tblLayout w:type="fixed"/>
          <w:tblLook w:val="04A0"/>
        </w:tblPrEx>
        <w:trPr>
          <w:trHeight w:val="270"/>
        </w:trPr>
        <w:tc>
          <w:tcPr>
            <w:tcW w:w="3823" w:type="dxa"/>
            <w:tcBorders>
              <w:top w:val="single" w:sz="8" w:space="0" w:color="auto"/>
              <w:left w:val="single" w:sz="8" w:space="0" w:color="auto"/>
              <w:bottom w:val="single" w:sz="8" w:space="0" w:color="auto"/>
              <w:right w:val="single" w:sz="8" w:space="0" w:color="auto"/>
            </w:tcBorders>
            <w:shd w:val="clear" w:color="000000" w:fill="BECDD6"/>
            <w:vAlign w:val="center"/>
            <w:hideMark/>
          </w:tcPr>
          <w:p w:rsidR="009D4AFE" w:rsidRPr="009D4AFE" w:rsidP="009D4AFE">
            <w:pPr>
              <w:spacing w:after="0" w:line="240" w:lineRule="auto"/>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Cost of Core Defence Capability in Main Estimate</w:t>
            </w:r>
          </w:p>
        </w:tc>
        <w:tc>
          <w:tcPr>
            <w:tcW w:w="1151" w:type="dxa"/>
            <w:tcBorders>
              <w:top w:val="single" w:sz="8" w:space="0" w:color="auto"/>
              <w:left w:val="nil"/>
              <w:bottom w:val="single" w:sz="8" w:space="0" w:color="auto"/>
              <w:right w:val="single" w:sz="4"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32,867.130</w:t>
            </w:r>
          </w:p>
        </w:tc>
        <w:tc>
          <w:tcPr>
            <w:tcW w:w="1152" w:type="dxa"/>
            <w:tcBorders>
              <w:top w:val="single" w:sz="8" w:space="0" w:color="auto"/>
              <w:left w:val="nil"/>
              <w:bottom w:val="single" w:sz="8" w:space="0" w:color="auto"/>
              <w:right w:val="nil"/>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8,781.677</w:t>
            </w:r>
          </w:p>
        </w:tc>
        <w:tc>
          <w:tcPr>
            <w:tcW w:w="1152" w:type="dxa"/>
            <w:tcBorders>
              <w:top w:val="single" w:sz="8" w:space="0" w:color="auto"/>
              <w:left w:val="single" w:sz="8" w:space="0" w:color="auto"/>
              <w:bottom w:val="single" w:sz="8" w:space="0" w:color="auto"/>
              <w:right w:val="single" w:sz="8"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41,648.807</w:t>
            </w:r>
          </w:p>
        </w:tc>
        <w:tc>
          <w:tcPr>
            <w:tcW w:w="1152" w:type="dxa"/>
            <w:tcBorders>
              <w:top w:val="single" w:sz="8" w:space="0" w:color="auto"/>
              <w:left w:val="nil"/>
              <w:bottom w:val="single" w:sz="8" w:space="0" w:color="auto"/>
              <w:right w:val="single" w:sz="8"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20,213.906</w:t>
            </w:r>
          </w:p>
        </w:tc>
        <w:tc>
          <w:tcPr>
            <w:tcW w:w="1152" w:type="dxa"/>
            <w:tcBorders>
              <w:top w:val="single" w:sz="8" w:space="0" w:color="auto"/>
              <w:left w:val="nil"/>
              <w:bottom w:val="single" w:sz="8" w:space="0" w:color="auto"/>
              <w:right w:val="single" w:sz="8"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1,928.087</w:t>
            </w:r>
          </w:p>
        </w:tc>
      </w:tr>
      <w:tr w:rsidTr="009D4AFE">
        <w:tblPrEx>
          <w:tblW w:w="9582" w:type="dxa"/>
          <w:tblLayout w:type="fixed"/>
          <w:tblLook w:val="04A0"/>
        </w:tblPrEx>
        <w:trPr>
          <w:trHeight w:val="255"/>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Budget Cover Transfers into Core</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10.143</w:t>
            </w:r>
          </w:p>
        </w:tc>
        <w:tc>
          <w:tcPr>
            <w:tcW w:w="1152" w:type="dxa"/>
            <w:tcBorders>
              <w:top w:val="nil"/>
              <w:left w:val="nil"/>
              <w:bottom w:val="single" w:sz="4" w:space="0" w:color="auto"/>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10.143</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38.459</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Budget Cover Transfers out of Core</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(65.425)</w:t>
            </w:r>
          </w:p>
        </w:tc>
        <w:tc>
          <w:tcPr>
            <w:tcW w:w="1152" w:type="dxa"/>
            <w:tcBorders>
              <w:top w:val="nil"/>
              <w:left w:val="nil"/>
              <w:bottom w:val="single" w:sz="4" w:space="0" w:color="auto"/>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(65.425)</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(33.558)</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510"/>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xml:space="preserve">MOG - Office for Veterans' Affairs (OVA) from Cabinet Office </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18.987</w:t>
            </w:r>
          </w:p>
        </w:tc>
        <w:tc>
          <w:tcPr>
            <w:tcW w:w="1152" w:type="dxa"/>
            <w:tcBorders>
              <w:top w:val="nil"/>
              <w:left w:val="nil"/>
              <w:bottom w:val="single" w:sz="4" w:space="0" w:color="auto"/>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18.987</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8.000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525"/>
        </w:trPr>
        <w:tc>
          <w:tcPr>
            <w:tcW w:w="3823" w:type="dxa"/>
            <w:tcBorders>
              <w:top w:val="nil"/>
              <w:left w:val="single" w:sz="8" w:space="0" w:color="auto"/>
              <w:bottom w:val="nil"/>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MOG - National Cyber Security Programme to Department for Business and Trade</w:t>
            </w:r>
          </w:p>
        </w:tc>
        <w:tc>
          <w:tcPr>
            <w:tcW w:w="1151" w:type="dxa"/>
            <w:tcBorders>
              <w:top w:val="nil"/>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(0.839)</w:t>
            </w:r>
          </w:p>
        </w:tc>
        <w:tc>
          <w:tcPr>
            <w:tcW w:w="1152" w:type="dxa"/>
            <w:tcBorders>
              <w:top w:val="nil"/>
              <w:left w:val="nil"/>
              <w:bottom w:val="nil"/>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(0.839)</w:t>
            </w:r>
          </w:p>
        </w:tc>
        <w:tc>
          <w:tcPr>
            <w:tcW w:w="1152" w:type="dxa"/>
            <w:tcBorders>
              <w:top w:val="nil"/>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70"/>
        </w:trPr>
        <w:tc>
          <w:tcPr>
            <w:tcW w:w="3823" w:type="dxa"/>
            <w:tcBorders>
              <w:top w:val="single" w:sz="8" w:space="0" w:color="auto"/>
              <w:left w:val="single" w:sz="8" w:space="0" w:color="auto"/>
              <w:bottom w:val="single" w:sz="8" w:space="0" w:color="auto"/>
              <w:right w:val="nil"/>
            </w:tcBorders>
            <w:shd w:val="clear" w:color="000000" w:fill="532A45"/>
            <w:vAlign w:val="center"/>
            <w:hideMark/>
          </w:tcPr>
          <w:p w:rsidR="009D4AFE" w:rsidRPr="009D4AFE" w:rsidP="009D4AFE">
            <w:pPr>
              <w:spacing w:after="0" w:line="240" w:lineRule="auto"/>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Net OGD Transfers</w:t>
            </w:r>
          </w:p>
        </w:tc>
        <w:tc>
          <w:tcPr>
            <w:tcW w:w="1151" w:type="dxa"/>
            <w:tcBorders>
              <w:top w:val="single" w:sz="8" w:space="0" w:color="auto"/>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(37.134)</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0.000</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(37.134)</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12.901</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0.000</w:t>
            </w:r>
          </w:p>
        </w:tc>
      </w:tr>
      <w:tr w:rsidTr="009D4AFE">
        <w:tblPrEx>
          <w:tblW w:w="9582" w:type="dxa"/>
          <w:tblLayout w:type="fixed"/>
          <w:tblLook w:val="04A0"/>
        </w:tblPrEx>
        <w:trPr>
          <w:trHeight w:val="255"/>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Core DEL Exchange</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2,300.000</w:t>
            </w:r>
          </w:p>
        </w:tc>
        <w:tc>
          <w:tcPr>
            <w:tcW w:w="1152"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2,300.000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(2,300.000)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xml:space="preserve">Afghan Resettlement Programme </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288.000</w:t>
            </w:r>
          </w:p>
        </w:tc>
        <w:tc>
          <w:tcPr>
            <w:tcW w:w="1152"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288.000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Core Reserve Claim</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250.000</w:t>
            </w:r>
          </w:p>
        </w:tc>
        <w:tc>
          <w:tcPr>
            <w:tcW w:w="1152"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250.000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1,500.000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nil"/>
              <w:left w:val="single" w:sz="8" w:space="0" w:color="auto"/>
              <w:bottom w:val="nil"/>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Nuclear Reserve Claim</w:t>
            </w:r>
          </w:p>
        </w:tc>
        <w:tc>
          <w:tcPr>
            <w:tcW w:w="1151" w:type="dxa"/>
            <w:tcBorders>
              <w:top w:val="nil"/>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120.000</w:t>
            </w:r>
          </w:p>
        </w:tc>
        <w:tc>
          <w:tcPr>
            <w:tcW w:w="1152" w:type="dxa"/>
            <w:tcBorders>
              <w:top w:val="nil"/>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120.000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(20.000)</w:t>
            </w:r>
          </w:p>
        </w:tc>
        <w:tc>
          <w:tcPr>
            <w:tcW w:w="1152" w:type="dxa"/>
            <w:tcBorders>
              <w:top w:val="nil"/>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single" w:sz="4" w:space="0" w:color="auto"/>
              <w:left w:val="single" w:sz="8" w:space="0" w:color="auto"/>
              <w:bottom w:val="nil"/>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xml:space="preserve">Annington Homes </w:t>
            </w:r>
          </w:p>
        </w:tc>
        <w:tc>
          <w:tcPr>
            <w:tcW w:w="1151" w:type="dxa"/>
            <w:tcBorders>
              <w:top w:val="single" w:sz="4" w:space="0" w:color="auto"/>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single" w:sz="4" w:space="0" w:color="auto"/>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1,700.000</w:t>
            </w:r>
          </w:p>
        </w:tc>
        <w:tc>
          <w:tcPr>
            <w:tcW w:w="1152" w:type="dxa"/>
            <w:tcBorders>
              <w:top w:val="single" w:sz="4" w:space="0" w:color="auto"/>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single" w:sz="4" w:space="0" w:color="auto"/>
              <w:left w:val="single" w:sz="8" w:space="0" w:color="auto"/>
              <w:bottom w:val="nil"/>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Cash Forecasting Fine</w:t>
            </w:r>
          </w:p>
        </w:tc>
        <w:tc>
          <w:tcPr>
            <w:tcW w:w="1151" w:type="dxa"/>
            <w:tcBorders>
              <w:top w:val="single" w:sz="4" w:space="0" w:color="auto"/>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(0.995)</w:t>
            </w:r>
          </w:p>
        </w:tc>
        <w:tc>
          <w:tcPr>
            <w:tcW w:w="1152" w:type="dxa"/>
            <w:tcBorders>
              <w:top w:val="single" w:sz="4" w:space="0" w:color="auto"/>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single" w:sz="4" w:space="0" w:color="auto"/>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70"/>
        </w:trPr>
        <w:tc>
          <w:tcPr>
            <w:tcW w:w="3823" w:type="dxa"/>
            <w:tcBorders>
              <w:top w:val="single" w:sz="4" w:space="0" w:color="auto"/>
              <w:left w:val="single" w:sz="8" w:space="0" w:color="auto"/>
              <w:bottom w:val="nil"/>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Provisions</w:t>
            </w:r>
          </w:p>
        </w:tc>
        <w:tc>
          <w:tcPr>
            <w:tcW w:w="1151" w:type="dxa"/>
            <w:tcBorders>
              <w:top w:val="single" w:sz="4" w:space="0" w:color="auto"/>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single" w:sz="4" w:space="0" w:color="auto"/>
              <w:left w:val="nil"/>
              <w:bottom w:val="nil"/>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single" w:sz="4" w:space="0" w:color="auto"/>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0.000</w:t>
            </w:r>
          </w:p>
        </w:tc>
        <w:tc>
          <w:tcPr>
            <w:tcW w:w="1152" w:type="dxa"/>
            <w:tcBorders>
              <w:top w:val="single" w:sz="4" w:space="0" w:color="auto"/>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single" w:sz="4" w:space="0" w:color="auto"/>
              <w:left w:val="nil"/>
              <w:bottom w:val="nil"/>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6,661.000</w:t>
            </w:r>
          </w:p>
        </w:tc>
      </w:tr>
      <w:tr w:rsidTr="009D4AFE">
        <w:tblPrEx>
          <w:tblW w:w="9582" w:type="dxa"/>
          <w:tblLayout w:type="fixed"/>
          <w:tblLook w:val="04A0"/>
        </w:tblPrEx>
        <w:trPr>
          <w:trHeight w:val="270"/>
        </w:trPr>
        <w:tc>
          <w:tcPr>
            <w:tcW w:w="3823" w:type="dxa"/>
            <w:tcBorders>
              <w:top w:val="single" w:sz="8" w:space="0" w:color="auto"/>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Additional DEL Claim on Reserve</w:t>
            </w:r>
          </w:p>
        </w:tc>
        <w:tc>
          <w:tcPr>
            <w:tcW w:w="1151" w:type="dxa"/>
            <w:tcBorders>
              <w:top w:val="single" w:sz="8" w:space="0" w:color="auto"/>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2,957.005</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0.000</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2,958.000</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880.000</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6,661.000</w:t>
            </w:r>
          </w:p>
        </w:tc>
      </w:tr>
      <w:tr w:rsidTr="009D4AFE">
        <w:tblPrEx>
          <w:tblW w:w="9582" w:type="dxa"/>
          <w:tblLayout w:type="fixed"/>
          <w:tblLook w:val="04A0"/>
        </w:tblPrEx>
        <w:trPr>
          <w:trHeight w:val="270"/>
        </w:trPr>
        <w:tc>
          <w:tcPr>
            <w:tcW w:w="3823" w:type="dxa"/>
            <w:tcBorders>
              <w:top w:val="nil"/>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Cost of Core Defence Capability in Supplementary Estimate</w:t>
            </w:r>
          </w:p>
        </w:tc>
        <w:tc>
          <w:tcPr>
            <w:tcW w:w="1151" w:type="dxa"/>
            <w:tcBorders>
              <w:top w:val="nil"/>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35,787.001</w:t>
            </w:r>
          </w:p>
        </w:tc>
        <w:tc>
          <w:tcPr>
            <w:tcW w:w="1152" w:type="dxa"/>
            <w:tcBorders>
              <w:top w:val="nil"/>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8,781.677</w:t>
            </w:r>
          </w:p>
        </w:tc>
        <w:tc>
          <w:tcPr>
            <w:tcW w:w="1152" w:type="dxa"/>
            <w:tcBorders>
              <w:top w:val="nil"/>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44,569.673</w:t>
            </w:r>
          </w:p>
        </w:tc>
        <w:tc>
          <w:tcPr>
            <w:tcW w:w="1152" w:type="dxa"/>
            <w:tcBorders>
              <w:top w:val="nil"/>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21,106.807</w:t>
            </w:r>
          </w:p>
        </w:tc>
        <w:tc>
          <w:tcPr>
            <w:tcW w:w="1152" w:type="dxa"/>
            <w:tcBorders>
              <w:top w:val="nil"/>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8,589.087</w:t>
            </w:r>
          </w:p>
        </w:tc>
      </w:tr>
      <w:tr w:rsidTr="009D4AFE">
        <w:tblPrEx>
          <w:tblW w:w="9582" w:type="dxa"/>
          <w:tblLayout w:type="fixed"/>
          <w:tblLook w:val="04A0"/>
        </w:tblPrEx>
        <w:trPr>
          <w:trHeight w:val="270"/>
        </w:trPr>
        <w:tc>
          <w:tcPr>
            <w:tcW w:w="3823" w:type="dxa"/>
            <w:tcBorders>
              <w:top w:val="nil"/>
              <w:left w:val="nil"/>
              <w:bottom w:val="nil"/>
              <w:right w:val="nil"/>
            </w:tcBorders>
            <w:shd w:val="clear" w:color="auto" w:fill="auto"/>
            <w:noWrap/>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p>
        </w:tc>
        <w:tc>
          <w:tcPr>
            <w:tcW w:w="1151" w:type="dxa"/>
            <w:tcBorders>
              <w:top w:val="nil"/>
              <w:left w:val="nil"/>
              <w:bottom w:val="nil"/>
              <w:right w:val="nil"/>
            </w:tcBorders>
            <w:shd w:val="clear" w:color="auto" w:fill="auto"/>
            <w:noWrap/>
            <w:vAlign w:val="center"/>
            <w:hideMark/>
          </w:tcPr>
          <w:p w:rsidR="009D4AFE" w:rsidRPr="009D4AFE" w:rsidP="009D4AFE">
            <w:pPr>
              <w:spacing w:after="0" w:line="24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shd w:val="clear" w:color="auto" w:fill="auto"/>
            <w:noWrap/>
            <w:vAlign w:val="center"/>
            <w:hideMark/>
          </w:tcPr>
          <w:p w:rsidR="009D4AFE" w:rsidRPr="009D4AFE" w:rsidP="009D4AFE">
            <w:pPr>
              <w:spacing w:after="0" w:line="24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shd w:val="clear" w:color="auto" w:fill="auto"/>
            <w:noWrap/>
            <w:vAlign w:val="center"/>
            <w:hideMark/>
          </w:tcPr>
          <w:p w:rsidR="009D4AFE" w:rsidRPr="009D4AFE" w:rsidP="009D4AFE">
            <w:pPr>
              <w:spacing w:after="0" w:line="24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shd w:val="clear" w:color="auto" w:fill="auto"/>
            <w:noWrap/>
            <w:vAlign w:val="center"/>
            <w:hideMark/>
          </w:tcPr>
          <w:p w:rsidR="009D4AFE" w:rsidRPr="009D4AFE" w:rsidP="009D4AFE">
            <w:pPr>
              <w:spacing w:after="0" w:line="24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shd w:val="clear" w:color="auto" w:fill="auto"/>
            <w:noWrap/>
            <w:vAlign w:val="center"/>
            <w:hideMark/>
          </w:tcPr>
          <w:p w:rsidR="009D4AFE" w:rsidRPr="009D4AFE" w:rsidP="009D4AFE">
            <w:pPr>
              <w:spacing w:after="0" w:line="240" w:lineRule="auto"/>
              <w:jc w:val="center"/>
              <w:rPr>
                <w:rFonts w:ascii="Times New Roman" w:eastAsia="Times New Roman" w:hAnsi="Times New Roman" w:cs="Times New Roman"/>
                <w:sz w:val="20"/>
                <w:szCs w:val="20"/>
                <w:lang w:eastAsia="en-GB"/>
              </w:rPr>
            </w:pPr>
          </w:p>
        </w:tc>
      </w:tr>
      <w:tr w:rsidTr="009D4AFE">
        <w:tblPrEx>
          <w:tblW w:w="9582" w:type="dxa"/>
          <w:tblLayout w:type="fixed"/>
          <w:tblLook w:val="04A0"/>
        </w:tblPrEx>
        <w:trPr>
          <w:trHeight w:val="780"/>
        </w:trPr>
        <w:tc>
          <w:tcPr>
            <w:tcW w:w="3823" w:type="dxa"/>
            <w:tcBorders>
              <w:top w:val="single" w:sz="8" w:space="0" w:color="auto"/>
              <w:left w:val="single" w:sz="4" w:space="0" w:color="auto"/>
              <w:bottom w:val="nil"/>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 xml:space="preserve">£M </w:t>
            </w:r>
          </w:p>
        </w:tc>
        <w:tc>
          <w:tcPr>
            <w:tcW w:w="1151" w:type="dxa"/>
            <w:tcBorders>
              <w:top w:val="single" w:sz="8" w:space="0" w:color="auto"/>
              <w:left w:val="nil"/>
              <w:bottom w:val="nil"/>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Non Ring Fenced RDEL</w:t>
            </w:r>
          </w:p>
        </w:tc>
        <w:tc>
          <w:tcPr>
            <w:tcW w:w="1152" w:type="dxa"/>
            <w:tcBorders>
              <w:top w:val="single" w:sz="8" w:space="0" w:color="auto"/>
              <w:left w:val="nil"/>
              <w:bottom w:val="nil"/>
              <w:right w:val="nil"/>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Ring Fenced RDEL</w:t>
            </w:r>
          </w:p>
        </w:tc>
        <w:tc>
          <w:tcPr>
            <w:tcW w:w="1152" w:type="dxa"/>
            <w:tcBorders>
              <w:top w:val="single" w:sz="8" w:space="0" w:color="auto"/>
              <w:left w:val="single" w:sz="8" w:space="0" w:color="auto"/>
              <w:bottom w:val="nil"/>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Total RDEL</w:t>
            </w:r>
          </w:p>
        </w:tc>
        <w:tc>
          <w:tcPr>
            <w:tcW w:w="1152" w:type="dxa"/>
            <w:tcBorders>
              <w:top w:val="single" w:sz="8" w:space="0" w:color="auto"/>
              <w:left w:val="nil"/>
              <w:bottom w:val="nil"/>
              <w:right w:val="nil"/>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CDEL</w:t>
            </w:r>
          </w:p>
        </w:tc>
        <w:tc>
          <w:tcPr>
            <w:tcW w:w="1152" w:type="dxa"/>
            <w:tcBorders>
              <w:top w:val="single" w:sz="8" w:space="0" w:color="auto"/>
              <w:left w:val="single" w:sz="8" w:space="0" w:color="auto"/>
              <w:bottom w:val="nil"/>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 xml:space="preserve"> AME</w:t>
            </w:r>
          </w:p>
        </w:tc>
      </w:tr>
      <w:tr w:rsidTr="009D4AFE">
        <w:tblPrEx>
          <w:tblW w:w="9582" w:type="dxa"/>
          <w:tblLayout w:type="fixed"/>
          <w:tblLook w:val="04A0"/>
        </w:tblPrEx>
        <w:trPr>
          <w:trHeight w:val="270"/>
        </w:trPr>
        <w:tc>
          <w:tcPr>
            <w:tcW w:w="3823" w:type="dxa"/>
            <w:tcBorders>
              <w:top w:val="single" w:sz="8" w:space="0" w:color="auto"/>
              <w:left w:val="single" w:sz="8" w:space="0" w:color="auto"/>
              <w:bottom w:val="single" w:sz="8" w:space="0" w:color="auto"/>
              <w:right w:val="single" w:sz="8" w:space="0" w:color="auto"/>
            </w:tcBorders>
            <w:shd w:val="clear" w:color="000000" w:fill="BECDD6"/>
            <w:vAlign w:val="center"/>
            <w:hideMark/>
          </w:tcPr>
          <w:p w:rsidR="009D4AFE" w:rsidRPr="009D4AFE" w:rsidP="009D4AFE">
            <w:pPr>
              <w:spacing w:after="0" w:line="240" w:lineRule="auto"/>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Operations and Peacekeeping in Main Estimate</w:t>
            </w:r>
          </w:p>
        </w:tc>
        <w:tc>
          <w:tcPr>
            <w:tcW w:w="1151" w:type="dxa"/>
            <w:tcBorders>
              <w:top w:val="single" w:sz="8" w:space="0" w:color="auto"/>
              <w:left w:val="nil"/>
              <w:bottom w:val="single" w:sz="8" w:space="0" w:color="auto"/>
              <w:right w:val="single" w:sz="4"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1,761.600</w:t>
            </w:r>
          </w:p>
        </w:tc>
        <w:tc>
          <w:tcPr>
            <w:tcW w:w="1152" w:type="dxa"/>
            <w:tcBorders>
              <w:top w:val="single" w:sz="8" w:space="0" w:color="auto"/>
              <w:left w:val="nil"/>
              <w:bottom w:val="single" w:sz="8" w:space="0" w:color="auto"/>
              <w:right w:val="nil"/>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0.000</w:t>
            </w:r>
          </w:p>
        </w:tc>
        <w:tc>
          <w:tcPr>
            <w:tcW w:w="1152" w:type="dxa"/>
            <w:tcBorders>
              <w:top w:val="single" w:sz="8" w:space="0" w:color="auto"/>
              <w:left w:val="single" w:sz="8" w:space="0" w:color="auto"/>
              <w:bottom w:val="single" w:sz="8" w:space="0" w:color="auto"/>
              <w:right w:val="single" w:sz="8"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1,761.600</w:t>
            </w:r>
          </w:p>
        </w:tc>
        <w:tc>
          <w:tcPr>
            <w:tcW w:w="1152" w:type="dxa"/>
            <w:tcBorders>
              <w:top w:val="single" w:sz="8" w:space="0" w:color="auto"/>
              <w:left w:val="nil"/>
              <w:bottom w:val="single" w:sz="8" w:space="0" w:color="auto"/>
              <w:right w:val="single" w:sz="8"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1,540.000</w:t>
            </w:r>
          </w:p>
        </w:tc>
        <w:tc>
          <w:tcPr>
            <w:tcW w:w="1152" w:type="dxa"/>
            <w:tcBorders>
              <w:top w:val="single" w:sz="8" w:space="0" w:color="auto"/>
              <w:left w:val="nil"/>
              <w:bottom w:val="single" w:sz="8" w:space="0" w:color="auto"/>
              <w:right w:val="single" w:sz="8" w:space="0" w:color="auto"/>
            </w:tcBorders>
            <w:shd w:val="clear" w:color="000000" w:fill="BECDD6"/>
            <w:vAlign w:val="center"/>
            <w:hideMark/>
          </w:tcPr>
          <w:p w:rsidR="009D4AFE" w:rsidRPr="009D4AFE" w:rsidP="009D4AFE">
            <w:pPr>
              <w:spacing w:after="0" w:line="240" w:lineRule="auto"/>
              <w:jc w:val="center"/>
              <w:rPr>
                <w:rFonts w:ascii="Calibri" w:eastAsia="Times New Roman" w:hAnsi="Calibri" w:cs="Calibri"/>
                <w:b/>
                <w:bCs/>
                <w:sz w:val="20"/>
                <w:szCs w:val="20"/>
                <w:lang w:eastAsia="en-GB"/>
              </w:rPr>
            </w:pPr>
            <w:r w:rsidRPr="009D4AFE">
              <w:rPr>
                <w:rFonts w:ascii="Calibri" w:eastAsia="Times New Roman" w:hAnsi="Calibri" w:cs="Calibri"/>
                <w:b/>
                <w:bCs/>
                <w:sz w:val="20"/>
                <w:szCs w:val="20"/>
                <w:lang w:eastAsia="en-GB"/>
              </w:rPr>
              <w:t>0.000</w:t>
            </w:r>
          </w:p>
        </w:tc>
      </w:tr>
      <w:tr w:rsidTr="009D4AFE">
        <w:tblPrEx>
          <w:tblW w:w="9582" w:type="dxa"/>
          <w:tblLayout w:type="fixed"/>
          <w:tblLook w:val="04A0"/>
        </w:tblPrEx>
        <w:trPr>
          <w:trHeight w:val="510"/>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BCT - Transfer in of ISF from Foreign, Commonwealth and Development Office</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12.928</w:t>
            </w:r>
          </w:p>
        </w:tc>
        <w:tc>
          <w:tcPr>
            <w:tcW w:w="1152" w:type="dxa"/>
            <w:tcBorders>
              <w:top w:val="nil"/>
              <w:left w:val="nil"/>
              <w:bottom w:val="single" w:sz="4" w:space="0" w:color="auto"/>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12.928</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55"/>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Operations and Peacekeeping DEL exchange</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(40.000)</w:t>
            </w:r>
          </w:p>
        </w:tc>
        <w:tc>
          <w:tcPr>
            <w:tcW w:w="1152" w:type="dxa"/>
            <w:tcBorders>
              <w:top w:val="nil"/>
              <w:left w:val="nil"/>
              <w:bottom w:val="single" w:sz="4" w:space="0" w:color="auto"/>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(40.000)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40.000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70"/>
        </w:trPr>
        <w:tc>
          <w:tcPr>
            <w:tcW w:w="3823"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Operations and Peacekeeping Reserve Claim</w:t>
            </w:r>
          </w:p>
        </w:tc>
        <w:tc>
          <w:tcPr>
            <w:tcW w:w="1151" w:type="dxa"/>
            <w:tcBorders>
              <w:top w:val="nil"/>
              <w:left w:val="nil"/>
              <w:bottom w:val="single" w:sz="4" w:space="0" w:color="auto"/>
              <w:right w:val="single" w:sz="4"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90.480</w:t>
            </w:r>
          </w:p>
        </w:tc>
        <w:tc>
          <w:tcPr>
            <w:tcW w:w="1152" w:type="dxa"/>
            <w:tcBorders>
              <w:top w:val="nil"/>
              <w:left w:val="nil"/>
              <w:bottom w:val="single" w:sz="4" w:space="0" w:color="auto"/>
              <w:right w:val="nil"/>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c>
          <w:tcPr>
            <w:tcW w:w="1152" w:type="dxa"/>
            <w:tcBorders>
              <w:top w:val="nil"/>
              <w:left w:val="single" w:sz="8" w:space="0" w:color="auto"/>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90.480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16.840</w:t>
            </w:r>
          </w:p>
        </w:tc>
        <w:tc>
          <w:tcPr>
            <w:tcW w:w="1152" w:type="dxa"/>
            <w:tcBorders>
              <w:top w:val="nil"/>
              <w:left w:val="nil"/>
              <w:bottom w:val="single" w:sz="4" w:space="0" w:color="auto"/>
              <w:right w:val="single" w:sz="8" w:space="0" w:color="auto"/>
            </w:tcBorders>
            <w:shd w:val="clear" w:color="auto" w:fill="auto"/>
            <w:vAlign w:val="center"/>
            <w:hideMark/>
          </w:tcPr>
          <w:p w:rsidR="009D4AFE" w:rsidRPr="009D4AFE" w:rsidP="009D4AFE">
            <w:pPr>
              <w:spacing w:after="0" w:line="240" w:lineRule="auto"/>
              <w:jc w:val="center"/>
              <w:rPr>
                <w:rFonts w:ascii="Calibri" w:eastAsia="Times New Roman" w:hAnsi="Calibri" w:cs="Calibri"/>
                <w:sz w:val="20"/>
                <w:szCs w:val="20"/>
                <w:lang w:eastAsia="en-GB"/>
              </w:rPr>
            </w:pPr>
            <w:r w:rsidRPr="009D4AFE">
              <w:rPr>
                <w:rFonts w:ascii="Calibri" w:eastAsia="Times New Roman" w:hAnsi="Calibri" w:cs="Calibri"/>
                <w:sz w:val="20"/>
                <w:szCs w:val="20"/>
                <w:lang w:eastAsia="en-GB"/>
              </w:rPr>
              <w:t> </w:t>
            </w:r>
          </w:p>
        </w:tc>
      </w:tr>
      <w:tr w:rsidTr="009D4AFE">
        <w:tblPrEx>
          <w:tblW w:w="9582" w:type="dxa"/>
          <w:tblLayout w:type="fixed"/>
          <w:tblLook w:val="04A0"/>
        </w:tblPrEx>
        <w:trPr>
          <w:trHeight w:val="270"/>
        </w:trPr>
        <w:tc>
          <w:tcPr>
            <w:tcW w:w="3823" w:type="dxa"/>
            <w:tcBorders>
              <w:top w:val="single" w:sz="8" w:space="0" w:color="auto"/>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Cost of Core Defence Capability in Supplementary Estimate</w:t>
            </w:r>
          </w:p>
        </w:tc>
        <w:tc>
          <w:tcPr>
            <w:tcW w:w="1151" w:type="dxa"/>
            <w:tcBorders>
              <w:top w:val="single" w:sz="8" w:space="0" w:color="auto"/>
              <w:left w:val="single" w:sz="8" w:space="0" w:color="auto"/>
              <w:bottom w:val="single" w:sz="8" w:space="0" w:color="auto"/>
              <w:right w:val="single" w:sz="4"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1,825.008</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0.000</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1,825.008</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1,596.840</w:t>
            </w:r>
          </w:p>
        </w:tc>
        <w:tc>
          <w:tcPr>
            <w:tcW w:w="1152" w:type="dxa"/>
            <w:tcBorders>
              <w:top w:val="single" w:sz="8" w:space="0" w:color="auto"/>
              <w:left w:val="nil"/>
              <w:bottom w:val="single" w:sz="8" w:space="0" w:color="auto"/>
              <w:right w:val="single" w:sz="8" w:space="0" w:color="auto"/>
            </w:tcBorders>
            <w:shd w:val="clear" w:color="000000" w:fill="532A45"/>
            <w:vAlign w:val="center"/>
            <w:hideMark/>
          </w:tcPr>
          <w:p w:rsidR="009D4AFE" w:rsidRPr="009D4AFE" w:rsidP="009D4AFE">
            <w:pPr>
              <w:spacing w:after="0" w:line="240" w:lineRule="auto"/>
              <w:jc w:val="center"/>
              <w:rPr>
                <w:rFonts w:ascii="Calibri" w:eastAsia="Times New Roman" w:hAnsi="Calibri" w:cs="Calibri"/>
                <w:b/>
                <w:bCs/>
                <w:color w:val="FFFFFF"/>
                <w:sz w:val="20"/>
                <w:szCs w:val="20"/>
                <w:lang w:eastAsia="en-GB"/>
              </w:rPr>
            </w:pPr>
            <w:r w:rsidRPr="009D4AFE">
              <w:rPr>
                <w:rFonts w:ascii="Calibri" w:eastAsia="Times New Roman" w:hAnsi="Calibri" w:cs="Calibri"/>
                <w:b/>
                <w:bCs/>
                <w:color w:val="FFFFFF"/>
                <w:sz w:val="20"/>
                <w:szCs w:val="20"/>
                <w:lang w:eastAsia="en-GB"/>
              </w:rPr>
              <w:t>0.000</w:t>
            </w:r>
          </w:p>
        </w:tc>
      </w:tr>
    </w:tbl>
    <w:p w:rsidR="002E1E7B" w:rsidRPr="009B54D9" w:rsidP="003D7FEB">
      <w:pPr>
        <w:rPr>
          <w:rFonts w:cs="Arial"/>
          <w:color w:val="13284C"/>
        </w:rPr>
      </w:pPr>
    </w:p>
    <w:p w:rsidR="003D7FEB" w:rsidP="003D7FEB">
      <w:pPr>
        <w:pStyle w:val="Heading2"/>
        <w:rPr>
          <w:rFonts w:asciiTheme="minorHAnsi" w:hAnsiTheme="minorHAnsi"/>
          <w:color w:val="13284C"/>
        </w:rPr>
      </w:pPr>
      <w:r w:rsidRPr="009B54D9">
        <w:rPr>
          <w:rFonts w:asciiTheme="minorHAnsi" w:hAnsiTheme="minorHAnsi"/>
          <w:color w:val="13284C"/>
        </w:rPr>
        <w:t>Budgetary Transfers to and from Other Government Departments</w:t>
      </w:r>
    </w:p>
    <w:p w:rsidR="009B54D9" w:rsidRPr="005E0570" w:rsidP="009B54D9">
      <w:pPr>
        <w:rPr>
          <w:rFonts w:cstheme="minorHAnsi"/>
        </w:rPr>
      </w:pPr>
      <w:r w:rsidRPr="005E0570">
        <w:rPr>
          <w:rFonts w:eastAsia="Times New Roman" w:cstheme="minorHAnsi"/>
          <w:b/>
          <w:bCs/>
          <w:sz w:val="20"/>
          <w:szCs w:val="20"/>
          <w:u w:val="single"/>
          <w:lang w:eastAsia="en-GB"/>
        </w:rPr>
        <w:t>Table 10: Transfers to MOD from Other Government Departments</w:t>
      </w:r>
    </w:p>
    <w:tbl>
      <w:tblPr>
        <w:tblW w:w="9657" w:type="dxa"/>
        <w:tblLook w:val="04A0"/>
      </w:tblPr>
      <w:tblGrid>
        <w:gridCol w:w="2542"/>
        <w:gridCol w:w="2835"/>
        <w:gridCol w:w="850"/>
        <w:gridCol w:w="851"/>
        <w:gridCol w:w="2579"/>
      </w:tblGrid>
      <w:tr w:rsidTr="005E0570">
        <w:tblPrEx>
          <w:tblW w:w="9657" w:type="dxa"/>
          <w:tblLook w:val="04A0"/>
        </w:tblPrEx>
        <w:trPr>
          <w:trHeight w:val="270"/>
        </w:trPr>
        <w:tc>
          <w:tcPr>
            <w:tcW w:w="2542" w:type="dxa"/>
            <w:tcBorders>
              <w:top w:val="single" w:sz="8" w:space="0" w:color="auto"/>
              <w:left w:val="single" w:sz="8" w:space="0" w:color="auto"/>
              <w:bottom w:val="single" w:sz="8" w:space="0" w:color="auto"/>
              <w:right w:val="nil"/>
            </w:tcBorders>
            <w:shd w:val="clear" w:color="000000" w:fill="532A45"/>
            <w:vAlign w:val="center"/>
            <w:hideMark/>
          </w:tcPr>
          <w:p w:rsidR="00B41AC8" w:rsidRPr="00B41AC8" w:rsidP="00B41AC8">
            <w:pPr>
              <w:spacing w:after="0" w:line="240" w:lineRule="auto"/>
              <w:rPr>
                <w:rFonts w:ascii="Calibri" w:eastAsia="Times New Roman" w:hAnsi="Calibri" w:cs="Calibri"/>
                <w:b/>
                <w:bCs/>
                <w:color w:val="FFFFFF"/>
                <w:sz w:val="20"/>
                <w:szCs w:val="20"/>
                <w:lang w:eastAsia="en-GB"/>
              </w:rPr>
            </w:pPr>
            <w:r>
              <w:rPr>
                <w:rFonts w:ascii="Calibri" w:eastAsia="Times New Roman" w:hAnsi="Calibri" w:cs="Calibri"/>
                <w:b/>
                <w:bCs/>
                <w:color w:val="FFFFFF"/>
                <w:sz w:val="20"/>
                <w:szCs w:val="20"/>
                <w:lang w:eastAsia="en-GB"/>
              </w:rPr>
              <w:t>Exporting</w:t>
            </w:r>
            <w:r w:rsidRPr="00B41AC8">
              <w:rPr>
                <w:rFonts w:ascii="Calibri" w:eastAsia="Times New Roman" w:hAnsi="Calibri" w:cs="Calibri"/>
                <w:b/>
                <w:bCs/>
                <w:color w:val="FFFFFF"/>
                <w:sz w:val="20"/>
                <w:szCs w:val="20"/>
                <w:lang w:eastAsia="en-GB"/>
              </w:rPr>
              <w:t xml:space="preserve"> Department</w:t>
            </w:r>
          </w:p>
        </w:tc>
        <w:tc>
          <w:tcPr>
            <w:tcW w:w="2835" w:type="dxa"/>
            <w:tcBorders>
              <w:top w:val="single" w:sz="8" w:space="0" w:color="auto"/>
              <w:left w:val="single" w:sz="8" w:space="0" w:color="auto"/>
              <w:bottom w:val="single" w:sz="8" w:space="0" w:color="auto"/>
              <w:right w:val="nil"/>
            </w:tcBorders>
            <w:shd w:val="clear" w:color="000000" w:fill="532A45"/>
            <w:vAlign w:val="center"/>
            <w:hideMark/>
          </w:tcPr>
          <w:p w:rsidR="00B41AC8" w:rsidRPr="00B41AC8" w:rsidP="00B41AC8">
            <w:pPr>
              <w:spacing w:after="0" w:line="240" w:lineRule="auto"/>
              <w:rPr>
                <w:rFonts w:ascii="Calibri" w:eastAsia="Times New Roman" w:hAnsi="Calibri" w:cs="Calibri"/>
                <w:b/>
                <w:bCs/>
                <w:color w:val="FFFFFF"/>
                <w:sz w:val="20"/>
                <w:szCs w:val="20"/>
                <w:lang w:eastAsia="en-GB"/>
              </w:rPr>
            </w:pPr>
            <w:r w:rsidRPr="00B41AC8">
              <w:rPr>
                <w:rFonts w:ascii="Calibri" w:eastAsia="Times New Roman" w:hAnsi="Calibri" w:cs="Calibri"/>
                <w:b/>
                <w:bCs/>
                <w:color w:val="FFFFFF"/>
                <w:sz w:val="20"/>
                <w:szCs w:val="20"/>
                <w:lang w:eastAsia="en-GB"/>
              </w:rPr>
              <w:t>Defence Output</w:t>
            </w:r>
          </w:p>
        </w:tc>
        <w:tc>
          <w:tcPr>
            <w:tcW w:w="850" w:type="dxa"/>
            <w:tcBorders>
              <w:top w:val="single" w:sz="8" w:space="0" w:color="auto"/>
              <w:left w:val="single" w:sz="4" w:space="0" w:color="auto"/>
              <w:bottom w:val="single" w:sz="8" w:space="0" w:color="auto"/>
              <w:right w:val="single" w:sz="4" w:space="0" w:color="auto"/>
            </w:tcBorders>
            <w:shd w:val="clear" w:color="000000" w:fill="532A45"/>
            <w:vAlign w:val="center"/>
            <w:hideMark/>
          </w:tcPr>
          <w:p w:rsidR="00B41AC8" w:rsidRPr="00B41AC8" w:rsidP="00B41AC8">
            <w:pPr>
              <w:spacing w:after="0" w:line="240" w:lineRule="auto"/>
              <w:jc w:val="center"/>
              <w:rPr>
                <w:rFonts w:ascii="Calibri" w:eastAsia="Times New Roman" w:hAnsi="Calibri" w:cs="Calibri"/>
                <w:b/>
                <w:bCs/>
                <w:color w:val="FFFFFF"/>
                <w:sz w:val="20"/>
                <w:szCs w:val="20"/>
                <w:lang w:eastAsia="en-GB"/>
              </w:rPr>
            </w:pPr>
            <w:r w:rsidRPr="00B41AC8">
              <w:rPr>
                <w:rFonts w:ascii="Calibri" w:eastAsia="Times New Roman" w:hAnsi="Calibri" w:cs="Calibri"/>
                <w:b/>
                <w:bCs/>
                <w:color w:val="FFFFFF"/>
                <w:sz w:val="20"/>
                <w:szCs w:val="20"/>
                <w:lang w:eastAsia="en-GB"/>
              </w:rPr>
              <w:t>£M RDEL</w:t>
            </w:r>
          </w:p>
        </w:tc>
        <w:tc>
          <w:tcPr>
            <w:tcW w:w="851" w:type="dxa"/>
            <w:tcBorders>
              <w:top w:val="single" w:sz="8" w:space="0" w:color="auto"/>
              <w:left w:val="nil"/>
              <w:bottom w:val="single" w:sz="8" w:space="0" w:color="auto"/>
              <w:right w:val="nil"/>
            </w:tcBorders>
            <w:shd w:val="clear" w:color="000000" w:fill="532A45"/>
            <w:vAlign w:val="center"/>
            <w:hideMark/>
          </w:tcPr>
          <w:p w:rsidR="00B41AC8" w:rsidRPr="00B41AC8" w:rsidP="00B41AC8">
            <w:pPr>
              <w:spacing w:after="0" w:line="240" w:lineRule="auto"/>
              <w:jc w:val="center"/>
              <w:rPr>
                <w:rFonts w:ascii="Calibri" w:eastAsia="Times New Roman" w:hAnsi="Calibri" w:cs="Calibri"/>
                <w:b/>
                <w:bCs/>
                <w:color w:val="FFFFFF"/>
                <w:sz w:val="20"/>
                <w:szCs w:val="20"/>
                <w:lang w:eastAsia="en-GB"/>
              </w:rPr>
            </w:pPr>
            <w:r w:rsidRPr="00B41AC8">
              <w:rPr>
                <w:rFonts w:ascii="Calibri" w:eastAsia="Times New Roman" w:hAnsi="Calibri" w:cs="Calibri"/>
                <w:b/>
                <w:bCs/>
                <w:color w:val="FFFFFF"/>
                <w:sz w:val="20"/>
                <w:szCs w:val="20"/>
                <w:lang w:eastAsia="en-GB"/>
              </w:rPr>
              <w:t>£M CDEL</w:t>
            </w:r>
          </w:p>
        </w:tc>
        <w:tc>
          <w:tcPr>
            <w:tcW w:w="2579" w:type="dxa"/>
            <w:tcBorders>
              <w:top w:val="single" w:sz="8" w:space="0" w:color="auto"/>
              <w:left w:val="single" w:sz="8" w:space="0" w:color="auto"/>
              <w:bottom w:val="single" w:sz="8" w:space="0" w:color="auto"/>
              <w:right w:val="single" w:sz="8" w:space="0" w:color="auto"/>
            </w:tcBorders>
            <w:shd w:val="clear" w:color="000000" w:fill="532A45"/>
            <w:vAlign w:val="center"/>
            <w:hideMark/>
          </w:tcPr>
          <w:p w:rsidR="00B41AC8" w:rsidRPr="00B41AC8" w:rsidP="00B41AC8">
            <w:pPr>
              <w:spacing w:after="0" w:line="240" w:lineRule="auto"/>
              <w:rPr>
                <w:rFonts w:ascii="Calibri" w:eastAsia="Times New Roman" w:hAnsi="Calibri" w:cs="Calibri"/>
                <w:b/>
                <w:bCs/>
                <w:color w:val="FFFFFF"/>
                <w:sz w:val="20"/>
                <w:szCs w:val="20"/>
                <w:lang w:eastAsia="en-GB"/>
              </w:rPr>
            </w:pPr>
            <w:r w:rsidRPr="00B41AC8">
              <w:rPr>
                <w:rFonts w:ascii="Calibri" w:eastAsia="Times New Roman" w:hAnsi="Calibri" w:cs="Calibri"/>
                <w:b/>
                <w:bCs/>
                <w:color w:val="FFFFFF"/>
                <w:sz w:val="20"/>
                <w:szCs w:val="20"/>
                <w:lang w:eastAsia="en-GB"/>
              </w:rPr>
              <w:t>Purpose</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Home Office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0.465</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2.013</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Op Assumed</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Security and Intelligence Agencies</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1.193</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JCKP</w:t>
            </w:r>
          </w:p>
        </w:tc>
      </w:tr>
      <w:tr w:rsidTr="005E0570">
        <w:tblPrEx>
          <w:tblW w:w="9657" w:type="dxa"/>
          <w:tblLook w:val="04A0"/>
        </w:tblPrEx>
        <w:trPr>
          <w:trHeight w:val="510"/>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Foreign, Commonwealth and Development Office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0.020</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Pj ROSETTA</w:t>
            </w:r>
          </w:p>
        </w:tc>
      </w:tr>
      <w:tr w:rsidTr="005E0570">
        <w:tblPrEx>
          <w:tblW w:w="9657" w:type="dxa"/>
          <w:tblLook w:val="04A0"/>
        </w:tblPrEx>
        <w:trPr>
          <w:trHeight w:val="510"/>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Department for Energy Security and Net Zero</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3.175</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Contributions to NSST DN/Enabling/OTL</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Department for Business and Trade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35.000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Cactus</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Home Office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4.000</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Afghan Resettlement</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Cabinet Office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0.317</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National Shipbuilding Office funding</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Department for Business and Trade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0.369</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National Shipbuilding Office funding</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Department for Transport</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0.220</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National Shipbuilding Office funding</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Department for Education</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0.100</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National Shipbuilding Office funding</w:t>
            </w:r>
          </w:p>
        </w:tc>
      </w:tr>
      <w:tr w:rsidTr="005E0570">
        <w:tblPrEx>
          <w:tblW w:w="9657"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Home Office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0.043</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1.446</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RNSP funding for Military EOD</w:t>
            </w:r>
          </w:p>
        </w:tc>
      </w:tr>
      <w:tr w:rsidTr="005E0570">
        <w:tblPrEx>
          <w:tblW w:w="9657" w:type="dxa"/>
          <w:tblLook w:val="04A0"/>
        </w:tblPrEx>
        <w:trPr>
          <w:trHeight w:val="510"/>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Foreign, Commonwealth and Development Office</w:t>
            </w:r>
          </w:p>
        </w:tc>
        <w:tc>
          <w:tcPr>
            <w:tcW w:w="2835" w:type="dxa"/>
            <w:tcBorders>
              <w:top w:val="nil"/>
              <w:left w:val="nil"/>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Integrated Security Fund</w:t>
            </w: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12.928</w:t>
            </w:r>
          </w:p>
        </w:tc>
        <w:tc>
          <w:tcPr>
            <w:tcW w:w="851" w:type="dxa"/>
            <w:tcBorders>
              <w:top w:val="nil"/>
              <w:left w:val="nil"/>
              <w:bottom w:val="single" w:sz="4"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4"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ISF</w:t>
            </w:r>
          </w:p>
        </w:tc>
      </w:tr>
      <w:tr w:rsidTr="005E0570">
        <w:tblPrEx>
          <w:tblW w:w="9657" w:type="dxa"/>
          <w:tblLook w:val="04A0"/>
        </w:tblPrEx>
        <w:trPr>
          <w:trHeight w:val="270"/>
        </w:trPr>
        <w:tc>
          <w:tcPr>
            <w:tcW w:w="2542" w:type="dxa"/>
            <w:tcBorders>
              <w:top w:val="nil"/>
              <w:left w:val="single" w:sz="8" w:space="0" w:color="auto"/>
              <w:bottom w:val="single" w:sz="8"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Security and Intelligence Agencies</w:t>
            </w:r>
          </w:p>
        </w:tc>
        <w:tc>
          <w:tcPr>
            <w:tcW w:w="2835" w:type="dxa"/>
            <w:tcBorders>
              <w:top w:val="nil"/>
              <w:left w:val="nil"/>
              <w:bottom w:val="single" w:sz="8"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Provision of Defence Capability</w:t>
            </w:r>
          </w:p>
        </w:tc>
        <w:tc>
          <w:tcPr>
            <w:tcW w:w="850" w:type="dxa"/>
            <w:tcBorders>
              <w:top w:val="nil"/>
              <w:left w:val="single" w:sz="4" w:space="0" w:color="auto"/>
              <w:bottom w:val="single" w:sz="8"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0.241</w:t>
            </w:r>
          </w:p>
        </w:tc>
        <w:tc>
          <w:tcPr>
            <w:tcW w:w="851" w:type="dxa"/>
            <w:tcBorders>
              <w:top w:val="nil"/>
              <w:left w:val="nil"/>
              <w:bottom w:val="single" w:sz="8" w:space="0" w:color="auto"/>
              <w:right w:val="single" w:sz="4" w:space="0" w:color="auto"/>
            </w:tcBorders>
            <w:shd w:val="clear" w:color="auto" w:fill="auto"/>
            <w:vAlign w:val="center"/>
            <w:hideMark/>
          </w:tcPr>
          <w:p w:rsidR="00B41AC8" w:rsidRPr="00B41AC8" w:rsidP="00B41AC8">
            <w:pPr>
              <w:spacing w:after="0" w:line="240" w:lineRule="auto"/>
              <w:jc w:val="center"/>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0.000</w:t>
            </w:r>
          </w:p>
        </w:tc>
        <w:tc>
          <w:tcPr>
            <w:tcW w:w="2579" w:type="dxa"/>
            <w:tcBorders>
              <w:top w:val="nil"/>
              <w:left w:val="single" w:sz="8" w:space="0" w:color="auto"/>
              <w:bottom w:val="single" w:sz="8" w:space="0" w:color="auto"/>
              <w:right w:val="single" w:sz="8" w:space="0" w:color="auto"/>
            </w:tcBorders>
            <w:shd w:val="clear" w:color="auto" w:fill="auto"/>
            <w:vAlign w:val="center"/>
            <w:hideMark/>
          </w:tcPr>
          <w:p w:rsidR="00B41AC8" w:rsidRPr="00B41AC8" w:rsidP="00B41AC8">
            <w:pPr>
              <w:spacing w:after="0" w:line="240" w:lineRule="auto"/>
              <w:rPr>
                <w:rFonts w:ascii="Calibri" w:eastAsia="Times New Roman" w:hAnsi="Calibri" w:cs="Calibri"/>
                <w:sz w:val="20"/>
                <w:szCs w:val="20"/>
                <w:lang w:eastAsia="en-GB"/>
              </w:rPr>
            </w:pPr>
            <w:r w:rsidRPr="00B41AC8">
              <w:rPr>
                <w:rFonts w:ascii="Calibri" w:eastAsia="Times New Roman" w:hAnsi="Calibri" w:cs="Calibri"/>
                <w:sz w:val="20"/>
                <w:szCs w:val="20"/>
                <w:lang w:eastAsia="en-GB"/>
              </w:rPr>
              <w:t>CDI - NCGI</w:t>
            </w:r>
          </w:p>
        </w:tc>
      </w:tr>
      <w:tr w:rsidTr="005E0570">
        <w:tblPrEx>
          <w:tblW w:w="9657" w:type="dxa"/>
          <w:tblLook w:val="04A0"/>
        </w:tblPrEx>
        <w:trPr>
          <w:trHeight w:val="270"/>
        </w:trPr>
        <w:tc>
          <w:tcPr>
            <w:tcW w:w="2542" w:type="dxa"/>
            <w:tcBorders>
              <w:top w:val="nil"/>
              <w:left w:val="nil"/>
              <w:bottom w:val="nil"/>
              <w:right w:val="nil"/>
            </w:tcBorders>
            <w:shd w:val="clear" w:color="auto" w:fill="auto"/>
            <w:noWrap/>
            <w:vAlign w:val="bottom"/>
            <w:hideMark/>
          </w:tcPr>
          <w:p w:rsidR="00B41AC8" w:rsidRPr="00B41AC8" w:rsidP="00B41AC8">
            <w:pPr>
              <w:spacing w:after="0" w:line="240" w:lineRule="auto"/>
              <w:rPr>
                <w:rFonts w:ascii="Calibri" w:eastAsia="Times New Roman" w:hAnsi="Calibri" w:cs="Calibri"/>
                <w:sz w:val="20"/>
                <w:szCs w:val="20"/>
                <w:lang w:eastAsia="en-GB"/>
              </w:rPr>
            </w:pPr>
          </w:p>
        </w:tc>
        <w:tc>
          <w:tcPr>
            <w:tcW w:w="2835" w:type="dxa"/>
            <w:tcBorders>
              <w:top w:val="nil"/>
              <w:left w:val="nil"/>
              <w:bottom w:val="nil"/>
              <w:right w:val="nil"/>
            </w:tcBorders>
            <w:shd w:val="clear" w:color="auto" w:fill="auto"/>
            <w:noWrap/>
            <w:vAlign w:val="bottom"/>
            <w:hideMark/>
          </w:tcPr>
          <w:p w:rsidR="00B41AC8" w:rsidRPr="00B41AC8" w:rsidP="00B41AC8">
            <w:pPr>
              <w:spacing w:after="0" w:line="240" w:lineRule="auto"/>
              <w:rPr>
                <w:rFonts w:ascii="Times New Roman" w:eastAsia="Times New Roman" w:hAnsi="Times New Roman" w:cs="Times New Roman"/>
                <w:sz w:val="20"/>
                <w:szCs w:val="20"/>
                <w:lang w:eastAsia="en-GB"/>
              </w:rPr>
            </w:pPr>
          </w:p>
        </w:tc>
        <w:tc>
          <w:tcPr>
            <w:tcW w:w="850" w:type="dxa"/>
            <w:tcBorders>
              <w:top w:val="nil"/>
              <w:left w:val="single" w:sz="8" w:space="0" w:color="auto"/>
              <w:bottom w:val="single" w:sz="8" w:space="0" w:color="auto"/>
              <w:right w:val="single" w:sz="4" w:space="0" w:color="auto"/>
            </w:tcBorders>
            <w:shd w:val="clear" w:color="000000" w:fill="532A45"/>
            <w:vAlign w:val="center"/>
            <w:hideMark/>
          </w:tcPr>
          <w:p w:rsidR="00B41AC8" w:rsidRPr="00B41AC8" w:rsidP="00B41AC8">
            <w:pPr>
              <w:spacing w:after="0" w:line="240" w:lineRule="auto"/>
              <w:jc w:val="center"/>
              <w:rPr>
                <w:rFonts w:ascii="Calibri" w:eastAsia="Times New Roman" w:hAnsi="Calibri" w:cs="Calibri"/>
                <w:b/>
                <w:bCs/>
                <w:color w:val="FFFFFF"/>
                <w:sz w:val="20"/>
                <w:szCs w:val="20"/>
                <w:lang w:eastAsia="en-GB"/>
              </w:rPr>
            </w:pPr>
            <w:r w:rsidRPr="00B41AC8">
              <w:rPr>
                <w:rFonts w:ascii="Calibri" w:eastAsia="Times New Roman" w:hAnsi="Calibri" w:cs="Calibri"/>
                <w:b/>
                <w:bCs/>
                <w:color w:val="FFFFFF"/>
                <w:sz w:val="20"/>
                <w:szCs w:val="20"/>
                <w:lang w:eastAsia="en-GB"/>
              </w:rPr>
              <w:t>23.071</w:t>
            </w:r>
          </w:p>
        </w:tc>
        <w:tc>
          <w:tcPr>
            <w:tcW w:w="851" w:type="dxa"/>
            <w:tcBorders>
              <w:top w:val="nil"/>
              <w:left w:val="nil"/>
              <w:bottom w:val="single" w:sz="8" w:space="0" w:color="auto"/>
              <w:right w:val="single" w:sz="8" w:space="0" w:color="auto"/>
            </w:tcBorders>
            <w:shd w:val="clear" w:color="000000" w:fill="532A45"/>
            <w:vAlign w:val="center"/>
            <w:hideMark/>
          </w:tcPr>
          <w:p w:rsidR="00B41AC8" w:rsidRPr="00B41AC8" w:rsidP="00B41AC8">
            <w:pPr>
              <w:spacing w:after="0" w:line="240" w:lineRule="auto"/>
              <w:jc w:val="center"/>
              <w:rPr>
                <w:rFonts w:ascii="Calibri" w:eastAsia="Times New Roman" w:hAnsi="Calibri" w:cs="Calibri"/>
                <w:b/>
                <w:bCs/>
                <w:color w:val="FFFFFF"/>
                <w:sz w:val="20"/>
                <w:szCs w:val="20"/>
                <w:lang w:eastAsia="en-GB"/>
              </w:rPr>
            </w:pPr>
            <w:r w:rsidRPr="00B41AC8">
              <w:rPr>
                <w:rFonts w:ascii="Calibri" w:eastAsia="Times New Roman" w:hAnsi="Calibri" w:cs="Calibri"/>
                <w:b/>
                <w:bCs/>
                <w:color w:val="FFFFFF"/>
                <w:sz w:val="20"/>
                <w:szCs w:val="20"/>
                <w:lang w:eastAsia="en-GB"/>
              </w:rPr>
              <w:t>38.459</w:t>
            </w:r>
          </w:p>
        </w:tc>
        <w:tc>
          <w:tcPr>
            <w:tcW w:w="2579" w:type="dxa"/>
            <w:tcBorders>
              <w:top w:val="nil"/>
              <w:left w:val="nil"/>
              <w:bottom w:val="nil"/>
              <w:right w:val="nil"/>
            </w:tcBorders>
            <w:shd w:val="clear" w:color="auto" w:fill="auto"/>
            <w:noWrap/>
            <w:vAlign w:val="bottom"/>
            <w:hideMark/>
          </w:tcPr>
          <w:p w:rsidR="00B41AC8" w:rsidRPr="00B41AC8" w:rsidP="00B41AC8">
            <w:pPr>
              <w:spacing w:after="0" w:line="240" w:lineRule="auto"/>
              <w:jc w:val="center"/>
              <w:rPr>
                <w:rFonts w:ascii="Calibri" w:eastAsia="Times New Roman" w:hAnsi="Calibri" w:cs="Calibri"/>
                <w:b/>
                <w:bCs/>
                <w:color w:val="FFFFFF"/>
                <w:sz w:val="20"/>
                <w:szCs w:val="20"/>
                <w:lang w:eastAsia="en-GB"/>
              </w:rPr>
            </w:pPr>
          </w:p>
        </w:tc>
      </w:tr>
    </w:tbl>
    <w:p w:rsidR="00B45C99" w:rsidP="007923F7">
      <w:pPr>
        <w:rPr>
          <w:rFonts w:eastAsia="Times New Roman" w:cstheme="minorHAnsi"/>
          <w:b/>
          <w:bCs/>
          <w:sz w:val="20"/>
          <w:szCs w:val="20"/>
          <w:u w:val="single"/>
          <w:lang w:eastAsia="en-GB"/>
        </w:rPr>
      </w:pPr>
    </w:p>
    <w:p w:rsidR="007923F7" w:rsidRPr="005E0570" w:rsidP="007923F7">
      <w:pPr>
        <w:rPr>
          <w:rFonts w:cstheme="minorHAnsi"/>
        </w:rPr>
      </w:pPr>
      <w:r w:rsidRPr="005E0570">
        <w:rPr>
          <w:rFonts w:eastAsia="Times New Roman" w:cstheme="minorHAnsi"/>
          <w:b/>
          <w:bCs/>
          <w:sz w:val="20"/>
          <w:szCs w:val="20"/>
          <w:u w:val="single"/>
          <w:lang w:eastAsia="en-GB"/>
        </w:rPr>
        <w:t>Table 1</w:t>
      </w:r>
      <w:r>
        <w:rPr>
          <w:rFonts w:eastAsia="Times New Roman" w:cstheme="minorHAnsi"/>
          <w:b/>
          <w:bCs/>
          <w:sz w:val="20"/>
          <w:szCs w:val="20"/>
          <w:u w:val="single"/>
          <w:lang w:eastAsia="en-GB"/>
        </w:rPr>
        <w:t>1</w:t>
      </w:r>
      <w:r w:rsidRPr="005E0570">
        <w:rPr>
          <w:rFonts w:eastAsia="Times New Roman" w:cstheme="minorHAnsi"/>
          <w:b/>
          <w:bCs/>
          <w:sz w:val="20"/>
          <w:szCs w:val="20"/>
          <w:u w:val="single"/>
          <w:lang w:eastAsia="en-GB"/>
        </w:rPr>
        <w:t xml:space="preserve">: Transfers </w:t>
      </w:r>
      <w:r>
        <w:rPr>
          <w:rFonts w:eastAsia="Times New Roman" w:cstheme="minorHAnsi"/>
          <w:b/>
          <w:bCs/>
          <w:sz w:val="20"/>
          <w:szCs w:val="20"/>
          <w:u w:val="single"/>
          <w:lang w:eastAsia="en-GB"/>
        </w:rPr>
        <w:t>from</w:t>
      </w:r>
      <w:r w:rsidRPr="005E0570">
        <w:rPr>
          <w:rFonts w:eastAsia="Times New Roman" w:cstheme="minorHAnsi"/>
          <w:b/>
          <w:bCs/>
          <w:sz w:val="20"/>
          <w:szCs w:val="20"/>
          <w:u w:val="single"/>
          <w:lang w:eastAsia="en-GB"/>
        </w:rPr>
        <w:t xml:space="preserve"> MOD </w:t>
      </w:r>
      <w:r>
        <w:rPr>
          <w:rFonts w:eastAsia="Times New Roman" w:cstheme="minorHAnsi"/>
          <w:b/>
          <w:bCs/>
          <w:sz w:val="20"/>
          <w:szCs w:val="20"/>
          <w:u w:val="single"/>
          <w:lang w:eastAsia="en-GB"/>
        </w:rPr>
        <w:t>to</w:t>
      </w:r>
      <w:r w:rsidRPr="005E0570">
        <w:rPr>
          <w:rFonts w:eastAsia="Times New Roman" w:cstheme="minorHAnsi"/>
          <w:b/>
          <w:bCs/>
          <w:sz w:val="20"/>
          <w:szCs w:val="20"/>
          <w:u w:val="single"/>
          <w:lang w:eastAsia="en-GB"/>
        </w:rPr>
        <w:t xml:space="preserve"> Other Government Departments</w:t>
      </w:r>
    </w:p>
    <w:tbl>
      <w:tblPr>
        <w:tblW w:w="9673" w:type="dxa"/>
        <w:tblLook w:val="04A0"/>
      </w:tblPr>
      <w:tblGrid>
        <w:gridCol w:w="2542"/>
        <w:gridCol w:w="2835"/>
        <w:gridCol w:w="901"/>
        <w:gridCol w:w="901"/>
        <w:gridCol w:w="2494"/>
      </w:tblGrid>
      <w:tr w:rsidTr="00C1763A">
        <w:tblPrEx>
          <w:tblW w:w="9673" w:type="dxa"/>
          <w:tblLook w:val="04A0"/>
        </w:tblPrEx>
        <w:trPr>
          <w:trHeight w:val="270"/>
        </w:trPr>
        <w:tc>
          <w:tcPr>
            <w:tcW w:w="2542" w:type="dxa"/>
            <w:tcBorders>
              <w:top w:val="single" w:sz="8" w:space="0" w:color="auto"/>
              <w:left w:val="single" w:sz="8" w:space="0" w:color="auto"/>
              <w:bottom w:val="nil"/>
              <w:right w:val="nil"/>
            </w:tcBorders>
            <w:shd w:val="clear" w:color="000000" w:fill="532A45"/>
            <w:vAlign w:val="center"/>
            <w:hideMark/>
          </w:tcPr>
          <w:p w:rsidR="007923F7" w:rsidRPr="007923F7" w:rsidP="007923F7">
            <w:pPr>
              <w:spacing w:after="0" w:line="240" w:lineRule="auto"/>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Importing Department</w:t>
            </w:r>
          </w:p>
        </w:tc>
        <w:tc>
          <w:tcPr>
            <w:tcW w:w="2835" w:type="dxa"/>
            <w:tcBorders>
              <w:top w:val="single" w:sz="8" w:space="0" w:color="auto"/>
              <w:left w:val="single" w:sz="8" w:space="0" w:color="auto"/>
              <w:bottom w:val="nil"/>
              <w:right w:val="nil"/>
            </w:tcBorders>
            <w:shd w:val="clear" w:color="000000" w:fill="532A45"/>
            <w:vAlign w:val="center"/>
            <w:hideMark/>
          </w:tcPr>
          <w:p w:rsidR="007923F7" w:rsidRPr="007923F7" w:rsidP="007923F7">
            <w:pPr>
              <w:spacing w:after="0" w:line="240" w:lineRule="auto"/>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Defence Output</w:t>
            </w:r>
          </w:p>
        </w:tc>
        <w:tc>
          <w:tcPr>
            <w:tcW w:w="901" w:type="dxa"/>
            <w:tcBorders>
              <w:top w:val="single" w:sz="8" w:space="0" w:color="auto"/>
              <w:left w:val="single" w:sz="4" w:space="0" w:color="auto"/>
              <w:bottom w:val="nil"/>
              <w:right w:val="single" w:sz="4" w:space="0" w:color="auto"/>
            </w:tcBorders>
            <w:shd w:val="clear" w:color="000000" w:fill="532A45"/>
            <w:vAlign w:val="center"/>
            <w:hideMark/>
          </w:tcPr>
          <w:p w:rsidR="007923F7" w:rsidRPr="007923F7" w:rsidP="007923F7">
            <w:pPr>
              <w:spacing w:after="0" w:line="240" w:lineRule="auto"/>
              <w:jc w:val="center"/>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£M RDEL</w:t>
            </w:r>
          </w:p>
        </w:tc>
        <w:tc>
          <w:tcPr>
            <w:tcW w:w="901" w:type="dxa"/>
            <w:tcBorders>
              <w:top w:val="single" w:sz="8" w:space="0" w:color="auto"/>
              <w:left w:val="nil"/>
              <w:bottom w:val="nil"/>
              <w:right w:val="nil"/>
            </w:tcBorders>
            <w:shd w:val="clear" w:color="000000" w:fill="532A45"/>
            <w:vAlign w:val="center"/>
            <w:hideMark/>
          </w:tcPr>
          <w:p w:rsidR="007923F7" w:rsidRPr="007923F7" w:rsidP="007923F7">
            <w:pPr>
              <w:spacing w:after="0" w:line="240" w:lineRule="auto"/>
              <w:jc w:val="center"/>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£M CDEL</w:t>
            </w:r>
          </w:p>
        </w:tc>
        <w:tc>
          <w:tcPr>
            <w:tcW w:w="2494" w:type="dxa"/>
            <w:tcBorders>
              <w:top w:val="single" w:sz="8" w:space="0" w:color="auto"/>
              <w:left w:val="single" w:sz="8" w:space="0" w:color="auto"/>
              <w:bottom w:val="nil"/>
              <w:right w:val="nil"/>
            </w:tcBorders>
            <w:shd w:val="clear" w:color="000000" w:fill="532A45"/>
            <w:vAlign w:val="center"/>
            <w:hideMark/>
          </w:tcPr>
          <w:p w:rsidR="007923F7" w:rsidRPr="007923F7" w:rsidP="007923F7">
            <w:pPr>
              <w:spacing w:after="0" w:line="240" w:lineRule="auto"/>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Purpose</w:t>
            </w:r>
          </w:p>
        </w:tc>
      </w:tr>
      <w:tr w:rsidTr="00C1763A">
        <w:tblPrEx>
          <w:tblW w:w="9673" w:type="dxa"/>
          <w:tblLook w:val="04A0"/>
        </w:tblPrEx>
        <w:trPr>
          <w:trHeight w:val="255"/>
        </w:trPr>
        <w:tc>
          <w:tcPr>
            <w:tcW w:w="2542"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Security and Intelligence Agencies</w:t>
            </w:r>
          </w:p>
        </w:tc>
        <w:tc>
          <w:tcPr>
            <w:tcW w:w="2835" w:type="dxa"/>
            <w:tcBorders>
              <w:top w:val="single" w:sz="8" w:space="0" w:color="auto"/>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(39.000)</w:t>
            </w:r>
          </w:p>
        </w:tc>
        <w:tc>
          <w:tcPr>
            <w:tcW w:w="901" w:type="dxa"/>
            <w:tcBorders>
              <w:top w:val="single" w:sz="8" w:space="0" w:color="auto"/>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(18.200)</w:t>
            </w:r>
          </w:p>
        </w:tc>
        <w:tc>
          <w:tcPr>
            <w:tcW w:w="2494"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HQS</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Security and Intelligence Agencies</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(4.776)</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xml:space="preserve">Joint Crypt Key Programme (JCKP) </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Cabinet Office</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(3.960)</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ROSA Capital Transfer from MOD</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Security and Intelligence Agencies</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(6.479)</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Crypt Key Bill FY24/25</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Cabinet Office</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(2.508)</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ROSA Mobile Transfer from MOD FY24/25</w:t>
            </w:r>
          </w:p>
        </w:tc>
      </w:tr>
      <w:tr w:rsidTr="00C1763A">
        <w:tblPrEx>
          <w:tblW w:w="9673" w:type="dxa"/>
          <w:tblLook w:val="04A0"/>
        </w:tblPrEx>
        <w:trPr>
          <w:trHeight w:val="510"/>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Ministry of Housing, Communities and Local Government: Local Government</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(1.000)</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Barrow Social Fund</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HM Treasury</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(0.685)</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UKGI</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Cabinet Office</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(0.188)</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Civil Service Live</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Cabinet Office</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(7.382)</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(5.500)</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Gold</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Home Office</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(1.122)</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Coquet Valley Electrification</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Department of Health and Social Care</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(6.729)</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ARAP</w:t>
            </w:r>
          </w:p>
        </w:tc>
      </w:tr>
      <w:tr w:rsidTr="00C1763A">
        <w:tblPrEx>
          <w:tblW w:w="9673" w:type="dxa"/>
          <w:tblLook w:val="04A0"/>
        </w:tblPrEx>
        <w:trPr>
          <w:trHeight w:val="255"/>
        </w:trPr>
        <w:tc>
          <w:tcPr>
            <w:tcW w:w="2542"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Security and Intelligence Agencies</w:t>
            </w:r>
          </w:p>
        </w:tc>
        <w:tc>
          <w:tcPr>
            <w:tcW w:w="2835" w:type="dxa"/>
            <w:tcBorders>
              <w:top w:val="nil"/>
              <w:left w:val="nil"/>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(0.324)</w:t>
            </w:r>
          </w:p>
        </w:tc>
        <w:tc>
          <w:tcPr>
            <w:tcW w:w="901" w:type="dxa"/>
            <w:tcBorders>
              <w:top w:val="nil"/>
              <w:left w:val="nil"/>
              <w:bottom w:val="single" w:sz="4"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4"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DI Investment in Digby</w:t>
            </w:r>
          </w:p>
        </w:tc>
      </w:tr>
      <w:tr w:rsidTr="00C1763A">
        <w:tblPrEx>
          <w:tblW w:w="9673" w:type="dxa"/>
          <w:tblLook w:val="04A0"/>
        </w:tblPrEx>
        <w:trPr>
          <w:trHeight w:val="270"/>
        </w:trPr>
        <w:tc>
          <w:tcPr>
            <w:tcW w:w="2542" w:type="dxa"/>
            <w:tcBorders>
              <w:top w:val="nil"/>
              <w:left w:val="single" w:sz="8" w:space="0" w:color="auto"/>
              <w:bottom w:val="single" w:sz="8"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Welsh Government</w:t>
            </w:r>
          </w:p>
        </w:tc>
        <w:tc>
          <w:tcPr>
            <w:tcW w:w="2835" w:type="dxa"/>
            <w:tcBorders>
              <w:top w:val="nil"/>
              <w:left w:val="nil"/>
              <w:bottom w:val="single" w:sz="8"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Provision of Defence Capability</w:t>
            </w:r>
          </w:p>
        </w:tc>
        <w:tc>
          <w:tcPr>
            <w:tcW w:w="901" w:type="dxa"/>
            <w:tcBorders>
              <w:top w:val="nil"/>
              <w:left w:val="single" w:sz="4" w:space="0" w:color="auto"/>
              <w:bottom w:val="single" w:sz="8"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(1.130)</w:t>
            </w:r>
          </w:p>
        </w:tc>
        <w:tc>
          <w:tcPr>
            <w:tcW w:w="901" w:type="dxa"/>
            <w:tcBorders>
              <w:top w:val="nil"/>
              <w:left w:val="nil"/>
              <w:bottom w:val="single" w:sz="8" w:space="0" w:color="auto"/>
              <w:right w:val="single" w:sz="4" w:space="0" w:color="auto"/>
            </w:tcBorders>
            <w:shd w:val="clear" w:color="auto" w:fill="auto"/>
            <w:vAlign w:val="center"/>
            <w:hideMark/>
          </w:tcPr>
          <w:p w:rsidR="007923F7" w:rsidRPr="007923F7" w:rsidP="007923F7">
            <w:pPr>
              <w:spacing w:after="0" w:line="240" w:lineRule="auto"/>
              <w:jc w:val="center"/>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 </w:t>
            </w:r>
          </w:p>
        </w:tc>
        <w:tc>
          <w:tcPr>
            <w:tcW w:w="2494" w:type="dxa"/>
            <w:tcBorders>
              <w:top w:val="nil"/>
              <w:left w:val="single" w:sz="8" w:space="0" w:color="auto"/>
              <w:bottom w:val="single" w:sz="8" w:space="0" w:color="auto"/>
              <w:right w:val="single" w:sz="8" w:space="0" w:color="auto"/>
            </w:tcBorders>
            <w:shd w:val="clear" w:color="auto" w:fill="auto"/>
            <w:vAlign w:val="center"/>
            <w:hideMark/>
          </w:tcPr>
          <w:p w:rsidR="007923F7" w:rsidRPr="007923F7" w:rsidP="007923F7">
            <w:pPr>
              <w:spacing w:after="0" w:line="240" w:lineRule="auto"/>
              <w:rPr>
                <w:rFonts w:ascii="Calibri" w:eastAsia="Times New Roman" w:hAnsi="Calibri" w:cs="Calibri"/>
                <w:sz w:val="20"/>
                <w:szCs w:val="20"/>
                <w:lang w:eastAsia="en-GB"/>
              </w:rPr>
            </w:pPr>
            <w:r w:rsidRPr="007923F7">
              <w:rPr>
                <w:rFonts w:ascii="Calibri" w:eastAsia="Times New Roman" w:hAnsi="Calibri" w:cs="Calibri"/>
                <w:sz w:val="20"/>
                <w:szCs w:val="20"/>
                <w:lang w:eastAsia="en-GB"/>
              </w:rPr>
              <w:t>Afghan Resettlement</w:t>
            </w:r>
          </w:p>
        </w:tc>
      </w:tr>
      <w:tr w:rsidTr="00C1763A">
        <w:tblPrEx>
          <w:tblW w:w="9673" w:type="dxa"/>
          <w:tblLook w:val="04A0"/>
        </w:tblPrEx>
        <w:trPr>
          <w:trHeight w:val="270"/>
        </w:trPr>
        <w:tc>
          <w:tcPr>
            <w:tcW w:w="2542" w:type="dxa"/>
            <w:tcBorders>
              <w:top w:val="nil"/>
              <w:left w:val="nil"/>
              <w:bottom w:val="nil"/>
              <w:right w:val="nil"/>
            </w:tcBorders>
            <w:shd w:val="clear" w:color="auto" w:fill="auto"/>
            <w:noWrap/>
            <w:vAlign w:val="bottom"/>
            <w:hideMark/>
          </w:tcPr>
          <w:p w:rsidR="007923F7" w:rsidRPr="007923F7" w:rsidP="007923F7">
            <w:pPr>
              <w:spacing w:after="0" w:line="240" w:lineRule="auto"/>
              <w:rPr>
                <w:rFonts w:ascii="Calibri" w:eastAsia="Times New Roman" w:hAnsi="Calibri" w:cs="Calibri"/>
                <w:sz w:val="20"/>
                <w:szCs w:val="20"/>
                <w:lang w:eastAsia="en-GB"/>
              </w:rPr>
            </w:pPr>
          </w:p>
        </w:tc>
        <w:tc>
          <w:tcPr>
            <w:tcW w:w="2835" w:type="dxa"/>
            <w:tcBorders>
              <w:top w:val="nil"/>
              <w:left w:val="nil"/>
              <w:bottom w:val="nil"/>
              <w:right w:val="nil"/>
            </w:tcBorders>
            <w:shd w:val="clear" w:color="auto" w:fill="auto"/>
            <w:noWrap/>
            <w:vAlign w:val="bottom"/>
            <w:hideMark/>
          </w:tcPr>
          <w:p w:rsidR="007923F7" w:rsidRPr="007923F7" w:rsidP="007923F7">
            <w:pPr>
              <w:spacing w:after="0" w:line="240" w:lineRule="auto"/>
              <w:rPr>
                <w:rFonts w:ascii="Times New Roman" w:eastAsia="Times New Roman" w:hAnsi="Times New Roman" w:cs="Times New Roman"/>
                <w:sz w:val="20"/>
                <w:szCs w:val="20"/>
                <w:lang w:eastAsia="en-GB"/>
              </w:rPr>
            </w:pPr>
          </w:p>
        </w:tc>
        <w:tc>
          <w:tcPr>
            <w:tcW w:w="901" w:type="dxa"/>
            <w:tcBorders>
              <w:top w:val="nil"/>
              <w:left w:val="single" w:sz="8" w:space="0" w:color="auto"/>
              <w:bottom w:val="single" w:sz="8" w:space="0" w:color="auto"/>
              <w:right w:val="single" w:sz="4" w:space="0" w:color="auto"/>
            </w:tcBorders>
            <w:shd w:val="clear" w:color="000000" w:fill="532A45"/>
            <w:vAlign w:val="center"/>
            <w:hideMark/>
          </w:tcPr>
          <w:p w:rsidR="007923F7" w:rsidRPr="007923F7" w:rsidP="007923F7">
            <w:pPr>
              <w:spacing w:after="0" w:line="240" w:lineRule="auto"/>
              <w:jc w:val="center"/>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(65.425)</w:t>
            </w:r>
          </w:p>
        </w:tc>
        <w:tc>
          <w:tcPr>
            <w:tcW w:w="901" w:type="dxa"/>
            <w:tcBorders>
              <w:top w:val="nil"/>
              <w:left w:val="nil"/>
              <w:bottom w:val="single" w:sz="8" w:space="0" w:color="auto"/>
              <w:right w:val="single" w:sz="8" w:space="0" w:color="auto"/>
            </w:tcBorders>
            <w:shd w:val="clear" w:color="000000" w:fill="532A45"/>
            <w:vAlign w:val="center"/>
            <w:hideMark/>
          </w:tcPr>
          <w:p w:rsidR="007923F7" w:rsidRPr="007923F7" w:rsidP="007923F7">
            <w:pPr>
              <w:spacing w:after="0" w:line="240" w:lineRule="auto"/>
              <w:jc w:val="center"/>
              <w:rPr>
                <w:rFonts w:ascii="Calibri" w:eastAsia="Times New Roman" w:hAnsi="Calibri" w:cs="Calibri"/>
                <w:b/>
                <w:bCs/>
                <w:color w:val="FFFFFF"/>
                <w:sz w:val="20"/>
                <w:szCs w:val="20"/>
                <w:lang w:eastAsia="en-GB"/>
              </w:rPr>
            </w:pPr>
            <w:r w:rsidRPr="007923F7">
              <w:rPr>
                <w:rFonts w:ascii="Calibri" w:eastAsia="Times New Roman" w:hAnsi="Calibri" w:cs="Calibri"/>
                <w:b/>
                <w:bCs/>
                <w:color w:val="FFFFFF"/>
                <w:sz w:val="20"/>
                <w:szCs w:val="20"/>
                <w:lang w:eastAsia="en-GB"/>
              </w:rPr>
              <w:t>(33.558)</w:t>
            </w:r>
          </w:p>
        </w:tc>
        <w:tc>
          <w:tcPr>
            <w:tcW w:w="2494" w:type="dxa"/>
            <w:tcBorders>
              <w:top w:val="nil"/>
              <w:left w:val="nil"/>
              <w:bottom w:val="nil"/>
              <w:right w:val="nil"/>
            </w:tcBorders>
            <w:shd w:val="clear" w:color="auto" w:fill="auto"/>
            <w:noWrap/>
            <w:vAlign w:val="bottom"/>
            <w:hideMark/>
          </w:tcPr>
          <w:p w:rsidR="007923F7" w:rsidRPr="007923F7" w:rsidP="007923F7">
            <w:pPr>
              <w:spacing w:after="0" w:line="240" w:lineRule="auto"/>
              <w:jc w:val="center"/>
              <w:rPr>
                <w:rFonts w:ascii="Calibri" w:eastAsia="Times New Roman" w:hAnsi="Calibri" w:cs="Calibri"/>
                <w:b/>
                <w:bCs/>
                <w:color w:val="FFFFFF"/>
                <w:sz w:val="20"/>
                <w:szCs w:val="20"/>
                <w:lang w:eastAsia="en-GB"/>
              </w:rPr>
            </w:pPr>
          </w:p>
        </w:tc>
      </w:tr>
    </w:tbl>
    <w:p w:rsidR="004D38C0" w:rsidRPr="00EA0335" w:rsidP="00EA0335">
      <w:pPr>
        <w:rPr>
          <w:highlight w:val="yellow"/>
        </w:rPr>
      </w:pPr>
    </w:p>
    <w:p w:rsidR="003D7FEB" w:rsidRPr="008E78EF" w:rsidP="003D7FEB">
      <w:pPr>
        <w:pStyle w:val="Heading2"/>
        <w:rPr>
          <w:rFonts w:asciiTheme="minorHAnsi" w:hAnsiTheme="minorHAnsi"/>
          <w:color w:val="13284C"/>
        </w:rPr>
      </w:pPr>
      <w:r w:rsidRPr="008E78EF">
        <w:rPr>
          <w:rFonts w:asciiTheme="minorHAnsi" w:hAnsiTheme="minorHAnsi"/>
          <w:color w:val="13284C"/>
        </w:rPr>
        <w:t>A</w:t>
      </w:r>
      <w:r w:rsidRPr="008E78EF" w:rsidR="00CE343E">
        <w:rPr>
          <w:rFonts w:asciiTheme="minorHAnsi" w:hAnsiTheme="minorHAnsi"/>
          <w:color w:val="13284C"/>
        </w:rPr>
        <w:t>rm’s Length Bodies (ALBs)</w:t>
      </w:r>
    </w:p>
    <w:p w:rsidR="00D84AE1" w:rsidP="00CE343E">
      <w:pPr>
        <w:rPr>
          <w:lang w:eastAsia="en-GB"/>
        </w:rPr>
      </w:pPr>
      <w:r w:rsidRPr="008E78EF">
        <w:rPr>
          <w:lang w:eastAsia="en-GB"/>
        </w:rPr>
        <w:t>Under Clear Line of Sight (C</w:t>
      </w:r>
      <w:r w:rsidRPr="008E78EF" w:rsidR="001F2114">
        <w:rPr>
          <w:lang w:eastAsia="en-GB"/>
        </w:rPr>
        <w:t>L</w:t>
      </w:r>
      <w:r w:rsidRPr="008E78EF">
        <w:rPr>
          <w:lang w:eastAsia="en-GB"/>
        </w:rPr>
        <w:t xml:space="preserve">oS), Arm’s Length Bodies (ALBs) are part of Departmental DEL. Table </w:t>
      </w:r>
      <w:r w:rsidRPr="008E78EF" w:rsidR="00EE04B4">
        <w:rPr>
          <w:lang w:eastAsia="en-GB"/>
        </w:rPr>
        <w:t>1</w:t>
      </w:r>
      <w:r w:rsidRPr="008E78EF" w:rsidR="00063365">
        <w:rPr>
          <w:lang w:eastAsia="en-GB"/>
        </w:rPr>
        <w:t>2</w:t>
      </w:r>
      <w:r w:rsidRPr="008E78EF">
        <w:rPr>
          <w:lang w:eastAsia="en-GB"/>
        </w:rPr>
        <w:t xml:space="preserve"> summarises the </w:t>
      </w:r>
      <w:r w:rsidRPr="008E78EF" w:rsidR="004E051F">
        <w:rPr>
          <w:lang w:eastAsia="en-GB"/>
        </w:rPr>
        <w:t xml:space="preserve">Grant in Aid </w:t>
      </w:r>
      <w:r w:rsidRPr="008E78EF">
        <w:rPr>
          <w:lang w:eastAsia="en-GB"/>
        </w:rPr>
        <w:t>funding requested by MOD ALBs and is based on information received from the sponsoring Top Level Budget (TLB).</w:t>
      </w:r>
    </w:p>
    <w:p w:rsidR="00B45C99" w:rsidP="00CE343E">
      <w:pPr>
        <w:rPr>
          <w:lang w:eastAsia="en-GB"/>
        </w:rPr>
      </w:pPr>
    </w:p>
    <w:p w:rsidR="00B45C99" w:rsidP="00CE343E">
      <w:pPr>
        <w:rPr>
          <w:lang w:eastAsia="en-GB"/>
        </w:rPr>
      </w:pPr>
    </w:p>
    <w:p w:rsidR="00B8166D" w:rsidRPr="00D84AE1" w:rsidP="00CE343E">
      <w:pPr>
        <w:rPr>
          <w:b/>
          <w:bCs/>
          <w:sz w:val="20"/>
          <w:szCs w:val="20"/>
          <w:highlight w:val="yellow"/>
          <w:lang w:eastAsia="en-GB"/>
        </w:rPr>
      </w:pPr>
      <w:r w:rsidRPr="00D84AE1">
        <w:rPr>
          <w:b/>
          <w:bCs/>
          <w:sz w:val="20"/>
          <w:szCs w:val="20"/>
          <w:lang w:eastAsia="en-GB"/>
        </w:rPr>
        <w:t>Table 12: Breakdown of the Arms</w:t>
      </w:r>
      <w:r w:rsidR="00260EC0">
        <w:rPr>
          <w:b/>
          <w:bCs/>
          <w:sz w:val="20"/>
          <w:szCs w:val="20"/>
          <w:lang w:eastAsia="en-GB"/>
        </w:rPr>
        <w:t>’</w:t>
      </w:r>
      <w:r w:rsidRPr="00D84AE1">
        <w:rPr>
          <w:b/>
          <w:bCs/>
          <w:sz w:val="20"/>
          <w:szCs w:val="20"/>
          <w:lang w:eastAsia="en-GB"/>
        </w:rPr>
        <w:t xml:space="preserve"> Length Bodies</w:t>
      </w:r>
    </w:p>
    <w:tbl>
      <w:tblPr>
        <w:tblW w:w="6420" w:type="dxa"/>
        <w:tblLook w:val="04A0"/>
      </w:tblPr>
      <w:tblGrid>
        <w:gridCol w:w="4481"/>
        <w:gridCol w:w="980"/>
        <w:gridCol w:w="959"/>
      </w:tblGrid>
      <w:tr w:rsidTr="00D84AE1">
        <w:tblPrEx>
          <w:tblW w:w="6420" w:type="dxa"/>
          <w:tblLook w:val="04A0"/>
        </w:tblPrEx>
        <w:trPr>
          <w:trHeight w:val="510"/>
        </w:trPr>
        <w:tc>
          <w:tcPr>
            <w:tcW w:w="4500" w:type="dxa"/>
            <w:tcBorders>
              <w:top w:val="single" w:sz="8" w:space="0" w:color="auto"/>
              <w:left w:val="single" w:sz="8" w:space="0" w:color="auto"/>
              <w:bottom w:val="nil"/>
              <w:right w:val="single" w:sz="8" w:space="0" w:color="auto"/>
            </w:tcBorders>
            <w:shd w:val="clear" w:color="000000" w:fill="532A45"/>
            <w:vAlign w:val="center"/>
            <w:hideMark/>
          </w:tcPr>
          <w:p w:rsidR="00D84AE1" w:rsidRPr="00D84AE1" w:rsidP="00D84AE1">
            <w:pPr>
              <w:spacing w:after="0" w:line="240" w:lineRule="auto"/>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Organisation</w:t>
            </w:r>
          </w:p>
        </w:tc>
        <w:tc>
          <w:tcPr>
            <w:tcW w:w="960" w:type="dxa"/>
            <w:tcBorders>
              <w:top w:val="single" w:sz="8" w:space="0" w:color="auto"/>
              <w:left w:val="nil"/>
              <w:bottom w:val="nil"/>
              <w:right w:val="nil"/>
            </w:tcBorders>
            <w:shd w:val="clear" w:color="000000" w:fill="532A45"/>
            <w:vAlign w:val="center"/>
            <w:hideMark/>
          </w:tcPr>
          <w:p w:rsidR="00D84AE1" w:rsidRPr="00D84AE1" w:rsidP="00D84AE1">
            <w:pPr>
              <w:spacing w:after="0" w:line="240" w:lineRule="auto"/>
              <w:jc w:val="center"/>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Resource DEL</w:t>
            </w:r>
          </w:p>
        </w:tc>
        <w:tc>
          <w:tcPr>
            <w:tcW w:w="960" w:type="dxa"/>
            <w:tcBorders>
              <w:top w:val="single" w:sz="8" w:space="0" w:color="auto"/>
              <w:left w:val="single" w:sz="8" w:space="0" w:color="auto"/>
              <w:bottom w:val="nil"/>
              <w:right w:val="single" w:sz="8" w:space="0" w:color="auto"/>
            </w:tcBorders>
            <w:shd w:val="clear" w:color="000000" w:fill="532A45"/>
            <w:vAlign w:val="center"/>
            <w:hideMark/>
          </w:tcPr>
          <w:p w:rsidR="00D84AE1" w:rsidRPr="00D84AE1" w:rsidP="00D84AE1">
            <w:pPr>
              <w:spacing w:after="0" w:line="240" w:lineRule="auto"/>
              <w:jc w:val="center"/>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Capital DEL</w:t>
            </w:r>
          </w:p>
        </w:tc>
      </w:tr>
      <w:tr w:rsidTr="00D84AE1">
        <w:tblPrEx>
          <w:tblW w:w="6420" w:type="dxa"/>
          <w:tblLook w:val="04A0"/>
        </w:tblPrEx>
        <w:trPr>
          <w:trHeight w:val="270"/>
        </w:trPr>
        <w:tc>
          <w:tcPr>
            <w:tcW w:w="4500" w:type="dxa"/>
            <w:tcBorders>
              <w:top w:val="nil"/>
              <w:left w:val="single" w:sz="8" w:space="0" w:color="auto"/>
              <w:bottom w:val="single" w:sz="8" w:space="0" w:color="auto"/>
              <w:right w:val="single" w:sz="8" w:space="0" w:color="auto"/>
            </w:tcBorders>
            <w:shd w:val="clear" w:color="000000" w:fill="532A45"/>
            <w:vAlign w:val="center"/>
            <w:hideMark/>
          </w:tcPr>
          <w:p w:rsidR="00D84AE1" w:rsidRPr="00D84AE1" w:rsidP="00D84AE1">
            <w:pPr>
              <w:spacing w:after="0" w:line="240" w:lineRule="auto"/>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 </w:t>
            </w:r>
          </w:p>
        </w:tc>
        <w:tc>
          <w:tcPr>
            <w:tcW w:w="960" w:type="dxa"/>
            <w:tcBorders>
              <w:top w:val="nil"/>
              <w:left w:val="nil"/>
              <w:bottom w:val="single" w:sz="8" w:space="0" w:color="auto"/>
              <w:right w:val="nil"/>
            </w:tcBorders>
            <w:shd w:val="clear" w:color="000000" w:fill="532A45"/>
            <w:vAlign w:val="center"/>
            <w:hideMark/>
          </w:tcPr>
          <w:p w:rsidR="00D84AE1" w:rsidRPr="00D84AE1" w:rsidP="00D84AE1">
            <w:pPr>
              <w:spacing w:after="0" w:line="240" w:lineRule="auto"/>
              <w:jc w:val="center"/>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£M</w:t>
            </w:r>
          </w:p>
        </w:tc>
        <w:tc>
          <w:tcPr>
            <w:tcW w:w="960" w:type="dxa"/>
            <w:tcBorders>
              <w:top w:val="nil"/>
              <w:left w:val="single" w:sz="8" w:space="0" w:color="auto"/>
              <w:bottom w:val="single" w:sz="8" w:space="0" w:color="auto"/>
              <w:right w:val="single" w:sz="8" w:space="0" w:color="auto"/>
            </w:tcBorders>
            <w:shd w:val="clear" w:color="000000" w:fill="532A45"/>
            <w:vAlign w:val="center"/>
            <w:hideMark/>
          </w:tcPr>
          <w:p w:rsidR="00D84AE1" w:rsidRPr="00D84AE1" w:rsidP="00D84AE1">
            <w:pPr>
              <w:spacing w:after="0" w:line="240" w:lineRule="auto"/>
              <w:jc w:val="center"/>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£M</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Armed Forces Covenant Fund Trustee Ltd</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11.127</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 </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 xml:space="preserve">Atomic </w:t>
            </w:r>
            <w:r w:rsidRPr="00D84AE1" w:rsidR="00132841">
              <w:rPr>
                <w:rFonts w:ascii="Arial" w:eastAsia="Times New Roman" w:hAnsi="Arial" w:cs="Arial"/>
                <w:sz w:val="16"/>
                <w:szCs w:val="16"/>
                <w:lang w:eastAsia="en-GB"/>
              </w:rPr>
              <w:t>Weapons</w:t>
            </w:r>
            <w:r w:rsidRPr="00D84AE1">
              <w:rPr>
                <w:rFonts w:ascii="Arial" w:eastAsia="Times New Roman" w:hAnsi="Arial" w:cs="Arial"/>
                <w:sz w:val="16"/>
                <w:szCs w:val="16"/>
                <w:lang w:eastAsia="en-GB"/>
              </w:rPr>
              <w:t xml:space="preserve"> Establishment</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(5.041)</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0.445</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Commonwealth War Graves Commission</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60.814</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 </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International Military Services Limited</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0.001</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 </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National Army Museum</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7.361</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 </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National Museum of the Royal Navy</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4.095</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0.647</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Royal Air Force Museum</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11.251</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 </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Royal Hospital, Chelsea</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14.266</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 </w:t>
            </w:r>
          </w:p>
        </w:tc>
      </w:tr>
      <w:tr w:rsidTr="00D84AE1">
        <w:tblPrEx>
          <w:tblW w:w="6420" w:type="dxa"/>
          <w:tblLook w:val="04A0"/>
        </w:tblPrEx>
        <w:trPr>
          <w:trHeight w:val="255"/>
        </w:trPr>
        <w:tc>
          <w:tcPr>
            <w:tcW w:w="450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Single Source Regulations Office</w:t>
            </w:r>
          </w:p>
        </w:tc>
        <w:tc>
          <w:tcPr>
            <w:tcW w:w="960" w:type="dxa"/>
            <w:tcBorders>
              <w:top w:val="nil"/>
              <w:left w:val="nil"/>
              <w:bottom w:val="single" w:sz="4" w:space="0" w:color="auto"/>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6.642</w:t>
            </w:r>
          </w:p>
        </w:tc>
        <w:tc>
          <w:tcPr>
            <w:tcW w:w="960" w:type="dxa"/>
            <w:tcBorders>
              <w:top w:val="nil"/>
              <w:left w:val="single" w:sz="8" w:space="0" w:color="auto"/>
              <w:bottom w:val="single" w:sz="4" w:space="0" w:color="auto"/>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0.300</w:t>
            </w:r>
          </w:p>
        </w:tc>
      </w:tr>
      <w:tr w:rsidTr="00D84AE1">
        <w:tblPrEx>
          <w:tblW w:w="6420" w:type="dxa"/>
          <w:tblLook w:val="04A0"/>
        </w:tblPrEx>
        <w:trPr>
          <w:trHeight w:val="465"/>
        </w:trPr>
        <w:tc>
          <w:tcPr>
            <w:tcW w:w="4500" w:type="dxa"/>
            <w:tcBorders>
              <w:top w:val="nil"/>
              <w:left w:val="single" w:sz="8" w:space="0" w:color="auto"/>
              <w:bottom w:val="nil"/>
              <w:right w:val="single" w:sz="8" w:space="0" w:color="auto"/>
            </w:tcBorders>
            <w:shd w:val="clear" w:color="auto" w:fill="auto"/>
            <w:vAlign w:val="center"/>
            <w:hideMark/>
          </w:tcPr>
          <w:p w:rsidR="00D84AE1" w:rsidRPr="00D84AE1" w:rsidP="00D84AE1">
            <w:pPr>
              <w:spacing w:after="0" w:line="240" w:lineRule="auto"/>
              <w:rPr>
                <w:rFonts w:ascii="Arial" w:eastAsia="Times New Roman" w:hAnsi="Arial" w:cs="Arial"/>
                <w:sz w:val="16"/>
                <w:szCs w:val="16"/>
                <w:lang w:eastAsia="en-GB"/>
              </w:rPr>
            </w:pPr>
            <w:r w:rsidRPr="00D84AE1">
              <w:rPr>
                <w:rFonts w:ascii="Arial" w:eastAsia="Times New Roman" w:hAnsi="Arial" w:cs="Arial"/>
                <w:sz w:val="16"/>
                <w:szCs w:val="16"/>
                <w:lang w:eastAsia="en-GB"/>
              </w:rPr>
              <w:t>Territorial, Auxiliary and Volunteer Reserve Associations established under section 110 of the Reserve Act</w:t>
            </w:r>
          </w:p>
        </w:tc>
        <w:tc>
          <w:tcPr>
            <w:tcW w:w="960" w:type="dxa"/>
            <w:tcBorders>
              <w:top w:val="nil"/>
              <w:left w:val="nil"/>
              <w:bottom w:val="nil"/>
              <w:right w:val="nil"/>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104.302</w:t>
            </w:r>
          </w:p>
        </w:tc>
        <w:tc>
          <w:tcPr>
            <w:tcW w:w="960" w:type="dxa"/>
            <w:tcBorders>
              <w:top w:val="nil"/>
              <w:left w:val="single" w:sz="8" w:space="0" w:color="auto"/>
              <w:bottom w:val="nil"/>
              <w:right w:val="single" w:sz="8" w:space="0" w:color="auto"/>
            </w:tcBorders>
            <w:shd w:val="clear" w:color="auto" w:fill="auto"/>
            <w:vAlign w:val="center"/>
            <w:hideMark/>
          </w:tcPr>
          <w:p w:rsidR="00D84AE1" w:rsidRPr="00D84AE1" w:rsidP="00D84AE1">
            <w:pPr>
              <w:spacing w:after="0" w:line="240" w:lineRule="auto"/>
              <w:jc w:val="center"/>
              <w:rPr>
                <w:rFonts w:ascii="Calibri" w:eastAsia="Times New Roman" w:hAnsi="Calibri" w:cs="Calibri"/>
                <w:sz w:val="20"/>
                <w:szCs w:val="20"/>
                <w:lang w:eastAsia="en-GB"/>
              </w:rPr>
            </w:pPr>
            <w:r w:rsidRPr="00D84AE1">
              <w:rPr>
                <w:rFonts w:ascii="Calibri" w:eastAsia="Times New Roman" w:hAnsi="Calibri" w:cs="Calibri"/>
                <w:sz w:val="20"/>
                <w:szCs w:val="20"/>
                <w:lang w:eastAsia="en-GB"/>
              </w:rPr>
              <w:t>2.617</w:t>
            </w:r>
          </w:p>
        </w:tc>
      </w:tr>
      <w:tr w:rsidTr="00D84AE1">
        <w:tblPrEx>
          <w:tblW w:w="6420" w:type="dxa"/>
          <w:tblLook w:val="04A0"/>
        </w:tblPrEx>
        <w:trPr>
          <w:trHeight w:val="270"/>
        </w:trPr>
        <w:tc>
          <w:tcPr>
            <w:tcW w:w="4500" w:type="dxa"/>
            <w:tcBorders>
              <w:top w:val="single" w:sz="8" w:space="0" w:color="auto"/>
              <w:left w:val="single" w:sz="8" w:space="0" w:color="auto"/>
              <w:bottom w:val="single" w:sz="8" w:space="0" w:color="auto"/>
              <w:right w:val="single" w:sz="8" w:space="0" w:color="auto"/>
            </w:tcBorders>
            <w:shd w:val="clear" w:color="000000" w:fill="532A45"/>
            <w:vAlign w:val="center"/>
            <w:hideMark/>
          </w:tcPr>
          <w:p w:rsidR="00D84AE1" w:rsidRPr="00D84AE1" w:rsidP="00D84AE1">
            <w:pPr>
              <w:spacing w:after="0" w:line="240" w:lineRule="auto"/>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Total</w:t>
            </w:r>
          </w:p>
        </w:tc>
        <w:tc>
          <w:tcPr>
            <w:tcW w:w="960" w:type="dxa"/>
            <w:tcBorders>
              <w:top w:val="single" w:sz="8" w:space="0" w:color="auto"/>
              <w:left w:val="nil"/>
              <w:bottom w:val="single" w:sz="8" w:space="0" w:color="auto"/>
              <w:right w:val="nil"/>
            </w:tcBorders>
            <w:shd w:val="clear" w:color="000000" w:fill="532A45"/>
            <w:vAlign w:val="center"/>
            <w:hideMark/>
          </w:tcPr>
          <w:p w:rsidR="00D84AE1" w:rsidRPr="00D84AE1" w:rsidP="00D84AE1">
            <w:pPr>
              <w:spacing w:after="0" w:line="240" w:lineRule="auto"/>
              <w:jc w:val="center"/>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214.818</w:t>
            </w:r>
          </w:p>
        </w:tc>
        <w:tc>
          <w:tcPr>
            <w:tcW w:w="960" w:type="dxa"/>
            <w:tcBorders>
              <w:top w:val="single" w:sz="8" w:space="0" w:color="auto"/>
              <w:left w:val="nil"/>
              <w:bottom w:val="single" w:sz="8" w:space="0" w:color="auto"/>
              <w:right w:val="nil"/>
            </w:tcBorders>
            <w:shd w:val="clear" w:color="000000" w:fill="532A45"/>
            <w:vAlign w:val="center"/>
            <w:hideMark/>
          </w:tcPr>
          <w:p w:rsidR="00D84AE1" w:rsidRPr="00D84AE1" w:rsidP="00D84AE1">
            <w:pPr>
              <w:spacing w:after="0" w:line="240" w:lineRule="auto"/>
              <w:jc w:val="center"/>
              <w:rPr>
                <w:rFonts w:ascii="Calibri" w:eastAsia="Times New Roman" w:hAnsi="Calibri" w:cs="Calibri"/>
                <w:b/>
                <w:bCs/>
                <w:color w:val="FFFFFF"/>
                <w:sz w:val="20"/>
                <w:szCs w:val="20"/>
                <w:lang w:eastAsia="en-GB"/>
              </w:rPr>
            </w:pPr>
            <w:r w:rsidRPr="00D84AE1">
              <w:rPr>
                <w:rFonts w:ascii="Calibri" w:eastAsia="Times New Roman" w:hAnsi="Calibri" w:cs="Calibri"/>
                <w:b/>
                <w:bCs/>
                <w:color w:val="FFFFFF"/>
                <w:sz w:val="20"/>
                <w:szCs w:val="20"/>
                <w:lang w:eastAsia="en-GB"/>
              </w:rPr>
              <w:t>4.009</w:t>
            </w:r>
          </w:p>
        </w:tc>
      </w:tr>
    </w:tbl>
    <w:p w:rsidR="00D84AE1" w:rsidRPr="002020C7" w:rsidP="00CE343E">
      <w:pPr>
        <w:rPr>
          <w:highlight w:val="yellow"/>
          <w:lang w:eastAsia="en-GB"/>
        </w:rPr>
      </w:pPr>
    </w:p>
    <w:p w:rsidR="003D7FEB" w:rsidRPr="00FC6033" w:rsidP="003D7FEB">
      <w:pPr>
        <w:pStyle w:val="Heading2"/>
        <w:rPr>
          <w:rFonts w:asciiTheme="minorHAnsi" w:hAnsiTheme="minorHAnsi"/>
          <w:color w:val="13284C"/>
        </w:rPr>
      </w:pPr>
      <w:r w:rsidRPr="00FC6033">
        <w:rPr>
          <w:rFonts w:asciiTheme="minorHAnsi" w:hAnsiTheme="minorHAnsi"/>
          <w:color w:val="13284C"/>
        </w:rPr>
        <w:t>Operations</w:t>
      </w:r>
    </w:p>
    <w:p w:rsidR="00D11B1B" w:rsidRPr="00FC6033" w:rsidP="00FC0FF4">
      <w:pPr>
        <w:rPr>
          <w:rFonts w:cs="Arial"/>
        </w:rPr>
      </w:pPr>
      <w:r w:rsidRPr="00FC6033">
        <w:rPr>
          <w:rFonts w:cs="Arial"/>
        </w:rPr>
        <w:t xml:space="preserve">The MOD’s total </w:t>
      </w:r>
      <w:r w:rsidRPr="00FC6033" w:rsidR="00954430">
        <w:rPr>
          <w:rFonts w:cs="Arial"/>
        </w:rPr>
        <w:t xml:space="preserve">net </w:t>
      </w:r>
      <w:r w:rsidRPr="00FC6033" w:rsidR="0085277E">
        <w:rPr>
          <w:rFonts w:cs="Arial"/>
        </w:rPr>
        <w:t>additional costs of military operations</w:t>
      </w:r>
      <w:r w:rsidRPr="00FC6033" w:rsidR="00127803">
        <w:rPr>
          <w:rFonts w:cs="Arial"/>
        </w:rPr>
        <w:t xml:space="preserve"> and peacekeeping is</w:t>
      </w:r>
      <w:r w:rsidRPr="00FC6033" w:rsidR="00E26BEB">
        <w:rPr>
          <w:rFonts w:cs="Arial"/>
        </w:rPr>
        <w:t xml:space="preserve"> set out </w:t>
      </w:r>
      <w:r w:rsidRPr="00FC6033">
        <w:rPr>
          <w:rFonts w:cs="Arial"/>
        </w:rPr>
        <w:t xml:space="preserve">in Table </w:t>
      </w:r>
      <w:r w:rsidRPr="00FC6033" w:rsidR="00FC0FF4">
        <w:rPr>
          <w:rFonts w:cs="Arial"/>
        </w:rPr>
        <w:t>1</w:t>
      </w:r>
      <w:r w:rsidRPr="00FC6033" w:rsidR="00CA5FA4">
        <w:rPr>
          <w:rFonts w:cs="Arial"/>
        </w:rPr>
        <w:t>3</w:t>
      </w:r>
      <w:r w:rsidRPr="00FC6033" w:rsidR="008E733B">
        <w:rPr>
          <w:rFonts w:cs="Arial"/>
        </w:rPr>
        <w:t xml:space="preserve"> below</w:t>
      </w:r>
      <w:r w:rsidRPr="00FC6033">
        <w:rPr>
          <w:rFonts w:cs="Arial"/>
        </w:rPr>
        <w:t>.</w:t>
      </w:r>
    </w:p>
    <w:p w:rsidR="0043375A" w:rsidRPr="00FC6033" w:rsidP="00FC0FF4">
      <w:pPr>
        <w:rPr>
          <w:rFonts w:ascii="Calibri" w:hAnsi="Calibri" w:cs="Calibri"/>
        </w:rPr>
      </w:pPr>
      <w:r w:rsidRPr="00FC6033">
        <w:rPr>
          <w:rFonts w:ascii="Calibri" w:eastAsia="Times New Roman" w:hAnsi="Calibri" w:cs="Calibri"/>
          <w:b/>
          <w:bCs/>
          <w:sz w:val="20"/>
          <w:szCs w:val="20"/>
          <w:u w:val="single"/>
          <w:lang w:eastAsia="en-GB"/>
        </w:rPr>
        <w:t>Table 13: Supplementary Estimate total sought for MOD compare with Main Estimate</w:t>
      </w:r>
    </w:p>
    <w:tbl>
      <w:tblPr>
        <w:tblW w:w="8779" w:type="dxa"/>
        <w:tblLook w:val="04A0"/>
      </w:tblPr>
      <w:tblGrid>
        <w:gridCol w:w="1021"/>
        <w:gridCol w:w="3120"/>
        <w:gridCol w:w="1159"/>
        <w:gridCol w:w="1160"/>
        <w:gridCol w:w="1159"/>
        <w:gridCol w:w="1160"/>
      </w:tblGrid>
      <w:tr w:rsidTr="004F7D09">
        <w:tblPrEx>
          <w:tblW w:w="8779" w:type="dxa"/>
          <w:tblLook w:val="04A0"/>
        </w:tblPrEx>
        <w:trPr>
          <w:trHeight w:val="615"/>
        </w:trPr>
        <w:tc>
          <w:tcPr>
            <w:tcW w:w="4141" w:type="dxa"/>
            <w:gridSpan w:val="2"/>
            <w:tcBorders>
              <w:top w:val="single" w:sz="8" w:space="0" w:color="auto"/>
              <w:left w:val="single" w:sz="8" w:space="0" w:color="auto"/>
              <w:bottom w:val="nil"/>
              <w:right w:val="nil"/>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Operations and Peacekeeping</w:t>
            </w:r>
          </w:p>
        </w:tc>
        <w:tc>
          <w:tcPr>
            <w:tcW w:w="1159" w:type="dxa"/>
            <w:tcBorders>
              <w:top w:val="single" w:sz="8" w:space="0" w:color="auto"/>
              <w:left w:val="single" w:sz="4" w:space="0" w:color="auto"/>
              <w:bottom w:val="nil"/>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2024-25   SE</w:t>
            </w:r>
          </w:p>
        </w:tc>
        <w:tc>
          <w:tcPr>
            <w:tcW w:w="1160" w:type="dxa"/>
            <w:tcBorders>
              <w:top w:val="single" w:sz="8" w:space="0" w:color="auto"/>
              <w:left w:val="nil"/>
              <w:bottom w:val="nil"/>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2024-25 ME</w:t>
            </w:r>
          </w:p>
        </w:tc>
        <w:tc>
          <w:tcPr>
            <w:tcW w:w="2319" w:type="dxa"/>
            <w:gridSpan w:val="2"/>
            <w:tcBorders>
              <w:top w:val="single" w:sz="8" w:space="0" w:color="auto"/>
              <w:left w:val="nil"/>
              <w:bottom w:val="nil"/>
              <w:right w:val="single" w:sz="8" w:space="0" w:color="000000"/>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Change from Main Estimate</w:t>
            </w:r>
          </w:p>
        </w:tc>
      </w:tr>
      <w:tr w:rsidTr="004F7D09">
        <w:tblPrEx>
          <w:tblW w:w="8779" w:type="dxa"/>
          <w:tblLook w:val="04A0"/>
        </w:tblPrEx>
        <w:trPr>
          <w:trHeight w:val="270"/>
        </w:trPr>
        <w:tc>
          <w:tcPr>
            <w:tcW w:w="1021" w:type="dxa"/>
            <w:tcBorders>
              <w:top w:val="nil"/>
              <w:left w:val="single" w:sz="8" w:space="0" w:color="auto"/>
              <w:bottom w:val="single" w:sz="8" w:space="0" w:color="auto"/>
              <w:right w:val="nil"/>
            </w:tcBorders>
            <w:shd w:val="clear" w:color="000000" w:fill="532A45"/>
            <w:vAlign w:val="center"/>
            <w:hideMark/>
          </w:tcPr>
          <w:p w:rsidR="00D824B7" w:rsidRPr="00D824B7" w:rsidP="00D824B7">
            <w:pPr>
              <w:spacing w:after="0" w:line="240" w:lineRule="auto"/>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Subheads</w:t>
            </w:r>
          </w:p>
        </w:tc>
        <w:tc>
          <w:tcPr>
            <w:tcW w:w="3120" w:type="dxa"/>
            <w:tcBorders>
              <w:top w:val="nil"/>
              <w:left w:val="nil"/>
              <w:bottom w:val="single" w:sz="8" w:space="0" w:color="auto"/>
              <w:right w:val="single" w:sz="4" w:space="0" w:color="auto"/>
            </w:tcBorders>
            <w:shd w:val="clear" w:color="000000" w:fill="532A45"/>
            <w:vAlign w:val="center"/>
            <w:hideMark/>
          </w:tcPr>
          <w:p w:rsidR="00D824B7" w:rsidRPr="00D824B7" w:rsidP="00D824B7">
            <w:pPr>
              <w:spacing w:after="0" w:line="240" w:lineRule="auto"/>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Commodity Block</w:t>
            </w:r>
          </w:p>
        </w:tc>
        <w:tc>
          <w:tcPr>
            <w:tcW w:w="1159" w:type="dxa"/>
            <w:tcBorders>
              <w:top w:val="nil"/>
              <w:left w:val="nil"/>
              <w:bottom w:val="single" w:sz="8" w:space="0" w:color="auto"/>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£M</w:t>
            </w:r>
          </w:p>
        </w:tc>
        <w:tc>
          <w:tcPr>
            <w:tcW w:w="1160" w:type="dxa"/>
            <w:tcBorders>
              <w:top w:val="nil"/>
              <w:left w:val="nil"/>
              <w:bottom w:val="single" w:sz="8" w:space="0" w:color="auto"/>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£M</w:t>
            </w:r>
          </w:p>
        </w:tc>
        <w:tc>
          <w:tcPr>
            <w:tcW w:w="1159" w:type="dxa"/>
            <w:tcBorders>
              <w:top w:val="nil"/>
              <w:left w:val="nil"/>
              <w:bottom w:val="single" w:sz="8" w:space="0" w:color="auto"/>
              <w:right w:val="nil"/>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£M</w:t>
            </w:r>
          </w:p>
        </w:tc>
        <w:tc>
          <w:tcPr>
            <w:tcW w:w="1160" w:type="dxa"/>
            <w:tcBorders>
              <w:top w:val="nil"/>
              <w:left w:val="nil"/>
              <w:bottom w:val="single" w:sz="8" w:space="0" w:color="auto"/>
              <w:right w:val="single" w:sz="8"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w:t>
            </w:r>
          </w:p>
        </w:tc>
      </w:tr>
      <w:tr w:rsidTr="004F7D09">
        <w:tblPrEx>
          <w:tblW w:w="8779" w:type="dxa"/>
          <w:tblLook w:val="04A0"/>
        </w:tblPrEx>
        <w:trPr>
          <w:trHeight w:val="255"/>
        </w:trPr>
        <w:tc>
          <w:tcPr>
            <w:tcW w:w="1021" w:type="dxa"/>
            <w:tcBorders>
              <w:top w:val="nil"/>
              <w:left w:val="single" w:sz="8" w:space="0" w:color="auto"/>
              <w:bottom w:val="single" w:sz="4" w:space="0" w:color="auto"/>
              <w:right w:val="single" w:sz="8" w:space="0" w:color="auto"/>
            </w:tcBorders>
            <w:shd w:val="clear" w:color="auto" w:fill="auto"/>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P-V</w:t>
            </w:r>
          </w:p>
        </w:tc>
        <w:tc>
          <w:tcPr>
            <w:tcW w:w="3120" w:type="dxa"/>
            <w:tcBorders>
              <w:top w:val="nil"/>
              <w:left w:val="nil"/>
              <w:bottom w:val="single" w:sz="4" w:space="0" w:color="auto"/>
              <w:right w:val="single" w:sz="4" w:space="0" w:color="auto"/>
            </w:tcBorders>
            <w:shd w:val="clear" w:color="auto" w:fill="auto"/>
            <w:vAlign w:val="center"/>
            <w:hideMark/>
          </w:tcPr>
          <w:p w:rsidR="00D824B7" w:rsidRPr="00D824B7" w:rsidP="00D824B7">
            <w:pPr>
              <w:spacing w:after="0" w:line="240" w:lineRule="auto"/>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Operations - RDEL</w:t>
            </w:r>
          </w:p>
        </w:tc>
        <w:tc>
          <w:tcPr>
            <w:tcW w:w="1159" w:type="dxa"/>
            <w:tcBorders>
              <w:top w:val="nil"/>
              <w:left w:val="single" w:sz="8" w:space="0" w:color="auto"/>
              <w:bottom w:val="single" w:sz="4"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1,768.5</w:t>
            </w:r>
          </w:p>
        </w:tc>
        <w:tc>
          <w:tcPr>
            <w:tcW w:w="1160" w:type="dxa"/>
            <w:tcBorders>
              <w:top w:val="nil"/>
              <w:left w:val="single" w:sz="8" w:space="0" w:color="auto"/>
              <w:bottom w:val="single" w:sz="4"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1,719.0</w:t>
            </w:r>
          </w:p>
        </w:tc>
        <w:tc>
          <w:tcPr>
            <w:tcW w:w="1159" w:type="dxa"/>
            <w:tcBorders>
              <w:top w:val="nil"/>
              <w:left w:val="single" w:sz="8" w:space="0" w:color="auto"/>
              <w:bottom w:val="single" w:sz="4"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49.5</w:t>
            </w:r>
          </w:p>
        </w:tc>
        <w:tc>
          <w:tcPr>
            <w:tcW w:w="1160" w:type="dxa"/>
            <w:tcBorders>
              <w:top w:val="nil"/>
              <w:left w:val="nil"/>
              <w:bottom w:val="single" w:sz="4" w:space="0" w:color="auto"/>
              <w:right w:val="single" w:sz="8" w:space="0" w:color="auto"/>
            </w:tcBorders>
            <w:shd w:val="clear" w:color="auto" w:fill="auto"/>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2.9%</w:t>
            </w:r>
          </w:p>
        </w:tc>
      </w:tr>
      <w:tr w:rsidTr="004F7D09">
        <w:tblPrEx>
          <w:tblW w:w="8779" w:type="dxa"/>
          <w:tblLook w:val="04A0"/>
        </w:tblPrEx>
        <w:trPr>
          <w:trHeight w:val="255"/>
        </w:trPr>
        <w:tc>
          <w:tcPr>
            <w:tcW w:w="1021" w:type="dxa"/>
            <w:tcBorders>
              <w:top w:val="nil"/>
              <w:left w:val="single" w:sz="8" w:space="0" w:color="auto"/>
              <w:bottom w:val="single" w:sz="4" w:space="0" w:color="auto"/>
              <w:right w:val="single" w:sz="8" w:space="0" w:color="auto"/>
            </w:tcBorders>
            <w:shd w:val="clear" w:color="auto" w:fill="auto"/>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W,X</w:t>
            </w:r>
          </w:p>
        </w:tc>
        <w:tc>
          <w:tcPr>
            <w:tcW w:w="3120" w:type="dxa"/>
            <w:tcBorders>
              <w:top w:val="nil"/>
              <w:left w:val="nil"/>
              <w:bottom w:val="nil"/>
              <w:right w:val="single" w:sz="4" w:space="0" w:color="auto"/>
            </w:tcBorders>
            <w:shd w:val="clear" w:color="auto" w:fill="auto"/>
            <w:vAlign w:val="center"/>
            <w:hideMark/>
          </w:tcPr>
          <w:p w:rsidR="00D824B7" w:rsidRPr="00D824B7" w:rsidP="00D824B7">
            <w:pPr>
              <w:spacing w:after="0" w:line="240" w:lineRule="auto"/>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Operations - Capital DEL</w:t>
            </w:r>
          </w:p>
        </w:tc>
        <w:tc>
          <w:tcPr>
            <w:tcW w:w="1159" w:type="dxa"/>
            <w:tcBorders>
              <w:top w:val="nil"/>
              <w:left w:val="single" w:sz="8" w:space="0" w:color="auto"/>
              <w:bottom w:val="single" w:sz="4"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1,596.8</w:t>
            </w:r>
          </w:p>
        </w:tc>
        <w:tc>
          <w:tcPr>
            <w:tcW w:w="1160" w:type="dxa"/>
            <w:tcBorders>
              <w:top w:val="nil"/>
              <w:left w:val="single" w:sz="8" w:space="0" w:color="auto"/>
              <w:bottom w:val="single" w:sz="4"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1,540.0</w:t>
            </w:r>
          </w:p>
        </w:tc>
        <w:tc>
          <w:tcPr>
            <w:tcW w:w="1159" w:type="dxa"/>
            <w:tcBorders>
              <w:top w:val="nil"/>
              <w:left w:val="single" w:sz="8" w:space="0" w:color="auto"/>
              <w:bottom w:val="single" w:sz="4"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56.8</w:t>
            </w:r>
          </w:p>
        </w:tc>
        <w:tc>
          <w:tcPr>
            <w:tcW w:w="1160" w:type="dxa"/>
            <w:tcBorders>
              <w:top w:val="nil"/>
              <w:left w:val="nil"/>
              <w:bottom w:val="single" w:sz="4" w:space="0" w:color="auto"/>
              <w:right w:val="single" w:sz="8" w:space="0" w:color="auto"/>
            </w:tcBorders>
            <w:shd w:val="clear" w:color="auto" w:fill="auto"/>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3.7%</w:t>
            </w:r>
          </w:p>
        </w:tc>
      </w:tr>
      <w:tr w:rsidTr="004F7D09">
        <w:tblPrEx>
          <w:tblW w:w="8779" w:type="dxa"/>
          <w:tblLook w:val="04A0"/>
        </w:tblPrEx>
        <w:trPr>
          <w:trHeight w:val="270"/>
        </w:trPr>
        <w:tc>
          <w:tcPr>
            <w:tcW w:w="1021" w:type="dxa"/>
            <w:tcBorders>
              <w:top w:val="nil"/>
              <w:left w:val="single" w:sz="8" w:space="0" w:color="auto"/>
              <w:bottom w:val="single" w:sz="8" w:space="0" w:color="auto"/>
              <w:right w:val="single" w:sz="8" w:space="0" w:color="auto"/>
            </w:tcBorders>
            <w:shd w:val="clear" w:color="auto" w:fill="auto"/>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AD</w:t>
            </w:r>
          </w:p>
        </w:tc>
        <w:tc>
          <w:tcPr>
            <w:tcW w:w="3120" w:type="dxa"/>
            <w:tcBorders>
              <w:top w:val="single" w:sz="4" w:space="0" w:color="auto"/>
              <w:left w:val="nil"/>
              <w:bottom w:val="single" w:sz="8" w:space="0" w:color="auto"/>
              <w:right w:val="single" w:sz="4" w:space="0" w:color="auto"/>
            </w:tcBorders>
            <w:shd w:val="clear" w:color="auto" w:fill="auto"/>
            <w:vAlign w:val="center"/>
            <w:hideMark/>
          </w:tcPr>
          <w:p w:rsidR="00D824B7" w:rsidRPr="00D824B7" w:rsidP="00D824B7">
            <w:pPr>
              <w:spacing w:after="0" w:line="240" w:lineRule="auto"/>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UK Integrated Security Fund</w:t>
            </w:r>
          </w:p>
        </w:tc>
        <w:tc>
          <w:tcPr>
            <w:tcW w:w="1159" w:type="dxa"/>
            <w:tcBorders>
              <w:top w:val="nil"/>
              <w:left w:val="single" w:sz="8" w:space="0" w:color="auto"/>
              <w:bottom w:val="single" w:sz="8"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55.5</w:t>
            </w:r>
          </w:p>
        </w:tc>
        <w:tc>
          <w:tcPr>
            <w:tcW w:w="1160" w:type="dxa"/>
            <w:tcBorders>
              <w:top w:val="nil"/>
              <w:left w:val="single" w:sz="8" w:space="0" w:color="auto"/>
              <w:bottom w:val="single" w:sz="8"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42.6</w:t>
            </w:r>
          </w:p>
        </w:tc>
        <w:tc>
          <w:tcPr>
            <w:tcW w:w="1159" w:type="dxa"/>
            <w:tcBorders>
              <w:top w:val="nil"/>
              <w:left w:val="single" w:sz="8" w:space="0" w:color="auto"/>
              <w:bottom w:val="single" w:sz="8" w:space="0" w:color="auto"/>
              <w:right w:val="single" w:sz="4" w:space="0" w:color="auto"/>
            </w:tcBorders>
            <w:shd w:val="clear" w:color="000000" w:fill="FFFFFF"/>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12.9</w:t>
            </w:r>
          </w:p>
        </w:tc>
        <w:tc>
          <w:tcPr>
            <w:tcW w:w="1160" w:type="dxa"/>
            <w:tcBorders>
              <w:top w:val="nil"/>
              <w:left w:val="nil"/>
              <w:bottom w:val="single" w:sz="8" w:space="0" w:color="auto"/>
              <w:right w:val="single" w:sz="8" w:space="0" w:color="auto"/>
            </w:tcBorders>
            <w:shd w:val="clear" w:color="auto" w:fill="auto"/>
            <w:vAlign w:val="center"/>
            <w:hideMark/>
          </w:tcPr>
          <w:p w:rsidR="00D824B7" w:rsidRPr="00D824B7" w:rsidP="00D824B7">
            <w:pPr>
              <w:spacing w:after="0" w:line="240" w:lineRule="auto"/>
              <w:jc w:val="center"/>
              <w:rPr>
                <w:rFonts w:ascii="Calibri" w:eastAsia="Times New Roman" w:hAnsi="Calibri" w:cs="Calibri"/>
                <w:sz w:val="20"/>
                <w:szCs w:val="20"/>
                <w:lang w:eastAsia="en-GB"/>
              </w:rPr>
            </w:pPr>
            <w:r w:rsidRPr="00D824B7">
              <w:rPr>
                <w:rFonts w:ascii="Calibri" w:eastAsia="Times New Roman" w:hAnsi="Calibri" w:cs="Calibri"/>
                <w:sz w:val="20"/>
                <w:szCs w:val="20"/>
                <w:lang w:eastAsia="en-GB"/>
              </w:rPr>
              <w:t>30.4%</w:t>
            </w:r>
          </w:p>
        </w:tc>
      </w:tr>
      <w:tr w:rsidTr="004F7D09">
        <w:tblPrEx>
          <w:tblW w:w="8779" w:type="dxa"/>
          <w:tblLook w:val="04A0"/>
        </w:tblPrEx>
        <w:trPr>
          <w:trHeight w:val="315"/>
        </w:trPr>
        <w:tc>
          <w:tcPr>
            <w:tcW w:w="1021" w:type="dxa"/>
            <w:tcBorders>
              <w:top w:val="nil"/>
              <w:left w:val="nil"/>
              <w:bottom w:val="nil"/>
              <w:right w:val="nil"/>
            </w:tcBorders>
            <w:shd w:val="clear" w:color="auto" w:fill="auto"/>
            <w:noWrap/>
            <w:vAlign w:val="bottom"/>
            <w:hideMark/>
          </w:tcPr>
          <w:p w:rsidR="00D824B7" w:rsidRPr="00D824B7" w:rsidP="00D824B7">
            <w:pPr>
              <w:spacing w:after="0" w:line="240" w:lineRule="auto"/>
              <w:jc w:val="center"/>
              <w:rPr>
                <w:rFonts w:ascii="Calibri" w:eastAsia="Times New Roman" w:hAnsi="Calibri" w:cs="Calibri"/>
                <w:sz w:val="20"/>
                <w:szCs w:val="20"/>
                <w:lang w:eastAsia="en-GB"/>
              </w:rPr>
            </w:pPr>
          </w:p>
        </w:tc>
        <w:tc>
          <w:tcPr>
            <w:tcW w:w="3120" w:type="dxa"/>
            <w:tcBorders>
              <w:top w:val="nil"/>
              <w:left w:val="nil"/>
              <w:bottom w:val="nil"/>
              <w:right w:val="nil"/>
            </w:tcBorders>
            <w:shd w:val="clear" w:color="auto" w:fill="auto"/>
            <w:noWrap/>
            <w:vAlign w:val="bottom"/>
            <w:hideMark/>
          </w:tcPr>
          <w:p w:rsidR="00D824B7" w:rsidRPr="00D824B7" w:rsidP="00D824B7">
            <w:pPr>
              <w:spacing w:after="0" w:line="240" w:lineRule="auto"/>
              <w:rPr>
                <w:rFonts w:ascii="Times New Roman" w:eastAsia="Times New Roman" w:hAnsi="Times New Roman" w:cs="Times New Roman"/>
                <w:sz w:val="20"/>
                <w:szCs w:val="20"/>
                <w:lang w:eastAsia="en-GB"/>
              </w:rPr>
            </w:pPr>
          </w:p>
        </w:tc>
        <w:tc>
          <w:tcPr>
            <w:tcW w:w="1159" w:type="dxa"/>
            <w:tcBorders>
              <w:top w:val="nil"/>
              <w:left w:val="single" w:sz="8" w:space="0" w:color="auto"/>
              <w:bottom w:val="single" w:sz="8" w:space="0" w:color="auto"/>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3,420.9</w:t>
            </w:r>
          </w:p>
        </w:tc>
        <w:tc>
          <w:tcPr>
            <w:tcW w:w="1160" w:type="dxa"/>
            <w:tcBorders>
              <w:top w:val="nil"/>
              <w:left w:val="single" w:sz="8" w:space="0" w:color="auto"/>
              <w:bottom w:val="single" w:sz="8" w:space="0" w:color="auto"/>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3,301.6</w:t>
            </w:r>
          </w:p>
        </w:tc>
        <w:tc>
          <w:tcPr>
            <w:tcW w:w="1159" w:type="dxa"/>
            <w:tcBorders>
              <w:top w:val="nil"/>
              <w:left w:val="single" w:sz="8" w:space="0" w:color="auto"/>
              <w:bottom w:val="single" w:sz="8" w:space="0" w:color="auto"/>
              <w:right w:val="single" w:sz="4"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119.3</w:t>
            </w:r>
          </w:p>
        </w:tc>
        <w:tc>
          <w:tcPr>
            <w:tcW w:w="1160" w:type="dxa"/>
            <w:tcBorders>
              <w:top w:val="nil"/>
              <w:left w:val="nil"/>
              <w:bottom w:val="single" w:sz="8" w:space="0" w:color="auto"/>
              <w:right w:val="single" w:sz="8" w:space="0" w:color="auto"/>
            </w:tcBorders>
            <w:shd w:val="clear" w:color="000000" w:fill="532A45"/>
            <w:vAlign w:val="center"/>
            <w:hideMark/>
          </w:tcPr>
          <w:p w:rsidR="00D824B7" w:rsidRPr="00D824B7" w:rsidP="00D824B7">
            <w:pPr>
              <w:spacing w:after="0" w:line="240" w:lineRule="auto"/>
              <w:jc w:val="center"/>
              <w:rPr>
                <w:rFonts w:ascii="Calibri" w:eastAsia="Times New Roman" w:hAnsi="Calibri" w:cs="Calibri"/>
                <w:b/>
                <w:bCs/>
                <w:color w:val="FFFFFF"/>
                <w:sz w:val="20"/>
                <w:szCs w:val="20"/>
                <w:lang w:eastAsia="en-GB"/>
              </w:rPr>
            </w:pPr>
            <w:r w:rsidRPr="00D824B7">
              <w:rPr>
                <w:rFonts w:ascii="Calibri" w:eastAsia="Times New Roman" w:hAnsi="Calibri" w:cs="Calibri"/>
                <w:b/>
                <w:bCs/>
                <w:color w:val="FFFFFF"/>
                <w:sz w:val="20"/>
                <w:szCs w:val="20"/>
                <w:lang w:eastAsia="en-GB"/>
              </w:rPr>
              <w:t>3.6%</w:t>
            </w:r>
          </w:p>
        </w:tc>
      </w:tr>
    </w:tbl>
    <w:p w:rsidR="00E20989" w:rsidRPr="002020C7" w:rsidP="00FC0FF4">
      <w:pPr>
        <w:rPr>
          <w:rFonts w:cs="Arial"/>
          <w:highlight w:val="yellow"/>
        </w:rPr>
      </w:pPr>
    </w:p>
    <w:p w:rsidR="00CF0B65" w:rsidRPr="00AF59D1" w:rsidP="001110F1">
      <w:pPr>
        <w:ind w:right="113"/>
        <w:jc w:val="both"/>
        <w:mirrorIndents/>
        <w:rPr>
          <w:rFonts w:cs="Arial"/>
        </w:rPr>
      </w:pPr>
      <w:r w:rsidRPr="0CF0D345">
        <w:rPr>
          <w:rFonts w:cs="Arial"/>
        </w:rPr>
        <w:t>A total of £</w:t>
      </w:r>
      <w:r w:rsidRPr="0CF0D345" w:rsidR="004D0983">
        <w:rPr>
          <w:rFonts w:cs="Arial"/>
        </w:rPr>
        <w:t>3,421m</w:t>
      </w:r>
      <w:r w:rsidRPr="0CF0D345" w:rsidR="00705EE6">
        <w:rPr>
          <w:rFonts w:cs="Arial"/>
        </w:rPr>
        <w:t xml:space="preserve"> in </w:t>
      </w:r>
      <w:r w:rsidRPr="0CF0D345">
        <w:rPr>
          <w:rFonts w:cs="Arial"/>
        </w:rPr>
        <w:t>resources</w:t>
      </w:r>
      <w:r w:rsidRPr="0CF0D345" w:rsidR="00A01FB6">
        <w:rPr>
          <w:rFonts w:cs="Arial"/>
        </w:rPr>
        <w:t>, including Capital</w:t>
      </w:r>
      <w:r w:rsidRPr="0CF0D345">
        <w:rPr>
          <w:rFonts w:cs="Arial"/>
        </w:rPr>
        <w:t xml:space="preserve"> for Operations, Peacekeeping and the MOD’s share of the </w:t>
      </w:r>
      <w:r w:rsidRPr="0CF0D345" w:rsidR="004D0983">
        <w:rPr>
          <w:rFonts w:cs="Arial"/>
        </w:rPr>
        <w:t xml:space="preserve">UK </w:t>
      </w:r>
      <w:r w:rsidRPr="0CF0D345" w:rsidR="00EA079A">
        <w:rPr>
          <w:rFonts w:cs="Arial"/>
        </w:rPr>
        <w:t>Integrated Security Fund (ISF)</w:t>
      </w:r>
      <w:r w:rsidRPr="0CF0D345">
        <w:rPr>
          <w:rFonts w:cs="Arial"/>
        </w:rPr>
        <w:t xml:space="preserve"> is requested. In line with previous years, and as agreed with HM Treasury, the MOD presents the initial cost of operations at Main Estimates and requests the full amount at Supplementary Estimates. </w:t>
      </w:r>
      <w:r w:rsidRPr="0CF0D345" w:rsidR="008A3BE5">
        <w:rPr>
          <w:rFonts w:cs="Arial"/>
        </w:rPr>
        <w:t>Table 1</w:t>
      </w:r>
      <w:r w:rsidRPr="0CF0D345" w:rsidR="002D2CAC">
        <w:rPr>
          <w:rFonts w:cs="Arial"/>
        </w:rPr>
        <w:t>3</w:t>
      </w:r>
      <w:r w:rsidRPr="0CF0D345" w:rsidR="008A3BE5">
        <w:rPr>
          <w:rFonts w:cs="Arial"/>
        </w:rPr>
        <w:t xml:space="preserve"> </w:t>
      </w:r>
      <w:r w:rsidRPr="0CF0D345" w:rsidR="00FF096A">
        <w:rPr>
          <w:rFonts w:cs="Arial"/>
        </w:rPr>
        <w:t xml:space="preserve">shows the full net additional costs </w:t>
      </w:r>
      <w:r w:rsidRPr="0CF0D345" w:rsidR="00324583">
        <w:rPr>
          <w:rFonts w:cs="Arial"/>
        </w:rPr>
        <w:t>of operation</w:t>
      </w:r>
      <w:r w:rsidRPr="0CF0D345" w:rsidR="001F2114">
        <w:rPr>
          <w:rFonts w:cs="Arial"/>
        </w:rPr>
        <w:t>s</w:t>
      </w:r>
      <w:r w:rsidRPr="0CF0D345" w:rsidR="00324583">
        <w:rPr>
          <w:rFonts w:cs="Arial"/>
        </w:rPr>
        <w:t xml:space="preserve">, peacekeeping and </w:t>
      </w:r>
      <w:r w:rsidRPr="0CF0D345" w:rsidR="00EA079A">
        <w:rPr>
          <w:rFonts w:cs="Arial"/>
        </w:rPr>
        <w:t>ISF</w:t>
      </w:r>
      <w:r w:rsidRPr="0CF0D345" w:rsidR="005D6FD6">
        <w:rPr>
          <w:rFonts w:cs="Arial"/>
        </w:rPr>
        <w:t xml:space="preserve"> activities in 20</w:t>
      </w:r>
      <w:r w:rsidRPr="0CF0D345" w:rsidR="00D11B1B">
        <w:rPr>
          <w:rFonts w:cs="Arial"/>
        </w:rPr>
        <w:t>2</w:t>
      </w:r>
      <w:r w:rsidRPr="0CF0D345" w:rsidR="00EA079A">
        <w:rPr>
          <w:rFonts w:cs="Arial"/>
        </w:rPr>
        <w:t>4</w:t>
      </w:r>
      <w:r w:rsidRPr="0CF0D345" w:rsidR="006853FE">
        <w:rPr>
          <w:rFonts w:cs="Arial"/>
        </w:rPr>
        <w:t>-2</w:t>
      </w:r>
      <w:r w:rsidRPr="0CF0D345" w:rsidR="00EA079A">
        <w:rPr>
          <w:rFonts w:cs="Arial"/>
        </w:rPr>
        <w:t>5</w:t>
      </w:r>
      <w:r w:rsidRPr="0CF0D345" w:rsidR="005D6FD6">
        <w:rPr>
          <w:rFonts w:cs="Arial"/>
        </w:rPr>
        <w:t xml:space="preserve">. </w:t>
      </w:r>
    </w:p>
    <w:p w:rsidR="00FC0FF4" w:rsidRPr="00E27860" w:rsidP="3B89B403">
      <w:pPr>
        <w:ind w:right="113"/>
        <w:jc w:val="both"/>
        <w:mirrorIndents/>
        <w:rPr>
          <w:rFonts w:cs="Arial"/>
        </w:rPr>
      </w:pPr>
      <w:r w:rsidRPr="0CF0D345">
        <w:rPr>
          <w:rFonts w:cs="Arial"/>
        </w:rPr>
        <w:t xml:space="preserve">The </w:t>
      </w:r>
      <w:r w:rsidRPr="0CF0D345">
        <w:rPr>
          <w:rFonts w:cs="Arial"/>
        </w:rPr>
        <w:t xml:space="preserve">details of </w:t>
      </w:r>
      <w:r w:rsidRPr="0CF0D345" w:rsidR="00CB3804">
        <w:rPr>
          <w:rFonts w:cs="Arial"/>
        </w:rPr>
        <w:t xml:space="preserve">key </w:t>
      </w:r>
      <w:r w:rsidRPr="0CF0D345">
        <w:rPr>
          <w:rFonts w:cs="Arial"/>
        </w:rPr>
        <w:t>operations are:</w:t>
      </w:r>
    </w:p>
    <w:p w:rsidR="1AB7CA79" w:rsidRPr="00000A8B" w:rsidP="35C2FAFD">
      <w:pPr>
        <w:pStyle w:val="Heading3"/>
        <w:rPr>
          <w:rFonts w:asciiTheme="minorHAnsi" w:hAnsiTheme="minorHAnsi"/>
          <w:color w:val="13284C"/>
        </w:rPr>
      </w:pPr>
      <w:r w:rsidRPr="00000A8B">
        <w:rPr>
          <w:rFonts w:asciiTheme="minorHAnsi" w:hAnsiTheme="minorHAnsi"/>
          <w:color w:val="13284C"/>
        </w:rPr>
        <w:t>Eastern Europe:</w:t>
      </w:r>
    </w:p>
    <w:p w:rsidR="00172C36" w:rsidRPr="00172C36" w:rsidP="3B89B403">
      <w:r>
        <w:t>Funding is requested to cover the net additional costs of Defence’s contribution to the wider HMG response to increase</w:t>
      </w:r>
      <w:r w:rsidR="396168AA">
        <w:t>d</w:t>
      </w:r>
      <w:r>
        <w:t xml:space="preserve"> threat levels in Eastern Europe.</w:t>
      </w:r>
    </w:p>
    <w:p w:rsidR="35C2FAFD">
      <w:r>
        <w:t>Following on from the additional funding granted in 2022</w:t>
      </w:r>
      <w:r w:rsidR="74F87DCD">
        <w:t>-</w:t>
      </w:r>
      <w:r>
        <w:t>23 and 2023</w:t>
      </w:r>
      <w:r w:rsidR="65D2504D">
        <w:t>-</w:t>
      </w:r>
      <w:r>
        <w:t>24, Treasury has given Defence a further £3bn to fund Ukraine related activity including a mixture of rapid procurement, training, specific operational contributions and other activities. Defence will review activities and committ</w:t>
      </w:r>
      <w:r w:rsidR="2630A749">
        <w:t>ed</w:t>
      </w:r>
      <w:r>
        <w:t xml:space="preserve"> funding at several review points following prioritisation decisions</w:t>
      </w:r>
      <w:r w:rsidR="00260EC0">
        <w:t xml:space="preserve">. </w:t>
      </w:r>
    </w:p>
    <w:p w:rsidR="00172C36" w:rsidRPr="004D38C0" w:rsidP="004D38C0">
      <w:pPr>
        <w:pStyle w:val="Heading3"/>
        <w:rPr>
          <w:rFonts w:asciiTheme="minorHAnsi" w:hAnsiTheme="minorHAnsi"/>
          <w:color w:val="13284C"/>
        </w:rPr>
      </w:pPr>
      <w:r w:rsidRPr="004D38C0">
        <w:rPr>
          <w:rFonts w:asciiTheme="minorHAnsi" w:hAnsiTheme="minorHAnsi"/>
          <w:color w:val="13284C"/>
        </w:rPr>
        <w:t>Broader Middle East</w:t>
      </w:r>
      <w:r w:rsidRPr="004D38C0" w:rsidR="00DA32B3">
        <w:rPr>
          <w:rFonts w:asciiTheme="minorHAnsi" w:hAnsiTheme="minorHAnsi"/>
          <w:color w:val="13284C"/>
        </w:rPr>
        <w:t xml:space="preserve"> </w:t>
      </w:r>
      <w:r w:rsidRPr="004D38C0">
        <w:rPr>
          <w:rFonts w:asciiTheme="minorHAnsi" w:hAnsiTheme="minorHAnsi"/>
          <w:color w:val="13284C"/>
        </w:rPr>
        <w:t>:</w:t>
      </w:r>
    </w:p>
    <w:p w:rsidR="00172C36" w:rsidRPr="00172C36" w:rsidP="3B89B403">
      <w:pPr>
        <w:spacing w:after="240"/>
        <w:ind w:right="113"/>
        <w:contextualSpacing/>
        <w:jc w:val="both"/>
        <w:mirrorIndents/>
        <w:rPr>
          <w:rFonts w:cs="Arial"/>
        </w:rPr>
      </w:pPr>
      <w:r w:rsidRPr="3B89B403">
        <w:rPr>
          <w:rFonts w:cs="Arial"/>
        </w:rPr>
        <w:t>F</w:t>
      </w:r>
      <w:r w:rsidRPr="3B89B403">
        <w:rPr>
          <w:rFonts w:cs="Arial"/>
        </w:rPr>
        <w:t xml:space="preserve">unding is requested to cover the net additional costs of UK forces deployed to the </w:t>
      </w:r>
      <w:r w:rsidRPr="3B89B403" w:rsidR="00DA32B3">
        <w:rPr>
          <w:rFonts w:cs="Arial"/>
        </w:rPr>
        <w:t>Broader Middle East</w:t>
      </w:r>
      <w:r w:rsidRPr="3B89B403">
        <w:rPr>
          <w:rFonts w:cs="Arial"/>
        </w:rPr>
        <w:t xml:space="preserve"> to sustain UK influence in the region, reassure our regional allies and support access and over flight for operations in Iraq and Syria. </w:t>
      </w:r>
      <w:r w:rsidRPr="3B89B403" w:rsidR="0023288D">
        <w:rPr>
          <w:rFonts w:cs="Arial"/>
        </w:rPr>
        <w:t xml:space="preserve">This will include the net additional costs for </w:t>
      </w:r>
      <w:r w:rsidRPr="3B89B403" w:rsidR="00DC02B3">
        <w:rPr>
          <w:rFonts w:cs="Arial"/>
        </w:rPr>
        <w:t>crisis response, including the provision of a</w:t>
      </w:r>
      <w:r w:rsidRPr="3B89B403" w:rsidR="00E27791">
        <w:rPr>
          <w:rFonts w:cs="Arial"/>
        </w:rPr>
        <w:t xml:space="preserve">irstrikes and some humanitarian aid. </w:t>
      </w:r>
    </w:p>
    <w:p w:rsidR="00172C36" w:rsidRPr="00000A8B" w:rsidP="3B89B403">
      <w:pPr>
        <w:pStyle w:val="Heading3"/>
        <w:rPr>
          <w:rFonts w:asciiTheme="minorHAnsi" w:hAnsiTheme="minorHAnsi"/>
          <w:color w:val="13284C"/>
        </w:rPr>
      </w:pPr>
      <w:r w:rsidRPr="00000A8B">
        <w:rPr>
          <w:rFonts w:asciiTheme="minorHAnsi" w:hAnsiTheme="minorHAnsi"/>
          <w:color w:val="13284C"/>
        </w:rPr>
        <w:t>Deployed Military Activity Pool (DMAP):</w:t>
      </w:r>
    </w:p>
    <w:p w:rsidR="00172C36" w:rsidRPr="00172C36" w:rsidP="3B89B403">
      <w:pPr>
        <w:overflowPunct w:val="0"/>
        <w:spacing w:after="240"/>
        <w:ind w:right="113"/>
        <w:contextualSpacing/>
        <w:jc w:val="both"/>
        <w:mirrorIndents/>
        <w:rPr>
          <w:rFonts w:cs="Arial"/>
        </w:rPr>
      </w:pPr>
      <w:r w:rsidRPr="3B89B403">
        <w:rPr>
          <w:rFonts w:cs="Arial"/>
        </w:rPr>
        <w:t xml:space="preserve">The DMAP is a joint HM Treasury and MOD initiative to make available resources to fund the initial and short-term costs of any unforeseen military activities, as authorised by the National Security Council. </w:t>
      </w:r>
    </w:p>
    <w:p w:rsidR="00172C36" w:rsidRPr="00000A8B" w:rsidP="3B89B403">
      <w:pPr>
        <w:pStyle w:val="Heading3"/>
        <w:rPr>
          <w:rFonts w:asciiTheme="minorHAnsi" w:hAnsiTheme="minorHAnsi"/>
          <w:color w:val="13284C"/>
        </w:rPr>
      </w:pPr>
      <w:r w:rsidRPr="00000A8B">
        <w:rPr>
          <w:rFonts w:asciiTheme="minorHAnsi" w:hAnsiTheme="minorHAnsi"/>
          <w:color w:val="13284C"/>
        </w:rPr>
        <w:t>Integrated Security Fund (ISF)</w:t>
      </w:r>
    </w:p>
    <w:p w:rsidR="00172C36" w:rsidRPr="00723A29" w:rsidP="00172C36">
      <w:pPr>
        <w:ind w:right="113"/>
        <w:contextualSpacing/>
        <w:jc w:val="both"/>
        <w:mirrorIndents/>
        <w:rPr>
          <w:rFonts w:cs="Arial"/>
        </w:rPr>
      </w:pPr>
      <w:r w:rsidRPr="0CF0D345">
        <w:rPr>
          <w:rFonts w:cs="Arial"/>
        </w:rPr>
        <w:t xml:space="preserve">The ISF replaced the Conflict Stability and Security Fund (CSSF) as the Government’s mechanism for funding conflict prevention, stabilisation, security and peacekeeping activities, under the strategic direction of the NSC. </w:t>
      </w:r>
    </w:p>
    <w:p w:rsidR="00C33F82" w:rsidRPr="00D84AE1" w:rsidP="00255574">
      <w:pPr>
        <w:pStyle w:val="Heading1"/>
        <w:rPr>
          <w:rFonts w:asciiTheme="minorHAnsi" w:hAnsiTheme="minorHAnsi"/>
          <w:color w:val="13284C"/>
        </w:rPr>
      </w:pPr>
      <w:r w:rsidRPr="00D84AE1">
        <w:rPr>
          <w:rFonts w:asciiTheme="minorHAnsi" w:hAnsiTheme="minorHAnsi"/>
          <w:color w:val="13284C"/>
        </w:rPr>
        <w:t xml:space="preserve">Accounting Officer Approval </w:t>
      </w:r>
    </w:p>
    <w:p w:rsidR="00C33F82" w:rsidRPr="00D84AE1" w:rsidP="00C33F82">
      <w:r w:rsidRPr="00D84AE1">
        <w:t>This memorandum has been prepared according to the requirements and guidance set out by the House of Commons Scrutiny Unit, available on the Scrutiny Unit website.</w:t>
      </w:r>
    </w:p>
    <w:p w:rsidR="00C33F82" w:rsidRPr="00D84AE1" w:rsidP="00C33F82">
      <w:r w:rsidRPr="00D84AE1">
        <w:t xml:space="preserve">The information in this Estimates Memorandum has been approved by </w:t>
      </w:r>
      <w:r w:rsidRPr="00D84AE1" w:rsidR="0053179D">
        <w:t>me</w:t>
      </w:r>
      <w:r w:rsidRPr="00D84AE1" w:rsidR="00B46485">
        <w:t xml:space="preserve"> </w:t>
      </w:r>
      <w:r w:rsidRPr="00D84AE1" w:rsidR="00CF06F3">
        <w:t xml:space="preserve">as the </w:t>
      </w:r>
      <w:r w:rsidRPr="00D84AE1">
        <w:t>Accounting Officer</w:t>
      </w:r>
      <w:r w:rsidRPr="00D84AE1" w:rsidR="00B16A4D">
        <w:t xml:space="preserve"> at the Ministry of Defence</w:t>
      </w:r>
      <w:r w:rsidRPr="00D84AE1">
        <w:t xml:space="preserve">. </w:t>
      </w:r>
    </w:p>
    <w:p w:rsidR="00C17785" w:rsidRPr="00D84AE1"/>
    <w:p w:rsidR="00A03485" w:rsidRPr="00D84AE1"/>
    <w:p w:rsidR="006B6964" w:rsidRPr="00D84AE1">
      <w:r w:rsidRPr="00D84AE1">
        <w:t xml:space="preserve">David </w:t>
      </w:r>
      <w:r w:rsidRPr="00D84AE1" w:rsidR="001E5DD3">
        <w:t>Williams</w:t>
      </w:r>
    </w:p>
    <w:p w:rsidR="00F93B6E" w:rsidRPr="00D84AE1">
      <w:r w:rsidRPr="00D84AE1">
        <w:t xml:space="preserve">Permanent </w:t>
      </w:r>
      <w:r w:rsidRPr="00D84AE1" w:rsidR="004B13EF">
        <w:t>Secretary and Accounting Officer</w:t>
      </w:r>
    </w:p>
    <w:p w:rsidR="00A43476" w:rsidRPr="002020C7">
      <w:pPr>
        <w:rPr>
          <w:highlight w:val="yellow"/>
        </w:rPr>
      </w:pPr>
      <w:r w:rsidRPr="00D84AE1">
        <w:t>Ministry of Defence</w:t>
      </w:r>
      <w:r w:rsidRPr="002020C7" w:rsidR="009E3C4D">
        <w:rPr>
          <w:highlight w:val="yellow"/>
        </w:rPr>
        <w:br w:type="page"/>
      </w:r>
    </w:p>
    <w:p w:rsidR="009954B5" w:rsidRPr="008055B8" w:rsidP="001110F1">
      <w:pPr>
        <w:spacing w:before="60" w:after="60"/>
        <w:jc w:val="right"/>
        <w:outlineLvl w:val="0"/>
        <w:rPr>
          <w:rFonts w:eastAsiaTheme="majorEastAsia" w:cstheme="majorBidi"/>
          <w:color w:val="13284C"/>
          <w:sz w:val="24"/>
          <w:szCs w:val="24"/>
        </w:rPr>
      </w:pPr>
      <w:r w:rsidRPr="008055B8">
        <w:rPr>
          <w:rFonts w:eastAsiaTheme="majorEastAsia" w:cstheme="majorBidi"/>
          <w:color w:val="13284C"/>
          <w:sz w:val="24"/>
          <w:szCs w:val="24"/>
        </w:rPr>
        <w:t>Annex A.1</w:t>
      </w:r>
    </w:p>
    <w:p w:rsidR="009954B5" w:rsidRPr="00D23035" w:rsidP="009954B5">
      <w:pPr>
        <w:spacing w:before="60" w:after="60"/>
        <w:jc w:val="both"/>
        <w:outlineLvl w:val="0"/>
        <w:rPr>
          <w:rFonts w:eastAsiaTheme="majorEastAsia" w:cstheme="majorBidi"/>
          <w:color w:val="13284C"/>
          <w:sz w:val="32"/>
          <w:szCs w:val="32"/>
        </w:rPr>
      </w:pPr>
      <w:r w:rsidRPr="00D23035">
        <w:rPr>
          <w:rFonts w:eastAsiaTheme="majorEastAsia" w:cstheme="majorBidi"/>
          <w:color w:val="13284C"/>
          <w:sz w:val="32"/>
          <w:szCs w:val="32"/>
        </w:rPr>
        <w:t>Definition of Terms:</w:t>
      </w:r>
    </w:p>
    <w:p w:rsidR="009954B5" w:rsidRPr="005D44EA" w:rsidP="001110F1">
      <w:pPr>
        <w:spacing w:after="0" w:line="240" w:lineRule="auto"/>
        <w:ind w:left="840"/>
        <w:jc w:val="both"/>
        <w:rPr>
          <w:b/>
          <w:sz w:val="27"/>
          <w:szCs w:val="27"/>
          <w:u w:val="single"/>
        </w:rPr>
      </w:pPr>
    </w:p>
    <w:p w:rsidR="009954B5" w:rsidRPr="005D44EA" w:rsidP="001110F1">
      <w:pPr>
        <w:spacing w:after="0" w:line="240" w:lineRule="auto"/>
        <w:jc w:val="both"/>
        <w:rPr>
          <w:rFonts w:cs="Arial"/>
        </w:rPr>
      </w:pPr>
      <w:r w:rsidRPr="005D44EA">
        <w:rPr>
          <w:rFonts w:cs="Arial"/>
          <w:b/>
          <w:u w:val="single"/>
        </w:rPr>
        <w:t>Non-Ring-Fenced</w:t>
      </w:r>
      <w:r w:rsidRPr="005D44EA">
        <w:rPr>
          <w:rFonts w:cs="Arial"/>
          <w:b/>
          <w:u w:val="single"/>
        </w:rPr>
        <w:t xml:space="preserve"> DEL Resource Expenditure:</w:t>
      </w:r>
      <w:r w:rsidR="00032104">
        <w:rPr>
          <w:rFonts w:cs="Arial"/>
        </w:rPr>
        <w:t xml:space="preserve"> </w:t>
      </w:r>
      <w:r w:rsidRPr="005D44EA">
        <w:rPr>
          <w:rFonts w:cs="Arial"/>
        </w:rPr>
        <w:t xml:space="preserve">This includes current expenditure which covers, for example, pay, purchase of goods and services, net of receipts, within the resource budget. It excludes items such as depreciation and movement in provisions. </w:t>
      </w:r>
    </w:p>
    <w:p w:rsidR="009954B5" w:rsidRPr="005D44EA" w:rsidP="001110F1">
      <w:pPr>
        <w:spacing w:after="0" w:line="240" w:lineRule="auto"/>
        <w:ind w:left="600"/>
        <w:jc w:val="both"/>
        <w:rPr>
          <w:rFonts w:cs="Arial"/>
        </w:rPr>
      </w:pPr>
    </w:p>
    <w:p w:rsidR="009954B5" w:rsidRPr="00032104" w:rsidP="00032104">
      <w:pPr>
        <w:spacing w:after="0" w:line="240" w:lineRule="auto"/>
        <w:jc w:val="both"/>
        <w:rPr>
          <w:rFonts w:cs="Arial"/>
          <w:b/>
          <w:u w:val="single"/>
        </w:rPr>
      </w:pPr>
      <w:r w:rsidRPr="005D44EA">
        <w:rPr>
          <w:rFonts w:cs="Arial"/>
          <w:b/>
          <w:u w:val="single"/>
        </w:rPr>
        <w:t>Ring-Fenced DEL Resource Expenditure:</w:t>
      </w:r>
      <w:r w:rsidRPr="00032104" w:rsidR="00032104">
        <w:rPr>
          <w:rFonts w:cs="Arial"/>
          <w:b/>
        </w:rPr>
        <w:t xml:space="preserve"> </w:t>
      </w:r>
      <w:r w:rsidRPr="005D44EA">
        <w:rPr>
          <w:rFonts w:cs="Arial"/>
        </w:rPr>
        <w:t>This control covers items such as depreciation and impairments.</w:t>
      </w:r>
    </w:p>
    <w:p w:rsidR="009954B5" w:rsidRPr="005D44EA" w:rsidP="001110F1">
      <w:pPr>
        <w:spacing w:after="0" w:line="240" w:lineRule="auto"/>
        <w:ind w:left="600"/>
        <w:jc w:val="both"/>
        <w:rPr>
          <w:rFonts w:cs="Arial"/>
        </w:rPr>
      </w:pPr>
    </w:p>
    <w:p w:rsidR="009954B5" w:rsidRPr="00032104" w:rsidP="001110F1">
      <w:pPr>
        <w:spacing w:after="0" w:line="240" w:lineRule="auto"/>
        <w:jc w:val="both"/>
        <w:rPr>
          <w:rFonts w:cs="Arial"/>
          <w:b/>
          <w:u w:val="single"/>
        </w:rPr>
      </w:pPr>
      <w:r w:rsidRPr="005D44EA">
        <w:rPr>
          <w:rFonts w:cs="Arial"/>
          <w:b/>
          <w:u w:val="single"/>
        </w:rPr>
        <w:t>Administration Cost Regime:</w:t>
      </w:r>
      <w:r w:rsidRPr="00032104" w:rsidR="00032104">
        <w:rPr>
          <w:rFonts w:cs="Arial"/>
          <w:b/>
        </w:rPr>
        <w:t xml:space="preserve"> </w:t>
      </w:r>
      <w:r w:rsidRPr="005D44EA">
        <w:rPr>
          <w:rFonts w:cs="Arial"/>
        </w:rPr>
        <w:t>The current Administration Cost Regime, within DEL, cover departments’ current expenditure on civilian staff, and other services used in the administration of central government as agreed in our Spending Review Settlement.</w:t>
      </w:r>
    </w:p>
    <w:p w:rsidR="009954B5" w:rsidRPr="005D44EA" w:rsidP="001110F1">
      <w:pPr>
        <w:spacing w:after="0" w:line="240" w:lineRule="auto"/>
        <w:ind w:left="600" w:firstLine="60"/>
        <w:jc w:val="both"/>
        <w:rPr>
          <w:rFonts w:cs="Arial"/>
        </w:rPr>
      </w:pPr>
    </w:p>
    <w:p w:rsidR="009954B5" w:rsidRPr="00032104" w:rsidP="00032104">
      <w:pPr>
        <w:spacing w:after="0" w:line="240" w:lineRule="auto"/>
        <w:jc w:val="both"/>
        <w:rPr>
          <w:rFonts w:cs="Arial"/>
          <w:b/>
          <w:u w:val="single"/>
        </w:rPr>
      </w:pPr>
      <w:r w:rsidRPr="005D44EA">
        <w:rPr>
          <w:rFonts w:cs="Arial"/>
          <w:b/>
          <w:u w:val="single"/>
        </w:rPr>
        <w:t>Total Resource DEL:</w:t>
      </w:r>
      <w:r w:rsidRPr="00032104" w:rsidR="00032104">
        <w:rPr>
          <w:rFonts w:cs="Arial"/>
          <w:b/>
        </w:rPr>
        <w:t xml:space="preserve"> </w:t>
      </w:r>
      <w:r w:rsidRPr="005D44EA">
        <w:rPr>
          <w:rFonts w:cs="Arial"/>
        </w:rPr>
        <w:t xml:space="preserve">This is the sum of </w:t>
      </w:r>
      <w:r w:rsidRPr="005D44EA" w:rsidR="00323EF6">
        <w:rPr>
          <w:rFonts w:cs="Arial"/>
        </w:rPr>
        <w:t>non-ring-fenced</w:t>
      </w:r>
      <w:r w:rsidRPr="005D44EA">
        <w:rPr>
          <w:rFonts w:cs="Arial"/>
        </w:rPr>
        <w:t xml:space="preserve"> expenditure and </w:t>
      </w:r>
      <w:r w:rsidRPr="005D44EA" w:rsidR="00065221">
        <w:rPr>
          <w:rFonts w:cs="Arial"/>
        </w:rPr>
        <w:t>ring-fenced</w:t>
      </w:r>
      <w:r w:rsidRPr="005D44EA">
        <w:rPr>
          <w:rFonts w:cs="Arial"/>
        </w:rPr>
        <w:t xml:space="preserve"> expenditure.</w:t>
      </w:r>
    </w:p>
    <w:p w:rsidR="009954B5" w:rsidRPr="005D44EA" w:rsidP="001110F1">
      <w:pPr>
        <w:spacing w:after="0" w:line="240" w:lineRule="auto"/>
        <w:ind w:left="600"/>
        <w:jc w:val="both"/>
        <w:rPr>
          <w:rFonts w:cs="Arial"/>
        </w:rPr>
      </w:pPr>
    </w:p>
    <w:p w:rsidR="009954B5" w:rsidRPr="00032104" w:rsidP="001110F1">
      <w:pPr>
        <w:spacing w:after="0" w:line="240" w:lineRule="auto"/>
        <w:jc w:val="both"/>
        <w:rPr>
          <w:rFonts w:cs="Arial"/>
          <w:b/>
          <w:u w:val="single"/>
        </w:rPr>
      </w:pPr>
      <w:r w:rsidRPr="005D44EA">
        <w:rPr>
          <w:rFonts w:cs="Arial"/>
          <w:b/>
          <w:u w:val="single"/>
        </w:rPr>
        <w:t>Annually Managed Expenditure (AME):</w:t>
      </w:r>
      <w:r w:rsidRPr="00032104">
        <w:rPr>
          <w:rFonts w:cs="Arial"/>
          <w:b/>
        </w:rPr>
        <w:t xml:space="preserve"> </w:t>
      </w:r>
      <w:r w:rsidRPr="005D44EA">
        <w:rPr>
          <w:rFonts w:cs="Arial"/>
        </w:rPr>
        <w:t>Annually Managed Expenditure (AME) includes Programmes that are demand-led, such as War Pensions, and exceptionally, volatile items that cannot be controlled by the Department. AME also includes Programmes that are so large that the Department could not be expected to absorb the effects of volatility within them, such as cash release of provisions.</w:t>
      </w:r>
    </w:p>
    <w:p w:rsidR="009954B5" w:rsidRPr="005D44EA" w:rsidP="001110F1">
      <w:pPr>
        <w:spacing w:after="0" w:line="240" w:lineRule="auto"/>
        <w:ind w:left="600"/>
        <w:jc w:val="both"/>
        <w:rPr>
          <w:rFonts w:cs="Arial"/>
        </w:rPr>
      </w:pPr>
    </w:p>
    <w:p w:rsidR="009954B5" w:rsidRPr="00032104" w:rsidP="00032104">
      <w:pPr>
        <w:spacing w:after="0" w:line="240" w:lineRule="auto"/>
        <w:jc w:val="both"/>
        <w:rPr>
          <w:rFonts w:cs="Arial"/>
          <w:b/>
          <w:u w:val="single"/>
        </w:rPr>
      </w:pPr>
      <w:r w:rsidRPr="005D44EA">
        <w:rPr>
          <w:rFonts w:cs="Arial"/>
          <w:b/>
          <w:u w:val="single"/>
        </w:rPr>
        <w:t>Total Net Resource:</w:t>
      </w:r>
      <w:r w:rsidRPr="00032104">
        <w:rPr>
          <w:rFonts w:cs="Arial"/>
          <w:b/>
        </w:rPr>
        <w:t xml:space="preserve">  </w:t>
      </w:r>
      <w:r w:rsidRPr="005D44EA">
        <w:rPr>
          <w:rFonts w:cs="Arial"/>
        </w:rPr>
        <w:t xml:space="preserve">This is the sum of Total Resource DEL and AME. </w:t>
      </w:r>
    </w:p>
    <w:p w:rsidR="009954B5" w:rsidRPr="005D44EA" w:rsidP="001110F1">
      <w:pPr>
        <w:spacing w:after="0" w:line="240" w:lineRule="auto"/>
        <w:ind w:left="600"/>
        <w:jc w:val="both"/>
        <w:rPr>
          <w:rFonts w:cs="Arial"/>
        </w:rPr>
      </w:pPr>
    </w:p>
    <w:p w:rsidR="009954B5" w:rsidRPr="00032104" w:rsidP="001110F1">
      <w:pPr>
        <w:spacing w:after="0" w:line="240" w:lineRule="auto"/>
        <w:jc w:val="both"/>
        <w:rPr>
          <w:rFonts w:cs="Arial"/>
          <w:b/>
          <w:u w:val="single"/>
        </w:rPr>
      </w:pPr>
      <w:r w:rsidRPr="005D44EA">
        <w:rPr>
          <w:rFonts w:cs="Arial"/>
          <w:b/>
          <w:u w:val="single"/>
        </w:rPr>
        <w:t>Capital Departmental Expenditure Limit (CDEL):</w:t>
      </w:r>
      <w:r w:rsidRPr="00032104">
        <w:rPr>
          <w:rFonts w:cs="Arial"/>
          <w:b/>
        </w:rPr>
        <w:t xml:space="preserve"> </w:t>
      </w:r>
      <w:r w:rsidRPr="005D44EA">
        <w:rPr>
          <w:rFonts w:cs="Arial"/>
        </w:rPr>
        <w:t>This is for new investment (</w:t>
      </w:r>
      <w:r w:rsidRPr="005D44EA" w:rsidR="00F47E98">
        <w:rPr>
          <w:rFonts w:cs="Arial"/>
        </w:rPr>
        <w:t>Single Use Military Equipment (</w:t>
      </w:r>
      <w:r w:rsidRPr="005D44EA">
        <w:rPr>
          <w:rFonts w:cs="Arial"/>
        </w:rPr>
        <w:t>SUME</w:t>
      </w:r>
      <w:r w:rsidRPr="005D44EA" w:rsidR="00F47E98">
        <w:rPr>
          <w:rFonts w:cs="Arial"/>
        </w:rPr>
        <w:t>)</w:t>
      </w:r>
      <w:r w:rsidRPr="005D44EA">
        <w:rPr>
          <w:rFonts w:cs="Arial"/>
        </w:rPr>
        <w:t xml:space="preserve"> and Fiscal), including capital additions, disposals, and the capital repayment of loans.</w:t>
      </w:r>
    </w:p>
    <w:p w:rsidR="009954B5" w:rsidRPr="005D44EA" w:rsidP="001110F1">
      <w:pPr>
        <w:spacing w:after="0" w:line="240" w:lineRule="auto"/>
        <w:jc w:val="both"/>
        <w:rPr>
          <w:rFonts w:cs="Arial"/>
          <w:b/>
          <w:u w:val="single"/>
        </w:rPr>
      </w:pPr>
    </w:p>
    <w:p w:rsidR="009954B5" w:rsidRPr="00032104" w:rsidP="001110F1">
      <w:pPr>
        <w:spacing w:after="0" w:line="240" w:lineRule="auto"/>
        <w:jc w:val="both"/>
        <w:rPr>
          <w:rFonts w:cs="Arial"/>
          <w:b/>
          <w:u w:val="single"/>
        </w:rPr>
      </w:pPr>
      <w:r w:rsidRPr="005D44EA">
        <w:rPr>
          <w:rFonts w:cs="Arial"/>
          <w:b/>
          <w:u w:val="single"/>
        </w:rPr>
        <w:t>Provision of Defence Capability:</w:t>
      </w:r>
      <w:r w:rsidRPr="00032104">
        <w:rPr>
          <w:rFonts w:cs="Arial"/>
          <w:b/>
        </w:rPr>
        <w:t xml:space="preserve"> </w:t>
      </w:r>
      <w:r w:rsidRPr="005D44EA">
        <w:rPr>
          <w:rFonts w:cs="Arial"/>
        </w:rPr>
        <w:t>Provision of Defence Capability provides for expenditure primarily to meet the Ministry of Defence’s operational support and logistics services costs and the costs of providing the equipment capability required by Defence policy.</w:t>
      </w:r>
    </w:p>
    <w:p w:rsidR="009954B5" w:rsidRPr="005D44EA" w:rsidP="001110F1">
      <w:pPr>
        <w:spacing w:after="0" w:line="240" w:lineRule="auto"/>
        <w:jc w:val="both"/>
        <w:rPr>
          <w:rFonts w:cs="Arial"/>
        </w:rPr>
      </w:pPr>
    </w:p>
    <w:p w:rsidR="009954B5" w:rsidRPr="00032104" w:rsidP="001110F1">
      <w:pPr>
        <w:spacing w:after="0" w:line="240" w:lineRule="auto"/>
        <w:jc w:val="both"/>
        <w:rPr>
          <w:rFonts w:cs="Arial"/>
          <w:b/>
          <w:u w:val="single"/>
        </w:rPr>
      </w:pPr>
      <w:r w:rsidRPr="005D44EA">
        <w:rPr>
          <w:rFonts w:cs="Arial"/>
          <w:b/>
          <w:u w:val="single"/>
        </w:rPr>
        <w:t>Operations:</w:t>
      </w:r>
      <w:r w:rsidRPr="00032104">
        <w:rPr>
          <w:rFonts w:cs="Arial"/>
          <w:b/>
        </w:rPr>
        <w:t xml:space="preserve"> </w:t>
      </w:r>
      <w:r w:rsidRPr="005D44EA">
        <w:rPr>
          <w:rFonts w:cs="Arial"/>
        </w:rPr>
        <w:t xml:space="preserve">This provides primarily for the additional costs of operations. These are the net additional costs incurred: the costs that the Department would have incurred regardless of the operation taking place, such as wages and salaries, are recorded against provision of Defence Capability. </w:t>
      </w:r>
    </w:p>
    <w:p w:rsidR="009954B5" w:rsidRPr="005D44EA" w:rsidP="001110F1">
      <w:pPr>
        <w:spacing w:after="0" w:line="240" w:lineRule="auto"/>
        <w:ind w:left="600"/>
        <w:jc w:val="both"/>
        <w:rPr>
          <w:rFonts w:cs="Arial"/>
        </w:rPr>
      </w:pPr>
    </w:p>
    <w:p w:rsidR="009954B5" w:rsidRPr="00032104" w:rsidP="001110F1">
      <w:pPr>
        <w:spacing w:after="0" w:line="240" w:lineRule="auto"/>
        <w:jc w:val="both"/>
        <w:rPr>
          <w:rFonts w:cs="Arial"/>
          <w:b/>
          <w:u w:val="single"/>
        </w:rPr>
      </w:pPr>
      <w:r w:rsidRPr="005D44EA">
        <w:rPr>
          <w:rFonts w:cs="Arial"/>
          <w:b/>
          <w:u w:val="single"/>
        </w:rPr>
        <w:t>War Pensions Payments:</w:t>
      </w:r>
      <w:r w:rsidRPr="00032104">
        <w:rPr>
          <w:rFonts w:cs="Arial"/>
          <w:b/>
        </w:rPr>
        <w:t xml:space="preserve"> </w:t>
      </w:r>
      <w:r w:rsidRPr="005D44EA">
        <w:rPr>
          <w:rFonts w:cs="Arial"/>
        </w:rPr>
        <w:t xml:space="preserve">War Pensions and Allowances, etc. provides primarily for the payments of pensions and allowances for disablement or death arising out of war or service in the Armed Forces after </w:t>
      </w:r>
      <w:r w:rsidRPr="005D44EA" w:rsidR="0053179D">
        <w:rPr>
          <w:rFonts w:cs="Arial"/>
        </w:rPr>
        <w:t>2 September 1939 and</w:t>
      </w:r>
      <w:r w:rsidRPr="005D44EA">
        <w:rPr>
          <w:rFonts w:cs="Arial"/>
        </w:rPr>
        <w:t xml:space="preserve"> associated non-cash items</w:t>
      </w:r>
      <w:r w:rsidRPr="005D44EA" w:rsidR="00260EC0">
        <w:rPr>
          <w:rFonts w:cs="Arial"/>
        </w:rPr>
        <w:t xml:space="preserve">. </w:t>
      </w:r>
    </w:p>
    <w:p w:rsidR="009954B5" w:rsidRPr="005D44EA" w:rsidP="001110F1">
      <w:pPr>
        <w:spacing w:after="0" w:line="240" w:lineRule="auto"/>
        <w:ind w:left="600"/>
        <w:jc w:val="both"/>
        <w:rPr>
          <w:rFonts w:cs="Arial"/>
        </w:rPr>
      </w:pPr>
    </w:p>
    <w:p w:rsidR="009954B5" w:rsidRPr="00032104" w:rsidP="001110F1">
      <w:pPr>
        <w:spacing w:after="0" w:line="240" w:lineRule="auto"/>
        <w:jc w:val="both"/>
        <w:rPr>
          <w:rFonts w:cs="Arial"/>
          <w:b/>
          <w:u w:val="single"/>
        </w:rPr>
      </w:pPr>
      <w:r w:rsidRPr="005D44EA">
        <w:rPr>
          <w:rFonts w:cs="Arial"/>
          <w:b/>
          <w:u w:val="single"/>
        </w:rPr>
        <w:t>Total DEL:</w:t>
      </w:r>
      <w:r w:rsidR="00032104">
        <w:rPr>
          <w:rFonts w:cs="Arial"/>
          <w:b/>
          <w:u w:val="single"/>
        </w:rPr>
        <w:t xml:space="preserve"> </w:t>
      </w:r>
      <w:r w:rsidRPr="005D44EA">
        <w:rPr>
          <w:rFonts w:cs="Arial"/>
        </w:rPr>
        <w:t>This is the sum of Resource DEL and Capital DEL less the costs of depreciation. This is used as depreciation and is included as part of Resource DEL and, since Capital DEL includes capital spending, the inclusion of depreciation would lead to double counting.</w:t>
      </w:r>
    </w:p>
    <w:p w:rsidR="009954B5" w:rsidRPr="005D44EA" w:rsidP="001110F1">
      <w:pPr>
        <w:spacing w:after="0" w:line="240" w:lineRule="auto"/>
        <w:jc w:val="both"/>
        <w:rPr>
          <w:rFonts w:cs="Arial"/>
          <w:b/>
          <w:u w:val="single"/>
        </w:rPr>
      </w:pPr>
    </w:p>
    <w:p w:rsidR="009954B5" w:rsidRPr="00032104" w:rsidP="00032104">
      <w:pPr>
        <w:spacing w:after="0" w:line="240" w:lineRule="auto"/>
        <w:jc w:val="both"/>
        <w:rPr>
          <w:rFonts w:cs="Arial"/>
          <w:b/>
          <w:u w:val="single"/>
        </w:rPr>
      </w:pPr>
      <w:r w:rsidRPr="00171969">
        <w:rPr>
          <w:rFonts w:cs="Arial"/>
          <w:b/>
          <w:u w:val="single"/>
        </w:rPr>
        <w:t>Voted and Non</w:t>
      </w:r>
      <w:r w:rsidR="000066BB">
        <w:rPr>
          <w:rFonts w:cs="Arial"/>
          <w:b/>
          <w:u w:val="single"/>
        </w:rPr>
        <w:t>-</w:t>
      </w:r>
      <w:r w:rsidRPr="00171969">
        <w:rPr>
          <w:rFonts w:cs="Arial"/>
          <w:b/>
          <w:u w:val="single"/>
        </w:rPr>
        <w:t>Voted Expenditure:</w:t>
      </w:r>
      <w:r w:rsidR="00032104">
        <w:rPr>
          <w:rFonts w:cs="Arial"/>
          <w:b/>
          <w:u w:val="single"/>
        </w:rPr>
        <w:t xml:space="preserve"> </w:t>
      </w:r>
      <w:r w:rsidRPr="00171969">
        <w:rPr>
          <w:rFonts w:cs="Arial"/>
        </w:rPr>
        <w:t>The introduction to the Supply Estimate now covers both Voted and Non</w:t>
      </w:r>
      <w:r w:rsidR="000066BB">
        <w:rPr>
          <w:rFonts w:cs="Arial"/>
        </w:rPr>
        <w:t>-</w:t>
      </w:r>
      <w:r w:rsidRPr="00171969">
        <w:rPr>
          <w:rFonts w:cs="Arial"/>
        </w:rPr>
        <w:t xml:space="preserve">Voted items. </w:t>
      </w:r>
    </w:p>
    <w:p w:rsidR="009954B5" w:rsidRPr="008055B8" w:rsidP="008055B8">
      <w:pPr>
        <w:spacing w:before="60" w:after="60"/>
        <w:jc w:val="right"/>
        <w:outlineLvl w:val="0"/>
        <w:rPr>
          <w:rFonts w:eastAsiaTheme="majorEastAsia" w:cstheme="majorBidi"/>
          <w:color w:val="13284C"/>
          <w:sz w:val="24"/>
          <w:szCs w:val="24"/>
        </w:rPr>
      </w:pPr>
      <w:r w:rsidRPr="002020C7">
        <w:rPr>
          <w:rFonts w:cs="Arial"/>
          <w:bCs/>
          <w:highlight w:val="yellow"/>
        </w:rPr>
        <w:br w:type="page"/>
      </w:r>
      <w:r w:rsidRPr="008055B8">
        <w:rPr>
          <w:rFonts w:eastAsiaTheme="majorEastAsia" w:cstheme="majorBidi"/>
          <w:color w:val="13284C"/>
          <w:sz w:val="24"/>
          <w:szCs w:val="24"/>
        </w:rPr>
        <w:t>Annex A.2</w:t>
      </w:r>
    </w:p>
    <w:p w:rsidR="00027A6A" w:rsidRPr="00D23035" w:rsidP="00027A6A">
      <w:pPr>
        <w:spacing w:after="0" w:line="240" w:lineRule="auto"/>
        <w:jc w:val="both"/>
        <w:outlineLvl w:val="0"/>
        <w:rPr>
          <w:rFonts w:cs="Arial"/>
          <w:b/>
          <w:bCs/>
          <w:sz w:val="27"/>
          <w:szCs w:val="27"/>
          <w:u w:val="single"/>
        </w:rPr>
      </w:pPr>
    </w:p>
    <w:p w:rsidR="009954B5" w:rsidRPr="00D23035" w:rsidP="00D23035">
      <w:pPr>
        <w:spacing w:before="60" w:after="60"/>
        <w:jc w:val="both"/>
        <w:outlineLvl w:val="0"/>
        <w:rPr>
          <w:rFonts w:eastAsiaTheme="majorEastAsia" w:cstheme="majorBidi"/>
          <w:color w:val="13284C"/>
          <w:sz w:val="32"/>
          <w:szCs w:val="32"/>
        </w:rPr>
      </w:pPr>
      <w:r w:rsidRPr="00D23035">
        <w:rPr>
          <w:rFonts w:eastAsiaTheme="majorEastAsia" w:cstheme="majorBidi"/>
          <w:color w:val="13284C"/>
          <w:sz w:val="32"/>
          <w:szCs w:val="32"/>
        </w:rPr>
        <w:t>List of Abbreviations used in the Estimate</w:t>
      </w:r>
    </w:p>
    <w:p w:rsidR="0019133D" w:rsidRPr="00BE51CE" w:rsidP="0019133D">
      <w:pPr>
        <w:spacing w:after="0" w:line="240" w:lineRule="auto"/>
        <w:jc w:val="both"/>
        <w:rPr>
          <w:rFonts w:cs="Arial"/>
        </w:rPr>
      </w:pPr>
      <w:r w:rsidRPr="00BE51CE">
        <w:rPr>
          <w:rFonts w:cs="Arial"/>
        </w:rPr>
        <w:t>ABC</w:t>
      </w:r>
      <w:r w:rsidRPr="00BE51CE">
        <w:rPr>
          <w:rFonts w:cs="Arial"/>
        </w:rPr>
        <w:tab/>
      </w:r>
      <w:r w:rsidRPr="00BE51CE">
        <w:rPr>
          <w:rFonts w:cs="Arial"/>
        </w:rPr>
        <w:tab/>
        <w:t>Annual Budget Cycle</w:t>
      </w:r>
    </w:p>
    <w:p w:rsidR="0019133D" w:rsidRPr="00BE51CE" w:rsidP="0019133D">
      <w:pPr>
        <w:spacing w:after="0" w:line="240" w:lineRule="auto"/>
        <w:jc w:val="both"/>
        <w:rPr>
          <w:rFonts w:cs="Arial"/>
        </w:rPr>
      </w:pPr>
      <w:r w:rsidRPr="00BE51CE">
        <w:rPr>
          <w:rFonts w:cs="Arial"/>
        </w:rPr>
        <w:t>ACR</w:t>
      </w:r>
      <w:r w:rsidRPr="00BE51CE">
        <w:rPr>
          <w:rFonts w:cs="Arial"/>
        </w:rPr>
        <w:tab/>
      </w:r>
      <w:r w:rsidRPr="00BE51CE">
        <w:rPr>
          <w:rFonts w:cs="Arial"/>
        </w:rPr>
        <w:tab/>
        <w:t>Administration Cost Regime</w:t>
      </w:r>
    </w:p>
    <w:p w:rsidR="0019133D" w:rsidRPr="00BE51CE" w:rsidP="0019133D">
      <w:pPr>
        <w:spacing w:after="0" w:line="240" w:lineRule="auto"/>
        <w:jc w:val="both"/>
        <w:rPr>
          <w:rFonts w:cs="Arial"/>
        </w:rPr>
      </w:pPr>
      <w:r w:rsidRPr="00BE51CE">
        <w:rPr>
          <w:rFonts w:cs="Arial"/>
        </w:rPr>
        <w:t>ALB</w:t>
      </w:r>
      <w:r w:rsidRPr="00BE51CE">
        <w:rPr>
          <w:rFonts w:cs="Arial"/>
        </w:rPr>
        <w:tab/>
      </w:r>
      <w:r w:rsidRPr="00BE51CE">
        <w:rPr>
          <w:rFonts w:cs="Arial"/>
        </w:rPr>
        <w:tab/>
        <w:t>Arms</w:t>
      </w:r>
      <w:r w:rsidR="00260EC0">
        <w:rPr>
          <w:rFonts w:cs="Arial"/>
        </w:rPr>
        <w:t>’</w:t>
      </w:r>
      <w:r w:rsidRPr="00BE51CE">
        <w:rPr>
          <w:rFonts w:cs="Arial"/>
        </w:rPr>
        <w:t xml:space="preserve"> Length Body</w:t>
      </w:r>
    </w:p>
    <w:p w:rsidR="0019133D" w:rsidRPr="00BE51CE" w:rsidP="0019133D">
      <w:pPr>
        <w:spacing w:after="0" w:line="240" w:lineRule="auto"/>
        <w:jc w:val="both"/>
        <w:rPr>
          <w:rFonts w:cs="Arial"/>
        </w:rPr>
      </w:pPr>
      <w:r w:rsidRPr="00BE51CE">
        <w:rPr>
          <w:rFonts w:cs="Arial"/>
        </w:rPr>
        <w:t>AME</w:t>
      </w:r>
      <w:r w:rsidRPr="00BE51CE">
        <w:rPr>
          <w:rFonts w:cs="Arial"/>
        </w:rPr>
        <w:tab/>
      </w:r>
      <w:r w:rsidRPr="00BE51CE">
        <w:rPr>
          <w:rFonts w:cs="Arial"/>
        </w:rPr>
        <w:tab/>
        <w:t xml:space="preserve">Annually Managed Expenditure </w:t>
      </w:r>
    </w:p>
    <w:p w:rsidR="0019133D" w:rsidRPr="00BE51CE" w:rsidP="0019133D">
      <w:pPr>
        <w:spacing w:after="0" w:line="240" w:lineRule="auto"/>
        <w:jc w:val="both"/>
        <w:rPr>
          <w:rFonts w:cs="Arial"/>
        </w:rPr>
      </w:pPr>
      <w:r w:rsidRPr="00BE51CE">
        <w:rPr>
          <w:rFonts w:cs="Arial"/>
        </w:rPr>
        <w:t>ANSF</w:t>
      </w:r>
      <w:r w:rsidRPr="00BE51CE">
        <w:rPr>
          <w:rFonts w:cs="Arial"/>
        </w:rPr>
        <w:tab/>
      </w:r>
      <w:r w:rsidRPr="00BE51CE">
        <w:rPr>
          <w:rFonts w:cs="Arial"/>
        </w:rPr>
        <w:tab/>
        <w:t>Afghan National Security Force</w:t>
      </w:r>
    </w:p>
    <w:p w:rsidR="0019133D" w:rsidRPr="00BE51CE" w:rsidP="0019133D">
      <w:pPr>
        <w:spacing w:after="0" w:line="240" w:lineRule="auto"/>
        <w:jc w:val="both"/>
        <w:rPr>
          <w:rFonts w:cs="Arial"/>
        </w:rPr>
      </w:pPr>
      <w:r w:rsidRPr="00BE51CE">
        <w:rPr>
          <w:rFonts w:cs="Arial"/>
        </w:rPr>
        <w:t>BTE</w:t>
      </w:r>
      <w:r w:rsidRPr="00BE51CE">
        <w:rPr>
          <w:rFonts w:cs="Arial"/>
        </w:rPr>
        <w:tab/>
      </w:r>
      <w:r w:rsidRPr="00BE51CE">
        <w:rPr>
          <w:rFonts w:cs="Arial"/>
        </w:rPr>
        <w:tab/>
        <w:t>Bespoke Trading Entity</w:t>
      </w:r>
    </w:p>
    <w:p w:rsidR="0019133D" w:rsidRPr="00BE51CE" w:rsidP="0019133D">
      <w:pPr>
        <w:spacing w:after="0" w:line="240" w:lineRule="auto"/>
        <w:jc w:val="both"/>
        <w:rPr>
          <w:rFonts w:cs="Arial"/>
        </w:rPr>
      </w:pPr>
      <w:r w:rsidRPr="00BE51CE">
        <w:rPr>
          <w:rFonts w:cs="Arial"/>
        </w:rPr>
        <w:t>CDEL</w:t>
      </w:r>
      <w:r w:rsidRPr="00BE51CE">
        <w:rPr>
          <w:rFonts w:cs="Arial"/>
        </w:rPr>
        <w:tab/>
      </w:r>
      <w:r w:rsidRPr="00BE51CE">
        <w:rPr>
          <w:rFonts w:cs="Arial"/>
        </w:rPr>
        <w:tab/>
        <w:t>Capital Departmental Expenditure Limit</w:t>
      </w:r>
    </w:p>
    <w:p w:rsidR="0019133D" w:rsidRPr="00BE51CE" w:rsidP="0019133D">
      <w:pPr>
        <w:spacing w:after="0" w:line="240" w:lineRule="auto"/>
        <w:jc w:val="both"/>
        <w:rPr>
          <w:rFonts w:cs="Arial"/>
        </w:rPr>
      </w:pPr>
      <w:r w:rsidRPr="00BE51CE">
        <w:rPr>
          <w:rFonts w:cs="Arial"/>
        </w:rPr>
        <w:t>CLoS</w:t>
      </w:r>
      <w:r w:rsidRPr="00BE51CE">
        <w:rPr>
          <w:rFonts w:cs="Arial"/>
        </w:rPr>
        <w:tab/>
      </w:r>
      <w:r w:rsidRPr="00BE51CE">
        <w:rPr>
          <w:rFonts w:cs="Arial"/>
        </w:rPr>
        <w:tab/>
        <w:t>Clear Line of Sight</w:t>
      </w:r>
    </w:p>
    <w:p w:rsidR="0019133D" w:rsidRPr="00BE51CE" w:rsidP="0019133D">
      <w:pPr>
        <w:spacing w:after="0" w:line="240" w:lineRule="auto"/>
        <w:jc w:val="both"/>
        <w:rPr>
          <w:rFonts w:cs="Arial"/>
        </w:rPr>
      </w:pPr>
      <w:r w:rsidRPr="00BE51CE">
        <w:rPr>
          <w:rFonts w:cs="Arial"/>
        </w:rPr>
        <w:t>CRFCA</w:t>
      </w:r>
      <w:r w:rsidRPr="00BE51CE">
        <w:rPr>
          <w:rFonts w:cs="Arial"/>
        </w:rPr>
        <w:tab/>
      </w:r>
      <w:r>
        <w:rPr>
          <w:rFonts w:cs="Arial"/>
        </w:rPr>
        <w:tab/>
      </w:r>
      <w:r w:rsidRPr="00BE51CE">
        <w:rPr>
          <w:rFonts w:cs="Arial"/>
        </w:rPr>
        <w:t>Council for Reserve Forces and Cadets Association</w:t>
      </w:r>
    </w:p>
    <w:p w:rsidR="0019133D" w:rsidRPr="00BE51CE" w:rsidP="0019133D">
      <w:pPr>
        <w:spacing w:after="0" w:line="240" w:lineRule="auto"/>
        <w:jc w:val="both"/>
        <w:rPr>
          <w:rFonts w:cs="Arial"/>
        </w:rPr>
      </w:pPr>
      <w:r w:rsidRPr="00BE51CE">
        <w:rPr>
          <w:rFonts w:cs="Arial"/>
        </w:rPr>
        <w:t>CSR</w:t>
      </w:r>
      <w:r w:rsidRPr="00BE51CE">
        <w:rPr>
          <w:rFonts w:cs="Arial"/>
        </w:rPr>
        <w:tab/>
      </w:r>
      <w:r w:rsidRPr="00BE51CE">
        <w:rPr>
          <w:rFonts w:cs="Arial"/>
        </w:rPr>
        <w:tab/>
        <w:t>Comprehensive Spending Review</w:t>
      </w:r>
    </w:p>
    <w:p w:rsidR="0019133D" w:rsidRPr="00BE51CE" w:rsidP="0019133D">
      <w:pPr>
        <w:spacing w:after="0" w:line="240" w:lineRule="auto"/>
        <w:jc w:val="both"/>
        <w:rPr>
          <w:rFonts w:cs="Arial"/>
        </w:rPr>
      </w:pPr>
      <w:r w:rsidRPr="00BE51CE">
        <w:rPr>
          <w:rFonts w:cs="Arial"/>
        </w:rPr>
        <w:t>CWGC</w:t>
      </w:r>
      <w:r w:rsidRPr="00BE51CE">
        <w:rPr>
          <w:rFonts w:cs="Arial"/>
        </w:rPr>
        <w:tab/>
      </w:r>
      <w:r>
        <w:rPr>
          <w:rFonts w:cs="Arial"/>
        </w:rPr>
        <w:tab/>
      </w:r>
      <w:r w:rsidRPr="00BE51CE">
        <w:rPr>
          <w:rFonts w:cs="Arial"/>
        </w:rPr>
        <w:t xml:space="preserve">Commonwealth War Graves Commission </w:t>
      </w:r>
    </w:p>
    <w:p w:rsidR="0019133D" w:rsidRPr="00BE51CE" w:rsidP="0019133D">
      <w:pPr>
        <w:spacing w:after="0" w:line="240" w:lineRule="auto"/>
        <w:jc w:val="both"/>
        <w:rPr>
          <w:rFonts w:cs="Arial"/>
        </w:rPr>
      </w:pPr>
      <w:r w:rsidRPr="00BE51CE">
        <w:rPr>
          <w:rFonts w:cs="Arial"/>
        </w:rPr>
        <w:t>DCLG</w:t>
      </w:r>
      <w:r w:rsidRPr="00BE51CE">
        <w:rPr>
          <w:rFonts w:cs="Arial"/>
        </w:rPr>
        <w:tab/>
      </w:r>
      <w:r w:rsidRPr="00BE51CE">
        <w:rPr>
          <w:rFonts w:cs="Arial"/>
        </w:rPr>
        <w:tab/>
        <w:t>Department for Communities and Local Government</w:t>
      </w:r>
    </w:p>
    <w:p w:rsidR="0019133D" w:rsidRPr="00BE51CE" w:rsidP="0019133D">
      <w:pPr>
        <w:spacing w:after="0" w:line="240" w:lineRule="auto"/>
        <w:jc w:val="both"/>
        <w:rPr>
          <w:rFonts w:cs="Arial"/>
        </w:rPr>
      </w:pPr>
      <w:r w:rsidRPr="00BE51CE">
        <w:rPr>
          <w:rFonts w:cs="Arial"/>
        </w:rPr>
        <w:t>DH</w:t>
      </w:r>
      <w:r>
        <w:rPr>
          <w:rFonts w:cs="Arial"/>
        </w:rPr>
        <w:t>SC</w:t>
      </w:r>
      <w:r w:rsidRPr="00BE51CE">
        <w:rPr>
          <w:rFonts w:cs="Arial"/>
        </w:rPr>
        <w:tab/>
      </w:r>
      <w:r w:rsidRPr="00BE51CE">
        <w:rPr>
          <w:rFonts w:cs="Arial"/>
        </w:rPr>
        <w:tab/>
        <w:t>Department of Health</w:t>
      </w:r>
      <w:r>
        <w:rPr>
          <w:rFonts w:cs="Arial"/>
        </w:rPr>
        <w:t xml:space="preserve"> and Social Care</w:t>
      </w:r>
    </w:p>
    <w:p w:rsidR="0019133D" w:rsidRPr="00BE51CE" w:rsidP="0019133D">
      <w:pPr>
        <w:spacing w:after="0" w:line="240" w:lineRule="auto"/>
        <w:jc w:val="both"/>
        <w:rPr>
          <w:rFonts w:cs="Arial"/>
        </w:rPr>
      </w:pPr>
      <w:r w:rsidRPr="00BE51CE">
        <w:rPr>
          <w:rFonts w:cs="Arial"/>
        </w:rPr>
        <w:t>DEL</w:t>
      </w:r>
      <w:r w:rsidRPr="00BE51CE">
        <w:rPr>
          <w:rFonts w:cs="Arial"/>
        </w:rPr>
        <w:tab/>
      </w:r>
      <w:r w:rsidRPr="00BE51CE">
        <w:rPr>
          <w:rFonts w:cs="Arial"/>
        </w:rPr>
        <w:tab/>
        <w:t>Departmental Expenditure Limits</w:t>
      </w:r>
    </w:p>
    <w:p w:rsidR="0019133D" w:rsidRPr="00BE51CE" w:rsidP="0019133D">
      <w:pPr>
        <w:spacing w:after="0" w:line="240" w:lineRule="auto"/>
        <w:jc w:val="both"/>
        <w:rPr>
          <w:rFonts w:cs="Arial"/>
        </w:rPr>
      </w:pPr>
      <w:r w:rsidRPr="00BE51CE">
        <w:rPr>
          <w:rFonts w:cs="Arial"/>
        </w:rPr>
        <w:t>DFID</w:t>
      </w:r>
      <w:r w:rsidRPr="00BE51CE">
        <w:rPr>
          <w:rFonts w:cs="Arial"/>
        </w:rPr>
        <w:tab/>
      </w:r>
      <w:r w:rsidRPr="00BE51CE">
        <w:rPr>
          <w:rFonts w:cs="Arial"/>
        </w:rPr>
        <w:tab/>
        <w:t>Department for International Development</w:t>
      </w:r>
    </w:p>
    <w:p w:rsidR="0019133D" w:rsidRPr="00BE51CE" w:rsidP="0019133D">
      <w:pPr>
        <w:spacing w:after="0" w:line="240" w:lineRule="auto"/>
        <w:jc w:val="both"/>
        <w:rPr>
          <w:rFonts w:cs="Arial"/>
        </w:rPr>
      </w:pPr>
      <w:r w:rsidRPr="00BE51CE">
        <w:rPr>
          <w:rFonts w:cs="Arial"/>
        </w:rPr>
        <w:t>DMAP</w:t>
      </w:r>
      <w:r w:rsidRPr="00BE51CE">
        <w:rPr>
          <w:rFonts w:cs="Arial"/>
        </w:rPr>
        <w:tab/>
      </w:r>
      <w:r w:rsidRPr="00BE51CE">
        <w:rPr>
          <w:rFonts w:cs="Arial"/>
        </w:rPr>
        <w:tab/>
        <w:t>Deployed Military Activity Pool</w:t>
      </w:r>
    </w:p>
    <w:p w:rsidR="0019133D" w:rsidRPr="00BE51CE" w:rsidP="0019133D">
      <w:pPr>
        <w:spacing w:after="0" w:line="240" w:lineRule="auto"/>
        <w:jc w:val="both"/>
        <w:rPr>
          <w:rFonts w:cs="Arial"/>
        </w:rPr>
      </w:pPr>
      <w:r w:rsidRPr="00BE51CE">
        <w:rPr>
          <w:rFonts w:cs="Arial"/>
        </w:rPr>
        <w:t>ERNIC</w:t>
      </w:r>
      <w:r w:rsidRPr="00BE51CE">
        <w:rPr>
          <w:rFonts w:cs="Arial"/>
        </w:rPr>
        <w:tab/>
      </w:r>
      <w:r>
        <w:rPr>
          <w:rFonts w:cs="Arial"/>
        </w:rPr>
        <w:tab/>
      </w:r>
      <w:r w:rsidRPr="00BE51CE">
        <w:rPr>
          <w:rFonts w:cs="Arial"/>
        </w:rPr>
        <w:t>Employer’s National Insurance Contribution</w:t>
      </w:r>
    </w:p>
    <w:p w:rsidR="0019133D" w:rsidRPr="00BE51CE" w:rsidP="0019133D">
      <w:pPr>
        <w:spacing w:after="0" w:line="240" w:lineRule="auto"/>
        <w:jc w:val="both"/>
        <w:rPr>
          <w:rFonts w:cs="Arial"/>
        </w:rPr>
      </w:pPr>
      <w:r w:rsidRPr="00BE51CE">
        <w:rPr>
          <w:rFonts w:cs="Arial"/>
        </w:rPr>
        <w:t>GCHQ</w:t>
      </w:r>
      <w:r w:rsidRPr="00BE51CE">
        <w:rPr>
          <w:rFonts w:cs="Arial"/>
        </w:rPr>
        <w:tab/>
      </w:r>
      <w:r>
        <w:rPr>
          <w:rFonts w:cs="Arial"/>
        </w:rPr>
        <w:tab/>
      </w:r>
      <w:r w:rsidRPr="00BE51CE">
        <w:rPr>
          <w:rFonts w:cs="Arial"/>
        </w:rPr>
        <w:t>Government Communication Headquarters</w:t>
      </w:r>
    </w:p>
    <w:p w:rsidR="0019133D" w:rsidP="0019133D">
      <w:pPr>
        <w:spacing w:after="0" w:line="240" w:lineRule="auto"/>
        <w:jc w:val="both"/>
        <w:rPr>
          <w:rFonts w:cs="Arial"/>
        </w:rPr>
      </w:pPr>
      <w:r w:rsidRPr="00BE51CE">
        <w:rPr>
          <w:rFonts w:cs="Arial"/>
        </w:rPr>
        <w:t>HMT</w:t>
      </w:r>
      <w:r>
        <w:rPr>
          <w:rFonts w:cs="Arial"/>
        </w:rPr>
        <w:tab/>
      </w:r>
      <w:r>
        <w:rPr>
          <w:rFonts w:cs="Arial"/>
        </w:rPr>
        <w:tab/>
      </w:r>
      <w:r w:rsidRPr="00BE51CE">
        <w:rPr>
          <w:rFonts w:cs="Arial"/>
        </w:rPr>
        <w:t>H</w:t>
      </w:r>
      <w:r>
        <w:rPr>
          <w:rFonts w:cs="Arial"/>
        </w:rPr>
        <w:t>is</w:t>
      </w:r>
      <w:r w:rsidRPr="00BE51CE">
        <w:rPr>
          <w:rFonts w:cs="Arial"/>
        </w:rPr>
        <w:t xml:space="preserve"> Majesty’s Treasury</w:t>
      </w:r>
      <w:r>
        <w:rPr>
          <w:rFonts w:cs="Arial"/>
        </w:rPr>
        <w:t xml:space="preserve"> </w:t>
      </w:r>
    </w:p>
    <w:p w:rsidR="0019133D" w:rsidRPr="00BE51CE" w:rsidP="0019133D">
      <w:pPr>
        <w:spacing w:after="0" w:line="240" w:lineRule="auto"/>
        <w:jc w:val="both"/>
        <w:rPr>
          <w:rFonts w:cs="Arial"/>
        </w:rPr>
      </w:pPr>
      <w:r>
        <w:rPr>
          <w:rFonts w:cs="Arial"/>
        </w:rPr>
        <w:t>ISF</w:t>
      </w:r>
      <w:r w:rsidRPr="00BE51CE">
        <w:rPr>
          <w:rFonts w:cs="Arial"/>
        </w:rPr>
        <w:tab/>
      </w:r>
      <w:r w:rsidRPr="00BE51CE">
        <w:rPr>
          <w:rFonts w:cs="Arial"/>
        </w:rPr>
        <w:tab/>
      </w:r>
      <w:r>
        <w:rPr>
          <w:rFonts w:cs="Arial"/>
        </w:rPr>
        <w:t>Integrated Security Fund</w:t>
      </w:r>
    </w:p>
    <w:p w:rsidR="0019133D" w:rsidRPr="00BE51CE" w:rsidP="0019133D">
      <w:pPr>
        <w:spacing w:after="0" w:line="240" w:lineRule="auto"/>
        <w:jc w:val="both"/>
        <w:rPr>
          <w:rFonts w:cs="Arial"/>
        </w:rPr>
      </w:pPr>
      <w:r w:rsidRPr="00BE51CE">
        <w:rPr>
          <w:rFonts w:cs="Arial"/>
        </w:rPr>
        <w:t>LIBOR</w:t>
      </w:r>
      <w:r>
        <w:rPr>
          <w:rFonts w:cs="Arial"/>
        </w:rPr>
        <w:tab/>
      </w:r>
      <w:r w:rsidRPr="00BE51CE">
        <w:rPr>
          <w:rFonts w:cs="Arial"/>
        </w:rPr>
        <w:tab/>
        <w:t>London Inter Bank Offered Rate</w:t>
      </w:r>
    </w:p>
    <w:p w:rsidR="0019133D" w:rsidRPr="00BE51CE" w:rsidP="0019133D">
      <w:pPr>
        <w:spacing w:after="0" w:line="240" w:lineRule="auto"/>
        <w:jc w:val="both"/>
        <w:rPr>
          <w:rFonts w:cs="Arial"/>
        </w:rPr>
      </w:pPr>
      <w:r w:rsidRPr="00BE51CE">
        <w:rPr>
          <w:rFonts w:cs="Arial"/>
        </w:rPr>
        <w:t>ME</w:t>
      </w:r>
      <w:r w:rsidRPr="00BE51CE">
        <w:rPr>
          <w:rFonts w:cs="Arial"/>
        </w:rPr>
        <w:tab/>
      </w:r>
      <w:r w:rsidRPr="00BE51CE">
        <w:rPr>
          <w:rFonts w:cs="Arial"/>
        </w:rPr>
        <w:tab/>
      </w:r>
      <w:r>
        <w:rPr>
          <w:rFonts w:cs="Arial"/>
        </w:rPr>
        <w:t>Main</w:t>
      </w:r>
      <w:r w:rsidRPr="00BE51CE">
        <w:rPr>
          <w:rFonts w:cs="Arial"/>
        </w:rPr>
        <w:t xml:space="preserve"> Estimate</w:t>
      </w:r>
    </w:p>
    <w:p w:rsidR="0019133D" w:rsidRPr="00BE51CE" w:rsidP="0019133D">
      <w:pPr>
        <w:spacing w:after="0" w:line="240" w:lineRule="auto"/>
        <w:jc w:val="both"/>
        <w:rPr>
          <w:rFonts w:cs="Arial"/>
        </w:rPr>
      </w:pPr>
      <w:r w:rsidRPr="00BE51CE">
        <w:rPr>
          <w:rFonts w:cs="Arial"/>
        </w:rPr>
        <w:t>MOD</w:t>
      </w:r>
      <w:r w:rsidRPr="00BE51CE">
        <w:rPr>
          <w:rFonts w:cs="Arial"/>
        </w:rPr>
        <w:tab/>
      </w:r>
      <w:r w:rsidRPr="00BE51CE">
        <w:rPr>
          <w:rFonts w:cs="Arial"/>
        </w:rPr>
        <w:tab/>
        <w:t xml:space="preserve">Ministry of Defence </w:t>
      </w:r>
    </w:p>
    <w:p w:rsidR="0019133D" w:rsidRPr="00BE51CE" w:rsidP="0019133D">
      <w:pPr>
        <w:spacing w:after="0" w:line="240" w:lineRule="auto"/>
        <w:jc w:val="both"/>
        <w:rPr>
          <w:rFonts w:cs="Arial"/>
        </w:rPr>
      </w:pPr>
      <w:r w:rsidRPr="00BE51CE">
        <w:rPr>
          <w:rFonts w:cs="Arial"/>
        </w:rPr>
        <w:t>MOG</w:t>
      </w:r>
      <w:r w:rsidRPr="00BE51CE">
        <w:rPr>
          <w:rFonts w:cs="Arial"/>
        </w:rPr>
        <w:tab/>
      </w:r>
      <w:r w:rsidRPr="00BE51CE">
        <w:rPr>
          <w:rFonts w:cs="Arial"/>
        </w:rPr>
        <w:tab/>
        <w:t>Machinery of Government</w:t>
      </w:r>
    </w:p>
    <w:p w:rsidR="0019133D" w:rsidRPr="00BE51CE" w:rsidP="0019133D">
      <w:pPr>
        <w:spacing w:after="0" w:line="240" w:lineRule="auto"/>
        <w:jc w:val="both"/>
        <w:rPr>
          <w:rFonts w:cs="Arial"/>
        </w:rPr>
      </w:pPr>
      <w:r w:rsidRPr="00BE51CE">
        <w:rPr>
          <w:rFonts w:cs="Arial"/>
        </w:rPr>
        <w:t>NATO</w:t>
      </w:r>
      <w:r w:rsidRPr="00BE51CE">
        <w:rPr>
          <w:rFonts w:cs="Arial"/>
        </w:rPr>
        <w:tab/>
      </w:r>
      <w:r w:rsidRPr="00BE51CE">
        <w:rPr>
          <w:rFonts w:cs="Arial"/>
        </w:rPr>
        <w:tab/>
        <w:t>North Atlantic Treaty Organisation</w:t>
      </w:r>
    </w:p>
    <w:p w:rsidR="0019133D" w:rsidRPr="00BE51CE" w:rsidP="0019133D">
      <w:pPr>
        <w:spacing w:after="0" w:line="240" w:lineRule="auto"/>
        <w:jc w:val="both"/>
        <w:rPr>
          <w:rFonts w:cs="Arial"/>
        </w:rPr>
      </w:pPr>
      <w:r w:rsidRPr="00BE51CE">
        <w:rPr>
          <w:rFonts w:cs="Arial"/>
        </w:rPr>
        <w:t>NDPB</w:t>
      </w:r>
      <w:r w:rsidRPr="00BE51CE">
        <w:rPr>
          <w:rFonts w:cs="Arial"/>
        </w:rPr>
        <w:tab/>
      </w:r>
      <w:r w:rsidRPr="00BE51CE">
        <w:rPr>
          <w:rFonts w:cs="Arial"/>
        </w:rPr>
        <w:tab/>
        <w:t>Non Departmental Public Body</w:t>
      </w:r>
    </w:p>
    <w:p w:rsidR="0019133D" w:rsidRPr="00BE51CE" w:rsidP="0019133D">
      <w:pPr>
        <w:spacing w:after="0" w:line="240" w:lineRule="auto"/>
        <w:jc w:val="both"/>
        <w:rPr>
          <w:rFonts w:cs="Arial"/>
        </w:rPr>
      </w:pPr>
      <w:r w:rsidRPr="00BE51CE">
        <w:rPr>
          <w:rFonts w:cs="Arial"/>
        </w:rPr>
        <w:t>OSCAR</w:t>
      </w:r>
      <w:r w:rsidRPr="00BE51CE">
        <w:rPr>
          <w:rFonts w:cs="Arial"/>
        </w:rPr>
        <w:tab/>
      </w:r>
      <w:r>
        <w:rPr>
          <w:rFonts w:cs="Arial"/>
        </w:rPr>
        <w:tab/>
      </w:r>
      <w:r w:rsidRPr="00BE51CE">
        <w:rPr>
          <w:rFonts w:cs="Arial"/>
        </w:rPr>
        <w:t>Online System for Central Accounting and Reporting</w:t>
      </w:r>
    </w:p>
    <w:p w:rsidR="0019133D" w:rsidRPr="00BE51CE" w:rsidP="0019133D">
      <w:pPr>
        <w:spacing w:after="0" w:line="240" w:lineRule="auto"/>
        <w:jc w:val="both"/>
        <w:rPr>
          <w:rFonts w:cs="Arial"/>
        </w:rPr>
      </w:pPr>
      <w:r w:rsidRPr="00BE51CE">
        <w:rPr>
          <w:rFonts w:cs="Arial"/>
        </w:rPr>
        <w:t>ONS</w:t>
      </w:r>
      <w:r w:rsidRPr="00BE51CE">
        <w:rPr>
          <w:rFonts w:cs="Arial"/>
        </w:rPr>
        <w:tab/>
      </w:r>
      <w:r w:rsidRPr="00BE51CE">
        <w:rPr>
          <w:rFonts w:cs="Arial"/>
        </w:rPr>
        <w:tab/>
        <w:t>Office of National Statistics</w:t>
      </w:r>
    </w:p>
    <w:p w:rsidR="0019133D" w:rsidRPr="00BE51CE" w:rsidP="0019133D">
      <w:pPr>
        <w:spacing w:after="0" w:line="240" w:lineRule="auto"/>
        <w:jc w:val="both"/>
        <w:rPr>
          <w:rFonts w:cs="Arial"/>
        </w:rPr>
      </w:pPr>
      <w:r w:rsidRPr="00BE51CE">
        <w:rPr>
          <w:rFonts w:cs="Arial"/>
        </w:rPr>
        <w:t>RDEL</w:t>
      </w:r>
      <w:r w:rsidRPr="00BE51CE">
        <w:rPr>
          <w:rFonts w:cs="Arial"/>
        </w:rPr>
        <w:tab/>
      </w:r>
      <w:r w:rsidRPr="00BE51CE">
        <w:rPr>
          <w:rFonts w:cs="Arial"/>
        </w:rPr>
        <w:tab/>
        <w:t>Resource Departmental Expenditure Limit</w:t>
      </w:r>
    </w:p>
    <w:p w:rsidR="0019133D" w:rsidRPr="00BE51CE" w:rsidP="0019133D">
      <w:pPr>
        <w:spacing w:after="0" w:line="240" w:lineRule="auto"/>
        <w:jc w:val="both"/>
        <w:rPr>
          <w:rFonts w:cs="Arial"/>
        </w:rPr>
      </w:pPr>
      <w:r w:rsidRPr="00BE51CE">
        <w:rPr>
          <w:rFonts w:cs="Arial"/>
        </w:rPr>
        <w:t>RHC</w:t>
      </w:r>
      <w:r w:rsidRPr="00BE51CE">
        <w:rPr>
          <w:rFonts w:cs="Arial"/>
        </w:rPr>
        <w:tab/>
      </w:r>
      <w:r w:rsidRPr="00BE51CE">
        <w:rPr>
          <w:rFonts w:cs="Arial"/>
        </w:rPr>
        <w:tab/>
        <w:t>Royal Hospital Chelsea</w:t>
      </w:r>
    </w:p>
    <w:p w:rsidR="0019133D" w:rsidRPr="00BE51CE" w:rsidP="0019133D">
      <w:pPr>
        <w:spacing w:after="0" w:line="240" w:lineRule="auto"/>
        <w:jc w:val="both"/>
        <w:rPr>
          <w:rFonts w:cs="Arial"/>
        </w:rPr>
      </w:pPr>
      <w:r w:rsidRPr="00BE51CE">
        <w:rPr>
          <w:rFonts w:cs="Arial"/>
        </w:rPr>
        <w:t>SCAPE</w:t>
      </w:r>
      <w:r w:rsidRPr="00BE51CE">
        <w:rPr>
          <w:rFonts w:cs="Arial"/>
        </w:rPr>
        <w:tab/>
      </w:r>
      <w:r>
        <w:rPr>
          <w:rFonts w:cs="Arial"/>
        </w:rPr>
        <w:tab/>
      </w:r>
      <w:r w:rsidRPr="00BE51CE">
        <w:rPr>
          <w:rFonts w:cs="Arial"/>
        </w:rPr>
        <w:t>Superannuation Contribution Adjusted for P</w:t>
      </w:r>
      <w:r>
        <w:rPr>
          <w:rFonts w:cs="Arial"/>
        </w:rPr>
        <w:t>revious</w:t>
      </w:r>
      <w:r w:rsidRPr="00BE51CE">
        <w:rPr>
          <w:rFonts w:cs="Arial"/>
        </w:rPr>
        <w:t xml:space="preserve"> Experience</w:t>
      </w:r>
    </w:p>
    <w:p w:rsidR="0019133D" w:rsidRPr="00BE51CE" w:rsidP="0019133D">
      <w:pPr>
        <w:spacing w:after="0" w:line="240" w:lineRule="auto"/>
        <w:jc w:val="both"/>
        <w:rPr>
          <w:rFonts w:cs="Arial"/>
        </w:rPr>
      </w:pPr>
      <w:r w:rsidRPr="00BE51CE">
        <w:rPr>
          <w:rFonts w:cs="Arial"/>
        </w:rPr>
        <w:t>SE</w:t>
      </w:r>
      <w:r w:rsidRPr="00BE51CE">
        <w:rPr>
          <w:rFonts w:cs="Arial"/>
        </w:rPr>
        <w:tab/>
      </w:r>
      <w:r w:rsidRPr="00BE51CE">
        <w:rPr>
          <w:rFonts w:cs="Arial"/>
        </w:rPr>
        <w:tab/>
        <w:t>Supplementary Estimates</w:t>
      </w:r>
    </w:p>
    <w:p w:rsidR="0019133D" w:rsidRPr="00BE51CE" w:rsidP="0019133D">
      <w:pPr>
        <w:spacing w:after="0" w:line="240" w:lineRule="auto"/>
        <w:jc w:val="both"/>
        <w:rPr>
          <w:rFonts w:cs="Arial"/>
        </w:rPr>
      </w:pPr>
      <w:r w:rsidRPr="00BE51CE">
        <w:rPr>
          <w:rFonts w:cs="Arial"/>
        </w:rPr>
        <w:t>SIA</w:t>
      </w:r>
      <w:r w:rsidRPr="00BE51CE">
        <w:rPr>
          <w:rFonts w:cs="Arial"/>
        </w:rPr>
        <w:tab/>
      </w:r>
      <w:r w:rsidRPr="00BE51CE">
        <w:rPr>
          <w:rFonts w:cs="Arial"/>
        </w:rPr>
        <w:tab/>
        <w:t xml:space="preserve">Single Intelligence </w:t>
      </w:r>
      <w:r>
        <w:rPr>
          <w:rFonts w:cs="Arial"/>
        </w:rPr>
        <w:t>Account</w:t>
      </w:r>
    </w:p>
    <w:p w:rsidR="0019133D" w:rsidRPr="00BE51CE" w:rsidP="0019133D">
      <w:pPr>
        <w:spacing w:after="0" w:line="240" w:lineRule="auto"/>
        <w:jc w:val="both"/>
        <w:rPr>
          <w:rFonts w:cs="Arial"/>
        </w:rPr>
      </w:pPr>
      <w:r w:rsidRPr="00BE51CE">
        <w:rPr>
          <w:rFonts w:cs="Arial"/>
        </w:rPr>
        <w:t>SR</w:t>
      </w:r>
      <w:r w:rsidRPr="00BE51CE">
        <w:rPr>
          <w:rFonts w:cs="Arial"/>
        </w:rPr>
        <w:tab/>
      </w:r>
      <w:r w:rsidRPr="00BE51CE">
        <w:rPr>
          <w:rFonts w:cs="Arial"/>
        </w:rPr>
        <w:tab/>
        <w:t>Spending Review</w:t>
      </w:r>
    </w:p>
    <w:p w:rsidR="0019133D" w:rsidRPr="00BE51CE" w:rsidP="0019133D">
      <w:pPr>
        <w:spacing w:after="0" w:line="240" w:lineRule="auto"/>
        <w:jc w:val="both"/>
        <w:rPr>
          <w:rFonts w:cs="Arial"/>
        </w:rPr>
      </w:pPr>
      <w:r w:rsidRPr="00BE51CE">
        <w:rPr>
          <w:rFonts w:cs="Arial"/>
        </w:rPr>
        <w:t>SUME</w:t>
      </w:r>
      <w:r w:rsidRPr="00BE51CE">
        <w:rPr>
          <w:rFonts w:cs="Arial"/>
        </w:rPr>
        <w:tab/>
      </w:r>
      <w:r w:rsidRPr="00BE51CE">
        <w:rPr>
          <w:rFonts w:cs="Arial"/>
        </w:rPr>
        <w:tab/>
        <w:t>Single Use Military Equipment</w:t>
      </w:r>
    </w:p>
    <w:p w:rsidR="0019133D" w:rsidRPr="00BE51CE" w:rsidP="0019133D">
      <w:pPr>
        <w:spacing w:after="0" w:line="240" w:lineRule="auto"/>
        <w:jc w:val="both"/>
        <w:rPr>
          <w:rFonts w:cs="Arial"/>
        </w:rPr>
      </w:pPr>
      <w:r w:rsidRPr="00BE51CE">
        <w:rPr>
          <w:rFonts w:cs="Arial"/>
        </w:rPr>
        <w:t>TLB</w:t>
      </w:r>
      <w:r w:rsidRPr="00BE51CE">
        <w:rPr>
          <w:rFonts w:cs="Arial"/>
        </w:rPr>
        <w:tab/>
      </w:r>
      <w:r w:rsidRPr="00BE51CE">
        <w:rPr>
          <w:rFonts w:cs="Arial"/>
        </w:rPr>
        <w:tab/>
        <w:t xml:space="preserve">Top Level Budget </w:t>
      </w:r>
    </w:p>
    <w:p w:rsidR="0019133D" w:rsidRPr="00BE51CE" w:rsidP="0019133D">
      <w:pPr>
        <w:spacing w:after="0" w:line="240" w:lineRule="auto"/>
        <w:jc w:val="both"/>
        <w:rPr>
          <w:rFonts w:cs="Arial"/>
        </w:rPr>
      </w:pPr>
      <w:r w:rsidRPr="00BE51CE">
        <w:rPr>
          <w:rFonts w:cs="Arial"/>
        </w:rPr>
        <w:t>UK</w:t>
      </w:r>
      <w:r w:rsidRPr="00BE51CE">
        <w:rPr>
          <w:rFonts w:cs="Arial"/>
        </w:rPr>
        <w:tab/>
      </w:r>
      <w:r w:rsidRPr="00BE51CE">
        <w:rPr>
          <w:rFonts w:cs="Arial"/>
        </w:rPr>
        <w:tab/>
        <w:t xml:space="preserve">United Kingdom </w:t>
      </w:r>
    </w:p>
    <w:p w:rsidR="0019133D" w:rsidP="0019133D">
      <w:pPr>
        <w:spacing w:after="0" w:line="240" w:lineRule="auto"/>
        <w:jc w:val="both"/>
        <w:rPr>
          <w:rFonts w:cs="Arial"/>
        </w:rPr>
      </w:pPr>
      <w:r w:rsidRPr="00BE51CE">
        <w:rPr>
          <w:rFonts w:cs="Arial"/>
        </w:rPr>
        <w:t>UOR</w:t>
      </w:r>
      <w:r w:rsidRPr="00BE51CE">
        <w:rPr>
          <w:rFonts w:cs="Arial"/>
        </w:rPr>
        <w:tab/>
      </w:r>
      <w:r w:rsidRPr="00BE51CE">
        <w:rPr>
          <w:rFonts w:cs="Arial"/>
        </w:rPr>
        <w:tab/>
        <w:t>Urgent Operational Requirement</w:t>
      </w:r>
    </w:p>
    <w:p w:rsidR="009954B5" w:rsidRPr="008055B8" w:rsidP="008055B8">
      <w:pPr>
        <w:spacing w:before="60" w:after="60"/>
        <w:jc w:val="right"/>
        <w:outlineLvl w:val="0"/>
        <w:rPr>
          <w:rFonts w:eastAsiaTheme="majorEastAsia" w:cstheme="majorBidi"/>
          <w:color w:val="13284C"/>
          <w:sz w:val="24"/>
          <w:szCs w:val="24"/>
        </w:rPr>
      </w:pPr>
      <w:r w:rsidRPr="002020C7">
        <w:rPr>
          <w:rFonts w:cs="Arial"/>
          <w:b/>
          <w:highlight w:val="yellow"/>
          <w:u w:val="single"/>
        </w:rPr>
        <w:br w:type="page"/>
      </w:r>
      <w:r w:rsidRPr="008055B8">
        <w:rPr>
          <w:rFonts w:eastAsiaTheme="majorEastAsia" w:cstheme="majorBidi"/>
          <w:color w:val="13284C"/>
          <w:sz w:val="24"/>
          <w:szCs w:val="24"/>
        </w:rPr>
        <w:t>Annex A.3</w:t>
      </w:r>
    </w:p>
    <w:p w:rsidR="00027A6A" w:rsidRPr="0019133D" w:rsidP="00027A6A">
      <w:pPr>
        <w:spacing w:after="0" w:line="240" w:lineRule="auto"/>
        <w:jc w:val="both"/>
        <w:outlineLvl w:val="0"/>
        <w:rPr>
          <w:rFonts w:cs="Arial"/>
          <w:b/>
          <w:sz w:val="27"/>
          <w:szCs w:val="27"/>
          <w:u w:val="single"/>
        </w:rPr>
      </w:pPr>
    </w:p>
    <w:p w:rsidR="009954B5" w:rsidRPr="00D23035" w:rsidP="00D23035">
      <w:pPr>
        <w:spacing w:before="60" w:after="60"/>
        <w:jc w:val="both"/>
        <w:outlineLvl w:val="0"/>
        <w:rPr>
          <w:rFonts w:eastAsiaTheme="majorEastAsia" w:cstheme="majorBidi"/>
          <w:color w:val="13284C"/>
          <w:sz w:val="32"/>
          <w:szCs w:val="32"/>
        </w:rPr>
      </w:pPr>
      <w:r w:rsidRPr="00D23035">
        <w:rPr>
          <w:rFonts w:eastAsiaTheme="majorEastAsia" w:cstheme="majorBidi"/>
          <w:color w:val="13284C"/>
          <w:sz w:val="32"/>
          <w:szCs w:val="32"/>
        </w:rPr>
        <w:t>Current RDEL Commodity Structure</w:t>
      </w:r>
    </w:p>
    <w:p w:rsidR="009954B5" w:rsidRPr="0019133D" w:rsidP="001110F1">
      <w:pPr>
        <w:spacing w:after="0" w:line="240" w:lineRule="auto"/>
        <w:jc w:val="both"/>
        <w:rPr>
          <w:rFonts w:cs="Arial"/>
          <w:b/>
          <w:sz w:val="27"/>
          <w:szCs w:val="27"/>
          <w:u w:val="single"/>
        </w:rPr>
      </w:pPr>
    </w:p>
    <w:tbl>
      <w:tblPr>
        <w:tblW w:w="9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5"/>
        <w:gridCol w:w="7074"/>
      </w:tblGrid>
      <w:tr w:rsidTr="008055B8">
        <w:tblPrEx>
          <w:tblW w:w="9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hRule="exact" w:val="794"/>
          <w:jc w:val="center"/>
        </w:trPr>
        <w:tc>
          <w:tcPr>
            <w:tcW w:w="2405" w:type="dxa"/>
            <w:shd w:val="clear" w:color="auto" w:fill="532A45"/>
          </w:tcPr>
          <w:p w:rsidR="009954B5" w:rsidRPr="0019133D" w:rsidP="001110F1">
            <w:pPr>
              <w:spacing w:after="0" w:line="240" w:lineRule="auto"/>
              <w:rPr>
                <w:rFonts w:eastAsia="SimSun" w:cs="Arial"/>
                <w:b/>
              </w:rPr>
            </w:pPr>
            <w:r w:rsidRPr="0019133D">
              <w:rPr>
                <w:rFonts w:eastAsia="SimSun" w:cs="Arial"/>
                <w:b/>
              </w:rPr>
              <w:t xml:space="preserve">Commodity Block </w:t>
            </w:r>
          </w:p>
        </w:tc>
        <w:tc>
          <w:tcPr>
            <w:tcW w:w="7074" w:type="dxa"/>
            <w:shd w:val="clear" w:color="auto" w:fill="532A45"/>
          </w:tcPr>
          <w:p w:rsidR="009954B5" w:rsidRPr="0019133D" w:rsidP="001110F1">
            <w:pPr>
              <w:spacing w:after="0" w:line="240" w:lineRule="auto"/>
              <w:jc w:val="both"/>
              <w:rPr>
                <w:rFonts w:eastAsia="SimSun" w:cs="Arial"/>
                <w:b/>
              </w:rPr>
            </w:pPr>
            <w:r w:rsidRPr="0019133D">
              <w:rPr>
                <w:rFonts w:eastAsia="SimSun" w:cs="Arial"/>
                <w:b/>
              </w:rPr>
              <w:t>Major Cost Categories</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Service Personnel Costs</w:t>
            </w:r>
          </w:p>
        </w:tc>
        <w:tc>
          <w:tcPr>
            <w:tcW w:w="7074" w:type="dxa"/>
          </w:tcPr>
          <w:p w:rsidR="009954B5" w:rsidRPr="0019133D" w:rsidP="001110F1">
            <w:pPr>
              <w:spacing w:after="0" w:line="240" w:lineRule="auto"/>
              <w:jc w:val="both"/>
              <w:rPr>
                <w:rFonts w:eastAsia="SimSun" w:cs="Arial"/>
              </w:rPr>
            </w:pPr>
            <w:r w:rsidRPr="0019133D">
              <w:rPr>
                <w:rFonts w:eastAsia="SimSun" w:cs="Arial"/>
              </w:rPr>
              <w:t>Military and other ranks pay and other allowances; SCAPE; Employer’s National Insurance Contributions (ERNIC)</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Civilian Personnel Costs</w:t>
            </w:r>
          </w:p>
        </w:tc>
        <w:tc>
          <w:tcPr>
            <w:tcW w:w="7074" w:type="dxa"/>
          </w:tcPr>
          <w:p w:rsidR="009954B5" w:rsidRPr="0019133D" w:rsidP="001110F1">
            <w:pPr>
              <w:spacing w:after="0" w:line="240" w:lineRule="auto"/>
              <w:jc w:val="both"/>
              <w:rPr>
                <w:rFonts w:eastAsia="SimSun" w:cs="Arial"/>
              </w:rPr>
            </w:pPr>
            <w:r w:rsidRPr="0019133D">
              <w:rPr>
                <w:rFonts w:eastAsia="SimSun" w:cs="Arial"/>
              </w:rPr>
              <w:t>Civilian pay and other allowances; pension contributions; Employer’s National Insurance Contributions (ERNIC)</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Infrastructure Costs</w:t>
            </w:r>
          </w:p>
        </w:tc>
        <w:tc>
          <w:tcPr>
            <w:tcW w:w="7074" w:type="dxa"/>
          </w:tcPr>
          <w:p w:rsidR="009954B5" w:rsidRPr="0019133D" w:rsidP="001110F1">
            <w:pPr>
              <w:spacing w:after="0" w:line="240" w:lineRule="auto"/>
              <w:jc w:val="both"/>
              <w:rPr>
                <w:rFonts w:eastAsia="SimSun" w:cs="Arial"/>
              </w:rPr>
            </w:pPr>
            <w:r w:rsidRPr="0019133D">
              <w:rPr>
                <w:rFonts w:eastAsia="SimSun" w:cs="Arial"/>
              </w:rPr>
              <w:t>Property management; service charges; IT &amp; communications costs; utilities costs.</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Inventory Consumption</w:t>
            </w:r>
          </w:p>
        </w:tc>
        <w:tc>
          <w:tcPr>
            <w:tcW w:w="7074" w:type="dxa"/>
          </w:tcPr>
          <w:p w:rsidR="009954B5" w:rsidRPr="0019133D" w:rsidP="001110F1">
            <w:pPr>
              <w:spacing w:after="0" w:line="240" w:lineRule="auto"/>
              <w:jc w:val="both"/>
              <w:rPr>
                <w:rFonts w:eastAsia="SimSun" w:cs="Arial"/>
              </w:rPr>
            </w:pPr>
            <w:r w:rsidRPr="0019133D">
              <w:rPr>
                <w:rFonts w:eastAsia="SimSun" w:cs="Arial"/>
              </w:rPr>
              <w:t>Munitions; stores; fuel (marine &amp; aviation); clothing; other materials consumed e.g. stationary, sundries, general stores etc.</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Equipment Support Costs</w:t>
            </w:r>
          </w:p>
        </w:tc>
        <w:tc>
          <w:tcPr>
            <w:tcW w:w="7074" w:type="dxa"/>
          </w:tcPr>
          <w:p w:rsidR="009954B5" w:rsidRPr="0019133D" w:rsidP="001110F1">
            <w:pPr>
              <w:spacing w:after="0" w:line="240" w:lineRule="auto"/>
              <w:jc w:val="both"/>
              <w:rPr>
                <w:rFonts w:eastAsia="SimSun" w:cs="Arial"/>
              </w:rPr>
            </w:pPr>
            <w:r w:rsidRPr="0019133D">
              <w:rPr>
                <w:rFonts w:eastAsia="SimSun" w:cs="Arial"/>
              </w:rPr>
              <w:t xml:space="preserve">Equipment support costs, including leases &amp; hire charges for plant, </w:t>
            </w:r>
            <w:r w:rsidRPr="0019133D" w:rsidR="002F57DF">
              <w:rPr>
                <w:rFonts w:eastAsia="SimSun" w:cs="Arial"/>
              </w:rPr>
              <w:t>machinery,</w:t>
            </w:r>
            <w:r w:rsidRPr="0019133D">
              <w:rPr>
                <w:rFonts w:eastAsia="SimSun" w:cs="Arial"/>
              </w:rPr>
              <w:t xml:space="preserve"> and transport.</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Other Costs &amp; Services</w:t>
            </w:r>
          </w:p>
        </w:tc>
        <w:tc>
          <w:tcPr>
            <w:tcW w:w="7074" w:type="dxa"/>
          </w:tcPr>
          <w:p w:rsidR="009954B5" w:rsidRPr="0019133D" w:rsidP="001110F1">
            <w:pPr>
              <w:spacing w:after="0" w:line="240" w:lineRule="auto"/>
              <w:jc w:val="both"/>
              <w:rPr>
                <w:rFonts w:eastAsia="SimSun" w:cs="Arial"/>
              </w:rPr>
            </w:pPr>
            <w:r w:rsidRPr="0019133D">
              <w:rPr>
                <w:rFonts w:eastAsia="SimSun" w:cs="Arial"/>
              </w:rPr>
              <w:t>Travel &amp; subsistence; professional services &amp; fees; training.</w:t>
            </w:r>
          </w:p>
        </w:tc>
      </w:tr>
      <w:tr w:rsidTr="008055B8">
        <w:tblPrEx>
          <w:tblW w:w="9479" w:type="dxa"/>
          <w:jc w:val="center"/>
          <w:tblLayout w:type="fixed"/>
          <w:tblLook w:val="01E0"/>
        </w:tblPrEx>
        <w:trPr>
          <w:trHeight w:hRule="exact" w:val="1509"/>
          <w:jc w:val="center"/>
        </w:trPr>
        <w:tc>
          <w:tcPr>
            <w:tcW w:w="2405" w:type="dxa"/>
          </w:tcPr>
          <w:p w:rsidR="009954B5" w:rsidRPr="0019133D" w:rsidP="001110F1">
            <w:pPr>
              <w:spacing w:after="0" w:line="240" w:lineRule="auto"/>
              <w:rPr>
                <w:rFonts w:eastAsia="SimSun" w:cs="Arial"/>
                <w:b/>
              </w:rPr>
            </w:pPr>
            <w:r w:rsidRPr="0019133D">
              <w:rPr>
                <w:rFonts w:eastAsia="SimSun" w:cs="Arial"/>
                <w:b/>
              </w:rPr>
              <w:t>Research and Development</w:t>
            </w:r>
          </w:p>
        </w:tc>
        <w:tc>
          <w:tcPr>
            <w:tcW w:w="7074" w:type="dxa"/>
          </w:tcPr>
          <w:p w:rsidR="009954B5" w:rsidRPr="0019133D" w:rsidP="001110F1">
            <w:pPr>
              <w:spacing w:after="0" w:line="240" w:lineRule="auto"/>
              <w:jc w:val="both"/>
              <w:rPr>
                <w:rFonts w:eastAsia="SimSun" w:cs="Arial"/>
              </w:rPr>
            </w:pPr>
            <w:r w:rsidRPr="0019133D">
              <w:rPr>
                <w:rFonts w:eastAsia="SimSun" w:cs="Arial"/>
              </w:rPr>
              <w:t>Research and Development expenditure is incurred Supplementary for the future benefit of the Department. Such expenditure is primarily incurred on the development of new single use military equipment (SUME) and on the improvement of the effectiveness and capability of existing single use military equipment.</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Receipts and Other Income</w:t>
            </w:r>
          </w:p>
        </w:tc>
        <w:tc>
          <w:tcPr>
            <w:tcW w:w="7074" w:type="dxa"/>
          </w:tcPr>
          <w:p w:rsidR="009954B5" w:rsidRPr="0019133D" w:rsidP="001110F1">
            <w:pPr>
              <w:spacing w:after="0" w:line="240" w:lineRule="auto"/>
              <w:jc w:val="both"/>
              <w:rPr>
                <w:rFonts w:eastAsia="SimSun" w:cs="Arial"/>
              </w:rPr>
            </w:pPr>
            <w:r w:rsidRPr="0019133D">
              <w:rPr>
                <w:rFonts w:eastAsia="SimSun" w:cs="Arial"/>
              </w:rPr>
              <w:t>Receipts from various sources; costs recoveries; dividends; interest.</w:t>
            </w:r>
          </w:p>
        </w:tc>
      </w:tr>
      <w:tr w:rsidTr="008055B8">
        <w:tblPrEx>
          <w:tblW w:w="9479" w:type="dxa"/>
          <w:jc w:val="center"/>
          <w:tblLayout w:type="fixed"/>
          <w:tblLook w:val="01E0"/>
        </w:tblPrEx>
        <w:trPr>
          <w:trHeight w:hRule="exact" w:val="794"/>
          <w:jc w:val="center"/>
        </w:trPr>
        <w:tc>
          <w:tcPr>
            <w:tcW w:w="2405" w:type="dxa"/>
          </w:tcPr>
          <w:p w:rsidR="009954B5" w:rsidRPr="0019133D" w:rsidP="001110F1">
            <w:pPr>
              <w:spacing w:after="0" w:line="240" w:lineRule="auto"/>
              <w:rPr>
                <w:rFonts w:eastAsia="SimSun" w:cs="Arial"/>
                <w:b/>
              </w:rPr>
            </w:pPr>
            <w:r w:rsidRPr="0019133D">
              <w:rPr>
                <w:rFonts w:eastAsia="SimSun" w:cs="Arial"/>
                <w:b/>
              </w:rPr>
              <w:t>Cash Release of Provisions</w:t>
            </w:r>
          </w:p>
        </w:tc>
        <w:tc>
          <w:tcPr>
            <w:tcW w:w="7074" w:type="dxa"/>
          </w:tcPr>
          <w:p w:rsidR="009954B5" w:rsidRPr="0019133D" w:rsidP="001110F1">
            <w:pPr>
              <w:spacing w:after="0" w:line="240" w:lineRule="auto"/>
              <w:jc w:val="both"/>
              <w:rPr>
                <w:rFonts w:eastAsia="SimSun" w:cs="Arial"/>
              </w:rPr>
            </w:pPr>
            <w:r w:rsidRPr="0019133D">
              <w:rPr>
                <w:rFonts w:eastAsia="SimSun" w:cs="Arial"/>
              </w:rPr>
              <w:t xml:space="preserve">Nuclear and non-nuclear provisions e.g. staff redundancies, legal </w:t>
            </w:r>
            <w:r w:rsidRPr="0019133D" w:rsidR="001F2114">
              <w:rPr>
                <w:rFonts w:eastAsia="SimSun" w:cs="Arial"/>
              </w:rPr>
              <w:t>costs, environmental</w:t>
            </w:r>
            <w:r w:rsidRPr="0019133D">
              <w:rPr>
                <w:rFonts w:eastAsia="SimSun" w:cs="Arial"/>
              </w:rPr>
              <w:t>, etc.</w:t>
            </w:r>
          </w:p>
        </w:tc>
      </w:tr>
      <w:tr w:rsidTr="008055B8">
        <w:tblPrEx>
          <w:tblW w:w="9479" w:type="dxa"/>
          <w:jc w:val="center"/>
          <w:tblLayout w:type="fixed"/>
          <w:tblLook w:val="01E0"/>
        </w:tblPrEx>
        <w:trPr>
          <w:trHeight w:hRule="exact" w:val="917"/>
          <w:jc w:val="center"/>
        </w:trPr>
        <w:tc>
          <w:tcPr>
            <w:tcW w:w="2405" w:type="dxa"/>
          </w:tcPr>
          <w:p w:rsidR="009954B5" w:rsidRPr="0019133D" w:rsidP="001110F1">
            <w:pPr>
              <w:spacing w:after="0" w:line="240" w:lineRule="auto"/>
              <w:rPr>
                <w:rFonts w:eastAsia="SimSun" w:cs="Arial"/>
                <w:b/>
              </w:rPr>
            </w:pPr>
            <w:r w:rsidRPr="0019133D">
              <w:rPr>
                <w:rFonts w:eastAsia="SimSun" w:cs="Arial"/>
                <w:b/>
              </w:rPr>
              <w:t>Arm’s Length Bodies</w:t>
            </w:r>
          </w:p>
        </w:tc>
        <w:tc>
          <w:tcPr>
            <w:tcW w:w="7074" w:type="dxa"/>
          </w:tcPr>
          <w:p w:rsidR="009954B5" w:rsidRPr="0019133D" w:rsidP="001110F1">
            <w:pPr>
              <w:spacing w:after="0" w:line="240" w:lineRule="auto"/>
              <w:jc w:val="both"/>
              <w:rPr>
                <w:rFonts w:eastAsia="SimSun" w:cs="Arial"/>
              </w:rPr>
            </w:pPr>
            <w:r w:rsidRPr="0019133D">
              <w:rPr>
                <w:rFonts w:eastAsia="SimSun" w:cs="Arial"/>
              </w:rPr>
              <w:t>CRFCA; Royal Hospital Chelsea; National Army Museum; RAF Museum; National Museum of the Royal Navy; Commonwealth War Graves Commission. Single Source Regulation Office</w:t>
            </w:r>
          </w:p>
        </w:tc>
      </w:tr>
      <w:tr w:rsidTr="008055B8">
        <w:tblPrEx>
          <w:tblW w:w="9479" w:type="dxa"/>
          <w:jc w:val="center"/>
          <w:tblLayout w:type="fixed"/>
          <w:tblLook w:val="01E0"/>
        </w:tblPrEx>
        <w:trPr>
          <w:trHeight w:hRule="exact" w:val="1018"/>
          <w:jc w:val="center"/>
        </w:trPr>
        <w:tc>
          <w:tcPr>
            <w:tcW w:w="2405" w:type="dxa"/>
          </w:tcPr>
          <w:p w:rsidR="009954B5" w:rsidRPr="0019133D" w:rsidP="001110F1">
            <w:pPr>
              <w:spacing w:after="0" w:line="240" w:lineRule="auto"/>
              <w:rPr>
                <w:rFonts w:eastAsia="SimSun" w:cs="Arial"/>
                <w:b/>
              </w:rPr>
            </w:pPr>
            <w:r w:rsidRPr="0019133D">
              <w:rPr>
                <w:rFonts w:eastAsia="SimSun" w:cs="Arial"/>
                <w:b/>
              </w:rPr>
              <w:t xml:space="preserve">Ring-Fenced Non Cash: Depreciation/ Impairments </w:t>
            </w:r>
          </w:p>
        </w:tc>
        <w:tc>
          <w:tcPr>
            <w:tcW w:w="7074" w:type="dxa"/>
          </w:tcPr>
          <w:p w:rsidR="009954B5" w:rsidRPr="00EA55B9" w:rsidP="001110F1">
            <w:pPr>
              <w:spacing w:after="0" w:line="240" w:lineRule="auto"/>
              <w:jc w:val="both"/>
              <w:rPr>
                <w:rFonts w:eastAsia="SimSun" w:cs="Arial"/>
              </w:rPr>
            </w:pPr>
            <w:r w:rsidRPr="0019133D">
              <w:rPr>
                <w:rFonts w:eastAsia="SimSun" w:cs="Arial"/>
              </w:rPr>
              <w:t>Depreciation and impairments on Non-current Assets (Property, SUME, dual purpose).</w:t>
            </w:r>
          </w:p>
        </w:tc>
      </w:tr>
    </w:tbl>
    <w:p w:rsidR="00711FA8" w:rsidRPr="001110F1" w:rsidP="001110F1">
      <w:pPr>
        <w:spacing w:after="0" w:line="240" w:lineRule="auto"/>
        <w:rPr>
          <w:b/>
          <w:color w:val="333333"/>
          <w:sz w:val="29"/>
        </w:rPr>
      </w:pPr>
    </w:p>
    <w:sectPr w:rsidSect="00D02FAD">
      <w:headerReference w:type="even" r:id="rId18"/>
      <w:headerReference w:type="default" r:id="rId19"/>
      <w:footerReference w:type="even" r:id="rId20"/>
      <w:footerReference w:type="default" r:id="rId21"/>
      <w:headerReference w:type="first" r:id="rId22"/>
      <w:footerReference w:type="first" r:id="rId23"/>
      <w:pgSz w:w="11906" w:h="16838"/>
      <w:pgMar w:top="993" w:right="1558"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umnst777 Lt BT">
    <w:altName w:val="Calibri"/>
    <w:charset w:val="00"/>
    <w:family w:val="swiss"/>
    <w:pitch w:val="variable"/>
    <w:sig w:usb0="800000AF" w:usb1="1000204A"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D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9358948"/>
      <w:docPartObj>
        <w:docPartGallery w:val="Page Numbers (Bottom of Page)"/>
        <w:docPartUnique/>
      </w:docPartObj>
    </w:sdtPr>
    <w:sdtEndPr>
      <w:rPr>
        <w:noProof/>
      </w:rPr>
    </w:sdtEndPr>
    <w:sdtContent>
      <w:p w:rsidR="0097773A">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rsidR="009777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D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B4960" w:rsidP="00EF63D2">
      <w:pPr>
        <w:spacing w:after="0" w:line="240" w:lineRule="auto"/>
      </w:pPr>
      <w:r>
        <w:separator/>
      </w:r>
    </w:p>
  </w:footnote>
  <w:footnote w:type="continuationSeparator" w:id="1">
    <w:p w:rsidR="00DB4960" w:rsidP="00EF63D2">
      <w:pPr>
        <w:spacing w:after="0" w:line="240" w:lineRule="auto"/>
      </w:pPr>
      <w:r>
        <w:continuationSeparator/>
      </w:r>
    </w:p>
  </w:footnote>
  <w:footnote w:id="2">
    <w:p w:rsidR="00C52082">
      <w:pPr>
        <w:pStyle w:val="FootnoteText"/>
      </w:pPr>
      <w:r>
        <w:rPr>
          <w:rStyle w:val="FootnoteReference"/>
        </w:rPr>
        <w:footnoteRef/>
      </w:r>
      <w:r w:rsidRPr="002F174C">
        <w:rPr>
          <w:rFonts w:asciiTheme="minorHAnsi" w:hAnsiTheme="minorHAnsi" w:cstheme="minorHAnsi"/>
          <w:sz w:val="16"/>
          <w:szCs w:val="16"/>
        </w:rPr>
        <w:t xml:space="preserve"> </w:t>
      </w:r>
      <w:r w:rsidR="008E2E49">
        <w:rPr>
          <w:rFonts w:asciiTheme="minorHAnsi" w:hAnsiTheme="minorHAnsi" w:cstheme="minorHAnsi"/>
          <w:sz w:val="16"/>
          <w:szCs w:val="16"/>
        </w:rPr>
        <w:t>The 2023 Defence Command Paper</w:t>
      </w:r>
      <w:r w:rsidRPr="002F174C" w:rsidR="00FD0BEF">
        <w:rPr>
          <w:rFonts w:asciiTheme="minorHAnsi" w:hAnsiTheme="minorHAnsi" w:cstheme="minorHAnsi"/>
          <w:sz w:val="16"/>
          <w:szCs w:val="16"/>
        </w:rPr>
        <w:t xml:space="preserve"> </w:t>
      </w:r>
      <w:r w:rsidRPr="002F174C" w:rsidR="00BB0EF7">
        <w:rPr>
          <w:rFonts w:asciiTheme="minorHAnsi" w:hAnsiTheme="minorHAnsi" w:cstheme="minorHAnsi"/>
          <w:sz w:val="16"/>
          <w:szCs w:val="16"/>
        </w:rPr>
        <w:t>reflects</w:t>
      </w:r>
      <w:r w:rsidRPr="002F174C" w:rsidR="00FD0BEF">
        <w:rPr>
          <w:rFonts w:asciiTheme="minorHAnsi" w:hAnsiTheme="minorHAnsi" w:cstheme="minorHAnsi"/>
          <w:sz w:val="16"/>
          <w:szCs w:val="16"/>
        </w:rPr>
        <w:t xml:space="preserve"> the priorities of the previous</w:t>
      </w:r>
      <w:r w:rsidRPr="002F174C" w:rsidR="00BB0EF7">
        <w:rPr>
          <w:rFonts w:asciiTheme="minorHAnsi" w:hAnsiTheme="minorHAnsi" w:cstheme="minorHAnsi"/>
          <w:sz w:val="16"/>
          <w:szCs w:val="16"/>
        </w:rPr>
        <w:t xml:space="preserve"> Government. </w:t>
      </w:r>
      <w:r w:rsidRPr="008E2E49" w:rsidR="008E2E49">
        <w:rPr>
          <w:rFonts w:asciiTheme="minorHAnsi" w:hAnsiTheme="minorHAnsi" w:cstheme="minorHAnsi"/>
          <w:sz w:val="16"/>
          <w:szCs w:val="16"/>
        </w:rPr>
        <w:t xml:space="preserve">Updated priorities will be confirmed after the </w:t>
      </w:r>
      <w:r w:rsidR="008E2E49">
        <w:rPr>
          <w:rFonts w:asciiTheme="minorHAnsi" w:hAnsiTheme="minorHAnsi" w:cstheme="minorHAnsi"/>
          <w:sz w:val="16"/>
          <w:szCs w:val="16"/>
        </w:rPr>
        <w:t>Strategic Defence Review.</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D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D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7D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962510"/>
    <w:multiLevelType w:val="hybridMultilevel"/>
    <w:tmpl w:val="0E089D0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
    <w:nsid w:val="162A06C0"/>
    <w:multiLevelType w:val="hybridMultilevel"/>
    <w:tmpl w:val="638416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22821935"/>
    <w:multiLevelType w:val="hybridMultilevel"/>
    <w:tmpl w:val="93A222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28D52781"/>
    <w:multiLevelType w:val="hybridMultilevel"/>
    <w:tmpl w:val="4FA24BE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A9F56B0"/>
    <w:multiLevelType w:val="multilevel"/>
    <w:tmpl w:val="6B6EB96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2C64226C"/>
    <w:multiLevelType w:val="hybridMultilevel"/>
    <w:tmpl w:val="6CA42E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68281B9E"/>
    <w:multiLevelType w:val="hybridMultilevel"/>
    <w:tmpl w:val="726E47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nsid w:val="7955A57C"/>
    <w:multiLevelType w:val="multilevel"/>
    <w:tmpl w:val="FFFFFFFF"/>
    <w:lvl w:ilvl="0">
      <w:start w:val="0"/>
      <w:numFmt w:val="none"/>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2"/>
  </w:num>
  <w:num w:numId="3">
    <w:abstractNumId w:val="6"/>
  </w:num>
  <w:num w:numId="4">
    <w:abstractNumId w:val="1"/>
  </w:num>
  <w:num w:numId="5">
    <w:abstractNumId w:val="4"/>
  </w:num>
  <w:num w:numId="6">
    <w:abstractNumId w:val="5"/>
  </w:num>
  <w:num w:numId="7">
    <w:abstractNumId w:val="0"/>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5BFD"/>
  </w:style>
  <w:style w:type="paragraph" w:styleId="Heading1">
    <w:name w:val="heading 1"/>
    <w:basedOn w:val="Normal"/>
    <w:next w:val="Normal"/>
    <w:link w:val="Heading1Char"/>
    <w:uiPriority w:val="9"/>
    <w:qFormat/>
    <w:rsid w:val="00EE5BFD"/>
    <w:pPr>
      <w:keepNext/>
      <w:keepLines/>
      <w:numPr>
        <w:numId w:val="9"/>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5BFD"/>
    <w:pPr>
      <w:keepNext/>
      <w:keepLines/>
      <w:numPr>
        <w:ilvl w:val="1"/>
        <w:numId w:val="9"/>
      </w:numPr>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unhideWhenUsed/>
    <w:qFormat/>
    <w:rsid w:val="00EE5BFD"/>
    <w:pPr>
      <w:keepNext/>
      <w:keepLines/>
      <w:tabs>
        <w:tab w:val="num" w:pos="360"/>
      </w:tab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EE5BFD"/>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E5BFD"/>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EE5BFD"/>
    <w:pPr>
      <w:keepNext/>
      <w:keepLines/>
      <w:numPr>
        <w:ilvl w:val="5"/>
        <w:numId w:val="9"/>
      </w:numPr>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EE5BFD"/>
    <w:pPr>
      <w:keepNext/>
      <w:keepLines/>
      <w:numPr>
        <w:ilvl w:val="6"/>
        <w:numId w:val="9"/>
      </w:numPr>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EE5BFD"/>
    <w:pPr>
      <w:keepNext/>
      <w:keepLines/>
      <w:numPr>
        <w:ilvl w:val="7"/>
        <w:numId w:val="9"/>
      </w:numPr>
      <w:tabs>
        <w:tab w:val="num" w:pos="360"/>
      </w:tab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EE5BFD"/>
    <w:pPr>
      <w:keepNext/>
      <w:keepLines/>
      <w:numPr>
        <w:ilvl w:val="8"/>
        <w:numId w:val="9"/>
      </w:numPr>
      <w:tabs>
        <w:tab w:val="num" w:pos="360"/>
      </w:tab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BF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E5BFD"/>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rsid w:val="00EE5BFD"/>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EE5BF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EE5BF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EE5BFD"/>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EE5BFD"/>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EE5BFD"/>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EE5BFD"/>
    <w:rPr>
      <w:rFonts w:asciiTheme="majorHAnsi" w:eastAsiaTheme="majorEastAsia" w:hAnsiTheme="majorHAnsi" w:cstheme="majorBidi"/>
      <w:i/>
      <w:iCs/>
      <w:color w:val="262626" w:themeColor="text1" w:themeTint="D9"/>
      <w:sz w:val="21"/>
      <w:szCs w:val="21"/>
    </w:rPr>
  </w:style>
  <w:style w:type="paragraph" w:customStyle="1" w:styleId="appendixparacontinued">
    <w:name w:val="appendixparacontinued"/>
    <w:basedOn w:val="Normal"/>
    <w:rsid w:val="00740C96"/>
    <w:pPr>
      <w:spacing w:after="180" w:line="288"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E5BFD"/>
    <w:rPr>
      <w:b/>
      <w:bCs/>
      <w:color w:val="auto"/>
    </w:rPr>
  </w:style>
  <w:style w:type="character" w:customStyle="1" w:styleId="strong-frutiger1">
    <w:name w:val="strong-frutiger1"/>
    <w:basedOn w:val="DefaultParagraphFont"/>
    <w:rsid w:val="00740C96"/>
  </w:style>
  <w:style w:type="paragraph" w:customStyle="1" w:styleId="jcsipara-1-1">
    <w:name w:val="jcsi_para-1-1"/>
    <w:basedOn w:val="Normal"/>
    <w:rsid w:val="00740C96"/>
    <w:pPr>
      <w:spacing w:after="180" w:line="288" w:lineRule="auto"/>
    </w:pPr>
    <w:rPr>
      <w:rFonts w:ascii="Times New Roman" w:eastAsia="Times New Roman" w:hAnsi="Times New Roman" w:cs="Times New Roman"/>
      <w:sz w:val="24"/>
      <w:szCs w:val="24"/>
      <w:lang w:eastAsia="en-GB"/>
    </w:rPr>
  </w:style>
  <w:style w:type="paragraph" w:customStyle="1" w:styleId="tablefrutiger-table-header-white">
    <w:name w:val="table_frutiger-table-header-white"/>
    <w:basedOn w:val="Normal"/>
    <w:rsid w:val="00740C96"/>
    <w:pPr>
      <w:spacing w:after="180" w:line="288" w:lineRule="auto"/>
    </w:pPr>
    <w:rPr>
      <w:rFonts w:ascii="Times New Roman" w:eastAsia="Times New Roman" w:hAnsi="Times New Roman" w:cs="Times New Roman"/>
      <w:sz w:val="24"/>
      <w:szCs w:val="24"/>
      <w:lang w:eastAsia="en-GB"/>
    </w:rPr>
  </w:style>
  <w:style w:type="paragraph" w:customStyle="1" w:styleId="pastreportstitles">
    <w:name w:val="pastreportstitles"/>
    <w:basedOn w:val="Normal"/>
    <w:rsid w:val="00740C96"/>
    <w:pPr>
      <w:spacing w:after="180" w:line="288" w:lineRule="auto"/>
    </w:pPr>
    <w:rPr>
      <w:rFonts w:ascii="Times New Roman" w:eastAsia="Times New Roman" w:hAnsi="Times New Roman" w:cs="Times New Roman"/>
      <w:sz w:val="24"/>
      <w:szCs w:val="24"/>
      <w:lang w:eastAsia="en-GB"/>
    </w:rPr>
  </w:style>
  <w:style w:type="paragraph" w:styleId="ListParagraph">
    <w:name w:val="List Paragraph"/>
    <w:aliases w:val="2,Bullet Styl,Bullet Style,Colorful List - Accent 12,Dot pt,Indicator Text,L,List Paragrap,List Paragraph12,List Paragraph3,No Spacing1,No Spacing11,Normal numbere,Numbered Para 1,OBC Bullet,Párrafo de lista,Recommendatio,Recommendation"/>
    <w:basedOn w:val="Normal"/>
    <w:link w:val="ListParagraphChar"/>
    <w:uiPriority w:val="34"/>
    <w:qFormat/>
    <w:rsid w:val="003325FE"/>
    <w:pPr>
      <w:ind w:left="720"/>
      <w:contextualSpacing/>
    </w:pPr>
  </w:style>
  <w:style w:type="table" w:styleId="TableGrid">
    <w:name w:val="Table Grid"/>
    <w:basedOn w:val="TableNormal"/>
    <w:uiPriority w:val="39"/>
    <w:rsid w:val="00D525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E6379"/>
    <w:pPr>
      <w:spacing w:after="0" w:line="240" w:lineRule="auto"/>
    </w:pPr>
    <w:rPr>
      <w:rFonts w:ascii="Times New Roman" w:eastAsia="Times New Roman" w:hAnsi="Times New Roman" w:cs="Times New Roman"/>
      <w:sz w:val="24"/>
      <w:szCs w:val="24"/>
      <w:lang w:eastAsia="en-GB"/>
    </w:rPr>
  </w:style>
  <w:style w:type="character" w:customStyle="1" w:styleId="normaltextrun1">
    <w:name w:val="normaltextrun1"/>
    <w:basedOn w:val="DefaultParagraphFont"/>
    <w:rsid w:val="009E6379"/>
  </w:style>
  <w:style w:type="character" w:customStyle="1" w:styleId="eop">
    <w:name w:val="eop"/>
    <w:basedOn w:val="DefaultParagraphFont"/>
    <w:rsid w:val="009E6379"/>
  </w:style>
  <w:style w:type="character" w:customStyle="1" w:styleId="advancedproofingissue">
    <w:name w:val="advancedproofingissue"/>
    <w:basedOn w:val="DefaultParagraphFont"/>
    <w:rsid w:val="006F30CB"/>
  </w:style>
  <w:style w:type="paragraph" w:styleId="Header">
    <w:name w:val="header"/>
    <w:basedOn w:val="Normal"/>
    <w:link w:val="HeaderChar"/>
    <w:uiPriority w:val="99"/>
    <w:unhideWhenUsed/>
    <w:rsid w:val="00EF63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3D2"/>
  </w:style>
  <w:style w:type="paragraph" w:styleId="Footer">
    <w:name w:val="footer"/>
    <w:basedOn w:val="Normal"/>
    <w:link w:val="FooterChar"/>
    <w:uiPriority w:val="99"/>
    <w:unhideWhenUsed/>
    <w:rsid w:val="00EF63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3D2"/>
  </w:style>
  <w:style w:type="character" w:styleId="Hyperlink">
    <w:name w:val="Hyperlink"/>
    <w:basedOn w:val="DefaultParagraphFont"/>
    <w:uiPriority w:val="99"/>
    <w:unhideWhenUsed/>
    <w:rsid w:val="00D3514F"/>
    <w:rPr>
      <w:color w:val="0000FF"/>
      <w:u w:val="single"/>
    </w:rPr>
  </w:style>
  <w:style w:type="character" w:customStyle="1" w:styleId="gem-c-contents-listnumber">
    <w:name w:val="gem-c-contents-list__number"/>
    <w:basedOn w:val="DefaultParagraphFont"/>
    <w:rsid w:val="00D3514F"/>
  </w:style>
  <w:style w:type="character" w:customStyle="1" w:styleId="gem-c-contents-listnumbered-text">
    <w:name w:val="gem-c-contents-list__numbered-text"/>
    <w:basedOn w:val="DefaultParagraphFont"/>
    <w:rsid w:val="00D3514F"/>
  </w:style>
  <w:style w:type="paragraph" w:styleId="Subtitle">
    <w:name w:val="Subtitle"/>
    <w:basedOn w:val="Normal"/>
    <w:next w:val="Normal"/>
    <w:link w:val="SubtitleChar"/>
    <w:uiPriority w:val="11"/>
    <w:qFormat/>
    <w:rsid w:val="00EE5BFD"/>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E5BFD"/>
    <w:rPr>
      <w:color w:val="5A5A5A" w:themeColor="text1" w:themeTint="A5"/>
      <w:spacing w:val="15"/>
    </w:rPr>
  </w:style>
  <w:style w:type="character" w:styleId="CommentReference">
    <w:name w:val="annotation reference"/>
    <w:basedOn w:val="DefaultParagraphFont"/>
    <w:uiPriority w:val="99"/>
    <w:semiHidden/>
    <w:unhideWhenUsed/>
    <w:rsid w:val="00561797"/>
    <w:rPr>
      <w:sz w:val="16"/>
      <w:szCs w:val="16"/>
    </w:rPr>
  </w:style>
  <w:style w:type="paragraph" w:styleId="CommentText">
    <w:name w:val="annotation text"/>
    <w:basedOn w:val="Normal"/>
    <w:link w:val="CommentTextChar"/>
    <w:uiPriority w:val="99"/>
    <w:unhideWhenUsed/>
    <w:rsid w:val="00561797"/>
    <w:pPr>
      <w:spacing w:line="240" w:lineRule="auto"/>
    </w:pPr>
    <w:rPr>
      <w:sz w:val="20"/>
      <w:szCs w:val="20"/>
    </w:rPr>
  </w:style>
  <w:style w:type="character" w:customStyle="1" w:styleId="CommentTextChar">
    <w:name w:val="Comment Text Char"/>
    <w:basedOn w:val="DefaultParagraphFont"/>
    <w:link w:val="CommentText"/>
    <w:uiPriority w:val="99"/>
    <w:rsid w:val="00561797"/>
    <w:rPr>
      <w:sz w:val="20"/>
      <w:szCs w:val="20"/>
    </w:rPr>
  </w:style>
  <w:style w:type="paragraph" w:styleId="CommentSubject">
    <w:name w:val="annotation subject"/>
    <w:basedOn w:val="CommentText"/>
    <w:next w:val="CommentText"/>
    <w:link w:val="CommentSubjectChar"/>
    <w:uiPriority w:val="99"/>
    <w:semiHidden/>
    <w:unhideWhenUsed/>
    <w:rsid w:val="00561797"/>
    <w:rPr>
      <w:b/>
      <w:bCs/>
    </w:rPr>
  </w:style>
  <w:style w:type="character" w:customStyle="1" w:styleId="CommentSubjectChar">
    <w:name w:val="Comment Subject Char"/>
    <w:basedOn w:val="CommentTextChar"/>
    <w:link w:val="CommentSubject"/>
    <w:uiPriority w:val="99"/>
    <w:semiHidden/>
    <w:rsid w:val="00561797"/>
    <w:rPr>
      <w:b/>
      <w:bCs/>
      <w:sz w:val="20"/>
      <w:szCs w:val="20"/>
    </w:rPr>
  </w:style>
  <w:style w:type="paragraph" w:styleId="BalloonText">
    <w:name w:val="Balloon Text"/>
    <w:basedOn w:val="Normal"/>
    <w:link w:val="BalloonTextChar"/>
    <w:uiPriority w:val="99"/>
    <w:semiHidden/>
    <w:unhideWhenUsed/>
    <w:rsid w:val="00561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797"/>
    <w:rPr>
      <w:rFonts w:ascii="Segoe UI" w:hAnsi="Segoe UI" w:cs="Segoe UI"/>
      <w:sz w:val="18"/>
      <w:szCs w:val="18"/>
    </w:rPr>
  </w:style>
  <w:style w:type="character" w:customStyle="1" w:styleId="number">
    <w:name w:val="number"/>
    <w:basedOn w:val="DefaultParagraphFont"/>
    <w:rsid w:val="007A4142"/>
  </w:style>
  <w:style w:type="character" w:customStyle="1" w:styleId="UnresolvedMention">
    <w:name w:val="Unresolved Mention"/>
    <w:basedOn w:val="DefaultParagraphFont"/>
    <w:uiPriority w:val="99"/>
    <w:semiHidden/>
    <w:unhideWhenUsed/>
    <w:rsid w:val="001A0DB4"/>
    <w:rPr>
      <w:color w:val="808080"/>
      <w:shd w:val="clear" w:color="auto" w:fill="E6E6E6"/>
    </w:rPr>
  </w:style>
  <w:style w:type="paragraph" w:customStyle="1" w:styleId="Default">
    <w:name w:val="Default"/>
    <w:rsid w:val="008302F2"/>
    <w:pPr>
      <w:autoSpaceDE w:val="0"/>
      <w:autoSpaceDN w:val="0"/>
      <w:adjustRightInd w:val="0"/>
      <w:spacing w:after="0" w:line="240" w:lineRule="auto"/>
    </w:pPr>
    <w:rPr>
      <w:rFonts w:ascii="Humnst777 Lt BT" w:hAnsi="Humnst777 Lt BT" w:cs="Humnst777 Lt BT"/>
      <w:color w:val="000000"/>
      <w:sz w:val="24"/>
      <w:szCs w:val="24"/>
    </w:rPr>
  </w:style>
  <w:style w:type="paragraph" w:styleId="FootnoteText">
    <w:name w:val="footnote text"/>
    <w:basedOn w:val="Normal"/>
    <w:link w:val="FootnoteTextChar"/>
    <w:rsid w:val="004D18B6"/>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4D18B6"/>
    <w:rPr>
      <w:rFonts w:ascii="Arial" w:eastAsia="Times New Roman" w:hAnsi="Arial" w:cs="Times New Roman"/>
      <w:sz w:val="20"/>
      <w:szCs w:val="20"/>
    </w:rPr>
  </w:style>
  <w:style w:type="character" w:styleId="FootnoteReference">
    <w:name w:val="footnote reference"/>
    <w:basedOn w:val="DefaultParagraphFont"/>
    <w:rsid w:val="004D18B6"/>
    <w:rPr>
      <w:vertAlign w:val="superscript"/>
    </w:rPr>
  </w:style>
  <w:style w:type="table" w:customStyle="1" w:styleId="TableGrid1">
    <w:name w:val="Table Grid1"/>
    <w:basedOn w:val="TableNormal"/>
    <w:next w:val="TableGrid"/>
    <w:rsid w:val="004D18B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EE5BF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EE5BFD"/>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E5BFD"/>
    <w:rPr>
      <w:rFonts w:asciiTheme="majorHAnsi" w:eastAsiaTheme="majorEastAsia" w:hAnsiTheme="majorHAnsi" w:cstheme="majorBidi"/>
      <w:spacing w:val="-10"/>
      <w:sz w:val="56"/>
      <w:szCs w:val="56"/>
    </w:rPr>
  </w:style>
  <w:style w:type="character" w:styleId="Emphasis">
    <w:name w:val="Emphasis"/>
    <w:basedOn w:val="DefaultParagraphFont"/>
    <w:uiPriority w:val="20"/>
    <w:qFormat/>
    <w:rsid w:val="00EE5BFD"/>
    <w:rPr>
      <w:i/>
      <w:iCs/>
      <w:color w:val="auto"/>
    </w:rPr>
  </w:style>
  <w:style w:type="paragraph" w:styleId="NoSpacing">
    <w:name w:val="No Spacing"/>
    <w:uiPriority w:val="1"/>
    <w:qFormat/>
    <w:rsid w:val="00EE5BFD"/>
    <w:pPr>
      <w:spacing w:after="0" w:line="240" w:lineRule="auto"/>
    </w:pPr>
  </w:style>
  <w:style w:type="paragraph" w:styleId="Quote">
    <w:name w:val="Quote"/>
    <w:basedOn w:val="Normal"/>
    <w:next w:val="Normal"/>
    <w:link w:val="QuoteChar"/>
    <w:uiPriority w:val="29"/>
    <w:qFormat/>
    <w:rsid w:val="00EE5BFD"/>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E5BFD"/>
    <w:rPr>
      <w:i/>
      <w:iCs/>
      <w:color w:val="404040" w:themeColor="text1" w:themeTint="BF"/>
    </w:rPr>
  </w:style>
  <w:style w:type="paragraph" w:styleId="IntenseQuote">
    <w:name w:val="Intense Quote"/>
    <w:basedOn w:val="Normal"/>
    <w:next w:val="Normal"/>
    <w:link w:val="IntenseQuoteChar"/>
    <w:uiPriority w:val="30"/>
    <w:qFormat/>
    <w:rsid w:val="00EE5BF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E5BFD"/>
    <w:rPr>
      <w:i/>
      <w:iCs/>
      <w:color w:val="4472C4" w:themeColor="accent1"/>
    </w:rPr>
  </w:style>
  <w:style w:type="character" w:styleId="SubtleEmphasis">
    <w:name w:val="Subtle Emphasis"/>
    <w:basedOn w:val="DefaultParagraphFont"/>
    <w:uiPriority w:val="19"/>
    <w:qFormat/>
    <w:rsid w:val="00EE5BFD"/>
    <w:rPr>
      <w:i/>
      <w:iCs/>
      <w:color w:val="404040" w:themeColor="text1" w:themeTint="BF"/>
    </w:rPr>
  </w:style>
  <w:style w:type="character" w:styleId="IntenseEmphasis">
    <w:name w:val="Intense Emphasis"/>
    <w:basedOn w:val="DefaultParagraphFont"/>
    <w:uiPriority w:val="21"/>
    <w:qFormat/>
    <w:rsid w:val="00EE5BFD"/>
    <w:rPr>
      <w:i/>
      <w:iCs/>
      <w:color w:val="4472C4" w:themeColor="accent1"/>
    </w:rPr>
  </w:style>
  <w:style w:type="character" w:styleId="SubtleReference">
    <w:name w:val="Subtle Reference"/>
    <w:basedOn w:val="DefaultParagraphFont"/>
    <w:uiPriority w:val="31"/>
    <w:qFormat/>
    <w:rsid w:val="00EE5BFD"/>
    <w:rPr>
      <w:smallCaps/>
      <w:color w:val="404040" w:themeColor="text1" w:themeTint="BF"/>
    </w:rPr>
  </w:style>
  <w:style w:type="character" w:styleId="IntenseReference">
    <w:name w:val="Intense Reference"/>
    <w:basedOn w:val="DefaultParagraphFont"/>
    <w:uiPriority w:val="32"/>
    <w:qFormat/>
    <w:rsid w:val="00EE5BFD"/>
    <w:rPr>
      <w:b/>
      <w:bCs/>
      <w:smallCaps/>
      <w:color w:val="4472C4" w:themeColor="accent1"/>
      <w:spacing w:val="5"/>
    </w:rPr>
  </w:style>
  <w:style w:type="character" w:styleId="BookTitle">
    <w:name w:val="Book Title"/>
    <w:basedOn w:val="DefaultParagraphFont"/>
    <w:uiPriority w:val="33"/>
    <w:qFormat/>
    <w:rsid w:val="00EE5BFD"/>
    <w:rPr>
      <w:b/>
      <w:bCs/>
      <w:i/>
      <w:iCs/>
      <w:spacing w:val="5"/>
    </w:rPr>
  </w:style>
  <w:style w:type="paragraph" w:styleId="TOCHeading">
    <w:name w:val="TOC Heading"/>
    <w:basedOn w:val="Heading1"/>
    <w:next w:val="Normal"/>
    <w:uiPriority w:val="39"/>
    <w:semiHidden/>
    <w:unhideWhenUsed/>
    <w:qFormat/>
    <w:rsid w:val="00EE5BFD"/>
    <w:pPr>
      <w:outlineLvl w:val="9"/>
    </w:pPr>
  </w:style>
  <w:style w:type="paragraph" w:styleId="NormalWeb">
    <w:name w:val="Normal (Web)"/>
    <w:basedOn w:val="Normal"/>
    <w:uiPriority w:val="99"/>
    <w:semiHidden/>
    <w:unhideWhenUsed/>
    <w:rsid w:val="00D134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D7FEB"/>
    <w:rPr>
      <w:color w:val="954F72" w:themeColor="followedHyperlink"/>
      <w:u w:val="single"/>
    </w:rPr>
  </w:style>
  <w:style w:type="character" w:customStyle="1" w:styleId="ListParagraphChar">
    <w:name w:val="List Paragraph Char"/>
    <w:aliases w:val="Bullet Style Char,Colorful List - Accent 12 Char,L Char,List Paragrap Char,List Paragraph12 Char,List Paragraph3 Char,No Spacing11 Char,Normal numbere Char,OBC Bullet Char,Párrafo de lista Char,Recommendatio Char,Recommendation Char"/>
    <w:basedOn w:val="DefaultParagraphFont"/>
    <w:link w:val="ListParagraph"/>
    <w:uiPriority w:val="34"/>
    <w:locked/>
    <w:rsid w:val="00DE74BB"/>
  </w:style>
  <w:style w:type="character" w:customStyle="1" w:styleId="normaltextrun">
    <w:name w:val="normaltextrun"/>
    <w:basedOn w:val="DefaultParagraphFont"/>
    <w:rsid w:val="00AE30B4"/>
  </w:style>
  <w:style w:type="character" w:customStyle="1" w:styleId="Mention">
    <w:name w:val="Mention"/>
    <w:basedOn w:val="DefaultParagraphFont"/>
    <w:uiPriority w:val="99"/>
    <w:unhideWhenUsed/>
    <w:rsid w:val="006A6D1C"/>
    <w:rPr>
      <w:color w:val="2B579A"/>
      <w:shd w:val="clear" w:color="auto" w:fill="E1DFDD"/>
    </w:rPr>
  </w:style>
  <w:style w:type="paragraph" w:styleId="Revision">
    <w:name w:val="Revision"/>
    <w:hidden/>
    <w:uiPriority w:val="99"/>
    <w:semiHidden/>
    <w:rsid w:val="00A10A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customXml" Target="../customXml/item7.xml" /><Relationship Id="rId12" Type="http://schemas.openxmlformats.org/officeDocument/2006/relationships/image" Target="media/image1.png" /><Relationship Id="rId13" Type="http://schemas.openxmlformats.org/officeDocument/2006/relationships/image" Target="media/image2.png" /><Relationship Id="rId14" Type="http://schemas.openxmlformats.org/officeDocument/2006/relationships/chart" Target="charts/chart1.xml" /><Relationship Id="rId15" Type="http://schemas.openxmlformats.org/officeDocument/2006/relationships/chart" Target="charts/chart2.xml" /><Relationship Id="rId16" Type="http://schemas.openxmlformats.org/officeDocument/2006/relationships/chart" Target="charts/chart3.xml" /><Relationship Id="rId17" Type="http://schemas.openxmlformats.org/officeDocument/2006/relationships/chart" Target="charts/chart4.xm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charts/_rels/chart1.xml.rels>&#65279;<?xml version="1.0" encoding="utf-8" standalone="yes"?><Relationships xmlns="http://schemas.openxmlformats.org/package/2006/relationships"><Relationship Id="rId1" Type="http://schemas.openxmlformats.org/officeDocument/2006/relationships/oleObject" Target="https://modgovuk.sharepoint.com/sites/defenceresources/Shared%20Documents/07-External%20Reporting/2425%20Supplementary%20Estimate/20250128-2024-25%20Supplementary%20Estimate%20Memorandum%20Tables%20WIP.xlsx"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https://modgovuk.sharepoint.com/sites/defenceresources/Shared%20Documents/07-External%20Reporting/2425%20Supplementary%20Estimate/20250128-2024-25%20Supplementary%20Estimate%20Memorandum%20Tables%20WIP.xlsx"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https://modgovuk.sharepoint.com/sites/defenceresources/Shared%20Documents/07-External%20Reporting/2425%20Supplementary%20Estimate/20250128-2024-25%20Supplementary%20Estimate%20Memorandum%20Tables%20WIP.xlsx" TargetMode="External" /></Relationships>
</file>

<file path=word/charts/_rels/chart4.xml.rels>&#65279;<?xml version="1.0" encoding="utf-8" standalone="yes"?><Relationships xmlns="http://schemas.openxmlformats.org/package/2006/relationships"><Relationship Id="rId1" Type="http://schemas.openxmlformats.org/officeDocument/2006/relationships/oleObject" Target="https://modgovuk.sharepoint.com/sites/defenceresources/Shared%20Documents/07-External%20Reporting/2425%20Supplementary%20Estimate/20250128-2024-25%20Supplementary%20Estimate%20Memorandum%20Tables%20WIP.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0"/>
              <a:t>MOD Budgets (£BN)</a:t>
            </a:r>
            <a:endParaRPr lang="en-GB" sz="1400" b="0" i="1"/>
          </a:p>
        </c:rich>
      </c:tx>
      <c:layout>
        <c:manualLayout>
          <c:xMode val="edge"/>
          <c:yMode val="edge"/>
          <c:x val="0.40393744531933506"/>
          <c:y val="5.092592592592592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'[20250128-2024-25 Supplementary Estimate Memorandum Tables WIP.xlsx]1.4 Comparison with prior'!$B$13</c:f>
              <c:strCache>
                <c:ptCount val="1"/>
                <c:pt idx="0">
                  <c:v>2023-24 Outturn</c:v>
                </c:pt>
              </c:strCache>
            </c:strRef>
          </c:tx>
          <c:spPr>
            <a:solidFill>
              <a:srgbClr val="13284C"/>
            </a:solidFill>
            <a:ln>
              <a:noFill/>
            </a:ln>
            <a:effectLst/>
          </c:spPr>
          <c:invertIfNegative val="0"/>
          <c:cat>
            <c:strRef>
              <c:f>'[20250128-2024-25 Supplementary Estimate Memorandum Tables WIP.xlsx]1.4 Comparison with prior'!$C$12:$E$12</c:f>
              <c:strCache>
                <c:ptCount val="3"/>
                <c:pt idx="0">
                  <c:v>AME</c:v>
                </c:pt>
                <c:pt idx="1">
                  <c:v>Capital DEL</c:v>
                </c:pt>
                <c:pt idx="2">
                  <c:v>Resource DEL</c:v>
                </c:pt>
              </c:strCache>
            </c:strRef>
          </c:cat>
          <c:val>
            <c:numRef>
              <c:f>'[20250128-2024-25 Supplementary Estimate Memorandum Tables WIP.xlsx]1.4 Comparison with prior'!$C$13:$E$13</c:f>
              <c:numCache>
                <c:formatCode>[$-3]\ #,##0_);[Black]\([$-3]\ #,##0\)</c:formatCode>
                <c:ptCount val="3"/>
                <c:pt idx="0">
                  <c:v>-1145.367</c:v>
                </c:pt>
                <c:pt idx="1">
                  <c:v>19128</c:v>
                </c:pt>
                <c:pt idx="2">
                  <c:v>42743</c:v>
                </c:pt>
              </c:numCache>
            </c:numRef>
          </c:val>
          <c:extLst>
            <c:ext xmlns:c16="http://schemas.microsoft.com/office/drawing/2014/chart" uri="{C3380CC4-5D6E-409C-BE32-E72D297353CC}">
              <c16:uniqueId val="{00000000-F0E4-43C8-8F71-7A66C8AFFDD3}"/>
            </c:ext>
          </c:extLst>
        </c:ser>
        <c:ser>
          <c:idx val="1"/>
          <c:order val="1"/>
          <c:tx>
            <c:strRef>
              <c:f>'[20250128-2024-25 Supplementary Estimate Memorandum Tables WIP.xlsx]1.4 Comparison with prior'!$B$14</c:f>
              <c:strCache>
                <c:ptCount val="1"/>
                <c:pt idx="0">
                  <c:v>2024-25 Main Estimate</c:v>
                </c:pt>
              </c:strCache>
            </c:strRef>
          </c:tx>
          <c:spPr>
            <a:solidFill>
              <a:srgbClr val="E0592B"/>
            </a:solidFill>
            <a:ln>
              <a:noFill/>
            </a:ln>
            <a:effectLst/>
          </c:spPr>
          <c:invertIfNegative val="0"/>
          <c:cat>
            <c:strRef>
              <c:f>'[20250128-2024-25 Supplementary Estimate Memorandum Tables WIP.xlsx]1.4 Comparison with prior'!$C$12:$E$12</c:f>
              <c:strCache>
                <c:ptCount val="3"/>
                <c:pt idx="0">
                  <c:v>AME</c:v>
                </c:pt>
                <c:pt idx="1">
                  <c:v>Capital DEL</c:v>
                </c:pt>
                <c:pt idx="2">
                  <c:v>Resource DEL</c:v>
                </c:pt>
              </c:strCache>
            </c:strRef>
          </c:cat>
          <c:val>
            <c:numRef>
              <c:f>'[20250128-2024-25 Supplementary Estimate Memorandum Tables WIP.xlsx]1.4 Comparison with prior'!$C$14:$E$14</c:f>
              <c:numCache>
                <c:formatCode>[$-3]\ #,##0_);[Black]\([$-3]\ #,##0\)</c:formatCode>
                <c:ptCount val="3"/>
                <c:pt idx="0">
                  <c:v>1928</c:v>
                </c:pt>
                <c:pt idx="1">
                  <c:v>21754</c:v>
                </c:pt>
                <c:pt idx="2">
                  <c:v>43410</c:v>
                </c:pt>
              </c:numCache>
            </c:numRef>
          </c:val>
          <c:extLst>
            <c:ext xmlns:c16="http://schemas.microsoft.com/office/drawing/2014/chart" uri="{C3380CC4-5D6E-409C-BE32-E72D297353CC}">
              <c16:uniqueId val="{00000001-F0E4-43C8-8F71-7A66C8AFFDD3}"/>
            </c:ext>
          </c:extLst>
        </c:ser>
        <c:ser>
          <c:idx val="2"/>
          <c:order val="2"/>
          <c:tx>
            <c:strRef>
              <c:f>'[20250128-2024-25 Supplementary Estimate Memorandum Tables WIP.xlsx]1.4 Comparison with prior'!$B$15</c:f>
              <c:strCache>
                <c:ptCount val="1"/>
                <c:pt idx="0">
                  <c:v>2024-25 Supplementary Estimate</c:v>
                </c:pt>
              </c:strCache>
            </c:strRef>
          </c:tx>
          <c:spPr>
            <a:solidFill>
              <a:srgbClr val="532A45"/>
            </a:solidFill>
            <a:ln>
              <a:noFill/>
            </a:ln>
            <a:effectLst/>
          </c:spPr>
          <c:invertIfNegative val="0"/>
          <c:cat>
            <c:strRef>
              <c:f>'[20250128-2024-25 Supplementary Estimate Memorandum Tables WIP.xlsx]1.4 Comparison with prior'!$C$12:$E$12</c:f>
              <c:strCache>
                <c:ptCount val="3"/>
                <c:pt idx="0">
                  <c:v>AME</c:v>
                </c:pt>
                <c:pt idx="1">
                  <c:v>Capital DEL</c:v>
                </c:pt>
                <c:pt idx="2">
                  <c:v>Resource DEL</c:v>
                </c:pt>
              </c:strCache>
            </c:strRef>
          </c:cat>
          <c:val>
            <c:numRef>
              <c:f>'[20250128-2024-25 Supplementary Estimate Memorandum Tables WIP.xlsx]1.4 Comparison with prior'!$C$15:$E$15</c:f>
              <c:numCache>
                <c:formatCode>[$-3]\ #,##0_);[Black]\([$-3]\ #,##0\)</c:formatCode>
                <c:ptCount val="3"/>
                <c:pt idx="0">
                  <c:v>8589.0869999999995</c:v>
                </c:pt>
                <c:pt idx="1">
                  <c:v>22703.647000000001</c:v>
                </c:pt>
                <c:pt idx="2">
                  <c:v>46393.686000000002</c:v>
                </c:pt>
              </c:numCache>
            </c:numRef>
          </c:val>
          <c:extLst>
            <c:ext xmlns:c16="http://schemas.microsoft.com/office/drawing/2014/chart" uri="{C3380CC4-5D6E-409C-BE32-E72D297353CC}">
              <c16:uniqueId val="{00000002-F0E4-43C8-8F71-7A66C8AFFDD3}"/>
            </c:ext>
          </c:extLst>
        </c:ser>
        <c:dLbls>
          <c:showLegendKey val="0"/>
          <c:showVal val="0"/>
          <c:showCatName val="0"/>
          <c:showSerName val="0"/>
          <c:showPercent val="0"/>
          <c:showBubbleSize val="0"/>
        </c:dLbls>
        <c:gapWidth val="182"/>
        <c:axId val="546712488"/>
        <c:axId val="481667352"/>
      </c:barChart>
      <c:catAx>
        <c:axId val="546712488"/>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667352"/>
        <c:crosses val="autoZero"/>
        <c:auto val="1"/>
        <c:lblAlgn val="ctr"/>
        <c:lblOffset val="100"/>
        <c:noMultiLvlLbl val="0"/>
      </c:catAx>
      <c:valAx>
        <c:axId val="481667352"/>
        <c:scaling>
          <c:orientation val="minMax"/>
        </c:scaling>
        <c:delete val="0"/>
        <c:axPos val="b"/>
        <c:majorGridlines>
          <c:spPr>
            <a:ln w="9525" cap="flat" cmpd="sng" algn="ctr">
              <a:solidFill>
                <a:schemeClr val="tx1">
                  <a:lumMod val="15000"/>
                  <a:lumOff val="85000"/>
                </a:schemeClr>
              </a:solidFill>
              <a:round/>
            </a:ln>
            <a:effectLst/>
          </c:spPr>
        </c:majorGridlines>
        <c:numFmt formatCode="[$-3]\ #,##0_);[Black]\([$-3]\ #,##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712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Resource DEL Spending Trend</a:t>
            </a:r>
            <a:r>
              <a:rPr lang="en-US" baseline="0"/>
              <a:t> (£BN)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'[20250128-2024-25 Supplementary Estimate Memorandum Tables WIP.xlsx]1.7 Spending Trends'!$B$18</c:f>
              <c:strCache>
                <c:ptCount val="1"/>
                <c:pt idx="0">
                  <c:v>Resource DEL</c:v>
                </c:pt>
              </c:strCache>
            </c:strRef>
          </c:tx>
          <c:spPr>
            <a:ln w="28575" cap="rnd">
              <a:solidFill>
                <a:srgbClr val="13284C"/>
              </a:solidFill>
              <a:round/>
            </a:ln>
            <a:effectLst/>
          </c:spPr>
          <c:marker>
            <c:symbol val="none"/>
          </c:marker>
          <c:cat>
            <c:strRef>
              <c:f>'[20250128-2024-25 Supplementary Estimate Memorandum Tables WIP.xlsx]1.7 Spending Trends'!$C$17:$I$17</c:f>
              <c:strCache>
                <c:ptCount val="7"/>
                <c:pt idx="0">
                  <c:v>2018-19
Outturn</c:v>
                </c:pt>
                <c:pt idx="1">
                  <c:v>2019-20
Outturn</c:v>
                </c:pt>
                <c:pt idx="2">
                  <c:v>2020-21
Outturn</c:v>
                </c:pt>
                <c:pt idx="3">
                  <c:v>2021-22                                                                                                 
Outturn</c:v>
                </c:pt>
                <c:pt idx="4">
                  <c:v>2022-23     Outturn</c:v>
                </c:pt>
                <c:pt idx="5">
                  <c:v>2023-24     Outturn</c:v>
                </c:pt>
                <c:pt idx="6">
                  <c:v>2024-25 SE</c:v>
                </c:pt>
              </c:strCache>
            </c:strRef>
          </c:cat>
          <c:val>
            <c:numRef>
              <c:f>'[20250128-2024-25 Supplementary Estimate Memorandum Tables WIP.xlsx]1.7 Spending Trends'!$C$18:$I$18</c:f>
              <c:numCache>
                <c:formatCode>#,##0.0</c:formatCode>
                <c:ptCount val="7"/>
                <c:pt idx="0">
                  <c:v>34.570999999999998</c:v>
                </c:pt>
                <c:pt idx="1">
                  <c:v>36.707037999999997</c:v>
                </c:pt>
                <c:pt idx="2">
                  <c:v>40.177999999999997</c:v>
                </c:pt>
                <c:pt idx="3">
                  <c:v>39.738</c:v>
                </c:pt>
                <c:pt idx="4">
                  <c:v>39.847999999999999</c:v>
                </c:pt>
                <c:pt idx="5">
                  <c:v>42.742497999999998</c:v>
                </c:pt>
                <c:pt idx="6">
                  <c:v>46.393686000000002</c:v>
                </c:pt>
              </c:numCache>
            </c:numRef>
          </c:val>
          <c:smooth val="0"/>
          <c:extLst>
            <c:ext xmlns:c16="http://schemas.microsoft.com/office/drawing/2014/chart" uri="{C3380CC4-5D6E-409C-BE32-E72D297353CC}">
              <c16:uniqueId val="{00000000-4653-4BC7-AF8F-2ED7F4BAEEA5}"/>
            </c:ext>
          </c:extLst>
        </c:ser>
        <c:dLbls>
          <c:showLegendKey val="0"/>
          <c:showVal val="0"/>
          <c:showCatName val="0"/>
          <c:showSerName val="0"/>
          <c:showPercent val="0"/>
          <c:showBubbleSize val="0"/>
        </c:dLbls>
        <c:smooth val="0"/>
        <c:axId val="554222272"/>
        <c:axId val="554223256"/>
      </c:lineChart>
      <c:catAx>
        <c:axId val="554222272"/>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3256"/>
        <c:crosses val="autoZero"/>
        <c:auto val="1"/>
        <c:lblAlgn val="ctr"/>
        <c:lblOffset val="100"/>
        <c:noMultiLvlLbl val="0"/>
      </c:catAx>
      <c:valAx>
        <c:axId val="5542232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Capital DEL Spending Trend</a:t>
            </a:r>
            <a:r>
              <a:rPr lang="en-US" baseline="0"/>
              <a:t> (£BN)</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'[20250128-2024-25 Supplementary Estimate Memorandum Tables WIP.xlsx]1.7 Spending Trends'!$K$18</c:f>
              <c:strCache>
                <c:ptCount val="1"/>
                <c:pt idx="0">
                  <c:v>Capital DEL</c:v>
                </c:pt>
              </c:strCache>
            </c:strRef>
          </c:tx>
          <c:spPr>
            <a:ln w="28575" cap="rnd">
              <a:solidFill>
                <a:srgbClr val="532A45"/>
              </a:solidFill>
              <a:round/>
            </a:ln>
            <a:effectLst/>
          </c:spPr>
          <c:marker>
            <c:symbol val="none"/>
          </c:marker>
          <c:cat>
            <c:strRef>
              <c:f>'[20250128-2024-25 Supplementary Estimate Memorandum Tables WIP.xlsx]1.7 Spending Trends'!$L$17:$R$17</c:f>
              <c:strCache>
                <c:ptCount val="7"/>
                <c:pt idx="0">
                  <c:v>2018-19
Outturn</c:v>
                </c:pt>
                <c:pt idx="1">
                  <c:v>2019-20
Outturn</c:v>
                </c:pt>
                <c:pt idx="2">
                  <c:v>2020-21
Outturn</c:v>
                </c:pt>
                <c:pt idx="3">
                  <c:v>2021-22                                                                                                 
Outturn</c:v>
                </c:pt>
                <c:pt idx="4">
                  <c:v>2022-23     Outturn</c:v>
                </c:pt>
                <c:pt idx="5">
                  <c:v>2023-24     Outturn</c:v>
                </c:pt>
                <c:pt idx="6">
                  <c:v>2024-25 SE</c:v>
                </c:pt>
              </c:strCache>
            </c:strRef>
          </c:cat>
          <c:val>
            <c:numRef>
              <c:f>'[20250128-2024-25 Supplementary Estimate Memorandum Tables WIP.xlsx]1.7 Spending Trends'!$L$18:$R$18</c:f>
              <c:numCache>
                <c:formatCode>[$-3]\ #,##0.0_);[Black]\([$-3]\ #,##0.0\)</c:formatCode>
                <c:ptCount val="7"/>
                <c:pt idx="0">
                  <c:v>10.295</c:v>
                </c:pt>
                <c:pt idx="1">
                  <c:v>10.313857</c:v>
                </c:pt>
                <c:pt idx="2">
                  <c:v>11.707000000000001</c:v>
                </c:pt>
                <c:pt idx="3">
                  <c:v>14.108000000000001</c:v>
                </c:pt>
                <c:pt idx="4">
                  <c:v>20.303999999999998</c:v>
                </c:pt>
                <c:pt idx="5">
                  <c:v>19.127780999999999</c:v>
                </c:pt>
                <c:pt idx="6">
                  <c:v>22.703647</c:v>
                </c:pt>
              </c:numCache>
            </c:numRef>
          </c:val>
          <c:smooth val="0"/>
          <c:extLst>
            <c:ext xmlns:c16="http://schemas.microsoft.com/office/drawing/2014/chart" uri="{C3380CC4-5D6E-409C-BE32-E72D297353CC}">
              <c16:uniqueId val="{00000000-F04F-4EAA-9649-8A6778BD9818}"/>
            </c:ext>
          </c:extLst>
        </c:ser>
        <c:dLbls>
          <c:showLegendKey val="0"/>
          <c:showVal val="0"/>
          <c:showCatName val="0"/>
          <c:showSerName val="0"/>
          <c:showPercent val="0"/>
          <c:showBubbleSize val="0"/>
        </c:dLbls>
        <c:smooth val="0"/>
        <c:axId val="554222272"/>
        <c:axId val="554223256"/>
      </c:lineChart>
      <c:catAx>
        <c:axId val="554222272"/>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3256"/>
        <c:crosses val="autoZero"/>
        <c:auto val="1"/>
        <c:lblAlgn val="ctr"/>
        <c:lblOffset val="100"/>
        <c:noMultiLvlLbl val="0"/>
      </c:catAx>
      <c:valAx>
        <c:axId val="554223256"/>
        <c:scaling>
          <c:orientation val="minMax"/>
          <c:min val="8"/>
        </c:scaling>
        <c:delete val="0"/>
        <c:axPos val="l"/>
        <c:majorGridlines>
          <c:spPr>
            <a:ln w="9525" cap="flat" cmpd="sng" algn="ctr">
              <a:solidFill>
                <a:schemeClr val="tx1">
                  <a:lumMod val="15000"/>
                  <a:lumOff val="85000"/>
                </a:schemeClr>
              </a:solidFill>
              <a:round/>
            </a:ln>
            <a:effectLst/>
          </c:spPr>
        </c:majorGridlines>
        <c:numFmt formatCode="[$-3]\ #,##0.0_);[Black]\([$-3]\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AME Spending Trend</a:t>
            </a:r>
            <a:r>
              <a:rPr lang="en-US" baseline="0"/>
              <a:t> (£BN</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'[20250128-2024-25 Supplementary Estimate Memorandum Tables WIP.xlsx]1.7 Spending Trends'!$B$23</c:f>
              <c:strCache>
                <c:ptCount val="1"/>
                <c:pt idx="0">
                  <c:v>Resource AME</c:v>
                </c:pt>
              </c:strCache>
            </c:strRef>
          </c:tx>
          <c:spPr>
            <a:ln w="28575" cap="rnd">
              <a:solidFill>
                <a:srgbClr val="153E35"/>
              </a:solidFill>
              <a:round/>
            </a:ln>
            <a:effectLst/>
          </c:spPr>
          <c:marker>
            <c:symbol val="none"/>
          </c:marker>
          <c:cat>
            <c:strRef>
              <c:f>'[20250128-2024-25 Supplementary Estimate Memorandum Tables WIP.xlsx]1.7 Spending Trends'!$C$22:$I$22</c:f>
              <c:strCache>
                <c:ptCount val="7"/>
                <c:pt idx="0">
                  <c:v>2018-19
Outturn</c:v>
                </c:pt>
                <c:pt idx="1">
                  <c:v>2019-20
Outturn</c:v>
                </c:pt>
                <c:pt idx="2">
                  <c:v>2020-21
Outturn</c:v>
                </c:pt>
                <c:pt idx="3">
                  <c:v>2021-22                                                                                                 
Outturn</c:v>
                </c:pt>
                <c:pt idx="4">
                  <c:v>2022-23     Outturn</c:v>
                </c:pt>
                <c:pt idx="5">
                  <c:v>2023-24     Outturn</c:v>
                </c:pt>
                <c:pt idx="6">
                  <c:v>2024-25 SE</c:v>
                </c:pt>
              </c:strCache>
            </c:strRef>
          </c:cat>
          <c:val>
            <c:numRef>
              <c:f>'[20250128-2024-25 Supplementary Estimate Memorandum Tables WIP.xlsx]1.7 Spending Trends'!$C$23:$I$23</c:f>
              <c:numCache>
                <c:formatCode>[$-3]\ #,##0.0_);[Black]\([$-3]\ #,##0.0\)</c:formatCode>
                <c:ptCount val="7"/>
                <c:pt idx="0">
                  <c:v>-7.883</c:v>
                </c:pt>
                <c:pt idx="1">
                  <c:v>-0.29627199999999998</c:v>
                </c:pt>
                <c:pt idx="2">
                  <c:v>2.0619999999999998</c:v>
                </c:pt>
                <c:pt idx="3">
                  <c:v>10.787000000000001</c:v>
                </c:pt>
                <c:pt idx="4">
                  <c:v>-13.856</c:v>
                </c:pt>
                <c:pt idx="5">
                  <c:v>-1.145367</c:v>
                </c:pt>
                <c:pt idx="6">
                  <c:v>8.5890869999999993</c:v>
                </c:pt>
              </c:numCache>
            </c:numRef>
          </c:val>
          <c:smooth val="0"/>
          <c:extLst>
            <c:ext xmlns:c16="http://schemas.microsoft.com/office/drawing/2014/chart" uri="{C3380CC4-5D6E-409C-BE32-E72D297353CC}">
              <c16:uniqueId val="{00000000-2659-46B2-A021-F524861B2F05}"/>
            </c:ext>
          </c:extLst>
        </c:ser>
        <c:dLbls>
          <c:showLegendKey val="0"/>
          <c:showVal val="0"/>
          <c:showCatName val="0"/>
          <c:showSerName val="0"/>
          <c:showPercent val="0"/>
          <c:showBubbleSize val="0"/>
        </c:dLbls>
        <c:smooth val="0"/>
        <c:axId val="554222272"/>
        <c:axId val="554223256"/>
      </c:lineChart>
      <c:catAx>
        <c:axId val="554222272"/>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3256"/>
        <c:crosses val="autoZero"/>
        <c:auto val="1"/>
        <c:lblAlgn val="ctr"/>
        <c:lblOffset val="100"/>
        <c:noMultiLvlLbl val="0"/>
      </c:catAx>
      <c:valAx>
        <c:axId val="554223256"/>
        <c:scaling>
          <c:orientation val="minMax"/>
        </c:scaling>
        <c:delete val="0"/>
        <c:axPos val="l"/>
        <c:majorGridlines>
          <c:spPr>
            <a:ln w="9525" cap="flat" cmpd="sng" algn="ctr">
              <a:solidFill>
                <a:schemeClr val="tx1">
                  <a:lumMod val="15000"/>
                  <a:lumOff val="85000"/>
                </a:schemeClr>
              </a:solidFill>
              <a:round/>
            </a:ln>
            <a:effectLst/>
          </c:spPr>
        </c:majorGridlines>
        <c:numFmt formatCode="[$-3]\ #,##0.0_);[Black]\([$-3]\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4222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mso-contentType ?>
<p:Policy xmlns:p="office.server.policy" id="" local="true">
  <p:Name>MOD Document</p:Name>
  <p:Description>WIP Information Management Policy. Draft versions retained for 1 year, previous versions retained 2 years, current version deleted 7 years after last modification.</p:Description>
  <p:Statement>This content is subject to MODs Work In Progress Information Management Policy.</p:Statement>
  <p:PolicyItems>
    <p:PolicyItem featureId="Microsoft.Office.RecordsManagement.PolicyFeatures.PolicyAudit" staticId="0x010100D9D675D6CDED02438DC7CFF78D2F29E401|1757814118" UniqueId="dc6ba186-9934-4820-84ba-14368f378971">
      <p:Name>Auditing</p:Name>
      <p:Description>Audits user actions on documents and list items to the Audit Log.</p:Description>
      <p:CustomData>
        <Audit>
          <Update/>
          <CheckInOut/>
          <MoveCopy/>
          <DeleteRestore/>
        </Audit>
      </p:CustomData>
    </p:PolicyItem>
  </p:PolicyItems>
</p:Policy>
</file>

<file path=customXml/item2.xml><?xml version="1.0" encoding="utf-8"?>
<?mso-contentType ?>
<SharedContentType xmlns="Microsoft.SharePoint.Taxonomy.ContentTypeSync" SourceId="a9ff0b8c-5d72-4038-b2cd-f57bf310c636" ContentTypeId="0x010100D9D675D6CDED02438DC7CFF78D2F29E401" PreviousValue="false"/>
</file>

<file path=customXml/item3.xml><?xml version="1.0" encoding="utf-8"?>
<ct:contentTypeSchema xmlns:ct="http://schemas.microsoft.com/office/2006/metadata/contentType" xmlns:ma="http://schemas.microsoft.com/office/2006/metadata/properties/metaAttributes" ct:_="" ma:_="" ma:contentTypeName="MOD Document" ma:contentTypeID="0x010100D9D675D6CDED02438DC7CFF78D2F29E40100C5A8EFAB25C93E4398E742A21FEA98FF" ma:contentTypeVersion="4" ma:contentTypeDescription="Designed to facilitate the storage of MOD Documents with a '.doc' or '.docx' extension" ma:contentTypeScope="" ma:versionID="58a79583d4bd527d2589dff75de9d7ff">
  <xsd:schema xmlns:xsd="http://www.w3.org/2001/XMLSchema" xmlns:xs="http://www.w3.org/2001/XMLSchema" xmlns:p="http://schemas.microsoft.com/office/2006/metadata/properties" xmlns:ns1="http://schemas.microsoft.com/sharepoint/v3" xmlns:ns2="04738c6d-ecc8-46f1-821f-82e308eab3d9" xmlns:ns3="http://schemas.microsoft.com/sharepoint.v3" xmlns:ns4="http://schemas.microsoft.com/sharepoint/v3/fields" targetNamespace="http://schemas.microsoft.com/office/2006/metadata/properties" ma:root="true" ma:fieldsID="c0bf865e4d6f5efc8af0aa0faf9b0435" ns1:_="" ns2:_="" ns3:_="" ns4:_="">
    <xsd:import namespace="http://schemas.microsoft.com/sharepoint/v3"/>
    <xsd:import namespace="04738c6d-ecc8-46f1-821f-82e308eab3d9"/>
    <xsd:import namespace="http://schemas.microsoft.com/sharepoint.v3"/>
    <xsd:import namespace="http://schemas.microsoft.com/sharepoint/v3/fields"/>
    <xsd:element name="properties">
      <xsd:complexType>
        <xsd:sequence>
          <xsd:element name="documentManagement">
            <xsd:complexType>
              <xsd:all>
                <xsd:element ref="ns2:UKProtectiveMarking"/>
                <xsd:element ref="ns3:CategoryDescription" minOccurs="0"/>
                <xsd:element ref="ns4:_Status" minOccurs="0"/>
                <xsd:element ref="ns2:DocumentVersion" minOccurs="0"/>
                <xsd:element ref="ns2:CreatedOriginated" minOccurs="0"/>
                <xsd:element ref="ns4:wic_System_Copyright" minOccurs="0"/>
                <xsd:element ref="ns2:TaxCatchAll" minOccurs="0"/>
                <xsd:element ref="ns2:TaxKeywordTaxHTField" minOccurs="0"/>
                <xsd:element ref="ns2:TaxCatchAllLabel" minOccurs="0"/>
                <xsd:element ref="ns1:_dlc_Exempt" minOccurs="0"/>
                <xsd:element ref="ns2:d67af1ddf1dc47979d20c0eae491b81b" minOccurs="0"/>
                <xsd:element ref="ns2:m79e07ce3690491db9121a08429fad40" minOccurs="0"/>
                <xsd:element ref="ns2:n1f450bd0d644ca798bdc94626fdef4f" minOccurs="0"/>
                <xsd:element ref="ns2:i71a74d1f9984201b479cc08077b632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738c6d-ecc8-46f1-821f-82e308eab3d9" elementFormDefault="qualified">
    <xsd:import namespace="http://schemas.microsoft.com/office/2006/documentManagement/types"/>
    <xsd:import namespace="http://schemas.microsoft.com/office/infopath/2007/PartnerControls"/>
    <xsd:element name="UKProtectiveMarking" ma:index="7" ma:displayName="Security Marking" ma:default="OFFICIAL" ma:description="The OFFICIAL-SENSITIVE marking should be used if it is clear that consequence of compromise would cause significant harm; Over 80% of MOD material is expected to be marked OFFICIAL." ma:format="Dropdown" ma:internalName="UKProtectiveMarking" ma:readOnly="false">
      <xsd:simpleType>
        <xsd:restriction base="dms:Choice">
          <xsd:enumeration value="OFFICIAL"/>
          <xsd:enumeration value="OFFICIAL-SENSITIVE"/>
          <xsd:enumeration value="OFFICIAL-SENSITIVE COMMERCIAL"/>
          <xsd:enumeration value="OFFICIAL-SENSITIVE PERSONAL"/>
          <xsd:enumeration value="OFFICIAL-SENSITIVE LOCSEN"/>
        </xsd:restriction>
      </xsd:simpleType>
    </xsd:element>
    <xsd:element name="DocumentVersion" ma:index="10" nillable="true" ma:displayName="Document Version" ma:description="Version number in the format X_X_X e.g. 1_2_1.You do not need a set number of digits, 1_1 is valid for example." ma:internalName="DocumentVersion">
      <xsd:simpleType>
        <xsd:restriction base="dms:Text">
          <xsd:maxLength value="255"/>
        </xsd:restriction>
      </xsd:simpleType>
    </xsd:element>
    <xsd:element name="CreatedOriginated" ma:index="11" nillable="true" ma:displayName="Created (Originated)" ma:default="[today]" ma:description="The date the document was originally created." ma:format="DateOnly" ma:internalName="CreatedOriginated">
      <xsd:simpleType>
        <xsd:restriction base="dms:DateTime"/>
      </xsd:simpleType>
    </xsd:element>
    <xsd:element name="TaxCatchAll" ma:index="15" nillable="true" ma:displayName="Taxonomy Catch All Column" ma:hidden="true" ma:list="{5af7d471-e6af-4406-afa2-0ed12362d74f}" ma:internalName="TaxCatchAll" ma:showField="CatchAllData" ma:web="aef4563f-d17b-487a-8e38-661e03d8ce58">
      <xsd:complexType>
        <xsd:complexContent>
          <xsd:extension base="dms:MultiChoiceLookup">
            <xsd:sequence>
              <xsd:element name="Value" type="dms:Lookup" maxOccurs="unbounded" minOccurs="0" nillable="true"/>
            </xsd:sequence>
          </xsd:extension>
        </xsd:complexContent>
      </xsd:complexType>
    </xsd:element>
    <xsd:element name="TaxKeywordTaxHTField" ma:index="18"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20" nillable="true" ma:displayName="Taxonomy Catch All Column1" ma:hidden="true" ma:list="{5af7d471-e6af-4406-afa2-0ed12362d74f}" ma:internalName="TaxCatchAllLabel" ma:readOnly="true" ma:showField="CatchAllDataLabel" ma:web="aef4563f-d17b-487a-8e38-661e03d8ce58">
      <xsd:complexType>
        <xsd:complexContent>
          <xsd:extension base="dms:MultiChoiceLookup">
            <xsd:sequence>
              <xsd:element name="Value" type="dms:Lookup" maxOccurs="unbounded" minOccurs="0" nillable="true"/>
            </xsd:sequence>
          </xsd:extension>
        </xsd:complexContent>
      </xsd:complexType>
    </xsd:element>
    <xsd:element name="d67af1ddf1dc47979d20c0eae491b81b" ma:index="22" ma:taxonomy="true" ma:internalName="d67af1ddf1dc47979d20c0eae491b81b" ma:taxonomyFieldName="fileplanid" ma:displayName="UK Defence File Plan" ma:default="5;#01_07 Manage Resources|e2858f33-7af6-40ee-960b-69c0566797ab" ma:fieldId="{d67af1dd-f1dc-4797-9d20-c0eae491b81b}" ma:sspId="a9ff0b8c-5d72-4038-b2cd-f57bf310c636" ma:termSetId="4c6cc6f3-ba61-4d44-9233-db11931daca6" ma:anchorId="00000000-0000-0000-0000-000000000000" ma:open="false" ma:isKeyword="false">
      <xsd:complexType>
        <xsd:sequence>
          <xsd:element ref="pc:Terms" minOccurs="0" maxOccurs="1"/>
        </xsd:sequence>
      </xsd:complexType>
    </xsd:element>
    <xsd:element name="m79e07ce3690491db9121a08429fad40" ma:index="23" ma:taxonomy="true" ma:internalName="m79e07ce3690491db9121a08429fad40" ma:taxonomyFieldName="Business_x0020_Owner" ma:displayName="Business Owner" ma:default="1;#Def Res|5931e592-0400-420f-b762-cb63bfe4996a" ma:fieldId="{679e07ce-3690-491d-b912-1a08429fad40}" ma:sspId="a9ff0b8c-5d72-4038-b2cd-f57bf310c636" ma:termSetId="38806ae3-bd96-4c11-838c-3f296b63bbad" ma:anchorId="00000000-0000-0000-0000-000000000000" ma:open="false" ma:isKeyword="false">
      <xsd:complexType>
        <xsd:sequence>
          <xsd:element ref="pc:Terms" minOccurs="0" maxOccurs="1"/>
        </xsd:sequence>
      </xsd:complexType>
    </xsd:element>
    <xsd:element name="n1f450bd0d644ca798bdc94626fdef4f" ma:index="25" ma:taxonomy="true" ma:internalName="n1f450bd0d644ca798bdc94626fdef4f" ma:taxonomyFieldName="Subject_x0020_Keywords" ma:displayName="Subject Keywords" ma:default="3;#Finance|7d64bfc4-c276-4f9d-9dfb-e23f8dceb99a;#4;#Defence funds|2c4083fd-b75b-45bc-90c6-6953c141d094" ma:fieldId="{71f450bd-0d64-4ca7-98bd-c94626fdef4f}" ma:taxonomyMulti="true" ma:sspId="a9ff0b8c-5d72-4038-b2cd-f57bf310c636" ma:termSetId="7b8c463c-3f4b-49b4-909b-bbb5fe2586f6" ma:anchorId="00000000-0000-0000-0000-000000000000" ma:open="false" ma:isKeyword="false">
      <xsd:complexType>
        <xsd:sequence>
          <xsd:element ref="pc:Terms" minOccurs="0" maxOccurs="1"/>
        </xsd:sequence>
      </xsd:complexType>
    </xsd:element>
    <xsd:element name="i71a74d1f9984201b479cc08077b6323" ma:index="26" ma:taxonomy="true" ma:internalName="i71a74d1f9984201b479cc08077b6323" ma:taxonomyFieldName="Subject_x0020_Category" ma:displayName="Subject Category" ma:default="2;#Finance|1c76cdd5-a921-456a-8f21-f5a9b37f19d8" ma:fieldId="{271a74d1-f998-4201-b479-cc08077b6323}" ma:taxonomyMulti="true" ma:sspId="a9ff0b8c-5d72-4038-b2cd-f57bf310c636" ma:termSetId="ff656f65-90c7-4f70-90bd-c22025b6cf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8" nillable="true" ma:displayName="Description" ma:description="A description of the document." ma:internalName="Category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9" nillable="true" ma:displayName="Status" ma:default="Not Started" ma:description="The document lifecycle stage." ma:format="Dropdown" ma:internalName="_Status">
      <xsd:simpleType>
        <xsd:union memberTypes="dms:Text">
          <xsd:simpleType>
            <xsd:restriction base="dms:Choice">
              <xsd:enumeration value="Not Started"/>
              <xsd:enumeration value="Draft"/>
              <xsd:enumeration value="Under Review"/>
              <xsd:enumeration value="Reviewed"/>
              <xsd:enumeration value="Scheduled"/>
              <xsd:enumeration value="Published"/>
              <xsd:enumeration value="Final"/>
              <xsd:enumeration value="Superseded"/>
              <xsd:enumeration value="Expired"/>
            </xsd:restriction>
          </xsd:simpleType>
        </xsd:union>
      </xsd:simpleType>
    </xsd:element>
    <xsd:element name="wic_System_Copyright" ma:index="12"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7"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DocumentVersion xmlns="04738c6d-ecc8-46f1-821f-82e308eab3d9" xsi:nil="true"/>
    <d67af1ddf1dc47979d20c0eae491b81b xmlns="04738c6d-ecc8-46f1-821f-82e308eab3d9">
      <Terms xmlns="http://schemas.microsoft.com/office/infopath/2007/PartnerControls">
        <TermInfo xmlns="http://schemas.microsoft.com/office/infopath/2007/PartnerControls">
          <TermName xmlns="http://schemas.microsoft.com/office/infopath/2007/PartnerControls">01_07 Manage Resources</TermName>
          <TermId xmlns="http://schemas.microsoft.com/office/infopath/2007/PartnerControls">e2858f33-7af6-40ee-960b-69c0566797ab</TermId>
        </TermInfo>
      </Terms>
    </d67af1ddf1dc47979d20c0eae491b81b>
    <TaxKeywordTaxHTField xmlns="04738c6d-ecc8-46f1-821f-82e308eab3d9">
      <Terms xmlns="http://schemas.microsoft.com/office/infopath/2007/PartnerControls"/>
    </TaxKeywordTaxHTField>
    <_Status xmlns="http://schemas.microsoft.com/sharepoint/v3/fields">Not Started</_Status>
    <n1f450bd0d644ca798bdc94626fdef4f xmlns="04738c6d-ecc8-46f1-821f-82e308eab3d9">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7d64bfc4-c276-4f9d-9dfb-e23f8dceb99a</TermId>
        </TermInfo>
        <TermInfo xmlns="http://schemas.microsoft.com/office/infopath/2007/PartnerControls">
          <TermName xmlns="http://schemas.microsoft.com/office/infopath/2007/PartnerControls">Defence funds</TermName>
          <TermId xmlns="http://schemas.microsoft.com/office/infopath/2007/PartnerControls">2c4083fd-b75b-45bc-90c6-6953c141d094</TermId>
        </TermInfo>
      </Terms>
    </n1f450bd0d644ca798bdc94626fdef4f>
    <m79e07ce3690491db9121a08429fad40 xmlns="04738c6d-ecc8-46f1-821f-82e308eab3d9">
      <Terms xmlns="http://schemas.microsoft.com/office/infopath/2007/PartnerControls">
        <TermInfo xmlns="http://schemas.microsoft.com/office/infopath/2007/PartnerControls">
          <TermName xmlns="http://schemas.microsoft.com/office/infopath/2007/PartnerControls">Def Res</TermName>
          <TermId xmlns="http://schemas.microsoft.com/office/infopath/2007/PartnerControls">5931e592-0400-420f-b762-cb63bfe4996a</TermId>
        </TermInfo>
      </Terms>
    </m79e07ce3690491db9121a08429fad40>
    <TaxCatchAll xmlns="04738c6d-ecc8-46f1-821f-82e308eab3d9">
      <Value>5</Value>
      <Value>4</Value>
      <Value>3</Value>
      <Value>2</Value>
      <Value>1</Value>
    </TaxCatchAll>
    <UKProtectiveMarking xmlns="04738c6d-ecc8-46f1-821f-82e308eab3d9">OFFICIAL</UKProtectiveMarking>
    <CategoryDescription xmlns="http://schemas.microsoft.com/sharepoint.v3" xsi:nil="true"/>
    <CreatedOriginated xmlns="04738c6d-ecc8-46f1-821f-82e308eab3d9">2022-02-17T11:32:37+00:00</CreatedOriginated>
    <i71a74d1f9984201b479cc08077b6323 xmlns="04738c6d-ecc8-46f1-821f-82e308eab3d9">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1c76cdd5-a921-456a-8f21-f5a9b37f19d8</TermId>
        </TermInfo>
      </Terms>
    </i71a74d1f9984201b479cc08077b6323>
    <wic_System_Copyright xmlns="http://schemas.microsoft.com/sharepoint/v3/fields"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256A4-94B2-489D-94FF-6A7868A8594B}">
  <ds:schemaRefs>
    <ds:schemaRef ds:uri="office.server.policy"/>
  </ds:schemaRefs>
</ds:datastoreItem>
</file>

<file path=customXml/itemProps2.xml><?xml version="1.0" encoding="utf-8"?>
<ds:datastoreItem xmlns:ds="http://schemas.openxmlformats.org/officeDocument/2006/customXml" ds:itemID="{D04A0040-3A59-4AAA-B9CE-C98C632A5948}">
  <ds:schemaRefs>
    <ds:schemaRef ds:uri="Microsoft.SharePoint.Taxonomy.ContentTypeSync"/>
  </ds:schemaRefs>
</ds:datastoreItem>
</file>

<file path=customXml/itemProps3.xml><?xml version="1.0" encoding="utf-8"?>
<ds:datastoreItem xmlns:ds="http://schemas.openxmlformats.org/officeDocument/2006/customXml" ds:itemID="{8594D7C8-2AAF-4E15-A54B-CEAAB4459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738c6d-ecc8-46f1-821f-82e308eab3d9"/>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66C6F-B494-4877-9A94-333D8E280F0F}">
  <ds:schemaRefs>
    <ds:schemaRef ds:uri="http://schemas.microsoft.com/sharepoint/events"/>
  </ds:schemaRefs>
</ds:datastoreItem>
</file>

<file path=customXml/itemProps5.xml><?xml version="1.0" encoding="utf-8"?>
<ds:datastoreItem xmlns:ds="http://schemas.openxmlformats.org/officeDocument/2006/customXml" ds:itemID="{945C13DF-9294-4EC3-A93F-848ABE15DB25}">
  <ds:schemaRefs>
    <ds:schemaRef ds:uri="http://schemas.microsoft.com/office/2006/metadata/properties"/>
    <ds:schemaRef ds:uri="http://schemas.microsoft.com/office/infopath/2007/PartnerControls"/>
    <ds:schemaRef ds:uri="04738c6d-ecc8-46f1-821f-82e308eab3d9"/>
    <ds:schemaRef ds:uri="http://schemas.microsoft.com/sharepoint/v3/fields"/>
    <ds:schemaRef ds:uri="http://schemas.microsoft.com/sharepoint.v3"/>
  </ds:schemaRefs>
</ds:datastoreItem>
</file>

<file path=customXml/itemProps6.xml><?xml version="1.0" encoding="utf-8"?>
<ds:datastoreItem xmlns:ds="http://schemas.openxmlformats.org/officeDocument/2006/customXml" ds:itemID="{3FC97C59-FF39-4FE3-A475-A2259DD772A8}">
  <ds:schemaRefs>
    <ds:schemaRef ds:uri="http://schemas.microsoft.com/sharepoint/v3/contenttype/forms"/>
  </ds:schemaRefs>
</ds:datastoreItem>
</file>

<file path=customXml/itemProps7.xml><?xml version="1.0" encoding="utf-8"?>
<ds:datastoreItem xmlns:ds="http://schemas.openxmlformats.org/officeDocument/2006/customXml" ds:itemID="{E8C5565D-B816-4C47-A915-758275BBE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