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F2B74" w:rsidRPr="00B832F3">
      <w:pPr>
        <w:rPr>
          <w:rFonts w:cstheme="minorHAnsi"/>
          <w:b/>
          <w:bCs/>
          <w:sz w:val="28"/>
          <w:szCs w:val="28"/>
        </w:rPr>
      </w:pPr>
      <w:r w:rsidRPr="00B832F3">
        <w:rPr>
          <w:rFonts w:cstheme="minorHAnsi"/>
          <w:b/>
          <w:bCs/>
          <w:sz w:val="28"/>
          <w:szCs w:val="28"/>
        </w:rPr>
        <w:t>Supplementary submission on risk to Parliament and parliamentarians by a terrorist attach at the learning centre.  Lord Blencathra.</w:t>
      </w:r>
    </w:p>
    <w:p w:rsidR="00B832F3" w:rsidRPr="00B832F3">
      <w:pPr>
        <w:rPr>
          <w:rFonts w:cstheme="minorHAnsi"/>
          <w:b/>
          <w:bCs/>
          <w:sz w:val="28"/>
          <w:szCs w:val="28"/>
        </w:rPr>
      </w:pPr>
    </w:p>
    <w:p w:rsidR="00B832F3" w:rsidP="00B832F3">
      <w:pPr>
        <w:rPr>
          <w:rFonts w:cstheme="minorHAnsi"/>
        </w:rPr>
      </w:pPr>
      <w:r w:rsidRPr="00B832F3">
        <w:rPr>
          <w:rFonts w:cstheme="minorHAnsi"/>
          <w:b/>
          <w:bCs/>
        </w:rPr>
        <w:t>Introduction</w:t>
      </w:r>
      <w:r>
        <w:rPr>
          <w:rFonts w:cstheme="minorHAnsi"/>
        </w:rPr>
        <w:t xml:space="preserve">. </w:t>
      </w:r>
    </w:p>
    <w:p w:rsidR="00B832F3" w:rsidRPr="00B832F3" w:rsidP="00B832F3">
      <w:pPr>
        <w:rPr>
          <w:rFonts w:cstheme="minorHAnsi"/>
        </w:rPr>
      </w:pPr>
      <w:r>
        <w:rPr>
          <w:rFonts w:cstheme="minorHAnsi"/>
        </w:rPr>
        <w:t xml:space="preserve">I </w:t>
      </w:r>
      <w:r w:rsidRPr="00B832F3">
        <w:rPr>
          <w:rFonts w:cstheme="minorHAnsi"/>
        </w:rPr>
        <w:t>had not intended to submit anything new but following the exchange between the solicitor for the promoter and Lord Carlisle on the security risk to Parliament and the degree of scrutiny the Lords and Parliament should have I now wish to submit a final written submission.</w:t>
      </w:r>
    </w:p>
    <w:p w:rsidR="00B832F3" w:rsidRPr="00B832F3" w:rsidP="00B832F3">
      <w:pPr>
        <w:rPr>
          <w:rFonts w:cstheme="minorHAnsi"/>
        </w:rPr>
      </w:pPr>
    </w:p>
    <w:p w:rsidR="00B832F3" w:rsidRPr="00B832F3" w:rsidP="00B832F3">
      <w:pPr>
        <w:rPr>
          <w:rFonts w:cstheme="minorHAnsi"/>
        </w:rPr>
      </w:pPr>
      <w:r w:rsidRPr="00B832F3">
        <w:rPr>
          <w:rFonts w:cstheme="minorHAnsi"/>
        </w:rPr>
        <w:t xml:space="preserve">Lord Carlisle made the point that if there were queues of people waiting to enter the underground facility </w:t>
      </w:r>
      <w:r>
        <w:rPr>
          <w:rFonts w:cstheme="minorHAnsi"/>
        </w:rPr>
        <w:t xml:space="preserve">to </w:t>
      </w:r>
      <w:r w:rsidRPr="00B832F3">
        <w:rPr>
          <w:rFonts w:cstheme="minorHAnsi"/>
        </w:rPr>
        <w:t>undergo a security search, then those queues would be perfect targets for terrorist attacks. He is, of course right, and it is something which should have occurred to me following my Home Office Ministerial experience.</w:t>
      </w:r>
    </w:p>
    <w:p w:rsidR="00B832F3" w:rsidP="00B832F3">
      <w:pPr>
        <w:rPr>
          <w:rFonts w:cstheme="minorHAnsi"/>
        </w:rPr>
      </w:pPr>
      <w:r w:rsidRPr="00B832F3">
        <w:rPr>
          <w:rFonts w:cstheme="minorHAnsi"/>
        </w:rPr>
        <w:t>This is a standard terrorist modus operandi; why take the risk of smuggling a bomb through security if you can bomb the gathering outside?</w:t>
      </w:r>
      <w:r>
        <w:rPr>
          <w:rFonts w:cstheme="minorHAnsi"/>
        </w:rPr>
        <w:t xml:space="preserve"> These are called “secondary attacks.”</w:t>
      </w:r>
    </w:p>
    <w:p w:rsidR="00B832F3" w:rsidP="00B832F3">
      <w:pPr>
        <w:rPr>
          <w:rFonts w:cstheme="minorHAnsi"/>
        </w:rPr>
      </w:pPr>
    </w:p>
    <w:p w:rsidR="00B832F3" w:rsidRPr="00B832F3" w:rsidP="00B832F3">
      <w:pPr>
        <w:rPr>
          <w:rFonts w:cstheme="minorHAnsi"/>
          <w:b/>
          <w:bCs/>
        </w:rPr>
      </w:pPr>
      <w:r w:rsidRPr="00B832F3">
        <w:rPr>
          <w:rFonts w:cstheme="minorHAnsi"/>
          <w:b/>
          <w:bCs/>
        </w:rPr>
        <w:t>Secondary attacks.</w:t>
      </w:r>
    </w:p>
    <w:p w:rsidR="00B832F3" w:rsidRPr="00B832F3" w:rsidP="00B832F3">
      <w:pPr>
        <w:rPr>
          <w:rFonts w:cstheme="minorHAnsi"/>
        </w:rPr>
      </w:pPr>
    </w:p>
    <w:p w:rsidR="00B832F3" w:rsidRPr="00B832F3" w:rsidP="00B832F3">
      <w:pPr>
        <w:rPr>
          <w:rFonts w:cstheme="minorHAnsi"/>
        </w:rPr>
      </w:pPr>
      <w:r w:rsidRPr="00B832F3">
        <w:rPr>
          <w:rFonts w:cstheme="minorHAnsi"/>
        </w:rPr>
        <w:t>The IRA were late to adopt this technique but did so in the 20</w:t>
      </w:r>
      <w:r w:rsidRPr="00B832F3">
        <w:rPr>
          <w:rFonts w:cstheme="minorHAnsi"/>
          <w:vertAlign w:val="superscript"/>
        </w:rPr>
        <w:t>th</w:t>
      </w:r>
      <w:r w:rsidRPr="00B832F3">
        <w:rPr>
          <w:rFonts w:cstheme="minorHAnsi"/>
        </w:rPr>
        <w:t xml:space="preserve"> March 1993 Warrington bombing where two bombs exploded in litter bins in a shopping precinct in Warrington, killing a three-year-old boy and injuring 55 people. The second bomb occurred within a minute of the first, directly in the path of many of those fleeing from the initial blast</w:t>
      </w:r>
    </w:p>
    <w:p w:rsidR="00B832F3" w:rsidRPr="00B832F3" w:rsidP="00B832F3">
      <w:pPr>
        <w:rPr>
          <w:rFonts w:cstheme="minorHAnsi"/>
        </w:rPr>
      </w:pPr>
    </w:p>
    <w:p w:rsidR="00B832F3" w:rsidRPr="00B832F3" w:rsidP="00B832F3">
      <w:pPr>
        <w:rPr>
          <w:rFonts w:cstheme="minorHAnsi"/>
        </w:rPr>
      </w:pPr>
      <w:r w:rsidRPr="00B832F3">
        <w:rPr>
          <w:rFonts w:cstheme="minorHAnsi"/>
        </w:rPr>
        <w:t>I attach extracts from 3 articles on secondary bombings. One is from the US organisation Homeland Security which states that secondary bombings now amount to about half of all terrorist attacks. They cite the nightclub bombing in Bali where a small initial bomb sent people into the street where a massive vehicle bomb then killed 202 people.</w:t>
      </w:r>
    </w:p>
    <w:p w:rsidR="00B832F3" w:rsidRPr="00B832F3" w:rsidP="00B832F3">
      <w:pPr>
        <w:rPr>
          <w:rFonts w:cstheme="minorHAnsi"/>
        </w:rPr>
      </w:pPr>
    </w:p>
    <w:p w:rsidR="00B832F3" w:rsidRPr="00B832F3" w:rsidP="00B832F3">
      <w:pPr>
        <w:rPr>
          <w:rFonts w:cstheme="minorHAnsi"/>
        </w:rPr>
      </w:pPr>
      <w:r w:rsidRPr="00B832F3">
        <w:rPr>
          <w:rFonts w:cstheme="minorHAnsi"/>
        </w:rPr>
        <w:t>The March 2004 Madrid train bombings were designed to set off two massive bombs to catch those evacuated f</w:t>
      </w:r>
      <w:r>
        <w:rPr>
          <w:rFonts w:cstheme="minorHAnsi"/>
        </w:rPr>
        <w:t>rom</w:t>
      </w:r>
      <w:r w:rsidRPr="00B832F3">
        <w:rPr>
          <w:rFonts w:cstheme="minorHAnsi"/>
        </w:rPr>
        <w:t xml:space="preserve"> 10 smaller bombs.</w:t>
      </w:r>
    </w:p>
    <w:p w:rsidR="00B832F3" w:rsidRPr="00B832F3" w:rsidP="00B832F3">
      <w:pPr>
        <w:rPr>
          <w:rFonts w:cstheme="minorHAnsi"/>
        </w:rPr>
      </w:pPr>
    </w:p>
    <w:p w:rsidR="00B832F3" w:rsidP="00B832F3">
      <w:pPr>
        <w:rPr>
          <w:rFonts w:cstheme="minorHAnsi"/>
        </w:rPr>
      </w:pPr>
      <w:r w:rsidRPr="00B832F3">
        <w:rPr>
          <w:rFonts w:cstheme="minorHAnsi"/>
        </w:rPr>
        <w:t>Lest you think that is may be typical American hype of over-reaction I have copied extracts f</w:t>
      </w:r>
      <w:r>
        <w:rPr>
          <w:rFonts w:cstheme="minorHAnsi"/>
        </w:rPr>
        <w:t>rom</w:t>
      </w:r>
      <w:r w:rsidRPr="00B832F3">
        <w:rPr>
          <w:rFonts w:cstheme="minorHAnsi"/>
        </w:rPr>
        <w:t xml:space="preserve"> a  Cambridge University Press article of November 2022 which analysed all worldwide attacks on emergency responders from 1970 – 2019. It says</w:t>
      </w:r>
    </w:p>
    <w:p w:rsidR="00B832F3" w:rsidP="00B832F3">
      <w:pPr>
        <w:rPr>
          <w:rFonts w:cstheme="minorHAnsi"/>
        </w:rPr>
      </w:pPr>
    </w:p>
    <w:p w:rsidR="00B832F3" w:rsidRPr="00B832F3" w:rsidP="00B832F3">
      <w:pPr>
        <w:rPr>
          <w:rFonts w:eastAsia="Times New Roman" w:cstheme="minorHAnsi"/>
          <w:lang w:eastAsia="en-GB"/>
        </w:rPr>
      </w:pPr>
      <w:r>
        <w:rPr>
          <w:rFonts w:cstheme="minorHAnsi"/>
        </w:rPr>
        <w:tab/>
      </w:r>
      <w:r w:rsidRPr="00B832F3">
        <w:rPr>
          <w:rFonts w:cstheme="minorHAnsi"/>
        </w:rPr>
        <w:t xml:space="preserve"> “</w:t>
      </w:r>
      <w:r w:rsidRPr="00B832F3">
        <w:rPr>
          <w:rFonts w:eastAsia="Times New Roman" w:cstheme="minorHAnsi"/>
          <w:lang w:eastAsia="en-GB"/>
        </w:rPr>
        <w:t xml:space="preserve">secondary attacks are an emerging risk. Bombings and explosions are the most </w:t>
      </w:r>
      <w:r>
        <w:rPr>
          <w:rFonts w:eastAsia="Times New Roman" w:cstheme="minorHAnsi"/>
          <w:lang w:eastAsia="en-GB"/>
        </w:rPr>
        <w:tab/>
      </w:r>
      <w:r w:rsidRPr="00B832F3">
        <w:rPr>
          <w:rFonts w:eastAsia="Times New Roman" w:cstheme="minorHAnsi"/>
          <w:lang w:eastAsia="en-GB"/>
        </w:rPr>
        <w:t>common attack type.”</w:t>
      </w:r>
    </w:p>
    <w:p w:rsidR="00B832F3" w:rsidRPr="00B832F3" w:rsidP="00B832F3">
      <w:pPr>
        <w:rPr>
          <w:rFonts w:eastAsia="Times New Roman" w:cstheme="minorHAnsi"/>
          <w:lang w:eastAsia="en-GB"/>
        </w:rPr>
      </w:pPr>
    </w:p>
    <w:p w:rsidR="00B832F3" w:rsidRPr="00B832F3" w:rsidP="00B832F3">
      <w:pPr>
        <w:rPr>
          <w:rFonts w:eastAsia="Times New Roman" w:cstheme="minorHAnsi"/>
          <w:lang w:eastAsia="en-GB"/>
        </w:rPr>
      </w:pPr>
      <w:r w:rsidRPr="00B832F3">
        <w:rPr>
          <w:rFonts w:eastAsia="Times New Roman" w:cstheme="minorHAnsi"/>
          <w:lang w:eastAsia="en-GB"/>
        </w:rPr>
        <w:t>And finally</w:t>
      </w:r>
      <w:r>
        <w:rPr>
          <w:rFonts w:eastAsia="Times New Roman" w:cstheme="minorHAnsi"/>
          <w:lang w:eastAsia="en-GB"/>
        </w:rPr>
        <w:t>,</w:t>
      </w:r>
      <w:r w:rsidRPr="00B832F3">
        <w:rPr>
          <w:rFonts w:eastAsia="Times New Roman" w:cstheme="minorHAnsi"/>
          <w:lang w:eastAsia="en-GB"/>
        </w:rPr>
        <w:t xml:space="preserve"> I attach extracts f</w:t>
      </w:r>
      <w:r>
        <w:rPr>
          <w:rFonts w:eastAsia="Times New Roman" w:cstheme="minorHAnsi"/>
          <w:lang w:eastAsia="en-GB"/>
        </w:rPr>
        <w:t>ro</w:t>
      </w:r>
      <w:r w:rsidRPr="00B832F3">
        <w:rPr>
          <w:rFonts w:eastAsia="Times New Roman" w:cstheme="minorHAnsi"/>
          <w:lang w:eastAsia="en-GB"/>
        </w:rPr>
        <w:t>m the official UK Government advice issued in 2020 and updated in 2022. It says,</w:t>
      </w:r>
    </w:p>
    <w:p w:rsidR="00B832F3" w:rsidRPr="00B832F3" w:rsidP="00B832F3">
      <w:pPr>
        <w:rPr>
          <w:rFonts w:eastAsia="Times New Roman" w:cstheme="minorHAnsi"/>
          <w:lang w:eastAsia="en-GB"/>
        </w:rPr>
      </w:pPr>
    </w:p>
    <w:p w:rsidR="00B832F3" w:rsidRPr="00B832F3" w:rsidP="00B832F3">
      <w:pPr>
        <w:rPr>
          <w:rFonts w:eastAsia="Times New Roman" w:cstheme="minorHAnsi"/>
          <w:lang w:eastAsia="en-GB"/>
        </w:rPr>
      </w:pPr>
      <w:r w:rsidRPr="00B832F3">
        <w:rPr>
          <w:rFonts w:eastAsia="Times New Roman" w:cstheme="minorHAnsi"/>
          <w:lang w:eastAsia="en-GB"/>
        </w:rPr>
        <w:tab/>
        <w:t>“</w:t>
      </w:r>
      <w:r w:rsidRPr="00B832F3">
        <w:rPr>
          <w:rFonts w:eastAsia="Times New Roman" w:cstheme="minorHAnsi"/>
          <w:lang w:eastAsia="en-GB"/>
        </w:rPr>
        <w:t xml:space="preserve">Consider instructing crowds to disperse upon evacuation. This reduces the risk of a </w:t>
      </w:r>
      <w:r w:rsidRPr="00B832F3">
        <w:rPr>
          <w:rFonts w:eastAsia="Times New Roman" w:cstheme="minorHAnsi"/>
          <w:lang w:eastAsia="en-GB"/>
        </w:rPr>
        <w:tab/>
        <w:t>secondary attack at a designated assembly point.”</w:t>
      </w:r>
    </w:p>
    <w:p w:rsidR="00B832F3" w:rsidRPr="00B832F3" w:rsidP="00B832F3">
      <w:pPr>
        <w:rPr>
          <w:rFonts w:eastAsia="Times New Roman" w:cstheme="minorHAnsi"/>
          <w:lang w:eastAsia="en-GB"/>
        </w:rPr>
      </w:pPr>
    </w:p>
    <w:p w:rsidR="00B832F3" w:rsidP="00B832F3">
      <w:pPr>
        <w:rPr>
          <w:rFonts w:eastAsia="Times New Roman" w:cstheme="minorHAnsi"/>
          <w:lang w:eastAsia="en-GB"/>
        </w:rPr>
      </w:pPr>
      <w:r w:rsidRPr="00B832F3">
        <w:rPr>
          <w:rFonts w:eastAsia="Times New Roman" w:cstheme="minorHAnsi"/>
          <w:lang w:eastAsia="en-GB"/>
        </w:rPr>
        <w:t>It goes on to draw attention to the risk of sending people out in a fire evacuation scenario and right into killing zone of a secondary attack.</w:t>
      </w:r>
    </w:p>
    <w:p w:rsidR="00B832F3" w:rsidP="00B832F3">
      <w:pPr>
        <w:rPr>
          <w:rFonts w:eastAsia="Times New Roman" w:cstheme="minorHAnsi"/>
          <w:lang w:eastAsia="en-GB"/>
        </w:rPr>
      </w:pPr>
    </w:p>
    <w:p w:rsidR="00B832F3" w:rsidRPr="00B832F3" w:rsidP="00B832F3">
      <w:pPr>
        <w:rPr>
          <w:rFonts w:eastAsia="Times New Roman" w:cstheme="minorHAnsi"/>
          <w:b/>
          <w:bCs/>
          <w:lang w:eastAsia="en-GB"/>
        </w:rPr>
      </w:pPr>
      <w:r w:rsidRPr="00B832F3">
        <w:rPr>
          <w:rFonts w:eastAsia="Times New Roman" w:cstheme="minorHAnsi"/>
          <w:b/>
          <w:bCs/>
          <w:lang w:eastAsia="en-GB"/>
        </w:rPr>
        <w:t>Relevance to the Monument, Learning Centre and Parliament.</w:t>
      </w:r>
    </w:p>
    <w:p w:rsidR="00B832F3" w:rsidP="00B832F3">
      <w:pPr>
        <w:rPr>
          <w:rFonts w:eastAsia="Times New Roman" w:cstheme="minorHAnsi"/>
          <w:lang w:eastAsia="en-GB"/>
        </w:rPr>
      </w:pPr>
    </w:p>
    <w:p w:rsidR="00B832F3" w:rsidP="00B832F3">
      <w:pPr>
        <w:rPr>
          <w:rFonts w:eastAsia="Times New Roman" w:cstheme="minorHAnsi"/>
          <w:lang w:eastAsia="en-GB"/>
        </w:rPr>
      </w:pPr>
      <w:r>
        <w:rPr>
          <w:rFonts w:eastAsia="Times New Roman" w:cstheme="minorHAnsi"/>
          <w:lang w:eastAsia="en-GB"/>
        </w:rPr>
        <w:t>The extracts of the reports I have attached give 100% affirmation that Lord Carlisle was right to draw attention to the danger of people in VTG being killed as they wait to enter the Learning Centre or anyone else walking through the gardens including parliamentarians.</w:t>
      </w:r>
    </w:p>
    <w:p w:rsidR="00B832F3" w:rsidP="00B832F3">
      <w:pPr>
        <w:rPr>
          <w:rFonts w:eastAsia="Times New Roman" w:cstheme="minorHAnsi"/>
          <w:lang w:eastAsia="en-GB"/>
        </w:rPr>
      </w:pPr>
    </w:p>
    <w:p w:rsidR="00B832F3" w:rsidP="00B832F3">
      <w:pPr>
        <w:rPr>
          <w:rFonts w:eastAsia="Times New Roman" w:cstheme="minorHAnsi"/>
          <w:lang w:eastAsia="en-GB"/>
        </w:rPr>
      </w:pPr>
      <w:r>
        <w:rPr>
          <w:rFonts w:eastAsia="Times New Roman" w:cstheme="minorHAnsi"/>
          <w:lang w:eastAsia="en-GB"/>
        </w:rPr>
        <w:t xml:space="preserve">The modus operandi would be to set off the fire alarm in the Centre or activate a small smoke bomb and then set off a massive explosion a few minutes later when there were large numbers gathered outside. That bomb could be in a </w:t>
      </w:r>
      <w:r>
        <w:rPr>
          <w:rFonts w:eastAsia="Times New Roman" w:cstheme="minorHAnsi"/>
          <w:lang w:eastAsia="en-GB"/>
        </w:rPr>
        <w:t>a</w:t>
      </w:r>
      <w:r>
        <w:rPr>
          <w:rFonts w:eastAsia="Times New Roman" w:cstheme="minorHAnsi"/>
          <w:lang w:eastAsia="en-GB"/>
        </w:rPr>
        <w:t xml:space="preserve"> lorry, bus or other vehicle on Millbank and the damage could impact on Parliament itself, parliamentarians in VTGs and our offices in 1 Millbank.</w:t>
      </w:r>
    </w:p>
    <w:p w:rsidR="00B832F3" w:rsidP="00B832F3">
      <w:pPr>
        <w:rPr>
          <w:rFonts w:eastAsia="Times New Roman" w:cstheme="minorHAnsi"/>
          <w:lang w:eastAsia="en-GB"/>
        </w:rPr>
      </w:pPr>
    </w:p>
    <w:p w:rsidR="00B832F3" w:rsidRPr="00B832F3" w:rsidP="00B832F3">
      <w:pPr>
        <w:rPr>
          <w:rFonts w:eastAsia="Times New Roman" w:cstheme="minorHAnsi"/>
          <w:b/>
          <w:bCs/>
          <w:lang w:eastAsia="en-GB"/>
        </w:rPr>
      </w:pPr>
      <w:r w:rsidRPr="00B832F3">
        <w:rPr>
          <w:rFonts w:eastAsia="Times New Roman" w:cstheme="minorHAnsi"/>
          <w:b/>
          <w:bCs/>
          <w:lang w:eastAsia="en-GB"/>
        </w:rPr>
        <w:t>A bomb affecting Parliament is not just a matter for the Westminster City Council Planning Department.</w:t>
      </w:r>
    </w:p>
    <w:p w:rsidR="00B832F3" w:rsidP="00B832F3">
      <w:pPr>
        <w:rPr>
          <w:rFonts w:eastAsia="Times New Roman" w:cstheme="minorHAnsi"/>
          <w:lang w:eastAsia="en-GB"/>
        </w:rPr>
      </w:pPr>
    </w:p>
    <w:p w:rsidR="00B832F3" w:rsidP="00B832F3">
      <w:pPr>
        <w:rPr>
          <w:rFonts w:eastAsia="Times New Roman" w:cstheme="minorHAnsi"/>
          <w:lang w:eastAsia="en-GB"/>
        </w:rPr>
      </w:pPr>
      <w:r>
        <w:rPr>
          <w:rFonts w:eastAsia="Times New Roman" w:cstheme="minorHAnsi"/>
          <w:lang w:eastAsia="en-GB"/>
        </w:rPr>
        <w:t>The solicitor for the Promoter argued that Parliament should have no say over security, and this was reserved as a matter for the Planning Department of Westminster City Council.  This was typical of most arguments used by the promoter of this Bill, that Parliament had no right to comment or concern ourselves with crucial matters which affect how we go about our business. I though their arrogant dismissal of the security point was unacceptable.</w:t>
      </w:r>
    </w:p>
    <w:p w:rsidR="00B832F3" w:rsidP="00B832F3">
      <w:pPr>
        <w:rPr>
          <w:rFonts w:eastAsia="Times New Roman" w:cstheme="minorHAnsi"/>
          <w:lang w:eastAsia="en-GB"/>
        </w:rPr>
      </w:pPr>
    </w:p>
    <w:p w:rsidR="00B832F3" w:rsidP="00B832F3">
      <w:pPr>
        <w:rPr>
          <w:rFonts w:eastAsia="Times New Roman" w:cstheme="minorHAnsi"/>
          <w:lang w:eastAsia="en-GB"/>
        </w:rPr>
      </w:pPr>
      <w:r>
        <w:rPr>
          <w:rFonts w:eastAsia="Times New Roman" w:cstheme="minorHAnsi"/>
          <w:lang w:eastAsia="en-GB"/>
        </w:rPr>
        <w:t>Whilst I am sure that the Planning Department of WCC is full of caring, dedicated and  expert people, I do not think that we in Parliament can abdicate our security concerns to them. This project is a highly contentious one and it is right on our doorstep. I suppose it could be about 50 yards closer to the Lords’ end of the building but the idea that we should have no say about security is preposterous.</w:t>
      </w:r>
    </w:p>
    <w:p w:rsidR="00B832F3" w:rsidP="00B832F3">
      <w:pPr>
        <w:rPr>
          <w:rFonts w:eastAsia="Times New Roman" w:cstheme="minorHAnsi"/>
          <w:lang w:eastAsia="en-GB"/>
        </w:rPr>
      </w:pPr>
      <w:r>
        <w:rPr>
          <w:rFonts w:eastAsia="Times New Roman" w:cstheme="minorHAnsi"/>
          <w:lang w:eastAsia="en-GB"/>
        </w:rPr>
        <w:t xml:space="preserve"> </w:t>
      </w:r>
    </w:p>
    <w:p w:rsidR="00B832F3" w:rsidP="00B832F3">
      <w:pPr>
        <w:rPr>
          <w:rFonts w:eastAsia="Times New Roman" w:cstheme="minorHAnsi"/>
          <w:lang w:eastAsia="en-GB"/>
        </w:rPr>
      </w:pPr>
      <w:r>
        <w:rPr>
          <w:rFonts w:eastAsia="Times New Roman" w:cstheme="minorHAnsi"/>
          <w:lang w:eastAsia="en-GB"/>
        </w:rPr>
        <w:t xml:space="preserve">Thus, I submit to the Committee that it would be extraordinary if the Committee is not permitted to have a view on the terrorist threat to Parliament and our Members if this project goes ahead. I think other Peers would be surprised if the Committee did not have a view and recommendations for any amendments which would require Parliamentary approval of the ultimate security arrangements. </w:t>
      </w:r>
    </w:p>
    <w:p w:rsidR="00B832F3" w:rsidP="00B832F3">
      <w:pPr>
        <w:rPr>
          <w:rFonts w:eastAsia="Times New Roman" w:cstheme="minorHAnsi"/>
          <w:lang w:eastAsia="en-GB"/>
        </w:rPr>
      </w:pPr>
    </w:p>
    <w:p w:rsidR="00B832F3" w:rsidP="00B832F3">
      <w:pPr>
        <w:rPr>
          <w:rFonts w:eastAsia="Times New Roman" w:cstheme="minorHAnsi"/>
          <w:lang w:eastAsia="en-GB"/>
        </w:rPr>
      </w:pPr>
      <w:r>
        <w:rPr>
          <w:rFonts w:eastAsia="Times New Roman" w:cstheme="minorHAnsi"/>
          <w:lang w:eastAsia="en-GB"/>
        </w:rPr>
        <w:t xml:space="preserve">I will copy this to Lord Carlisle and Baroness </w:t>
      </w:r>
      <w:r>
        <w:rPr>
          <w:rFonts w:eastAsia="Times New Roman" w:cstheme="minorHAnsi"/>
          <w:lang w:eastAsia="en-GB"/>
        </w:rPr>
        <w:t>Deetch</w:t>
      </w:r>
      <w:r>
        <w:rPr>
          <w:rFonts w:eastAsia="Times New Roman" w:cstheme="minorHAnsi"/>
          <w:lang w:eastAsia="en-GB"/>
        </w:rPr>
        <w:t>.</w:t>
      </w:r>
    </w:p>
    <w:p w:rsidR="00B832F3" w:rsidP="00B832F3">
      <w:pPr>
        <w:rPr>
          <w:rFonts w:eastAsia="Times New Roman" w:cstheme="minorHAnsi"/>
          <w:lang w:eastAsia="en-GB"/>
        </w:rPr>
      </w:pPr>
    </w:p>
    <w:p w:rsidR="00B832F3" w:rsidRPr="00B832F3" w:rsidP="00B832F3">
      <w:pPr>
        <w:rPr>
          <w:rFonts w:eastAsia="Times New Roman" w:cstheme="minorHAnsi"/>
          <w:b/>
          <w:bCs/>
          <w:sz w:val="20"/>
          <w:szCs w:val="20"/>
          <w:lang w:eastAsia="en-GB"/>
        </w:rPr>
      </w:pPr>
      <w:r w:rsidRPr="00B832F3">
        <w:rPr>
          <w:rFonts w:eastAsia="Times New Roman" w:cstheme="minorHAnsi"/>
          <w:b/>
          <w:bCs/>
          <w:sz w:val="20"/>
          <w:szCs w:val="20"/>
          <w:lang w:eastAsia="en-GB"/>
        </w:rPr>
        <w:t>The Rt Hon the Lord Blencathra PC.</w:t>
      </w:r>
    </w:p>
    <w:p w:rsidR="00B832F3" w:rsidRPr="00B832F3" w:rsidP="00B832F3">
      <w:pPr>
        <w:rPr>
          <w:rFonts w:eastAsia="Times New Roman" w:cstheme="minorHAnsi"/>
          <w:b/>
          <w:bCs/>
          <w:sz w:val="20"/>
          <w:szCs w:val="20"/>
          <w:lang w:eastAsia="en-GB"/>
        </w:rPr>
      </w:pPr>
      <w:r w:rsidRPr="00B832F3">
        <w:rPr>
          <w:rFonts w:eastAsia="Times New Roman" w:cstheme="minorHAnsi"/>
          <w:b/>
          <w:bCs/>
          <w:sz w:val="20"/>
          <w:szCs w:val="20"/>
          <w:lang w:eastAsia="en-GB"/>
        </w:rPr>
        <w:t>8</w:t>
      </w:r>
      <w:r w:rsidRPr="00B832F3">
        <w:rPr>
          <w:rFonts w:eastAsia="Times New Roman" w:cstheme="minorHAnsi"/>
          <w:b/>
          <w:bCs/>
          <w:sz w:val="20"/>
          <w:szCs w:val="20"/>
          <w:vertAlign w:val="superscript"/>
          <w:lang w:eastAsia="en-GB"/>
        </w:rPr>
        <w:t>th</w:t>
      </w:r>
      <w:r w:rsidRPr="00B832F3">
        <w:rPr>
          <w:rFonts w:eastAsia="Times New Roman" w:cstheme="minorHAnsi"/>
          <w:b/>
          <w:bCs/>
          <w:sz w:val="20"/>
          <w:szCs w:val="20"/>
          <w:lang w:eastAsia="en-GB"/>
        </w:rPr>
        <w:t xml:space="preserve"> December 2024</w:t>
      </w:r>
    </w:p>
    <w:p w:rsidR="00B832F3" w:rsidP="00B832F3">
      <w:pPr>
        <w:rPr>
          <w:rFonts w:eastAsia="Times New Roman" w:cstheme="minorHAnsi"/>
          <w:lang w:eastAsia="en-GB"/>
        </w:rPr>
      </w:pPr>
    </w:p>
    <w:p w:rsidR="00B832F3" w:rsidRPr="00B832F3" w:rsidP="00B832F3">
      <w:pPr>
        <w:rPr>
          <w:rFonts w:eastAsia="Times New Roman" w:cstheme="minorHAnsi"/>
          <w:lang w:eastAsia="en-GB"/>
        </w:rPr>
      </w:pPr>
    </w:p>
    <w:p w:rsidR="00B832F3" w:rsidRPr="00B832F3" w:rsidP="00B832F3">
      <w:pPr>
        <w:rPr>
          <w:rFonts w:cstheme="minorHAnsi"/>
        </w:rPr>
      </w:pPr>
      <w:r w:rsidRPr="00B832F3">
        <w:rPr>
          <w:rFonts w:cstheme="minorHAnsi"/>
        </w:rPr>
        <w:tab/>
      </w:r>
    </w:p>
    <w:p w:rsidR="00B832F3" w:rsidRPr="00B832F3" w:rsidP="00B832F3">
      <w:pPr>
        <w:rPr>
          <w:rFonts w:cstheme="minorHAnsi"/>
        </w:rPr>
      </w:pPr>
    </w:p>
    <w:p w:rsidR="00B832F3" w:rsidRPr="00B832F3">
      <w:pPr>
        <w:rPr>
          <w:rFonts w:cstheme="minorHAnsi"/>
        </w:rPr>
      </w:pPr>
    </w:p>
    <w:p w:rsidR="00B832F3" w:rsidRPr="00B832F3" w:rsidP="00B832F3">
      <w:pPr>
        <w:rPr>
          <w:rFonts w:cstheme="minorHAnsi"/>
          <w:b/>
          <w:bCs/>
        </w:rPr>
      </w:pPr>
      <w:r w:rsidRPr="00B832F3">
        <w:rPr>
          <w:rFonts w:cstheme="minorHAnsi"/>
          <w:b/>
          <w:bCs/>
        </w:rPr>
        <w:t>Homeland Security.  Secondary Attacks.</w:t>
      </w:r>
    </w:p>
    <w:p w:rsidR="00B832F3" w:rsidRPr="00B832F3" w:rsidP="00B832F3">
      <w:pPr>
        <w:rPr>
          <w:rFonts w:cstheme="minorHAnsi"/>
        </w:rPr>
      </w:pPr>
    </w:p>
    <w:p w:rsidR="00B832F3" w:rsidRPr="00B832F3" w:rsidP="00B832F3">
      <w:pPr>
        <w:rPr>
          <w:rFonts w:cstheme="minorHAnsi"/>
        </w:rPr>
      </w:pPr>
      <w:r w:rsidRPr="00B832F3">
        <w:rPr>
          <w:rFonts w:cstheme="minorHAnsi"/>
        </w:rPr>
        <w:t>INTRODUCTION.</w:t>
      </w:r>
    </w:p>
    <w:p w:rsidR="00B832F3" w:rsidRPr="00B832F3" w:rsidP="00B832F3">
      <w:pPr>
        <w:rPr>
          <w:rFonts w:cstheme="minorHAnsi"/>
        </w:rPr>
      </w:pPr>
      <w:r w:rsidRPr="00B832F3">
        <w:rPr>
          <w:rFonts w:cstheme="minorHAnsi"/>
        </w:rPr>
        <w:t>This Best Practice discusses procedures for preventing and mitigating the effects of</w:t>
      </w:r>
    </w:p>
    <w:p w:rsidR="00B832F3" w:rsidRPr="00B832F3" w:rsidP="00B832F3">
      <w:pPr>
        <w:rPr>
          <w:rFonts w:cstheme="minorHAnsi"/>
        </w:rPr>
      </w:pPr>
      <w:r w:rsidRPr="00B832F3">
        <w:rPr>
          <w:rFonts w:cstheme="minorHAnsi"/>
        </w:rPr>
        <w:t>secondary attacks at terrorist incident sites.</w:t>
      </w:r>
    </w:p>
    <w:p w:rsidR="00B832F3" w:rsidRPr="00B832F3" w:rsidP="00B832F3">
      <w:pPr>
        <w:rPr>
          <w:rFonts w:cstheme="minorHAnsi"/>
        </w:rPr>
      </w:pPr>
    </w:p>
    <w:p w:rsidR="00B832F3" w:rsidRPr="00B832F3" w:rsidP="00B832F3">
      <w:pPr>
        <w:rPr>
          <w:rFonts w:cstheme="minorHAnsi"/>
        </w:rPr>
      </w:pPr>
      <w:r w:rsidRPr="00B832F3">
        <w:rPr>
          <w:rFonts w:cstheme="minorHAnsi"/>
        </w:rPr>
        <w:t>SUMMARY</w:t>
      </w:r>
    </w:p>
    <w:p w:rsidR="00B832F3" w:rsidRPr="00B832F3" w:rsidP="00B832F3">
      <w:pPr>
        <w:rPr>
          <w:rFonts w:cstheme="minorHAnsi"/>
        </w:rPr>
      </w:pPr>
      <w:r w:rsidRPr="00B832F3">
        <w:rPr>
          <w:rFonts w:cstheme="minorHAnsi"/>
        </w:rPr>
        <w:t>Effective incident site security (ISS) requires immediate action to address the threat of</w:t>
      </w:r>
    </w:p>
    <w:p w:rsidR="00B832F3" w:rsidRPr="00B832F3" w:rsidP="00B832F3">
      <w:pPr>
        <w:rPr>
          <w:rFonts w:cstheme="minorHAnsi"/>
        </w:rPr>
      </w:pPr>
      <w:r w:rsidRPr="00B832F3">
        <w:rPr>
          <w:rFonts w:cstheme="minorHAnsi"/>
        </w:rPr>
        <w:t>secondary attacks. This Best Practice reviews key elements that secondary attack standard</w:t>
      </w:r>
    </w:p>
    <w:p w:rsidR="00B832F3" w:rsidRPr="00B832F3" w:rsidP="00B832F3">
      <w:pPr>
        <w:rPr>
          <w:rFonts w:cstheme="minorHAnsi"/>
        </w:rPr>
      </w:pPr>
      <w:r w:rsidRPr="00B832F3">
        <w:rPr>
          <w:rFonts w:cstheme="minorHAnsi"/>
        </w:rPr>
        <w:t>operating procedures (SOPs) should address: identifying/locating devices and/or potential</w:t>
      </w:r>
    </w:p>
    <w:p w:rsidR="00B832F3" w:rsidRPr="00B832F3" w:rsidP="00B832F3">
      <w:pPr>
        <w:rPr>
          <w:rFonts w:cstheme="minorHAnsi"/>
        </w:rPr>
      </w:pPr>
      <w:r w:rsidRPr="00B832F3">
        <w:rPr>
          <w:rFonts w:cstheme="minorHAnsi"/>
        </w:rPr>
        <w:t>attackers, disarming secondary devices, defining response logistics, establishing perimeter</w:t>
      </w:r>
    </w:p>
    <w:p w:rsidR="00B832F3" w:rsidRPr="00B832F3" w:rsidP="00B832F3">
      <w:pPr>
        <w:rPr>
          <w:rFonts w:cstheme="minorHAnsi"/>
        </w:rPr>
      </w:pPr>
      <w:r w:rsidRPr="00B832F3">
        <w:rPr>
          <w:rFonts w:cstheme="minorHAnsi"/>
        </w:rPr>
        <w:t>security, and validating threat.</w:t>
      </w:r>
    </w:p>
    <w:p w:rsidR="00B832F3" w:rsidRPr="00B832F3" w:rsidP="00B832F3">
      <w:pPr>
        <w:rPr>
          <w:rFonts w:cstheme="minorHAnsi"/>
        </w:rPr>
      </w:pPr>
    </w:p>
    <w:p w:rsidR="00B832F3" w:rsidRPr="00B832F3" w:rsidP="00B832F3">
      <w:pPr>
        <w:rPr>
          <w:rFonts w:cstheme="minorHAnsi"/>
        </w:rPr>
      </w:pPr>
      <w:r w:rsidRPr="00B832F3">
        <w:rPr>
          <w:rFonts w:cstheme="minorHAnsi"/>
        </w:rPr>
        <w:t>DESCRIPTION</w:t>
      </w:r>
    </w:p>
    <w:p w:rsidR="00B832F3" w:rsidRPr="00B832F3" w:rsidP="00B832F3">
      <w:pPr>
        <w:rPr>
          <w:rFonts w:cstheme="minorHAnsi"/>
        </w:rPr>
      </w:pPr>
      <w:r w:rsidRPr="00B832F3">
        <w:rPr>
          <w:rFonts w:cstheme="minorHAnsi"/>
        </w:rPr>
        <w:t>Secondary attacks follow an initial incident and generally target emergency responders</w:t>
      </w:r>
    </w:p>
    <w:p w:rsidR="00B832F3" w:rsidRPr="00B832F3" w:rsidP="00B832F3">
      <w:pPr>
        <w:rPr>
          <w:rFonts w:cstheme="minorHAnsi"/>
        </w:rPr>
      </w:pPr>
      <w:r w:rsidRPr="00B832F3">
        <w:rPr>
          <w:rFonts w:cstheme="minorHAnsi"/>
        </w:rPr>
        <w:t>and/or gathered bystanders at an incident scene. The most common form of secondary</w:t>
      </w:r>
    </w:p>
    <w:p w:rsidR="00B832F3" w:rsidRPr="00B832F3" w:rsidP="00B832F3">
      <w:pPr>
        <w:rPr>
          <w:rFonts w:cstheme="minorHAnsi"/>
        </w:rPr>
      </w:pPr>
      <w:r w:rsidRPr="00B832F3">
        <w:rPr>
          <w:rFonts w:cstheme="minorHAnsi"/>
        </w:rPr>
        <w:t>attack is a pre-planted, self-detonating explosive device located near an initial incident site.</w:t>
      </w:r>
    </w:p>
    <w:p w:rsidR="00B832F3" w:rsidRPr="00B832F3" w:rsidP="00B832F3">
      <w:pPr>
        <w:rPr>
          <w:rFonts w:cstheme="minorHAnsi"/>
        </w:rPr>
      </w:pPr>
      <w:r w:rsidRPr="00B832F3">
        <w:rPr>
          <w:rFonts w:cstheme="minorHAnsi"/>
        </w:rPr>
        <w:t>However, devices can utilize a number of designs and agents, including chemical,</w:t>
      </w:r>
    </w:p>
    <w:p w:rsidR="00B832F3" w:rsidRPr="00B832F3" w:rsidP="00B832F3">
      <w:pPr>
        <w:rPr>
          <w:rFonts w:cstheme="minorHAnsi"/>
        </w:rPr>
      </w:pPr>
      <w:r w:rsidRPr="00B832F3">
        <w:rPr>
          <w:rFonts w:cstheme="minorHAnsi"/>
        </w:rPr>
        <w:t>radiological, or biological releases. This document focuses on threats posed by pre-planted</w:t>
      </w:r>
    </w:p>
    <w:p w:rsidR="00B832F3" w:rsidRPr="00B832F3" w:rsidP="00B832F3">
      <w:pPr>
        <w:rPr>
          <w:rFonts w:cstheme="minorHAnsi"/>
        </w:rPr>
      </w:pPr>
      <w:r w:rsidRPr="00B832F3">
        <w:rPr>
          <w:rFonts w:cstheme="minorHAnsi"/>
        </w:rPr>
        <w:t>explosive devices.</w:t>
      </w:r>
    </w:p>
    <w:p w:rsidR="00B832F3" w:rsidRPr="00B832F3" w:rsidP="00B832F3">
      <w:pPr>
        <w:rPr>
          <w:rFonts w:cstheme="minorHAnsi"/>
        </w:rPr>
      </w:pPr>
    </w:p>
    <w:p w:rsidR="00B832F3" w:rsidRPr="00B832F3" w:rsidP="00B832F3">
      <w:pPr>
        <w:rPr>
          <w:rFonts w:cstheme="minorHAnsi"/>
        </w:rPr>
      </w:pPr>
      <w:r w:rsidRPr="00B832F3">
        <w:rPr>
          <w:rFonts w:cstheme="minorHAnsi"/>
        </w:rPr>
        <w:t>Statistics suggest that secondary devices are present at half of all terrorist incident sites.</w:t>
      </w:r>
    </w:p>
    <w:p w:rsidR="00B832F3" w:rsidRPr="00B832F3" w:rsidP="00B832F3">
      <w:pPr>
        <w:rPr>
          <w:rFonts w:cstheme="minorHAnsi"/>
        </w:rPr>
      </w:pPr>
      <w:r w:rsidRPr="00B832F3">
        <w:rPr>
          <w:rFonts w:cstheme="minorHAnsi"/>
        </w:rPr>
        <w:t xml:space="preserve">Secondary attacks first garnered attention in the United States following several attacks in the Atlanta area in 1997. Seven people were seriously injured when a secondary explosive device hidden in a dumpster detonated 45 minutes after an attack on a family planning clinic. Two emergency responders were among the injured. A month later, law enforcement officials located and disarmed a secondary attack device at the scene of a nightclub bombing in downtown Atlanta. </w:t>
      </w:r>
    </w:p>
    <w:p w:rsidR="00B832F3" w:rsidRPr="00B832F3" w:rsidP="00B832F3">
      <w:pPr>
        <w:rPr>
          <w:rFonts w:cstheme="minorHAnsi"/>
        </w:rPr>
      </w:pPr>
    </w:p>
    <w:p w:rsidR="00B832F3" w:rsidRPr="00B832F3" w:rsidP="00B832F3">
      <w:pPr>
        <w:rPr>
          <w:rFonts w:cstheme="minorHAnsi"/>
        </w:rPr>
      </w:pPr>
      <w:r w:rsidRPr="00B832F3">
        <w:rPr>
          <w:rFonts w:cstheme="minorHAnsi"/>
        </w:rPr>
        <w:t>Use of secondary devices has become a disturbing trend, occurring numerous times in</w:t>
      </w:r>
    </w:p>
    <w:p w:rsidR="00B832F3" w:rsidRPr="00B832F3" w:rsidP="00B832F3">
      <w:pPr>
        <w:rPr>
          <w:rFonts w:cstheme="minorHAnsi"/>
        </w:rPr>
      </w:pPr>
      <w:r w:rsidRPr="00B832F3">
        <w:rPr>
          <w:rFonts w:cstheme="minorHAnsi"/>
        </w:rPr>
        <w:t>recent years. For example, emergency responders removed two secondary explosive</w:t>
      </w:r>
    </w:p>
    <w:p w:rsidR="00B832F3" w:rsidRPr="00B832F3" w:rsidP="00B832F3">
      <w:pPr>
        <w:rPr>
          <w:rFonts w:cstheme="minorHAnsi"/>
        </w:rPr>
      </w:pPr>
      <w:r w:rsidRPr="00B832F3">
        <w:rPr>
          <w:rFonts w:cstheme="minorHAnsi"/>
        </w:rPr>
        <w:t>devices from the incident scene and surrounding areas at the 1999 Columbine High School</w:t>
      </w:r>
    </w:p>
    <w:p w:rsidR="00B832F3" w:rsidRPr="00B832F3" w:rsidP="00B832F3">
      <w:pPr>
        <w:rPr>
          <w:rFonts w:cstheme="minorHAnsi"/>
        </w:rPr>
      </w:pPr>
      <w:r w:rsidRPr="00B832F3">
        <w:rPr>
          <w:rFonts w:cstheme="minorHAnsi"/>
        </w:rPr>
        <w:t xml:space="preserve">shootings in Littleton, CO. </w:t>
      </w:r>
    </w:p>
    <w:p w:rsidR="00B832F3" w:rsidRPr="00B832F3" w:rsidP="00B832F3">
      <w:pPr>
        <w:rPr>
          <w:rFonts w:cstheme="minorHAnsi"/>
        </w:rPr>
      </w:pPr>
    </w:p>
    <w:p w:rsidR="00B832F3" w:rsidRPr="00B832F3" w:rsidP="00B832F3">
      <w:pPr>
        <w:rPr>
          <w:rFonts w:cstheme="minorHAnsi"/>
        </w:rPr>
      </w:pPr>
      <w:r w:rsidRPr="00B832F3">
        <w:rPr>
          <w:rFonts w:cstheme="minorHAnsi"/>
        </w:rPr>
        <w:t xml:space="preserve">The 2002 bombing of a nightclub in Bali, Indonesia was characterized by a small initial explosion, which drove patrons into the street, followed by the secondary detonation of a massive truck-bomb. Similarly, the March 2004 train bombing in Madrid, Spain, included two unexploded secondary devices set to detonate one hour after the initial ten explosions on crowded commuter trains in the city </w:t>
      </w:r>
      <w:r w:rsidRPr="00B832F3">
        <w:rPr>
          <w:rFonts w:cstheme="minorHAnsi"/>
        </w:rPr>
        <w:t>center</w:t>
      </w:r>
      <w:r w:rsidRPr="00B832F3">
        <w:rPr>
          <w:rFonts w:cstheme="minorHAnsi"/>
        </w:rPr>
        <w:t>.</w:t>
      </w:r>
    </w:p>
    <w:p w:rsidR="00B832F3" w:rsidRPr="00B832F3" w:rsidP="00B832F3">
      <w:pPr>
        <w:rPr>
          <w:rFonts w:cstheme="minorHAnsi"/>
        </w:rPr>
      </w:pPr>
    </w:p>
    <w:p w:rsidR="00B832F3" w:rsidRPr="00B832F3" w:rsidP="00B832F3">
      <w:pPr>
        <w:rPr>
          <w:rFonts w:cstheme="minorHAnsi"/>
        </w:rPr>
      </w:pPr>
    </w:p>
    <w:p w:rsidR="00B832F3" w:rsidRPr="00B832F3" w:rsidP="00B832F3">
      <w:pPr>
        <w:rPr>
          <w:rFonts w:cstheme="minorHAnsi"/>
          <w:b/>
          <w:bCs/>
        </w:rPr>
      </w:pPr>
      <w:r w:rsidRPr="00B832F3">
        <w:rPr>
          <w:rFonts w:cstheme="minorHAnsi"/>
          <w:b/>
          <w:bCs/>
        </w:rPr>
        <w:t>Terrorist Attacks Against Emergency Medical Services: Secondary Attacks are an Emerging Risk</w:t>
      </w:r>
    </w:p>
    <w:p w:rsidR="00B832F3" w:rsidRPr="00B832F3" w:rsidP="00B832F3">
      <w:pPr>
        <w:rPr>
          <w:rFonts w:cstheme="minorHAnsi"/>
        </w:rPr>
      </w:pPr>
      <w:r w:rsidRPr="00B832F3">
        <w:rPr>
          <w:rFonts w:cstheme="minorHAnsi"/>
        </w:rPr>
        <w:t xml:space="preserve">Published online by </w:t>
      </w:r>
      <w:r w:rsidRPr="00B832F3">
        <w:rPr>
          <w:rFonts w:cstheme="minorHAnsi"/>
          <w:b/>
          <w:bCs/>
        </w:rPr>
        <w:t>Cambridge University Press:</w:t>
      </w:r>
      <w:r w:rsidRPr="00B832F3">
        <w:rPr>
          <w:rFonts w:cstheme="minorHAnsi"/>
        </w:rPr>
        <w:t xml:space="preserve">  </w:t>
      </w:r>
      <w:r w:rsidRPr="00B832F3">
        <w:rPr>
          <w:rFonts w:cstheme="minorHAnsi"/>
          <w:b/>
          <w:bCs/>
        </w:rPr>
        <w:t>02 February 2022</w:t>
      </w:r>
    </w:p>
    <w:p w:rsidR="00B832F3" w:rsidRPr="00B832F3" w:rsidP="00B832F3">
      <w:pPr>
        <w:rPr>
          <w:rFonts w:eastAsia="Times New Roman" w:cstheme="minorHAnsi"/>
          <w:lang w:eastAsia="en-GB"/>
        </w:rPr>
      </w:pPr>
      <w:r w:rsidRPr="00B832F3">
        <w:rPr>
          <w:rFonts w:eastAsia="Times New Roman" w:cstheme="minorHAnsi"/>
          <w:lang w:eastAsia="en-GB"/>
        </w:rPr>
        <w:t>Introduction:</w:t>
      </w:r>
    </w:p>
    <w:p w:rsidR="00B832F3" w:rsidRPr="00B832F3" w:rsidP="00B832F3">
      <w:pPr>
        <w:spacing w:before="100" w:beforeAutospacing="1" w:after="100" w:afterAutospacing="1"/>
        <w:rPr>
          <w:rFonts w:eastAsia="Times New Roman" w:cstheme="minorHAnsi"/>
          <w:lang w:eastAsia="en-GB"/>
        </w:rPr>
      </w:pPr>
      <w:r w:rsidRPr="00B832F3">
        <w:rPr>
          <w:rFonts w:eastAsia="Times New Roman" w:cstheme="minorHAnsi"/>
          <w:lang w:eastAsia="en-GB"/>
        </w:rPr>
        <w:t>Terrorists increasingly aim at so-called soft targets, such as hospitals. However, little is known about terrorist attacks against Emergency Medical Services (EMS).</w:t>
      </w:r>
    </w:p>
    <w:p w:rsidR="00B832F3" w:rsidRPr="00B832F3" w:rsidP="00B832F3">
      <w:pPr>
        <w:rPr>
          <w:rFonts w:eastAsia="Times New Roman" w:cstheme="minorHAnsi"/>
          <w:lang w:eastAsia="en-GB"/>
        </w:rPr>
      </w:pPr>
      <w:r w:rsidRPr="00B832F3">
        <w:rPr>
          <w:rFonts w:eastAsia="Times New Roman" w:cstheme="minorHAnsi"/>
          <w:lang w:eastAsia="en-GB"/>
        </w:rPr>
        <w:t>Objective:</w:t>
      </w:r>
    </w:p>
    <w:p w:rsidR="00B832F3" w:rsidRPr="00B832F3" w:rsidP="00B832F3">
      <w:pPr>
        <w:spacing w:before="100" w:beforeAutospacing="1" w:after="100" w:afterAutospacing="1"/>
        <w:rPr>
          <w:rFonts w:eastAsia="Times New Roman" w:cstheme="minorHAnsi"/>
          <w:lang w:eastAsia="en-GB"/>
        </w:rPr>
      </w:pPr>
      <w:r w:rsidRPr="00B832F3">
        <w:rPr>
          <w:rFonts w:eastAsia="Times New Roman" w:cstheme="minorHAnsi"/>
          <w:lang w:eastAsia="en-GB"/>
        </w:rPr>
        <w:t>This study aims to review all documented terrorist attacks against EMS that occurred world-wide from 1970-2019 using the Global Terrorism Database (GTD).</w:t>
      </w:r>
    </w:p>
    <w:p w:rsidR="00B832F3" w:rsidRPr="00B832F3" w:rsidP="00B832F3">
      <w:pPr>
        <w:rPr>
          <w:rFonts w:eastAsia="Times New Roman" w:cstheme="minorHAnsi"/>
          <w:lang w:eastAsia="en-GB"/>
        </w:rPr>
      </w:pPr>
      <w:r w:rsidRPr="00B832F3">
        <w:rPr>
          <w:rFonts w:eastAsia="Times New Roman" w:cstheme="minorHAnsi"/>
          <w:lang w:eastAsia="en-GB"/>
        </w:rPr>
        <w:t>Methods:</w:t>
      </w:r>
    </w:p>
    <w:p w:rsidR="00B832F3" w:rsidRPr="00B832F3" w:rsidP="00B832F3">
      <w:pPr>
        <w:spacing w:before="100" w:beforeAutospacing="1" w:after="100" w:afterAutospacing="1"/>
        <w:rPr>
          <w:rFonts w:eastAsia="Times New Roman" w:cstheme="minorHAnsi"/>
          <w:lang w:eastAsia="en-GB"/>
        </w:rPr>
      </w:pPr>
      <w:r w:rsidRPr="00B832F3">
        <w:rPr>
          <w:rFonts w:eastAsia="Times New Roman" w:cstheme="minorHAnsi"/>
          <w:lang w:eastAsia="en-GB"/>
        </w:rPr>
        <w:t>Reports of terrorist attacks against EMS were extracted from the GTD from 1970-2019. Data collection included temporal factors, attack and weapon type, number of casualties, and if it was a primary or secondary attack (secondary attack: deliberate attack against the first responders of an initial terrorist attack). Reports were excluded if EMS were not a target or if it was unclear whether they were a target. Chi-square tests were performed to evaluate trends over time.</w:t>
      </w:r>
    </w:p>
    <w:p w:rsidR="00B832F3" w:rsidRPr="00B832F3" w:rsidP="00B832F3">
      <w:pPr>
        <w:rPr>
          <w:rFonts w:eastAsia="Times New Roman" w:cstheme="minorHAnsi"/>
          <w:lang w:eastAsia="en-GB"/>
        </w:rPr>
      </w:pPr>
      <w:r w:rsidRPr="00B832F3">
        <w:rPr>
          <w:rFonts w:eastAsia="Times New Roman" w:cstheme="minorHAnsi"/>
          <w:lang w:eastAsia="en-GB"/>
        </w:rPr>
        <w:t>Results:</w:t>
      </w:r>
    </w:p>
    <w:p w:rsidR="00B832F3" w:rsidRPr="00B832F3" w:rsidP="00B832F3">
      <w:pPr>
        <w:spacing w:before="100" w:beforeAutospacing="1" w:after="100" w:afterAutospacing="1"/>
        <w:rPr>
          <w:rFonts w:eastAsia="Times New Roman" w:cstheme="minorHAnsi"/>
          <w:lang w:eastAsia="en-GB"/>
        </w:rPr>
      </w:pPr>
      <w:r w:rsidRPr="00B832F3">
        <w:rPr>
          <w:rFonts w:eastAsia="Times New Roman" w:cstheme="minorHAnsi"/>
          <w:lang w:eastAsia="en-GB"/>
        </w:rPr>
        <w:t>There were 184 terrorist attacks against EMS, resulting in 748 deaths and 1,239 people injured. Terrorist attacks against EMS significantly increased over the past two decades. The “Middle East &amp; North Africa” was the most frequently affected region with 81 attacks (44.0%) followed by “South Asia” with 41 attacks (22.3%). Bombings and explosions were the most common attack type (85 incidents; 46.2%) followed by armed assaults (68 incidents; 35.3%). Combined prehospital and hospital attacks were first reported in 2005 and occurred seven times. The first secondary attack against EMS dates from 1997, after which an increase was observed from 10 to 39 incidents in the periods 2000-2009 and 2010-2019, respectively.</w:t>
      </w:r>
    </w:p>
    <w:p w:rsidR="00B832F3" w:rsidRPr="00B832F3" w:rsidP="00B832F3">
      <w:pPr>
        <w:rPr>
          <w:rFonts w:eastAsia="Times New Roman" w:cstheme="minorHAnsi"/>
          <w:lang w:eastAsia="en-GB"/>
        </w:rPr>
      </w:pPr>
      <w:r w:rsidRPr="00B832F3">
        <w:rPr>
          <w:rFonts w:eastAsia="Times New Roman" w:cstheme="minorHAnsi"/>
          <w:lang w:eastAsia="en-GB"/>
        </w:rPr>
        <w:t>Conclusions:</w:t>
      </w:r>
    </w:p>
    <w:p w:rsidR="00B832F3" w:rsidRPr="00B832F3" w:rsidP="00B832F3">
      <w:pPr>
        <w:spacing w:before="100" w:beforeAutospacing="1" w:after="100" w:afterAutospacing="1"/>
        <w:rPr>
          <w:rFonts w:eastAsia="Times New Roman" w:cstheme="minorHAnsi"/>
          <w:lang w:eastAsia="en-GB"/>
        </w:rPr>
      </w:pPr>
      <w:r w:rsidRPr="00B832F3">
        <w:rPr>
          <w:rFonts w:eastAsia="Times New Roman" w:cstheme="minorHAnsi"/>
          <w:lang w:eastAsia="en-GB"/>
        </w:rPr>
        <w:t>This analysis of the GTD, which identified 184 terrorist attacks against EMS over a 50-year period, demonstrates that terrorist attacks against EMS have significantly increased during the years and that secondary attacks are an emerging risk. Bombings and explosions are the most common attack type. Terrorist attacks against EMS are most prevalent in countries with high level of internal conflicts, however, they have also occurred in western countries. These incidents may hold valuable information to prevent future attacks.</w:t>
      </w:r>
    </w:p>
    <w:p w:rsidR="00B832F3" w:rsidRPr="00B832F3" w:rsidP="00B832F3">
      <w:pPr>
        <w:spacing w:before="100" w:beforeAutospacing="1" w:after="100" w:afterAutospacing="1"/>
        <w:rPr>
          <w:rFonts w:eastAsia="Times New Roman" w:cstheme="minorHAnsi"/>
          <w:lang w:eastAsia="en-GB"/>
        </w:rPr>
      </w:pPr>
    </w:p>
    <w:p w:rsidR="00B832F3" w:rsidRPr="00B832F3" w:rsidP="00B832F3">
      <w:pPr>
        <w:pStyle w:val="publication-headerlast-changed"/>
        <w:rPr>
          <w:rFonts w:asciiTheme="minorHAnsi" w:hAnsiTheme="minorHAnsi" w:cstheme="minorHAnsi"/>
          <w:b/>
          <w:bCs/>
        </w:rPr>
      </w:pPr>
      <w:r w:rsidRPr="00B832F3">
        <w:rPr>
          <w:rFonts w:asciiTheme="minorHAnsi" w:hAnsiTheme="minorHAnsi" w:cstheme="minorHAnsi"/>
          <w:b/>
          <w:bCs/>
        </w:rPr>
        <w:t>UK Government Guidance.</w:t>
      </w:r>
      <w:r w:rsidRPr="00B832F3">
        <w:rPr>
          <w:rFonts w:asciiTheme="minorHAnsi" w:hAnsiTheme="minorHAnsi" w:cstheme="minorHAnsi"/>
          <w:b/>
          <w:bCs/>
        </w:rPr>
        <w:t xml:space="preserve"> Published 2 November 2020</w:t>
      </w:r>
    </w:p>
    <w:p w:rsidR="00B832F3" w:rsidRPr="00B832F3" w:rsidP="00B832F3">
      <w:pPr>
        <w:pStyle w:val="Heading1"/>
        <w:rPr>
          <w:rFonts w:asciiTheme="minorHAnsi" w:hAnsiTheme="minorHAnsi" w:cstheme="minorHAnsi"/>
          <w:b/>
          <w:bCs/>
          <w:color w:val="000000" w:themeColor="text1"/>
          <w:sz w:val="24"/>
          <w:szCs w:val="24"/>
        </w:rPr>
      </w:pPr>
      <w:r w:rsidRPr="00B832F3">
        <w:rPr>
          <w:rFonts w:asciiTheme="minorHAnsi" w:hAnsiTheme="minorHAnsi" w:cstheme="minorHAnsi"/>
          <w:b/>
          <w:bCs/>
          <w:color w:val="000000" w:themeColor="text1"/>
          <w:sz w:val="24"/>
          <w:szCs w:val="24"/>
        </w:rPr>
        <w:t xml:space="preserve">Evacuation, </w:t>
      </w:r>
      <w:r w:rsidRPr="00B832F3">
        <w:rPr>
          <w:rFonts w:asciiTheme="minorHAnsi" w:hAnsiTheme="minorHAnsi" w:cstheme="minorHAnsi"/>
          <w:b/>
          <w:bCs/>
          <w:color w:val="000000" w:themeColor="text1"/>
          <w:sz w:val="24"/>
          <w:szCs w:val="24"/>
        </w:rPr>
        <w:t>invacuation</w:t>
      </w:r>
      <w:r w:rsidRPr="00B832F3">
        <w:rPr>
          <w:rFonts w:asciiTheme="minorHAnsi" w:hAnsiTheme="minorHAnsi" w:cstheme="minorHAnsi"/>
          <w:b/>
          <w:bCs/>
          <w:color w:val="000000" w:themeColor="text1"/>
          <w:sz w:val="24"/>
          <w:szCs w:val="24"/>
        </w:rPr>
        <w:t xml:space="preserve">, lockdown, protected spaces </w:t>
      </w:r>
    </w:p>
    <w:p w:rsidR="00B832F3" w:rsidRPr="00B832F3" w:rsidP="00B832F3">
      <w:pPr>
        <w:rPr>
          <w:rFonts w:eastAsia="Times New Roman" w:cstheme="minorHAnsi"/>
          <w:lang w:eastAsia="en-GB"/>
        </w:rPr>
      </w:pPr>
      <w:r w:rsidRPr="00B832F3">
        <w:rPr>
          <w:rFonts w:eastAsia="Times New Roman" w:cstheme="minorHAnsi"/>
          <w:lang w:eastAsia="en-GB"/>
        </w:rPr>
        <w:t>Consider instructing crowds to disperse upon evacuation. This reduces the risk of a secondary attack at a designated assembly point.</w:t>
      </w:r>
    </w:p>
    <w:p w:rsidR="00B832F3" w:rsidRPr="00B832F3" w:rsidP="00B832F3">
      <w:pPr>
        <w:rPr>
          <w:rFonts w:eastAsia="Times New Roman" w:cstheme="minorHAnsi"/>
          <w:lang w:eastAsia="en-GB"/>
        </w:rPr>
      </w:pPr>
    </w:p>
    <w:p w:rsidR="00B832F3" w:rsidRPr="00B832F3" w:rsidP="00B832F3">
      <w:pPr>
        <w:rPr>
          <w:rFonts w:eastAsia="Times New Roman" w:cstheme="minorHAnsi"/>
          <w:lang w:eastAsia="en-GB"/>
        </w:rPr>
      </w:pPr>
      <w:r w:rsidRPr="00B832F3">
        <w:rPr>
          <w:rFonts w:eastAsia="Times New Roman" w:cstheme="minorHAnsi"/>
          <w:lang w:eastAsia="en-GB"/>
        </w:rPr>
        <w:t>It is important to note that the safety of particular routes may change during the course of an attack. For example, the use of lifts (in non-fire scenarios) may reduce evacuation times, but send people to an area where attackers may be located.</w:t>
      </w:r>
    </w:p>
    <w:p w:rsidR="00B832F3" w:rsidRPr="00B832F3" w:rsidP="00B832F3">
      <w:pPr>
        <w:rPr>
          <w:rFonts w:eastAsia="Times New Roman" w:cstheme="minorHAnsi"/>
          <w:lang w:eastAsia="en-GB"/>
        </w:rPr>
      </w:pPr>
    </w:p>
    <w:p w:rsidR="00B832F3" w:rsidRPr="00B832F3" w:rsidP="00B832F3">
      <w:pPr>
        <w:rPr>
          <w:rFonts w:eastAsia="Times New Roman" w:cstheme="minorHAnsi"/>
          <w:lang w:eastAsia="en-GB"/>
        </w:rPr>
      </w:pPr>
      <w:r w:rsidRPr="00B832F3">
        <w:rPr>
          <w:rFonts w:eastAsia="Times New Roman" w:cstheme="minorHAnsi"/>
          <w:lang w:eastAsia="en-GB"/>
        </w:rPr>
        <w:t>A directional evacuation may be beneficial if a specific area is, or is likely to become dangerous, or if an alternative route would result in people passing through or near to the area of threat. Selection of this strategy may increase the overall evacuation time, but could improve safety</w:t>
      </w:r>
    </w:p>
    <w:p w:rsidR="00B832F3" w:rsidRPr="00B832F3" w:rsidP="00B832F3">
      <w:pPr>
        <w:spacing w:before="100" w:beforeAutospacing="1" w:after="100" w:afterAutospacing="1"/>
        <w:rPr>
          <w:rFonts w:eastAsia="Times New Roman" w:cstheme="minorHAnsi"/>
          <w:lang w:eastAsia="en-GB"/>
        </w:rPr>
      </w:pPr>
    </w:p>
    <w:p w:rsidR="00B832F3" w:rsidRPr="00B832F3" w:rsidP="00B832F3">
      <w:pPr>
        <w:spacing w:before="100" w:beforeAutospacing="1" w:after="100" w:afterAutospacing="1"/>
        <w:rPr>
          <w:rFonts w:eastAsia="Times New Roman" w:cstheme="minorHAnsi"/>
          <w:lang w:eastAsia="en-GB"/>
        </w:rPr>
      </w:pPr>
    </w:p>
    <w:p w:rsidR="00B832F3" w:rsidRPr="00B832F3" w:rsidP="00B832F3">
      <w:pPr>
        <w:rPr>
          <w:rFonts w:eastAsia="Times New Roman" w:cstheme="minorHAnsi"/>
          <w:lang w:eastAsia="en-GB"/>
        </w:rPr>
      </w:pPr>
    </w:p>
    <w:p w:rsidR="00B832F3" w:rsidRPr="00B832F3" w:rsidP="00B832F3">
      <w:pPr>
        <w:rPr>
          <w:rFonts w:eastAsia="Times New Roman" w:cstheme="minorHAnsi"/>
          <w:lang w:eastAsia="en-GB"/>
        </w:rPr>
      </w:pPr>
      <w:r w:rsidRPr="00B832F3">
        <w:rPr>
          <w:rFonts w:eastAsia="Times New Roman" w:cstheme="minorHAnsi"/>
          <w:lang w:eastAsia="en-GB"/>
        </w:rPr>
        <w:t xml:space="preserve">20 March 1993: </w:t>
      </w:r>
      <w:r>
        <w:fldChar w:fldCharType="begin"/>
      </w:r>
      <w:r>
        <w:instrText xml:space="preserve"> HYPERLINK "https://en.wikipedia.org/wiki/Warrington_bomb_attacks" \o "Warrington bomb attacks" </w:instrText>
      </w:r>
      <w:r>
        <w:fldChar w:fldCharType="separate"/>
      </w:r>
      <w:r w:rsidRPr="00B832F3">
        <w:rPr>
          <w:rFonts w:eastAsia="Times New Roman" w:cstheme="minorHAnsi"/>
          <w:color w:val="0000FF"/>
          <w:u w:val="single"/>
          <w:lang w:eastAsia="en-GB"/>
        </w:rPr>
        <w:t>Warrington bomb attacks</w:t>
      </w:r>
      <w:r>
        <w:fldChar w:fldCharType="end"/>
      </w:r>
      <w:r w:rsidRPr="00B832F3">
        <w:rPr>
          <w:rFonts w:eastAsia="Times New Roman" w:cstheme="minorHAnsi"/>
          <w:lang w:eastAsia="en-GB"/>
        </w:rPr>
        <w:t xml:space="preserve"> (Part 2)</w:t>
      </w:r>
    </w:p>
    <w:p w:rsidR="00B832F3" w:rsidRPr="00B832F3" w:rsidP="00B832F3">
      <w:pPr>
        <w:rPr>
          <w:rFonts w:cstheme="minorHAnsi"/>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B832F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B832F3"/>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832F3"/>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B832F3"/>
    <w:pPr>
      <w:spacing w:before="100" w:beforeAutospacing="1" w:after="100" w:afterAutospacing="1"/>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832F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832F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B832F3"/>
    <w:rPr>
      <w:rFonts w:ascii="Times New Roman" w:eastAsia="Times New Roman" w:hAnsi="Times New Roman" w:cs="Times New Roman"/>
      <w:b/>
      <w:bCs/>
      <w:lang w:eastAsia="en-GB"/>
    </w:rPr>
  </w:style>
  <w:style w:type="paragraph" w:customStyle="1" w:styleId="msonormal">
    <w:name w:val="msonormal"/>
    <w:basedOn w:val="Normal"/>
    <w:rsid w:val="00B832F3"/>
    <w:pPr>
      <w:spacing w:before="100" w:beforeAutospacing="1" w:after="100" w:afterAutospacing="1"/>
    </w:pPr>
    <w:rPr>
      <w:rFonts w:ascii="Times New Roman" w:eastAsia="Times New Roman" w:hAnsi="Times New Roman" w:cs="Times New Roman"/>
      <w:lang w:eastAsia="en-GB"/>
    </w:rPr>
  </w:style>
  <w:style w:type="character" w:customStyle="1" w:styleId="bold">
    <w:name w:val="bold"/>
    <w:basedOn w:val="DefaultParagraphFont"/>
    <w:rsid w:val="00B832F3"/>
  </w:style>
  <w:style w:type="paragraph" w:styleId="NormalWeb">
    <w:name w:val="Normal (Web)"/>
    <w:basedOn w:val="Normal"/>
    <w:uiPriority w:val="99"/>
    <w:semiHidden/>
    <w:unhideWhenUsed/>
    <w:rsid w:val="00B832F3"/>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B832F3"/>
    <w:rPr>
      <w:color w:val="0000FF"/>
      <w:u w:val="single"/>
    </w:rPr>
  </w:style>
  <w:style w:type="character" w:styleId="FollowedHyperlink">
    <w:name w:val="FollowedHyperlink"/>
    <w:basedOn w:val="DefaultParagraphFont"/>
    <w:uiPriority w:val="99"/>
    <w:semiHidden/>
    <w:unhideWhenUsed/>
    <w:rsid w:val="00B832F3"/>
    <w:rPr>
      <w:color w:val="800080"/>
      <w:u w:val="single"/>
    </w:rPr>
  </w:style>
  <w:style w:type="character" w:customStyle="1" w:styleId="text">
    <w:name w:val="text"/>
    <w:basedOn w:val="DefaultParagraphFont"/>
    <w:rsid w:val="00B832F3"/>
  </w:style>
  <w:style w:type="character" w:customStyle="1" w:styleId="sr-only">
    <w:name w:val="sr-only"/>
    <w:basedOn w:val="DefaultParagraphFont"/>
    <w:rsid w:val="00B832F3"/>
  </w:style>
  <w:style w:type="character" w:customStyle="1" w:styleId="access-optionsitemdescription">
    <w:name w:val="access-options__item__description"/>
    <w:basedOn w:val="DefaultParagraphFont"/>
    <w:rsid w:val="00B832F3"/>
  </w:style>
  <w:style w:type="character" w:customStyle="1" w:styleId="access-optionspurchaseprice">
    <w:name w:val="access-options__purchase__price"/>
    <w:basedOn w:val="DefaultParagraphFont"/>
    <w:rsid w:val="00B832F3"/>
  </w:style>
  <w:style w:type="character" w:customStyle="1" w:styleId="string-name">
    <w:name w:val="string-name"/>
    <w:basedOn w:val="DefaultParagraphFont"/>
    <w:rsid w:val="00B832F3"/>
  </w:style>
  <w:style w:type="character" w:customStyle="1" w:styleId="surname">
    <w:name w:val="surname"/>
    <w:basedOn w:val="DefaultParagraphFont"/>
    <w:rsid w:val="00B832F3"/>
  </w:style>
  <w:style w:type="character" w:customStyle="1" w:styleId="given-names">
    <w:name w:val="given-names"/>
    <w:basedOn w:val="DefaultParagraphFont"/>
    <w:rsid w:val="00B832F3"/>
  </w:style>
  <w:style w:type="character" w:customStyle="1" w:styleId="year">
    <w:name w:val="year"/>
    <w:basedOn w:val="DefaultParagraphFont"/>
    <w:rsid w:val="00B832F3"/>
  </w:style>
  <w:style w:type="character" w:customStyle="1" w:styleId="fpage">
    <w:name w:val="fpage"/>
    <w:basedOn w:val="DefaultParagraphFont"/>
    <w:rsid w:val="00B832F3"/>
  </w:style>
  <w:style w:type="character" w:customStyle="1" w:styleId="article-title">
    <w:name w:val="article-title"/>
    <w:basedOn w:val="DefaultParagraphFont"/>
    <w:rsid w:val="00B832F3"/>
  </w:style>
  <w:style w:type="character" w:customStyle="1" w:styleId="source">
    <w:name w:val="source"/>
    <w:basedOn w:val="DefaultParagraphFont"/>
    <w:rsid w:val="00B832F3"/>
  </w:style>
  <w:style w:type="character" w:customStyle="1" w:styleId="volume">
    <w:name w:val="volume"/>
    <w:basedOn w:val="DefaultParagraphFont"/>
    <w:rsid w:val="00B832F3"/>
  </w:style>
  <w:style w:type="character" w:customStyle="1" w:styleId="issue">
    <w:name w:val="issue"/>
    <w:basedOn w:val="DefaultParagraphFont"/>
    <w:rsid w:val="00B832F3"/>
  </w:style>
  <w:style w:type="character" w:customStyle="1" w:styleId="lpage">
    <w:name w:val="lpage"/>
    <w:basedOn w:val="DefaultParagraphFont"/>
    <w:rsid w:val="00B832F3"/>
  </w:style>
  <w:style w:type="character" w:customStyle="1" w:styleId="object-id">
    <w:name w:val="object-id"/>
    <w:basedOn w:val="DefaultParagraphFont"/>
    <w:rsid w:val="00B832F3"/>
  </w:style>
  <w:style w:type="character" w:customStyle="1" w:styleId="chapter-title">
    <w:name w:val="chapter-title"/>
    <w:basedOn w:val="DefaultParagraphFont"/>
    <w:rsid w:val="00B832F3"/>
  </w:style>
  <w:style w:type="character" w:styleId="Emphasis">
    <w:name w:val="Emphasis"/>
    <w:basedOn w:val="DefaultParagraphFont"/>
    <w:uiPriority w:val="20"/>
    <w:qFormat/>
    <w:rsid w:val="00B832F3"/>
    <w:rPr>
      <w:i/>
      <w:iCs/>
    </w:rPr>
  </w:style>
  <w:style w:type="character" w:customStyle="1" w:styleId="collab">
    <w:name w:val="collab"/>
    <w:basedOn w:val="DefaultParagraphFont"/>
    <w:rsid w:val="00B832F3"/>
  </w:style>
  <w:style w:type="character" w:customStyle="1" w:styleId="number">
    <w:name w:val="number"/>
    <w:basedOn w:val="DefaultParagraphFont"/>
    <w:rsid w:val="00B832F3"/>
  </w:style>
  <w:style w:type="paragraph" w:styleId="Header">
    <w:name w:val="header"/>
    <w:basedOn w:val="Normal"/>
    <w:link w:val="HeaderChar"/>
    <w:uiPriority w:val="99"/>
    <w:unhideWhenUsed/>
    <w:rsid w:val="00B832F3"/>
    <w:pPr>
      <w:tabs>
        <w:tab w:val="center" w:pos="4513"/>
        <w:tab w:val="right" w:pos="9026"/>
      </w:tabs>
    </w:pPr>
  </w:style>
  <w:style w:type="character" w:customStyle="1" w:styleId="HeaderChar">
    <w:name w:val="Header Char"/>
    <w:basedOn w:val="DefaultParagraphFont"/>
    <w:link w:val="Header"/>
    <w:uiPriority w:val="99"/>
    <w:rsid w:val="00B832F3"/>
  </w:style>
  <w:style w:type="paragraph" w:styleId="Footer">
    <w:name w:val="footer"/>
    <w:basedOn w:val="Normal"/>
    <w:link w:val="FooterChar"/>
    <w:uiPriority w:val="99"/>
    <w:unhideWhenUsed/>
    <w:rsid w:val="00B832F3"/>
    <w:pPr>
      <w:tabs>
        <w:tab w:val="center" w:pos="4513"/>
        <w:tab w:val="right" w:pos="9026"/>
      </w:tabs>
    </w:pPr>
  </w:style>
  <w:style w:type="character" w:customStyle="1" w:styleId="FooterChar">
    <w:name w:val="Footer Char"/>
    <w:basedOn w:val="DefaultParagraphFont"/>
    <w:link w:val="Footer"/>
    <w:uiPriority w:val="99"/>
    <w:rsid w:val="00B832F3"/>
  </w:style>
  <w:style w:type="character" w:customStyle="1" w:styleId="Heading1Char">
    <w:name w:val="Heading 1 Char"/>
    <w:basedOn w:val="DefaultParagraphFont"/>
    <w:link w:val="Heading1"/>
    <w:uiPriority w:val="9"/>
    <w:rsid w:val="00B832F3"/>
    <w:rPr>
      <w:rFonts w:asciiTheme="majorHAnsi" w:eastAsiaTheme="majorEastAsia" w:hAnsiTheme="majorHAnsi" w:cstheme="majorBidi"/>
      <w:color w:val="2F5496" w:themeColor="accent1" w:themeShade="BF"/>
      <w:sz w:val="32"/>
      <w:szCs w:val="32"/>
    </w:rPr>
  </w:style>
  <w:style w:type="paragraph" w:customStyle="1" w:styleId="publication-headerlast-changed">
    <w:name w:val="publication-header__last-changed"/>
    <w:basedOn w:val="Normal"/>
    <w:rsid w:val="00B832F3"/>
    <w:pPr>
      <w:spacing w:before="100" w:beforeAutospacing="1" w:after="100" w:afterAutospacing="1"/>
    </w:pPr>
    <w:rPr>
      <w:rFonts w:ascii="Times New Roman" w:eastAsia="Times New Roman" w:hAnsi="Times New Roman" w:cs="Times New Roman"/>
      <w:lang w:eastAsia="en-GB"/>
    </w:rPr>
  </w:style>
  <w:style w:type="character" w:customStyle="1" w:styleId="UnresolvedMention">
    <w:name w:val="Unresolved Mention"/>
    <w:basedOn w:val="DefaultParagraphFont"/>
    <w:uiPriority w:val="99"/>
    <w:semiHidden/>
    <w:unhideWhenUsed/>
    <w:rsid w:val="00B83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