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0DE7" w:rsidP="006563B2">
      <w:pPr>
        <w:spacing w:before="120" w:after="120" w:line="360" w:lineRule="auto"/>
        <w:jc w:val="center"/>
        <w:rPr>
          <w:b/>
        </w:rPr>
      </w:pPr>
      <w:r>
        <w:rPr>
          <w:b/>
        </w:rPr>
        <w:t xml:space="preserve">FOUR PETITIONERS’ SUBMISSIONS ON </w:t>
      </w:r>
    </w:p>
    <w:p w:rsidR="002A3CF2" w:rsidP="006563B2">
      <w:pPr>
        <w:spacing w:before="120" w:after="120" w:line="360" w:lineRule="auto"/>
        <w:jc w:val="center"/>
        <w:rPr>
          <w:b/>
        </w:rPr>
      </w:pPr>
      <w:r>
        <w:rPr>
          <w:b/>
        </w:rPr>
        <w:t xml:space="preserve">LIST OF PROPOSED AMENDMENTS </w:t>
      </w:r>
      <w:r>
        <w:rPr>
          <w:b/>
        </w:rPr>
        <w:t>ETC</w:t>
      </w:r>
    </w:p>
    <w:p w:rsidR="00C40DE7">
      <w:pPr>
        <w:numPr>
          <w:ilvl w:val="0"/>
          <w:numId w:val="5"/>
        </w:numPr>
        <w:spacing w:before="120" w:after="120" w:line="360" w:lineRule="auto"/>
        <w:rPr>
          <w:bCs/>
        </w:rPr>
      </w:pPr>
      <w:r>
        <w:rPr>
          <w:bCs/>
        </w:rPr>
        <w:t xml:space="preserve">The Four Petitioners welcome the draft proposed list of Undertakings, Recommendations and Assurances. Attached hereto is the list with </w:t>
      </w:r>
      <w:r>
        <w:rPr>
          <w:bCs/>
        </w:rPr>
        <w:t>some</w:t>
      </w:r>
      <w:r>
        <w:rPr>
          <w:bCs/>
        </w:rPr>
        <w:t xml:space="preserve"> amendments shown in track changes, which the petitioners request the Select Committee to make.</w:t>
      </w:r>
    </w:p>
    <w:p w:rsidR="002A3CF2">
      <w:pPr>
        <w:numPr>
          <w:ilvl w:val="0"/>
          <w:numId w:val="5"/>
        </w:numPr>
        <w:spacing w:before="120" w:after="120" w:line="360" w:lineRule="auto"/>
        <w:rPr>
          <w:bCs/>
        </w:rPr>
      </w:pPr>
      <w:r>
        <w:rPr>
          <w:bCs/>
        </w:rPr>
        <w:t xml:space="preserve">The proposed amendments speak </w:t>
      </w:r>
      <w:r w:rsidR="004523CD">
        <w:rPr>
          <w:bCs/>
        </w:rPr>
        <w:t xml:space="preserve">mainly </w:t>
      </w:r>
      <w:r>
        <w:rPr>
          <w:bCs/>
        </w:rPr>
        <w:t>for</w:t>
      </w:r>
      <w:r>
        <w:rPr>
          <w:bCs/>
        </w:rPr>
        <w:t xml:space="preserve"> themselves, avoiding the need to motivate them </w:t>
      </w:r>
      <w:r w:rsidR="004523CD">
        <w:rPr>
          <w:bCs/>
        </w:rPr>
        <w:t>at any length</w:t>
      </w:r>
      <w:r>
        <w:rPr>
          <w:bCs/>
        </w:rPr>
        <w:t xml:space="preserve">. </w:t>
      </w:r>
      <w:r w:rsidR="004523CD">
        <w:rPr>
          <w:bCs/>
        </w:rPr>
        <w:t xml:space="preserve">Counsel will briefly explain </w:t>
      </w:r>
      <w:r w:rsidR="004523CD">
        <w:rPr>
          <w:bCs/>
        </w:rPr>
        <w:t>some of</w:t>
      </w:r>
      <w:r w:rsidR="004523CD">
        <w:rPr>
          <w:bCs/>
        </w:rPr>
        <w:t xml:space="preserve"> the wording chosen. </w:t>
      </w:r>
      <w:r>
        <w:rPr>
          <w:bCs/>
        </w:rPr>
        <w:t>In so far as</w:t>
      </w:r>
      <w:r>
        <w:rPr>
          <w:bCs/>
        </w:rPr>
        <w:t xml:space="preserve"> </w:t>
      </w:r>
      <w:r w:rsidR="004523CD">
        <w:rPr>
          <w:bCs/>
        </w:rPr>
        <w:t xml:space="preserve">these suggested amendments </w:t>
      </w:r>
      <w:r>
        <w:rPr>
          <w:bCs/>
        </w:rPr>
        <w:t>are not accepted or</w:t>
      </w:r>
      <w:r w:rsidR="004523CD">
        <w:rPr>
          <w:bCs/>
        </w:rPr>
        <w:t xml:space="preserve"> are</w:t>
      </w:r>
      <w:r>
        <w:rPr>
          <w:bCs/>
        </w:rPr>
        <w:t xml:space="preserve"> opposed by the Promoter, counsel for the petitioners will respond to whatever is said in that regard.</w:t>
      </w:r>
    </w:p>
    <w:p w:rsidR="002A3CF2">
      <w:pPr>
        <w:numPr>
          <w:ilvl w:val="0"/>
          <w:numId w:val="5"/>
        </w:numPr>
        <w:spacing w:before="120" w:after="120" w:line="360" w:lineRule="auto"/>
        <w:rPr>
          <w:bCs/>
        </w:rPr>
      </w:pPr>
      <w:r>
        <w:rPr>
          <w:bCs/>
        </w:rPr>
        <w:t xml:space="preserve">However, the petitioners wish to make </w:t>
      </w:r>
      <w:r>
        <w:rPr>
          <w:bCs/>
        </w:rPr>
        <w:t>a few</w:t>
      </w:r>
      <w:r>
        <w:rPr>
          <w:bCs/>
        </w:rPr>
        <w:t xml:space="preserve"> general points about the proposed list.</w:t>
      </w:r>
    </w:p>
    <w:p w:rsidR="004523CD" w:rsidRPr="004523CD" w:rsidP="004523CD">
      <w:pPr>
        <w:spacing w:before="120" w:after="120" w:line="360" w:lineRule="auto"/>
        <w:rPr>
          <w:b/>
        </w:rPr>
      </w:pPr>
      <w:r w:rsidRPr="004523CD">
        <w:rPr>
          <w:b/>
        </w:rPr>
        <w:t>Enforcement</w:t>
      </w:r>
    </w:p>
    <w:p w:rsidR="002A3CF2">
      <w:pPr>
        <w:numPr>
          <w:ilvl w:val="0"/>
          <w:numId w:val="5"/>
        </w:numPr>
        <w:spacing w:before="120" w:after="120" w:line="360" w:lineRule="auto"/>
        <w:rPr>
          <w:bCs/>
        </w:rPr>
      </w:pPr>
      <w:r>
        <w:rPr>
          <w:bCs/>
        </w:rPr>
        <w:t xml:space="preserve">Where the Select Committee has sought an assurance or undertaking or amendment from the Promoter, the question arises how such assurances or undertakings are to </w:t>
      </w:r>
      <w:r>
        <w:rPr>
          <w:bCs/>
        </w:rPr>
        <w:t>be enforced</w:t>
      </w:r>
      <w:r w:rsidR="004523CD">
        <w:rPr>
          <w:bCs/>
        </w:rPr>
        <w:t>, or amendments to be secured</w:t>
      </w:r>
      <w:r>
        <w:rPr>
          <w:bCs/>
        </w:rPr>
        <w:t xml:space="preserve">. This is relevant to all such assurances etc, but particularly so where the assurance is for the Promoter to </w:t>
      </w:r>
      <w:r w:rsidR="004523CD">
        <w:rPr>
          <w:bCs/>
        </w:rPr>
        <w:t xml:space="preserve">give consideration or detailed consideration (e.g. paras 2, 4, 8, 11, 15) or that something will be investigated (para 5) or that something be taken forward by the Promoter (para 10) or that the Promoter will take detailed account (para 12) or give serious consideration (para 13). </w:t>
      </w:r>
    </w:p>
    <w:p w:rsidR="004523CD">
      <w:pPr>
        <w:numPr>
          <w:ilvl w:val="0"/>
          <w:numId w:val="5"/>
        </w:numPr>
        <w:spacing w:before="120" w:after="120" w:line="360" w:lineRule="auto"/>
        <w:rPr>
          <w:bCs/>
        </w:rPr>
      </w:pPr>
      <w:r>
        <w:rPr>
          <w:bCs/>
        </w:rPr>
        <w:t xml:space="preserve">To ensure compliance, we submit that a paragraph </w:t>
      </w:r>
      <w:r>
        <w:rPr>
          <w:bCs/>
        </w:rPr>
        <w:t>be added</w:t>
      </w:r>
      <w:r>
        <w:rPr>
          <w:bCs/>
        </w:rPr>
        <w:t xml:space="preserve"> to the list as follows: </w:t>
      </w:r>
    </w:p>
    <w:p w:rsidR="004523CD" w:rsidP="004523CD">
      <w:pPr>
        <w:spacing w:before="120" w:after="120" w:line="360" w:lineRule="auto"/>
        <w:ind w:left="1276"/>
        <w:rPr>
          <w:bCs/>
        </w:rPr>
      </w:pPr>
      <w:r>
        <w:rPr>
          <w:bCs/>
        </w:rPr>
        <w:t xml:space="preserve">“In each case where we have required, or it is agreed, that the Promoter consider, investigate, take forward, take account or do anything of that kind, the Promoter will lay a written Report before the House setting out the steps he has taken in furtherance of such </w:t>
      </w:r>
      <w:r>
        <w:rPr>
          <w:bCs/>
        </w:rPr>
        <w:t>obligation, the identity of any persons with whom he has consulted or held discussions in so doing, a summary of the gist of the discussions and consultations, the decision he has arrived at and his full reasons therefor.”</w:t>
      </w:r>
    </w:p>
    <w:p w:rsidR="004523CD">
      <w:pPr>
        <w:numPr>
          <w:ilvl w:val="0"/>
          <w:numId w:val="5"/>
        </w:numPr>
        <w:spacing w:before="120" w:after="120" w:line="360" w:lineRule="auto"/>
        <w:rPr>
          <w:bCs/>
        </w:rPr>
      </w:pPr>
      <w:r>
        <w:rPr>
          <w:bCs/>
        </w:rPr>
        <w:t xml:space="preserve">To ensure that this obligation is </w:t>
      </w:r>
      <w:r>
        <w:rPr>
          <w:bCs/>
        </w:rPr>
        <w:t>carried out</w:t>
      </w:r>
      <w:r>
        <w:rPr>
          <w:bCs/>
        </w:rPr>
        <w:t>, section 3 of the Bill will be amended to provide that the Act, when passed, will only come into force after the House has approved the Report</w:t>
      </w:r>
      <w:r w:rsidR="004C3F44">
        <w:rPr>
          <w:bCs/>
        </w:rPr>
        <w:t>/s</w:t>
      </w:r>
      <w:r>
        <w:rPr>
          <w:bCs/>
        </w:rPr>
        <w:t xml:space="preserve">. </w:t>
      </w:r>
      <w:r w:rsidR="00472BBC">
        <w:rPr>
          <w:bCs/>
        </w:rPr>
        <w:t>We refer to this again under “Security” below.</w:t>
      </w:r>
    </w:p>
    <w:p w:rsidR="004523CD">
      <w:pPr>
        <w:numPr>
          <w:ilvl w:val="0"/>
          <w:numId w:val="5"/>
        </w:numPr>
        <w:spacing w:before="120" w:after="120" w:line="360" w:lineRule="auto"/>
        <w:rPr>
          <w:bCs/>
        </w:rPr>
      </w:pPr>
      <w:r>
        <w:rPr>
          <w:bCs/>
        </w:rPr>
        <w:t>Without such enforcement mechanism, the Promoter would be able to circumvent the spirit of these recommendations and proposals by claiming to have consulted and discussed without properly engaging in such exercise.</w:t>
      </w:r>
    </w:p>
    <w:p w:rsidR="004523CD">
      <w:pPr>
        <w:numPr>
          <w:ilvl w:val="0"/>
          <w:numId w:val="5"/>
        </w:numPr>
        <w:spacing w:before="120" w:after="120" w:line="360" w:lineRule="auto"/>
        <w:rPr>
          <w:bCs/>
        </w:rPr>
      </w:pPr>
      <w:r>
        <w:rPr>
          <w:bCs/>
        </w:rPr>
        <w:t xml:space="preserve">In the event that the Promoter declines to give the assurances and undertakings set out in the list, as amended, the Committee should amend the Bill accordingly so as to ensure that these matters </w:t>
      </w:r>
      <w:r>
        <w:rPr>
          <w:bCs/>
        </w:rPr>
        <w:t>are brought</w:t>
      </w:r>
      <w:r>
        <w:rPr>
          <w:bCs/>
        </w:rPr>
        <w:t xml:space="preserve"> to the attention of the House.</w:t>
      </w:r>
    </w:p>
    <w:p w:rsidR="004523CD" w:rsidRPr="004523CD" w:rsidP="004523CD">
      <w:pPr>
        <w:spacing w:before="120" w:after="120" w:line="360" w:lineRule="auto"/>
        <w:rPr>
          <w:b/>
        </w:rPr>
      </w:pPr>
      <w:r w:rsidRPr="004523CD">
        <w:rPr>
          <w:b/>
        </w:rPr>
        <w:t>Plan</w:t>
      </w:r>
    </w:p>
    <w:p w:rsidR="004523CD">
      <w:pPr>
        <w:numPr>
          <w:ilvl w:val="0"/>
          <w:numId w:val="5"/>
        </w:numPr>
        <w:spacing w:before="120" w:after="120" w:line="360" w:lineRule="auto"/>
        <w:rPr>
          <w:bCs/>
        </w:rPr>
      </w:pPr>
      <w:r>
        <w:rPr>
          <w:bCs/>
        </w:rPr>
        <w:t xml:space="preserve">In paragraph 7(a) reference </w:t>
      </w:r>
      <w:r>
        <w:rPr>
          <w:bCs/>
        </w:rPr>
        <w:t>is made</w:t>
      </w:r>
      <w:r>
        <w:rPr>
          <w:bCs/>
        </w:rPr>
        <w:t xml:space="preserve"> to a plan</w:t>
      </w:r>
      <w:r w:rsidR="00E13DAF">
        <w:rPr>
          <w:bCs/>
        </w:rPr>
        <w:t>, a copy of which was attached as Schedule 2 to the letter from Pinsent Mason dated 31 October 2024</w:t>
      </w:r>
      <w:r>
        <w:rPr>
          <w:bCs/>
        </w:rPr>
        <w:t xml:space="preserve">. </w:t>
      </w:r>
      <w:r w:rsidR="00E13DAF">
        <w:rPr>
          <w:bCs/>
        </w:rPr>
        <w:t xml:space="preserve">With regard to the areas coloured blue, it </w:t>
      </w:r>
      <w:r w:rsidR="00E13DAF">
        <w:rPr>
          <w:bCs/>
        </w:rPr>
        <w:t>is submitted</w:t>
      </w:r>
      <w:r w:rsidR="00E13DAF">
        <w:rPr>
          <w:bCs/>
        </w:rPr>
        <w:t xml:space="preserve"> that the blue-coloured circle intended for placing of the kiosk and plant in the children’s playground, that should be deleted entirely. The kiosk should be removed, as adverted in paragraph 3 of the proposed list of amendments, and the plant </w:t>
      </w:r>
      <w:r w:rsidR="00745B57">
        <w:rPr>
          <w:bCs/>
        </w:rPr>
        <w:t>building</w:t>
      </w:r>
      <w:r w:rsidR="00745B57">
        <w:rPr>
          <w:bCs/>
        </w:rPr>
        <w:t xml:space="preserve"> </w:t>
      </w:r>
      <w:r w:rsidR="00E13DAF">
        <w:rPr>
          <w:bCs/>
        </w:rPr>
        <w:t xml:space="preserve">which is a lesser part of the circle, should be located within the remaining blue-coloured space for the memorial’s structures. The playground </w:t>
      </w:r>
      <w:r w:rsidR="00E13DAF">
        <w:rPr>
          <w:bCs/>
        </w:rPr>
        <w:t>is already reduced</w:t>
      </w:r>
      <w:r w:rsidR="00E13DAF">
        <w:rPr>
          <w:bCs/>
        </w:rPr>
        <w:t xml:space="preserve"> by the relocation of the Spicer Memorial</w:t>
      </w:r>
      <w:r w:rsidR="00745B57">
        <w:rPr>
          <w:bCs/>
        </w:rPr>
        <w:t xml:space="preserve"> and the relocation of the plant building would ameliorate that harm</w:t>
      </w:r>
      <w:r w:rsidR="00E13DAF">
        <w:rPr>
          <w:bCs/>
        </w:rPr>
        <w:t xml:space="preserve">. </w:t>
      </w:r>
    </w:p>
    <w:p w:rsidR="004523CD">
      <w:pPr>
        <w:numPr>
          <w:ilvl w:val="0"/>
          <w:numId w:val="5"/>
        </w:numPr>
        <w:spacing w:before="120" w:after="120" w:line="360" w:lineRule="auto"/>
        <w:rPr>
          <w:bCs/>
        </w:rPr>
      </w:pPr>
      <w:r>
        <w:rPr>
          <w:bCs/>
        </w:rPr>
        <w:t xml:space="preserve">The insertion of the words “including any extension, alteration and re-erection thereof” in the assurance in paragraph 7 is required so as to avoid any later arguments to the effect that since </w:t>
      </w:r>
      <w:r w:rsidR="006257D5">
        <w:rPr>
          <w:bCs/>
        </w:rPr>
        <w:t xml:space="preserve">the definition of the word “construction” in </w:t>
      </w:r>
      <w:r>
        <w:rPr>
          <w:bCs/>
        </w:rPr>
        <w:t>clause 1(</w:t>
      </w:r>
      <w:r w:rsidR="006257D5">
        <w:rPr>
          <w:bCs/>
        </w:rPr>
        <w:t xml:space="preserve">1)(i) contained in clause 1(3)(c) includes the word “extension”, an extension of the memorial on to land not encompassed in the original memorial is permitted because the disapplication of section 8 in clause 2 of the Bill applies in perpetuity to all “activities described in paragraphs (a) to (c)” above. The proposed amendment will make it clear that the disapplication of section 8 is a one-off event. </w:t>
      </w:r>
    </w:p>
    <w:p w:rsidR="00A277D6" w:rsidP="00A277D6">
      <w:pPr>
        <w:spacing w:before="120" w:after="120" w:line="360" w:lineRule="auto"/>
        <w:rPr>
          <w:bCs/>
        </w:rPr>
      </w:pPr>
      <w:r>
        <w:rPr>
          <w:b/>
        </w:rPr>
        <w:t>Sales</w:t>
      </w:r>
    </w:p>
    <w:p w:rsidR="00A277D6" w:rsidRPr="00C2446B" w:rsidP="00A277D6">
      <w:pPr>
        <w:numPr>
          <w:ilvl w:val="0"/>
          <w:numId w:val="5"/>
        </w:numPr>
        <w:spacing w:before="120" w:after="120" w:line="360" w:lineRule="auto"/>
        <w:rPr>
          <w:bCs/>
        </w:rPr>
      </w:pPr>
      <w:r>
        <w:rPr>
          <w:bCs/>
        </w:rPr>
        <w:t xml:space="preserve">The suggested amendment to paragraph 3 extends the proposed prohibition on the sale of food to “any retail item”. The presence of an “additional 3 million visitors” per annum in and around VTG will </w:t>
      </w:r>
      <w:r>
        <w:rPr>
          <w:bCs/>
        </w:rPr>
        <w:t>act as</w:t>
      </w:r>
      <w:r>
        <w:rPr>
          <w:bCs/>
        </w:rPr>
        <w:t xml:space="preserve"> a super-incentive for street and market sellers to ply their wares of all kinds in the vicinity. That will in turn encourage yet further visitors. It would be </w:t>
      </w:r>
      <w:r>
        <w:rPr>
          <w:bCs/>
        </w:rPr>
        <w:t xml:space="preserve">wholly </w:t>
      </w:r>
      <w:r>
        <w:rPr>
          <w:bCs/>
        </w:rPr>
        <w:t>outwith</w:t>
      </w:r>
      <w:r>
        <w:rPr>
          <w:bCs/>
        </w:rPr>
        <w:t xml:space="preserve"> the purpose and dignity of a Holocaust memorial for such activity to take place.</w:t>
      </w:r>
    </w:p>
    <w:p w:rsidR="008F054F" w:rsidRPr="008F054F" w:rsidP="008F054F">
      <w:pPr>
        <w:spacing w:before="120" w:after="120" w:line="360" w:lineRule="auto"/>
        <w:rPr>
          <w:b/>
        </w:rPr>
      </w:pPr>
      <w:r w:rsidRPr="008F054F">
        <w:rPr>
          <w:b/>
        </w:rPr>
        <w:t xml:space="preserve">Security issues </w:t>
      </w:r>
      <w:r w:rsidR="00472BBC">
        <w:rPr>
          <w:b/>
        </w:rPr>
        <w:t xml:space="preserve">and para </w:t>
      </w:r>
      <w:r w:rsidR="00472BBC">
        <w:rPr>
          <w:b/>
        </w:rPr>
        <w:t>13</w:t>
      </w:r>
    </w:p>
    <w:p w:rsidR="008F054F">
      <w:pPr>
        <w:numPr>
          <w:ilvl w:val="0"/>
          <w:numId w:val="5"/>
        </w:numPr>
        <w:spacing w:before="120" w:after="120" w:line="360" w:lineRule="auto"/>
        <w:rPr>
          <w:bCs/>
        </w:rPr>
      </w:pPr>
      <w:r>
        <w:rPr>
          <w:bCs/>
        </w:rPr>
        <w:t xml:space="preserve">Finally, it </w:t>
      </w:r>
      <w:r>
        <w:rPr>
          <w:bCs/>
        </w:rPr>
        <w:t>was suggested</w:t>
      </w:r>
      <w:r>
        <w:rPr>
          <w:bCs/>
        </w:rPr>
        <w:t xml:space="preserve"> by Counsel for the Promoter that security issues had been fully dealt with at the </w:t>
      </w:r>
      <w:r w:rsidR="001C0E79">
        <w:rPr>
          <w:bCs/>
        </w:rPr>
        <w:t xml:space="preserve">Inquiry </w:t>
      </w:r>
      <w:r w:rsidR="00472BBC">
        <w:rPr>
          <w:bCs/>
        </w:rPr>
        <w:t xml:space="preserve">which sat in 2022, </w:t>
      </w:r>
      <w:r>
        <w:rPr>
          <w:bCs/>
        </w:rPr>
        <w:t>and comprehensively covered in the Inspector’s</w:t>
      </w:r>
      <w:r w:rsidR="00472BBC">
        <w:rPr>
          <w:bCs/>
        </w:rPr>
        <w:t xml:space="preserve"> resulting</w:t>
      </w:r>
      <w:r>
        <w:rPr>
          <w:bCs/>
        </w:rPr>
        <w:t xml:space="preserve"> report. That </w:t>
      </w:r>
      <w:r>
        <w:rPr>
          <w:bCs/>
        </w:rPr>
        <w:t>is challenged</w:t>
      </w:r>
      <w:r>
        <w:rPr>
          <w:bCs/>
        </w:rPr>
        <w:t>:</w:t>
      </w:r>
    </w:p>
    <w:p w:rsidR="008F054F" w:rsidP="008F054F">
      <w:pPr>
        <w:numPr>
          <w:ilvl w:val="1"/>
          <w:numId w:val="5"/>
        </w:numPr>
        <w:spacing w:before="120" w:after="120" w:line="360" w:lineRule="auto"/>
        <w:rPr>
          <w:bCs/>
        </w:rPr>
      </w:pPr>
      <w:r>
        <w:rPr>
          <w:bCs/>
        </w:rPr>
        <w:t xml:space="preserve">The Promoter’s Security Assessment </w:t>
      </w:r>
      <w:r>
        <w:rPr>
          <w:bCs/>
        </w:rPr>
        <w:t>is dated</w:t>
      </w:r>
      <w:r>
        <w:rPr>
          <w:bCs/>
        </w:rPr>
        <w:t xml:space="preserve"> 2019, so was out of date even at the </w:t>
      </w:r>
      <w:r w:rsidR="001C0E79">
        <w:rPr>
          <w:bCs/>
        </w:rPr>
        <w:t>I</w:t>
      </w:r>
      <w:r>
        <w:rPr>
          <w:bCs/>
        </w:rPr>
        <w:t>nquiry.</w:t>
      </w:r>
    </w:p>
    <w:p w:rsidR="008F054F" w:rsidP="008F054F">
      <w:pPr>
        <w:numPr>
          <w:ilvl w:val="1"/>
          <w:numId w:val="5"/>
        </w:numPr>
        <w:spacing w:before="120" w:after="120" w:line="360" w:lineRule="auto"/>
        <w:rPr>
          <w:bCs/>
        </w:rPr>
      </w:pPr>
      <w:r>
        <w:rPr>
          <w:bCs/>
        </w:rPr>
        <w:t xml:space="preserve">The Assessment stated that no objections were given by </w:t>
      </w:r>
      <w:r>
        <w:rPr>
          <w:bCs/>
        </w:rPr>
        <w:t>3</w:t>
      </w:r>
      <w:r>
        <w:rPr>
          <w:bCs/>
        </w:rPr>
        <w:t xml:space="preserve"> organisations, one of which is the CST, a private security concern which provides security services for events and persons connected </w:t>
      </w:r>
      <w:r>
        <w:rPr>
          <w:bCs/>
        </w:rPr>
        <w:t xml:space="preserve">with Jewish occasions. Lord Carlile has spoken to </w:t>
      </w:r>
      <w:r>
        <w:rPr>
          <w:bCs/>
        </w:rPr>
        <w:t>7</w:t>
      </w:r>
      <w:r>
        <w:rPr>
          <w:bCs/>
        </w:rPr>
        <w:t xml:space="preserve"> persons from different organisations in this field. </w:t>
      </w:r>
    </w:p>
    <w:p w:rsidR="008F054F" w:rsidP="008F054F">
      <w:pPr>
        <w:numPr>
          <w:ilvl w:val="1"/>
          <w:numId w:val="5"/>
        </w:numPr>
        <w:spacing w:before="120" w:after="120" w:line="360" w:lineRule="auto"/>
        <w:rPr>
          <w:bCs/>
        </w:rPr>
      </w:pPr>
      <w:r>
        <w:rPr>
          <w:bCs/>
        </w:rPr>
        <w:t xml:space="preserve">The Promoter’s plans involved a </w:t>
      </w:r>
      <w:r>
        <w:rPr>
          <w:bCs/>
        </w:rPr>
        <w:t>20</w:t>
      </w:r>
      <w:r>
        <w:rPr>
          <w:bCs/>
        </w:rPr>
        <w:t xml:space="preserve"> second security check at the entrance in respect of each person</w:t>
      </w:r>
    </w:p>
    <w:p w:rsidR="008F054F" w:rsidP="008F054F">
      <w:pPr>
        <w:numPr>
          <w:ilvl w:val="1"/>
          <w:numId w:val="5"/>
        </w:numPr>
        <w:spacing w:before="120" w:after="120" w:line="360" w:lineRule="auto"/>
        <w:rPr>
          <w:bCs/>
        </w:rPr>
      </w:pPr>
      <w:r>
        <w:rPr>
          <w:bCs/>
        </w:rPr>
        <w:t xml:space="preserve">The Report itself devotes merely three pages to security (pages 202-5) compared with </w:t>
      </w:r>
      <w:r>
        <w:rPr>
          <w:bCs/>
        </w:rPr>
        <w:t>27</w:t>
      </w:r>
      <w:r>
        <w:rPr>
          <w:bCs/>
        </w:rPr>
        <w:t xml:space="preserve"> pages on heritage assets alone. </w:t>
      </w:r>
    </w:p>
    <w:p w:rsidR="00472BBC" w:rsidP="00472BBC">
      <w:pPr>
        <w:numPr>
          <w:ilvl w:val="0"/>
          <w:numId w:val="5"/>
        </w:numPr>
        <w:spacing w:before="120" w:after="120" w:line="360" w:lineRule="auto"/>
        <w:rPr>
          <w:bCs/>
        </w:rPr>
      </w:pPr>
      <w:r>
        <w:rPr>
          <w:bCs/>
        </w:rPr>
        <w:t xml:space="preserve">In relation to the consideration of paragraph 13 of an amendment to the Bill along the lines suggested by Lord Carlile, this particular obligation on the Promoter should </w:t>
      </w:r>
      <w:r>
        <w:rPr>
          <w:bCs/>
        </w:rPr>
        <w:t>be enforced</w:t>
      </w:r>
      <w:r>
        <w:rPr>
          <w:bCs/>
        </w:rPr>
        <w:t xml:space="preserve"> by amending clause 3(2) of the Bill to delete the words “after the day on which this Act is passed” and replace them with:</w:t>
      </w:r>
    </w:p>
    <w:p w:rsidR="004C3F44" w:rsidP="00472BBC">
      <w:pPr>
        <w:numPr>
          <w:ilvl w:val="1"/>
          <w:numId w:val="5"/>
        </w:numPr>
        <w:spacing w:before="120" w:after="120" w:line="360" w:lineRule="auto"/>
        <w:rPr>
          <w:bCs/>
        </w:rPr>
      </w:pPr>
      <w:r>
        <w:rPr>
          <w:bCs/>
        </w:rPr>
        <w:t>“with the day on which both resolutions described in section 2 and [Lord Carlile’s new clause 3] section 3 of this Act have been passed</w:t>
      </w:r>
      <w:r>
        <w:rPr>
          <w:bCs/>
        </w:rPr>
        <w:t xml:space="preserve"> and the Promoter’s tabled Reports have been approved, whichever is the later”. </w:t>
      </w:r>
    </w:p>
    <w:p w:rsidR="00472BBC" w:rsidP="00472BBC">
      <w:pPr>
        <w:numPr>
          <w:ilvl w:val="1"/>
          <w:numId w:val="5"/>
        </w:numPr>
        <w:spacing w:before="120" w:after="120" w:line="360" w:lineRule="auto"/>
        <w:rPr>
          <w:bCs/>
        </w:rPr>
      </w:pPr>
      <w:r>
        <w:rPr>
          <w:bCs/>
        </w:rPr>
        <w:t>This last reference to the tabled Reports is in reference to the point made in paragraph 6 above.</w:t>
      </w:r>
    </w:p>
    <w:p w:rsidR="008F054F" w:rsidP="008F054F">
      <w:pPr>
        <w:spacing w:before="120" w:after="120" w:line="360" w:lineRule="auto"/>
        <w:rPr>
          <w:bCs/>
        </w:rPr>
      </w:pPr>
    </w:p>
    <w:p w:rsidR="006257D5" w:rsidP="006257D5">
      <w:pPr>
        <w:spacing w:before="120" w:after="120" w:line="360" w:lineRule="auto"/>
        <w:rPr>
          <w:bCs/>
        </w:rPr>
      </w:pPr>
    </w:p>
    <w:p w:rsidR="006257D5" w:rsidP="006257D5">
      <w:pPr>
        <w:spacing w:before="120" w:after="120" w:line="360" w:lineRule="auto"/>
        <w:rPr>
          <w:bCs/>
        </w:rPr>
      </w:pPr>
      <w:r>
        <w:rPr>
          <w:bCs/>
        </w:rPr>
        <w:tab/>
      </w:r>
    </w:p>
    <w:p w:rsidR="006257D5" w:rsidP="006257D5">
      <w:pPr>
        <w:spacing w:before="120" w:after="120" w:line="360" w:lineRule="auto"/>
        <w:jc w:val="right"/>
        <w:rPr>
          <w:bCs/>
        </w:rPr>
      </w:pPr>
      <w:r>
        <w:rPr>
          <w:bCs/>
        </w:rPr>
        <w:t>BRIAN DOCTOR KC</w:t>
      </w:r>
    </w:p>
    <w:p w:rsidR="006257D5" w:rsidP="006257D5">
      <w:pPr>
        <w:spacing w:before="120" w:after="120" w:line="360" w:lineRule="auto"/>
        <w:rPr>
          <w:bCs/>
        </w:rPr>
      </w:pPr>
      <w:r>
        <w:rPr>
          <w:bCs/>
        </w:rPr>
        <w:t>Fountain Court Chambers</w:t>
      </w:r>
    </w:p>
    <w:p w:rsidR="006257D5" w:rsidP="006257D5">
      <w:pPr>
        <w:spacing w:before="120" w:after="120" w:line="360" w:lineRule="auto"/>
        <w:rPr>
          <w:bCs/>
        </w:rPr>
      </w:pPr>
      <w:r>
        <w:rPr>
          <w:bCs/>
        </w:rPr>
        <w:t>9</w:t>
      </w:r>
      <w:r>
        <w:rPr>
          <w:bCs/>
        </w:rPr>
        <w:t xml:space="preserve"> December 2024</w:t>
      </w:r>
    </w:p>
    <w:sectPr>
      <w:footerReference w:type="even" r:id="rId4"/>
      <w:footerReference w:type="default" r:id="rId5"/>
      <w:pgSz w:w="11906" w:h="16838" w:code="9"/>
      <w:pgMar w:top="1440" w:right="1797" w:bottom="1440"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0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C40D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0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45F7">
      <w:rPr>
        <w:rStyle w:val="PageNumber"/>
        <w:noProof/>
      </w:rPr>
      <w:t>12</w:t>
    </w:r>
    <w:r>
      <w:rPr>
        <w:rStyle w:val="PageNumber"/>
      </w:rPr>
      <w:fldChar w:fldCharType="end"/>
    </w:r>
  </w:p>
  <w:p w:rsidR="00C40DE7">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AD6766"/>
    <w:multiLevelType w:val="multilevel"/>
    <w:tmpl w:val="E8907390"/>
    <w:lvl w:ilvl="0">
      <w:start w:val="1"/>
      <w:numFmt w:val="decimal"/>
      <w:lvlText w:val="%1"/>
      <w:lvlJc w:val="left"/>
      <w:rPr>
        <w:rFonts w:ascii="Times New Roman" w:hAnsi="Times New Roman" w:hint="default"/>
        <w:b w:val="0"/>
        <w:i w:val="0"/>
        <w:caps w:val="0"/>
        <w:strike w:val="0"/>
        <w:dstrike w:val="0"/>
        <w:vanish w:val="0"/>
        <w:color w:val="auto"/>
        <w:sz w:val="26"/>
        <w:vertAlign w:val="baseline"/>
      </w:rPr>
    </w:lvl>
    <w:lvl w:ilvl="1">
      <w:start w:val="1"/>
      <w:numFmt w:val="lowerLetter"/>
      <w:lvlText w:val="%2)"/>
      <w:lvlJc w:val="left"/>
      <w:pPr>
        <w:tabs>
          <w:tab w:val="num" w:pos="720"/>
        </w:tabs>
        <w:ind w:left="1656" w:hanging="129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BC57E6D"/>
    <w:multiLevelType w:val="multilevel"/>
    <w:tmpl w:val="FAC4E0E0"/>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6."/>
      <w:legacy w:legacy="1" w:legacySpace="0" w:legacyIndent="0"/>
      <w:lvlJc w:val="left"/>
    </w:lvl>
    <w:lvl w:ilvl="6">
      <w:start w:val="1"/>
      <w:numFmt w:val="decimal"/>
      <w:lvlText w:val="%6.%7"/>
      <w:legacy w:legacy="1" w:legacySpace="0" w:legacyIndent="0"/>
      <w:lvlJc w:val="left"/>
    </w:lvl>
    <w:lvl w:ilvl="7">
      <w:start w:val="1"/>
      <w:numFmt w:val="decimal"/>
      <w:lvlText w:val="%6.%7.%8"/>
      <w:legacy w:legacy="1" w:legacySpace="0" w:legacyIndent="0"/>
      <w:lvlJc w:val="left"/>
    </w:lvl>
    <w:lvl w:ilvl="8">
      <w:start w:val="1"/>
      <w:numFmt w:val="lowerRoman"/>
      <w:lvlText w:val="%9"/>
      <w:legacy w:legacy="1" w:legacySpace="0" w:legacyIndent="0"/>
      <w:lvlJc w:val="left"/>
    </w:lvl>
  </w:abstractNum>
  <w:abstractNum w:abstractNumId="2">
    <w:nsid w:val="20476FBA"/>
    <w:multiLevelType w:val="hybridMultilevel"/>
    <w:tmpl w:val="AA14429C"/>
    <w:lvl w:ilvl="0">
      <w:start w:val="14"/>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D50248C"/>
    <w:multiLevelType w:val="multilevel"/>
    <w:tmpl w:val="BBF2D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152"/>
        </w:tabs>
        <w:ind w:left="1152" w:hanging="1152"/>
      </w:pPr>
      <w:rPr>
        <w:rFonts w:hint="default"/>
      </w:rPr>
    </w:lvl>
    <w:lvl w:ilvl="2">
      <w:start w:val="1"/>
      <w:numFmt w:val="lowerLetter"/>
      <w:lvlText w:val="(%3)"/>
      <w:lvlJc w:val="left"/>
      <w:pPr>
        <w:tabs>
          <w:tab w:val="num" w:pos="1656"/>
        </w:tabs>
        <w:ind w:left="1656" w:hanging="936"/>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3B9A5619"/>
    <w:multiLevelType w:val="multilevel"/>
    <w:tmpl w:val="DB06ED44"/>
    <w:lvl w:ilvl="0">
      <w:start w:val="1"/>
      <w:numFmt w:val="decimal"/>
      <w:lvlText w:val="%1"/>
      <w:lvlJc w:val="left"/>
      <w:rPr>
        <w:rFonts w:ascii="Times New Roman" w:hAnsi="Times New Roman" w:hint="default"/>
        <w:b w:val="0"/>
        <w:i w:val="0"/>
        <w:caps w:val="0"/>
        <w:strike w:val="0"/>
        <w:dstrike w:val="0"/>
        <w:vanish w:val="0"/>
        <w:color w:val="auto"/>
        <w:sz w:val="26"/>
        <w:vertAlign w:val="baseline"/>
      </w:rPr>
    </w:lvl>
    <w:lvl w:ilvl="1">
      <w:start w:val="1"/>
      <w:numFmt w:val="lowerLetter"/>
      <w:lvlText w:val="%2)"/>
      <w:lvlJc w:val="left"/>
      <w:pPr>
        <w:tabs>
          <w:tab w:val="num" w:pos="720"/>
        </w:tabs>
        <w:ind w:left="1656" w:hanging="129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3C5D6D6C"/>
    <w:multiLevelType w:val="multilevel"/>
    <w:tmpl w:val="BBF2D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152"/>
        </w:tabs>
        <w:ind w:left="1152" w:hanging="1152"/>
      </w:pPr>
      <w:rPr>
        <w:rFonts w:hint="default"/>
      </w:rPr>
    </w:lvl>
    <w:lvl w:ilvl="2">
      <w:start w:val="1"/>
      <w:numFmt w:val="lowerLetter"/>
      <w:lvlText w:val="(%3)"/>
      <w:lvlJc w:val="left"/>
      <w:pPr>
        <w:tabs>
          <w:tab w:val="num" w:pos="1656"/>
        </w:tabs>
        <w:ind w:left="1656" w:hanging="936"/>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1431C2E"/>
    <w:multiLevelType w:val="multilevel"/>
    <w:tmpl w:val="706C83BE"/>
    <w:lvl w:ilvl="0">
      <w:start w:val="1"/>
      <w:numFmt w:val="decimal"/>
      <w:lvlText w:val="%1"/>
      <w:lvlJc w:val="left"/>
      <w:rPr>
        <w:rFonts w:ascii="Times New Roman" w:hAnsi="Times New Roman" w:hint="default"/>
        <w:b w:val="0"/>
        <w:i w:val="0"/>
        <w:caps w:val="0"/>
        <w:strike w:val="0"/>
        <w:dstrike w:val="0"/>
        <w:vanish w:val="0"/>
        <w:color w:val="auto"/>
        <w:sz w:val="26"/>
        <w:vertAlign w:val="base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
  </w:num>
  <w:num w:numId="2">
    <w:abstractNumId w:val="6"/>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spacing w:before="120" w:after="120" w:line="360" w:lineRule="auto"/>
      <w:ind w:left="720"/>
    </w:pPr>
    <w:rPr>
      <w:sz w:val="20"/>
      <w:szCs w:val="20"/>
    </w:rPr>
  </w:style>
  <w:style w:type="paragraph" w:styleId="BodyTextIndent2">
    <w:name w:val="Body Text Indent 2"/>
    <w:basedOn w:val="Normal"/>
    <w:pPr>
      <w:spacing w:before="120" w:after="120" w:line="360" w:lineRule="auto"/>
      <w:ind w:left="540"/>
    </w:pPr>
    <w:rPr>
      <w:sz w:val="20"/>
      <w:szCs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1Legal">
    <w:name w:val="1Legal"/>
    <w:pPr>
      <w:tabs>
        <w:tab w:val="left" w:pos="720"/>
      </w:tabs>
      <w:autoSpaceDE w:val="0"/>
      <w:autoSpaceDN w:val="0"/>
      <w:adjustRightInd w:val="0"/>
      <w:ind w:left="720" w:hanging="720"/>
    </w:pPr>
    <w:rPr>
      <w:szCs w:val="24"/>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6563B2"/>
    <w:rPr>
      <w:sz w:val="2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ambo\Documents\Custom%20Office%20Templates\Draft%20opinion%20document%20with%20paragraph%20numbering.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