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E65BF" w:rsidRPr="00B824AA" w:rsidP="00E41944">
      <w:pPr>
        <w:pStyle w:val="NoSpacing"/>
        <w:jc w:val="center"/>
        <w:rPr>
          <w:rFonts w:ascii="Minion Pro" w:hAnsi="Minion Pro"/>
          <w:b/>
          <w:bCs/>
          <w:sz w:val="24"/>
          <w:szCs w:val="24"/>
        </w:rPr>
      </w:pPr>
      <w:r w:rsidRPr="00B824AA">
        <w:rPr>
          <w:rFonts w:ascii="Minion Pro" w:hAnsi="Minion Pro"/>
          <w:b/>
          <w:bCs/>
          <w:sz w:val="24"/>
          <w:szCs w:val="24"/>
        </w:rPr>
        <w:t>Holocaust Memorial Bill: Lords Committee</w:t>
      </w:r>
    </w:p>
    <w:p w:rsidR="00E41944" w:rsidRPr="00B824AA" w:rsidP="00E41944">
      <w:pPr>
        <w:pStyle w:val="NoSpacing"/>
        <w:jc w:val="center"/>
        <w:rPr>
          <w:rFonts w:ascii="Minion Pro" w:hAnsi="Minion Pro"/>
          <w:b/>
          <w:bCs/>
          <w:sz w:val="24"/>
          <w:szCs w:val="24"/>
        </w:rPr>
      </w:pPr>
    </w:p>
    <w:p w:rsidR="00E41944" w:rsidRPr="00B824AA" w:rsidP="00E41944">
      <w:pPr>
        <w:pStyle w:val="NoSpacing"/>
        <w:jc w:val="center"/>
        <w:rPr>
          <w:rFonts w:ascii="Minion Pro" w:hAnsi="Minion Pro"/>
          <w:b/>
          <w:bCs/>
          <w:sz w:val="24"/>
          <w:szCs w:val="24"/>
        </w:rPr>
      </w:pPr>
      <w:r w:rsidRPr="00B824AA">
        <w:rPr>
          <w:rFonts w:ascii="Minion Pro" w:hAnsi="Minion Pro"/>
          <w:b/>
          <w:bCs/>
          <w:sz w:val="24"/>
          <w:szCs w:val="24"/>
        </w:rPr>
        <w:t xml:space="preserve">Supplementary </w:t>
      </w:r>
      <w:r w:rsidRPr="00B824AA" w:rsidR="00B824AA">
        <w:rPr>
          <w:rFonts w:ascii="Minion Pro" w:hAnsi="Minion Pro"/>
          <w:b/>
          <w:bCs/>
          <w:sz w:val="24"/>
          <w:szCs w:val="24"/>
        </w:rPr>
        <w:t>Witness Statement</w:t>
      </w:r>
    </w:p>
    <w:p w:rsidR="00E41944" w:rsidRPr="00B824AA" w:rsidP="00E41944">
      <w:pPr>
        <w:pStyle w:val="NoSpacing"/>
        <w:rPr>
          <w:rFonts w:ascii="Minion Pro" w:hAnsi="Minion Pro"/>
          <w:sz w:val="24"/>
          <w:szCs w:val="24"/>
        </w:rPr>
      </w:pPr>
    </w:p>
    <w:p w:rsidR="00E41944" w:rsidRPr="00B824AA" w:rsidP="00E41944">
      <w:pPr>
        <w:pStyle w:val="NoSpacing"/>
        <w:rPr>
          <w:rFonts w:ascii="Minion Pro" w:hAnsi="Minion Pro"/>
          <w:sz w:val="24"/>
          <w:szCs w:val="24"/>
        </w:rPr>
      </w:pPr>
      <w:r w:rsidRPr="00B824AA">
        <w:rPr>
          <w:rFonts w:ascii="Minion Pro" w:hAnsi="Minion Pro"/>
          <w:sz w:val="24"/>
          <w:szCs w:val="24"/>
        </w:rPr>
        <w:t xml:space="preserve">1.This note deals with </w:t>
      </w:r>
      <w:r w:rsidRPr="00B824AA" w:rsidR="00D07363">
        <w:rPr>
          <w:rFonts w:ascii="Minion Pro" w:hAnsi="Minion Pro"/>
          <w:sz w:val="24"/>
          <w:szCs w:val="24"/>
        </w:rPr>
        <w:t>a point which, because of the limited time, could not be adequately dealt with at the hearing on 20 November.</w:t>
      </w:r>
    </w:p>
    <w:p w:rsidR="00D07363" w:rsidRPr="00B824AA" w:rsidP="00E41944">
      <w:pPr>
        <w:pStyle w:val="NoSpacing"/>
        <w:rPr>
          <w:rFonts w:ascii="Minion Pro" w:hAnsi="Minion Pro"/>
          <w:sz w:val="24"/>
          <w:szCs w:val="24"/>
        </w:rPr>
      </w:pPr>
    </w:p>
    <w:p w:rsidR="008E7996" w:rsidRPr="00B824AA" w:rsidP="00E41944">
      <w:pPr>
        <w:pStyle w:val="NoSpacing"/>
        <w:rPr>
          <w:rFonts w:ascii="Minion Pro" w:hAnsi="Minion Pro"/>
          <w:sz w:val="24"/>
          <w:szCs w:val="24"/>
        </w:rPr>
      </w:pPr>
      <w:r w:rsidRPr="00B824AA">
        <w:rPr>
          <w:rFonts w:ascii="Minion Pro" w:hAnsi="Minion Pro"/>
          <w:sz w:val="24"/>
          <w:szCs w:val="24"/>
        </w:rPr>
        <w:t>2.</w:t>
      </w:r>
      <w:r w:rsidRPr="00B824AA">
        <w:rPr>
          <w:rFonts w:ascii="Minion Pro" w:hAnsi="Minion Pro"/>
          <w:sz w:val="24"/>
          <w:szCs w:val="24"/>
        </w:rPr>
        <w:t xml:space="preserve">The Bill provides for expenditure on </w:t>
      </w:r>
      <w:r w:rsidR="009C6059">
        <w:rPr>
          <w:rFonts w:ascii="Minion Pro" w:hAnsi="Minion Pro"/>
          <w:sz w:val="24"/>
          <w:szCs w:val="24"/>
        </w:rPr>
        <w:t xml:space="preserve">a </w:t>
      </w:r>
      <w:r w:rsidRPr="00B824AA" w:rsidR="009C6059">
        <w:rPr>
          <w:rFonts w:ascii="Minion Pro" w:hAnsi="Minion Pro"/>
          <w:sz w:val="24"/>
          <w:szCs w:val="24"/>
        </w:rPr>
        <w:t>Memorial and Learning Centre (HMLC)</w:t>
      </w:r>
      <w:r w:rsidR="009C6059">
        <w:rPr>
          <w:rFonts w:ascii="Minion Pro" w:hAnsi="Minion Pro"/>
          <w:sz w:val="24"/>
          <w:szCs w:val="24"/>
        </w:rPr>
        <w:t xml:space="preserve">, </w:t>
      </w:r>
      <w:r w:rsidRPr="00B824AA">
        <w:rPr>
          <w:rFonts w:ascii="Minion Pro" w:hAnsi="Minion Pro"/>
          <w:sz w:val="24"/>
          <w:szCs w:val="24"/>
        </w:rPr>
        <w:t>wherever it is</w:t>
      </w:r>
      <w:r w:rsidR="009C6059">
        <w:rPr>
          <w:rFonts w:ascii="Minion Pro" w:hAnsi="Minion Pro"/>
          <w:sz w:val="24"/>
          <w:szCs w:val="24"/>
        </w:rPr>
        <w:t xml:space="preserve"> located, </w:t>
      </w:r>
      <w:r w:rsidRPr="00B824AA">
        <w:rPr>
          <w:rFonts w:ascii="Minion Pro" w:hAnsi="Minion Pro"/>
          <w:sz w:val="24"/>
          <w:szCs w:val="24"/>
        </w:rPr>
        <w:t xml:space="preserve">and removes any restrictions on building </w:t>
      </w:r>
      <w:r w:rsidR="009C6059">
        <w:rPr>
          <w:rFonts w:ascii="Minion Pro" w:hAnsi="Minion Pro"/>
          <w:sz w:val="24"/>
          <w:szCs w:val="24"/>
        </w:rPr>
        <w:t xml:space="preserve">it </w:t>
      </w:r>
      <w:r w:rsidRPr="00B824AA">
        <w:rPr>
          <w:rFonts w:ascii="Minion Pro" w:hAnsi="Minion Pro"/>
          <w:sz w:val="24"/>
          <w:szCs w:val="24"/>
        </w:rPr>
        <w:t xml:space="preserve">in Victoria Tower Gardens. There is nothing which specifies the size or design of an HMLC that might be built in the Gardens and nothing linking the Bill to the </w:t>
      </w:r>
      <w:r w:rsidR="009C6059">
        <w:rPr>
          <w:rFonts w:ascii="Minion Pro" w:hAnsi="Minion Pro"/>
          <w:sz w:val="24"/>
          <w:szCs w:val="24"/>
        </w:rPr>
        <w:t xml:space="preserve">existing </w:t>
      </w:r>
      <w:r w:rsidRPr="00B824AA">
        <w:rPr>
          <w:rFonts w:ascii="Minion Pro" w:hAnsi="Minion Pro"/>
          <w:sz w:val="24"/>
          <w:szCs w:val="24"/>
        </w:rPr>
        <w:t>planning application.</w:t>
      </w:r>
    </w:p>
    <w:p w:rsidR="008E7996" w:rsidRPr="00B824AA" w:rsidP="00E41944">
      <w:pPr>
        <w:pStyle w:val="NoSpacing"/>
        <w:rPr>
          <w:rFonts w:ascii="Minion Pro" w:hAnsi="Minion Pro"/>
          <w:sz w:val="24"/>
          <w:szCs w:val="24"/>
        </w:rPr>
      </w:pPr>
    </w:p>
    <w:p w:rsidR="00B40DDA" w:rsidRPr="00B824AA" w:rsidP="00E41944">
      <w:pPr>
        <w:pStyle w:val="NoSpacing"/>
        <w:rPr>
          <w:rFonts w:ascii="Minion Pro" w:hAnsi="Minion Pro"/>
          <w:sz w:val="24"/>
          <w:szCs w:val="24"/>
        </w:rPr>
      </w:pPr>
      <w:r w:rsidRPr="00B824AA">
        <w:rPr>
          <w:rFonts w:ascii="Minion Pro" w:hAnsi="Minion Pro"/>
          <w:sz w:val="24"/>
          <w:szCs w:val="24"/>
        </w:rPr>
        <w:t xml:space="preserve">3.The Explanatory Notes do, arguably, make such a link, in paragraph 8, but </w:t>
      </w:r>
      <w:r w:rsidRPr="00B824AA">
        <w:rPr>
          <w:rFonts w:ascii="Minion Pro" w:hAnsi="Minion Pro"/>
          <w:sz w:val="24"/>
          <w:szCs w:val="24"/>
        </w:rPr>
        <w:t xml:space="preserve">they </w:t>
      </w:r>
      <w:r w:rsidRPr="00B824AA">
        <w:rPr>
          <w:rFonts w:ascii="Minion Pro" w:hAnsi="Minion Pro"/>
          <w:sz w:val="24"/>
          <w:szCs w:val="24"/>
        </w:rPr>
        <w:t>do not form part of the Bill</w:t>
      </w:r>
      <w:r w:rsidRPr="00B824AA">
        <w:rPr>
          <w:rFonts w:ascii="Minion Pro" w:hAnsi="Minion Pro"/>
          <w:sz w:val="24"/>
          <w:szCs w:val="24"/>
        </w:rPr>
        <w:t>. Neither the Explanatory Notes no</w:t>
      </w:r>
      <w:r w:rsidR="009C6059">
        <w:rPr>
          <w:rFonts w:ascii="Minion Pro" w:hAnsi="Minion Pro"/>
          <w:sz w:val="24"/>
          <w:szCs w:val="24"/>
        </w:rPr>
        <w:t>r</w:t>
      </w:r>
      <w:r w:rsidRPr="00B824AA">
        <w:rPr>
          <w:rFonts w:ascii="Minion Pro" w:hAnsi="Minion Pro"/>
          <w:sz w:val="24"/>
          <w:szCs w:val="24"/>
        </w:rPr>
        <w:t xml:space="preserve"> statements by Minister</w:t>
      </w:r>
      <w:r w:rsidR="009C6059">
        <w:rPr>
          <w:rFonts w:ascii="Minion Pro" w:hAnsi="Minion Pro"/>
          <w:sz w:val="24"/>
          <w:szCs w:val="24"/>
        </w:rPr>
        <w:t>s</w:t>
      </w:r>
      <w:r w:rsidRPr="00B824AA">
        <w:rPr>
          <w:rFonts w:ascii="Minion Pro" w:hAnsi="Minion Pro"/>
          <w:sz w:val="24"/>
          <w:szCs w:val="24"/>
        </w:rPr>
        <w:t xml:space="preserve"> </w:t>
      </w:r>
      <w:r w:rsidR="000F73C1">
        <w:rPr>
          <w:rFonts w:ascii="Minion Pro" w:hAnsi="Minion Pro"/>
          <w:sz w:val="24"/>
          <w:szCs w:val="24"/>
        </w:rPr>
        <w:t xml:space="preserve">will be relevant to the interpretation of the </w:t>
      </w:r>
      <w:r w:rsidRPr="00B824AA">
        <w:rPr>
          <w:rFonts w:ascii="Minion Pro" w:hAnsi="Minion Pro"/>
          <w:sz w:val="24"/>
          <w:szCs w:val="24"/>
        </w:rPr>
        <w:t>Bill</w:t>
      </w:r>
      <w:r w:rsidR="000F73C1">
        <w:rPr>
          <w:rFonts w:ascii="Minion Pro" w:hAnsi="Minion Pro"/>
          <w:sz w:val="24"/>
          <w:szCs w:val="24"/>
        </w:rPr>
        <w:t xml:space="preserve"> when enacted</w:t>
      </w:r>
      <w:r w:rsidRPr="00B824AA">
        <w:rPr>
          <w:rFonts w:ascii="Minion Pro" w:hAnsi="Minion Pro"/>
          <w:sz w:val="24"/>
          <w:szCs w:val="24"/>
        </w:rPr>
        <w:t>.</w:t>
      </w:r>
    </w:p>
    <w:p w:rsidR="00B40DDA" w:rsidRPr="00B824AA" w:rsidP="00E41944">
      <w:pPr>
        <w:pStyle w:val="NoSpacing"/>
        <w:rPr>
          <w:rFonts w:ascii="Minion Pro" w:hAnsi="Minion Pro"/>
          <w:sz w:val="24"/>
          <w:szCs w:val="24"/>
        </w:rPr>
      </w:pPr>
    </w:p>
    <w:p w:rsidR="00B824AA" w:rsidRPr="00B824AA" w:rsidP="00E41944">
      <w:pPr>
        <w:pStyle w:val="NoSpacing"/>
        <w:rPr>
          <w:rFonts w:ascii="Minion Pro" w:hAnsi="Minion Pro"/>
          <w:sz w:val="24"/>
          <w:szCs w:val="24"/>
        </w:rPr>
      </w:pPr>
      <w:r w:rsidRPr="00B824AA">
        <w:rPr>
          <w:rFonts w:ascii="Minion Pro" w:hAnsi="Minion Pro"/>
          <w:sz w:val="24"/>
          <w:szCs w:val="24"/>
        </w:rPr>
        <w:t xml:space="preserve">4.Before </w:t>
      </w:r>
      <w:r w:rsidRPr="00B824AA" w:rsidR="00D07363">
        <w:rPr>
          <w:rFonts w:ascii="Minion Pro" w:hAnsi="Minion Pro"/>
          <w:sz w:val="24"/>
          <w:szCs w:val="24"/>
        </w:rPr>
        <w:t xml:space="preserve">the decision in Pepper v. Hart, attempts to use </w:t>
      </w:r>
      <w:r w:rsidRPr="00B824AA">
        <w:rPr>
          <w:rFonts w:ascii="Minion Pro" w:hAnsi="Minion Pro"/>
          <w:sz w:val="24"/>
          <w:szCs w:val="24"/>
        </w:rPr>
        <w:t xml:space="preserve">statements made in Parliament to interpret legislation would have been treated as a breach of parliamentary privilege, contravening the Bill of Rights. </w:t>
      </w:r>
      <w:r w:rsidRPr="00B824AA">
        <w:rPr>
          <w:rFonts w:ascii="Minion Pro" w:hAnsi="Minion Pro" w:cs="Arial"/>
          <w:sz w:val="24"/>
          <w:szCs w:val="24"/>
          <w:shd w:val="clear" w:color="auto" w:fill="FFFFFF"/>
        </w:rPr>
        <w:t xml:space="preserve"> In Pepper v. Hart, the judgment was that ‘the use of clear ministerial statements by the court as a guide to the construction of ambiguous legislation would not contravene article 9’. This has been criticised subsequently, among other reasons because Parliament approves the words of the legislation rather than </w:t>
      </w:r>
      <w:r w:rsidRPr="00B824AA">
        <w:rPr>
          <w:rFonts w:ascii="Minion Pro" w:hAnsi="Minion Pro" w:cs="Arial"/>
          <w:sz w:val="24"/>
          <w:szCs w:val="24"/>
          <w:shd w:val="clear" w:color="auto" w:fill="FFFFFF"/>
        </w:rPr>
        <w:t xml:space="preserve">endorsing the wording used by the Minister in explaining it. Indeed, in the more limited case of the instruction to the committee in the Commons, the Promoter argued </w:t>
      </w:r>
      <w:r w:rsidR="000F73C1">
        <w:rPr>
          <w:rFonts w:ascii="Minion Pro" w:hAnsi="Minion Pro" w:cs="Arial"/>
          <w:sz w:val="24"/>
          <w:szCs w:val="24"/>
          <w:shd w:val="clear" w:color="auto" w:fill="FFFFFF"/>
        </w:rPr>
        <w:t xml:space="preserve">there that </w:t>
      </w:r>
      <w:r w:rsidRPr="00B824AA">
        <w:rPr>
          <w:rFonts w:ascii="Minion Pro" w:hAnsi="Minion Pro" w:cs="Arial"/>
          <w:sz w:val="24"/>
          <w:szCs w:val="24"/>
          <w:shd w:val="clear" w:color="auto" w:fill="FFFFFF"/>
        </w:rPr>
        <w:t>‘</w:t>
      </w:r>
      <w:r w:rsidRPr="00B824AA">
        <w:rPr>
          <w:rFonts w:ascii="Minion Pro" w:hAnsi="Minion Pro"/>
          <w:sz w:val="24"/>
          <w:szCs w:val="24"/>
        </w:rPr>
        <w:t>Statements made by any one Minister giving their own interpretation of the meaning or effect of the proposed Instruction cannot possibly change the meaning and effect of the Instruction as given</w:t>
      </w:r>
      <w:r w:rsidR="000F73C1">
        <w:rPr>
          <w:rFonts w:ascii="Minion Pro" w:hAnsi="Minion Pro"/>
          <w:sz w:val="24"/>
          <w:szCs w:val="24"/>
        </w:rPr>
        <w:t>’</w:t>
      </w:r>
      <w:r w:rsidRPr="00B824AA">
        <w:rPr>
          <w:rFonts w:ascii="Minion Pro" w:hAnsi="Minion Pro"/>
          <w:sz w:val="24"/>
          <w:szCs w:val="24"/>
        </w:rPr>
        <w:t xml:space="preserve"> (para 11 of the Committee’s report). The effect of subsequent judicial rulings has been to limit the application of Pepper v. Hart rather than to expand it.</w:t>
      </w:r>
      <w:r w:rsidR="000F73C1">
        <w:rPr>
          <w:rFonts w:ascii="Minion Pro" w:hAnsi="Minion Pro"/>
          <w:sz w:val="24"/>
          <w:szCs w:val="24"/>
        </w:rPr>
        <w:t xml:space="preserve"> The existing Bill is not ambiguous.</w:t>
      </w:r>
    </w:p>
    <w:p w:rsidR="00B824AA" w:rsidRPr="00B824AA" w:rsidP="00E41944">
      <w:pPr>
        <w:pStyle w:val="NoSpacing"/>
        <w:rPr>
          <w:rFonts w:ascii="Minion Pro" w:hAnsi="Minion Pro"/>
          <w:sz w:val="24"/>
          <w:szCs w:val="24"/>
        </w:rPr>
      </w:pPr>
    </w:p>
    <w:p w:rsidR="00B824AA" w:rsidRPr="00B824AA" w:rsidP="00E41944">
      <w:pPr>
        <w:pStyle w:val="NoSpacing"/>
        <w:rPr>
          <w:rFonts w:ascii="Minion Pro" w:hAnsi="Minion Pro"/>
          <w:sz w:val="24"/>
          <w:szCs w:val="24"/>
        </w:rPr>
      </w:pPr>
      <w:r w:rsidRPr="00B824AA">
        <w:rPr>
          <w:rFonts w:ascii="Minion Pro" w:hAnsi="Minion Pro"/>
          <w:sz w:val="24"/>
          <w:szCs w:val="24"/>
        </w:rPr>
        <w:t xml:space="preserve">5.The relevance of this is that Promoter’s Counsel has argued, most recently on 20 November, that any amendments which could prevent the HMLC </w:t>
      </w:r>
      <w:r w:rsidR="000F73C1">
        <w:rPr>
          <w:rFonts w:ascii="Minion Pro" w:hAnsi="Minion Pro"/>
          <w:sz w:val="24"/>
          <w:szCs w:val="24"/>
        </w:rPr>
        <w:t xml:space="preserve">that is the subject of the </w:t>
      </w:r>
      <w:r w:rsidR="009C6059">
        <w:rPr>
          <w:rFonts w:ascii="Minion Pro" w:hAnsi="Minion Pro"/>
          <w:sz w:val="24"/>
          <w:szCs w:val="24"/>
        </w:rPr>
        <w:t xml:space="preserve">existing </w:t>
      </w:r>
      <w:r w:rsidR="000F73C1">
        <w:rPr>
          <w:rFonts w:ascii="Minion Pro" w:hAnsi="Minion Pro"/>
          <w:sz w:val="24"/>
          <w:szCs w:val="24"/>
        </w:rPr>
        <w:t xml:space="preserve">planning application </w:t>
      </w:r>
      <w:r w:rsidRPr="00B824AA">
        <w:rPr>
          <w:rFonts w:ascii="Minion Pro" w:hAnsi="Minion Pro"/>
          <w:sz w:val="24"/>
          <w:szCs w:val="24"/>
        </w:rPr>
        <w:t xml:space="preserve">being built are ‘out of scope’. This is consistent </w:t>
      </w:r>
      <w:r w:rsidR="000F73C1">
        <w:rPr>
          <w:rFonts w:ascii="Minion Pro" w:hAnsi="Minion Pro"/>
          <w:sz w:val="24"/>
          <w:szCs w:val="24"/>
        </w:rPr>
        <w:t xml:space="preserve">neither </w:t>
      </w:r>
      <w:r w:rsidRPr="00B824AA">
        <w:rPr>
          <w:rFonts w:ascii="Minion Pro" w:hAnsi="Minion Pro"/>
          <w:sz w:val="24"/>
          <w:szCs w:val="24"/>
        </w:rPr>
        <w:t>with the contents of the Bill</w:t>
      </w:r>
      <w:r w:rsidR="009C6059">
        <w:rPr>
          <w:rFonts w:ascii="Minion Pro" w:hAnsi="Minion Pro"/>
          <w:sz w:val="24"/>
          <w:szCs w:val="24"/>
        </w:rPr>
        <w:t>, which does not refer to the current scheme at all,</w:t>
      </w:r>
      <w:r w:rsidR="000F73C1">
        <w:rPr>
          <w:rFonts w:ascii="Minion Pro" w:hAnsi="Minion Pro"/>
          <w:sz w:val="24"/>
          <w:szCs w:val="24"/>
        </w:rPr>
        <w:t xml:space="preserve"> nor </w:t>
      </w:r>
      <w:r w:rsidRPr="00B824AA">
        <w:rPr>
          <w:rFonts w:ascii="Minion Pro" w:hAnsi="Minion Pro"/>
          <w:sz w:val="24"/>
          <w:szCs w:val="24"/>
        </w:rPr>
        <w:t>with the decision on scope announced by the</w:t>
      </w:r>
      <w:r w:rsidR="000F73C1">
        <w:rPr>
          <w:rFonts w:ascii="Minion Pro" w:hAnsi="Minion Pro"/>
          <w:sz w:val="24"/>
          <w:szCs w:val="24"/>
        </w:rPr>
        <w:t xml:space="preserve"> C</w:t>
      </w:r>
      <w:r w:rsidRPr="00B824AA">
        <w:rPr>
          <w:rFonts w:ascii="Minion Pro" w:hAnsi="Minion Pro"/>
          <w:sz w:val="24"/>
          <w:szCs w:val="24"/>
        </w:rPr>
        <w:t xml:space="preserve">ommittee on 19 November. </w:t>
      </w:r>
      <w:r w:rsidR="001A7EEA">
        <w:rPr>
          <w:rFonts w:ascii="Minion Pro" w:hAnsi="Minion Pro"/>
          <w:sz w:val="24"/>
          <w:szCs w:val="24"/>
        </w:rPr>
        <w:t>Given the contents of the Bill and the Committee’s ruling, a</w:t>
      </w:r>
      <w:r w:rsidRPr="00B824AA">
        <w:rPr>
          <w:rFonts w:ascii="Minion Pro" w:hAnsi="Minion Pro"/>
          <w:sz w:val="24"/>
          <w:szCs w:val="24"/>
        </w:rPr>
        <w:t xml:space="preserve">mendments relating to the size and design of </w:t>
      </w:r>
      <w:r w:rsidR="003B3B9E">
        <w:rPr>
          <w:rFonts w:ascii="Minion Pro" w:hAnsi="Minion Pro"/>
          <w:sz w:val="24"/>
          <w:szCs w:val="24"/>
        </w:rPr>
        <w:t>an</w:t>
      </w:r>
      <w:r w:rsidRPr="00B824AA">
        <w:rPr>
          <w:rFonts w:ascii="Minion Pro" w:hAnsi="Minion Pro"/>
          <w:sz w:val="24"/>
          <w:szCs w:val="24"/>
        </w:rPr>
        <w:t xml:space="preserve"> HMLC in Victoria Tower Gardens</w:t>
      </w:r>
      <w:r w:rsidRPr="009C6059" w:rsidR="009C6059">
        <w:rPr>
          <w:rFonts w:ascii="Minion Pro" w:hAnsi="Minion Pro"/>
          <w:sz w:val="24"/>
          <w:szCs w:val="24"/>
        </w:rPr>
        <w:t xml:space="preserve"> </w:t>
      </w:r>
      <w:r w:rsidRPr="00B824AA" w:rsidR="009C6059">
        <w:rPr>
          <w:rFonts w:ascii="Minion Pro" w:hAnsi="Minion Pro"/>
          <w:sz w:val="24"/>
          <w:szCs w:val="24"/>
        </w:rPr>
        <w:t>must be within scope</w:t>
      </w:r>
      <w:r w:rsidR="000F73C1">
        <w:rPr>
          <w:rFonts w:ascii="Minion Pro" w:hAnsi="Minion Pro"/>
          <w:sz w:val="24"/>
          <w:szCs w:val="24"/>
        </w:rPr>
        <w:t xml:space="preserve"> even if </w:t>
      </w:r>
      <w:r w:rsidR="001A7EEA">
        <w:rPr>
          <w:rFonts w:ascii="Minion Pro" w:hAnsi="Minion Pro"/>
          <w:sz w:val="24"/>
          <w:szCs w:val="24"/>
        </w:rPr>
        <w:t>they would prevent the current design being constructed</w:t>
      </w:r>
      <w:r w:rsidRPr="00B824AA">
        <w:rPr>
          <w:rFonts w:ascii="Minion Pro" w:hAnsi="Minion Pro"/>
          <w:sz w:val="24"/>
          <w:szCs w:val="24"/>
        </w:rPr>
        <w:t>.</w:t>
      </w:r>
    </w:p>
    <w:p w:rsidR="00B824AA" w:rsidRPr="00B824AA" w:rsidP="00E41944">
      <w:pPr>
        <w:pStyle w:val="NoSpacing"/>
        <w:rPr>
          <w:rFonts w:ascii="Minion Pro" w:hAnsi="Minion Pro"/>
          <w:sz w:val="24"/>
          <w:szCs w:val="24"/>
        </w:rPr>
      </w:pPr>
    </w:p>
    <w:p w:rsidR="00B824AA" w:rsidRPr="00B824AA" w:rsidP="00E41944">
      <w:pPr>
        <w:pStyle w:val="NoSpacing"/>
        <w:rPr>
          <w:rFonts w:ascii="Minion Pro" w:hAnsi="Minion Pro"/>
          <w:sz w:val="24"/>
          <w:szCs w:val="24"/>
        </w:rPr>
      </w:pPr>
      <w:r w:rsidRPr="00B824AA">
        <w:rPr>
          <w:rFonts w:ascii="Minion Pro" w:hAnsi="Minion Pro"/>
          <w:sz w:val="24"/>
          <w:szCs w:val="24"/>
        </w:rPr>
        <w:t>Dr Dorian Gerhold</w:t>
      </w:r>
    </w:p>
    <w:p w:rsidR="00B824AA" w:rsidRPr="00B824AA" w:rsidP="00E41944">
      <w:pPr>
        <w:pStyle w:val="NoSpacing"/>
        <w:rPr>
          <w:rFonts w:ascii="Minion Pro" w:hAnsi="Minion Pro"/>
          <w:i/>
          <w:iCs/>
          <w:sz w:val="24"/>
          <w:szCs w:val="24"/>
        </w:rPr>
      </w:pPr>
      <w:r w:rsidRPr="00B824AA">
        <w:rPr>
          <w:rFonts w:ascii="Minion Pro" w:hAnsi="Minion Pro"/>
          <w:i/>
          <w:iCs/>
          <w:sz w:val="24"/>
          <w:szCs w:val="24"/>
        </w:rPr>
        <w:t>2</w:t>
      </w:r>
      <w:r w:rsidR="009C6059">
        <w:rPr>
          <w:rFonts w:ascii="Minion Pro" w:hAnsi="Minion Pro"/>
          <w:i/>
          <w:iCs/>
          <w:sz w:val="24"/>
          <w:szCs w:val="24"/>
        </w:rPr>
        <w:t>6</w:t>
      </w:r>
      <w:r w:rsidRPr="00B824AA">
        <w:rPr>
          <w:rFonts w:ascii="Minion Pro" w:hAnsi="Minion Pro"/>
          <w:i/>
          <w:iCs/>
          <w:sz w:val="24"/>
          <w:szCs w:val="24"/>
        </w:rPr>
        <w:t xml:space="preserve"> November 2024</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19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