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698F" w:rsidRPr="008E698F" w:rsidP="008E698F">
      <w:pPr>
        <w:spacing w:before="120" w:after="120" w:line="360" w:lineRule="auto"/>
        <w:jc w:val="center"/>
        <w:rPr>
          <w:b/>
        </w:rPr>
      </w:pPr>
      <w:r>
        <w:rPr>
          <w:b/>
        </w:rPr>
        <w:t xml:space="preserve">Four Petitioners </w:t>
      </w:r>
      <w:r w:rsidRPr="008E698F">
        <w:rPr>
          <w:b/>
        </w:rPr>
        <w:t>Proposed amendments</w:t>
      </w:r>
      <w:r>
        <w:rPr>
          <w:b/>
        </w:rPr>
        <w:t xml:space="preserve"> 26.11.24</w:t>
      </w:r>
    </w:p>
    <w:p w:rsidR="008E698F" w:rsidRPr="008E698F" w:rsidP="008E698F">
      <w:pPr>
        <w:spacing w:before="120" w:after="120" w:line="360" w:lineRule="auto"/>
        <w:rPr>
          <w:b/>
        </w:rPr>
      </w:pPr>
      <w:r w:rsidRPr="008E698F">
        <w:rPr>
          <w:bCs/>
        </w:rPr>
        <w:t xml:space="preserve"> </w:t>
      </w:r>
      <w:r w:rsidRPr="008E698F">
        <w:rPr>
          <w:b/>
        </w:rPr>
        <w:t>Spatial</w:t>
      </w:r>
    </w:p>
    <w:p w:rsidR="008E698F" w:rsidP="008E698F">
      <w:pPr>
        <w:numPr>
          <w:ilvl w:val="0"/>
          <w:numId w:val="5"/>
        </w:numPr>
        <w:spacing w:before="120" w:after="120" w:line="360" w:lineRule="auto"/>
        <w:rPr>
          <w:bCs/>
        </w:rPr>
      </w:pPr>
      <w:r w:rsidRPr="008E698F">
        <w:rPr>
          <w:bCs/>
        </w:rPr>
        <w:t>At end of Clause 2, add “</w:t>
      </w:r>
      <w:r w:rsidRPr="008E698F">
        <w:rPr>
          <w:bCs/>
          <w:i/>
          <w:iCs/>
        </w:rPr>
        <w:t>provided that any such memorial and centre for learning constructed on the land so described shall not occupy a surface area greater than 1</w:t>
      </w:r>
      <w:r w:rsidR="001D6063">
        <w:rPr>
          <w:bCs/>
          <w:i/>
          <w:iCs/>
        </w:rPr>
        <w:t>,</w:t>
      </w:r>
      <w:r w:rsidRPr="008E698F">
        <w:rPr>
          <w:bCs/>
          <w:i/>
          <w:iCs/>
        </w:rPr>
        <w:t>429 square metres, including in that total area any entrance pavilion, courtyard</w:t>
      </w:r>
      <w:r w:rsidR="009D6DDE">
        <w:rPr>
          <w:bCs/>
          <w:i/>
          <w:iCs/>
        </w:rPr>
        <w:t xml:space="preserve"> and</w:t>
      </w:r>
      <w:r w:rsidRPr="008E698F">
        <w:rPr>
          <w:bCs/>
          <w:i/>
          <w:iCs/>
        </w:rPr>
        <w:t xml:space="preserve"> ramp</w:t>
      </w:r>
      <w:r w:rsidR="009D6DDE">
        <w:rPr>
          <w:bCs/>
          <w:i/>
          <w:iCs/>
        </w:rPr>
        <w:t xml:space="preserve"> into the learning centre</w:t>
      </w:r>
      <w:r w:rsidRPr="008E698F">
        <w:rPr>
          <w:bCs/>
          <w:i/>
          <w:iCs/>
        </w:rPr>
        <w:t xml:space="preserve">, associated hard standing, service access, new </w:t>
      </w:r>
      <w:r w:rsidR="009D6DDE">
        <w:rPr>
          <w:bCs/>
          <w:i/>
          <w:iCs/>
        </w:rPr>
        <w:t xml:space="preserve">access </w:t>
      </w:r>
      <w:r w:rsidRPr="008E698F">
        <w:rPr>
          <w:bCs/>
          <w:i/>
          <w:iCs/>
        </w:rPr>
        <w:t xml:space="preserve">paths, </w:t>
      </w:r>
      <w:r w:rsidR="009D6DDE">
        <w:rPr>
          <w:bCs/>
          <w:i/>
          <w:iCs/>
        </w:rPr>
        <w:t xml:space="preserve">the </w:t>
      </w:r>
      <w:r w:rsidRPr="008E698F">
        <w:rPr>
          <w:bCs/>
          <w:i/>
          <w:iCs/>
        </w:rPr>
        <w:t>parts of the mound not accessible to the public and areas enclosed to ensure the security of the memorial and centre for learning</w:t>
      </w:r>
      <w:r w:rsidRPr="008E698F">
        <w:rPr>
          <w:bCs/>
        </w:rPr>
        <w:t>.’</w:t>
      </w:r>
    </w:p>
    <w:p w:rsidR="008E698F" w:rsidP="008E698F">
      <w:pPr>
        <w:numPr>
          <w:ilvl w:val="1"/>
          <w:numId w:val="5"/>
        </w:numPr>
        <w:spacing w:before="120" w:after="120" w:line="360" w:lineRule="auto"/>
        <w:rPr>
          <w:bCs/>
        </w:rPr>
      </w:pPr>
      <w:r>
        <w:rPr>
          <w:bCs/>
        </w:rPr>
        <w:t xml:space="preserve">This follows the exact wording of the assurance given by Baroness </w:t>
      </w:r>
      <w:r w:rsidR="00C54FC5">
        <w:rPr>
          <w:bCs/>
        </w:rPr>
        <w:t xml:space="preserve">Scott of </w:t>
      </w:r>
      <w:r w:rsidR="00C54FC5">
        <w:rPr>
          <w:bCs/>
        </w:rPr>
        <w:t>Bybrook</w:t>
      </w:r>
      <w:r w:rsidR="003625B0">
        <w:rPr>
          <w:bCs/>
        </w:rPr>
        <w:t xml:space="preserve"> in her Parliamentary Answer to HL6914</w:t>
      </w:r>
      <w:r>
        <w:rPr>
          <w:bCs/>
        </w:rPr>
        <w:t xml:space="preserve"> </w:t>
      </w:r>
      <w:r w:rsidR="00321D84">
        <w:rPr>
          <w:bCs/>
        </w:rPr>
        <w:t>tab</w:t>
      </w:r>
      <w:r w:rsidR="00EF4947">
        <w:rPr>
          <w:bCs/>
        </w:rPr>
        <w:t>l</w:t>
      </w:r>
      <w:r w:rsidR="00321D84">
        <w:rPr>
          <w:bCs/>
        </w:rPr>
        <w:t>ed on 28 March 2023</w:t>
      </w:r>
      <w:r w:rsidR="000314E1">
        <w:rPr>
          <w:bCs/>
        </w:rPr>
        <w:t xml:space="preserve"> (amended on 12 April 2023</w:t>
      </w:r>
      <w:r w:rsidR="00EF4947">
        <w:rPr>
          <w:bCs/>
        </w:rPr>
        <w:t>)</w:t>
      </w:r>
      <w:r w:rsidR="000314E1">
        <w:rPr>
          <w:bCs/>
        </w:rPr>
        <w:t xml:space="preserve">, </w:t>
      </w:r>
      <w:r w:rsidR="007D11EB">
        <w:rPr>
          <w:bCs/>
        </w:rPr>
        <w:t xml:space="preserve">regarding </w:t>
      </w:r>
      <w:r>
        <w:rPr>
          <w:bCs/>
        </w:rPr>
        <w:t>the proposed size of the land to be taken from VTG</w:t>
      </w:r>
      <w:r w:rsidR="002820BE">
        <w:rPr>
          <w:bCs/>
        </w:rPr>
        <w:t>.</w:t>
      </w:r>
      <w:r>
        <w:rPr>
          <w:rStyle w:val="FootnoteReference"/>
          <w:bCs/>
        </w:rPr>
        <w:footnoteReference w:id="2"/>
      </w:r>
      <w:r w:rsidR="007D11EB">
        <w:rPr>
          <w:bCs/>
        </w:rPr>
        <w:t xml:space="preserve"> It should therefore not be controversial.</w:t>
      </w:r>
    </w:p>
    <w:p w:rsidR="002820BE" w:rsidRPr="008E698F" w:rsidP="001867F6">
      <w:pPr>
        <w:numPr>
          <w:ilvl w:val="0"/>
          <w:numId w:val="5"/>
        </w:numPr>
        <w:spacing w:before="120" w:after="120" w:line="360" w:lineRule="auto"/>
        <w:rPr>
          <w:bCs/>
        </w:rPr>
      </w:pPr>
      <w:r>
        <w:rPr>
          <w:bCs/>
        </w:rPr>
        <w:t xml:space="preserve">If it is argued by the Promoter that </w:t>
      </w:r>
      <w:r w:rsidR="007D11EB">
        <w:rPr>
          <w:bCs/>
        </w:rPr>
        <w:t xml:space="preserve">he wishes to retain </w:t>
      </w:r>
      <w:r w:rsidR="008871C7">
        <w:rPr>
          <w:bCs/>
        </w:rPr>
        <w:t xml:space="preserve">the right to change his mind and construct some other </w:t>
      </w:r>
      <w:r>
        <w:rPr>
          <w:bCs/>
        </w:rPr>
        <w:t xml:space="preserve">memorial or learning centre </w:t>
      </w:r>
      <w:r w:rsidR="008871C7">
        <w:rPr>
          <w:bCs/>
        </w:rPr>
        <w:t xml:space="preserve">as </w:t>
      </w:r>
      <w:r>
        <w:rPr>
          <w:bCs/>
        </w:rPr>
        <w:t>he might</w:t>
      </w:r>
      <w:r w:rsidR="008871C7">
        <w:rPr>
          <w:bCs/>
        </w:rPr>
        <w:t xml:space="preserve"> later</w:t>
      </w:r>
      <w:r>
        <w:rPr>
          <w:bCs/>
        </w:rPr>
        <w:t xml:space="preserve"> conceive of, the words above could be replaced by: “</w:t>
      </w:r>
      <w:r w:rsidRPr="008E698F">
        <w:rPr>
          <w:bCs/>
          <w:i/>
          <w:iCs/>
        </w:rPr>
        <w:t xml:space="preserve">provided that any such memorial and centre for learning constructed on the land so described shall not occupy a surface area greater than 1429 square metres, including in that total area any </w:t>
      </w:r>
      <w:r>
        <w:rPr>
          <w:bCs/>
          <w:i/>
          <w:iCs/>
        </w:rPr>
        <w:t xml:space="preserve">building or facility or access path, security feature or fenced area </w:t>
      </w:r>
      <w:r w:rsidR="00A26EFD">
        <w:rPr>
          <w:bCs/>
          <w:i/>
          <w:iCs/>
        </w:rPr>
        <w:t xml:space="preserve">which in each case </w:t>
      </w:r>
      <w:r w:rsidR="008871C7">
        <w:rPr>
          <w:bCs/>
          <w:i/>
          <w:iCs/>
        </w:rPr>
        <w:t xml:space="preserve">is </w:t>
      </w:r>
      <w:r>
        <w:rPr>
          <w:bCs/>
          <w:i/>
          <w:iCs/>
        </w:rPr>
        <w:t xml:space="preserve">intended for the purposes of or associated with the </w:t>
      </w:r>
      <w:r w:rsidRPr="008E698F">
        <w:rPr>
          <w:bCs/>
          <w:i/>
          <w:iCs/>
        </w:rPr>
        <w:t>memorial and centre for learning</w:t>
      </w:r>
      <w:r w:rsidRPr="008E698F">
        <w:rPr>
          <w:bCs/>
        </w:rPr>
        <w:t>.</w:t>
      </w:r>
      <w:r>
        <w:rPr>
          <w:bCs/>
        </w:rPr>
        <w:t>”</w:t>
      </w:r>
    </w:p>
    <w:p w:rsidR="008E698F" w:rsidRPr="008E698F" w:rsidP="008E698F">
      <w:pPr>
        <w:numPr>
          <w:ilvl w:val="0"/>
          <w:numId w:val="5"/>
        </w:numPr>
        <w:spacing w:before="120" w:after="120" w:line="360" w:lineRule="auto"/>
        <w:rPr>
          <w:bCs/>
        </w:rPr>
      </w:pPr>
      <w:r w:rsidRPr="008E698F">
        <w:rPr>
          <w:bCs/>
        </w:rPr>
        <w:t>At end of clause 2 add “</w:t>
      </w:r>
      <w:r w:rsidRPr="002820BE">
        <w:rPr>
          <w:bCs/>
          <w:i/>
          <w:iCs/>
        </w:rPr>
        <w:t xml:space="preserve">provided that any such memorial and centre for learning constructed on the land so described shall not (i) result in the raising of the current ground level or (ii) exceed </w:t>
      </w:r>
      <w:r w:rsidRPr="00897D5F" w:rsidR="00897D5F">
        <w:rPr>
          <w:bCs/>
          <w:i/>
          <w:iCs/>
        </w:rPr>
        <w:t>9.62m metres in height above current ground level</w:t>
      </w:r>
      <w:r w:rsidRPr="008E698F">
        <w:rPr>
          <w:bCs/>
        </w:rPr>
        <w:t xml:space="preserve">.” </w:t>
      </w:r>
    </w:p>
    <w:p w:rsidR="008E698F" w:rsidRPr="008E698F" w:rsidP="008E698F">
      <w:pPr>
        <w:spacing w:before="120" w:after="120" w:line="360" w:lineRule="auto"/>
        <w:rPr>
          <w:b/>
        </w:rPr>
      </w:pPr>
      <w:r w:rsidRPr="008E698F">
        <w:rPr>
          <w:b/>
        </w:rPr>
        <w:t>Playground</w:t>
      </w:r>
    </w:p>
    <w:p w:rsidR="008E698F" w:rsidRPr="008E698F" w:rsidP="008E698F">
      <w:pPr>
        <w:numPr>
          <w:ilvl w:val="0"/>
          <w:numId w:val="5"/>
        </w:numPr>
        <w:spacing w:before="120" w:after="120" w:line="360" w:lineRule="auto"/>
        <w:rPr>
          <w:bCs/>
        </w:rPr>
      </w:pPr>
      <w:r w:rsidRPr="008E698F">
        <w:rPr>
          <w:bCs/>
        </w:rPr>
        <w:t>At end of clause 2 add "</w:t>
      </w:r>
      <w:r w:rsidRPr="008E698F">
        <w:rPr>
          <w:bCs/>
          <w:i/>
          <w:iCs/>
        </w:rPr>
        <w:t xml:space="preserve">provided that any such memorial and centre for learning constructed on the land so described (i) shall not cause the existing Spicer Memorial to be moved or the area of the playground on that site to be reduced; and (ii) shall be designed and operated in such a way that access to any children's playground on that site is maintained at level </w:t>
      </w:r>
      <w:r w:rsidR="00C236CC">
        <w:rPr>
          <w:bCs/>
          <w:i/>
          <w:iCs/>
        </w:rPr>
        <w:t xml:space="preserve">from the nearest entrance </w:t>
      </w:r>
      <w:r w:rsidRPr="008E698F">
        <w:rPr>
          <w:bCs/>
          <w:i/>
          <w:iCs/>
        </w:rPr>
        <w:t>without requiring the use of steps</w:t>
      </w:r>
      <w:r w:rsidRPr="008E698F">
        <w:rPr>
          <w:bCs/>
        </w:rPr>
        <w:t>."</w:t>
      </w:r>
    </w:p>
    <w:p w:rsidR="008E698F" w:rsidRPr="008E698F" w:rsidP="008E698F">
      <w:pPr>
        <w:spacing w:before="120" w:after="120" w:line="360" w:lineRule="auto"/>
        <w:rPr>
          <w:b/>
        </w:rPr>
      </w:pPr>
      <w:r w:rsidRPr="008E698F">
        <w:rPr>
          <w:b/>
        </w:rPr>
        <w:t>Governance</w:t>
      </w:r>
    </w:p>
    <w:p w:rsidR="008E698F" w:rsidRPr="008E698F" w:rsidP="008E698F">
      <w:pPr>
        <w:numPr>
          <w:ilvl w:val="0"/>
          <w:numId w:val="5"/>
        </w:numPr>
        <w:spacing w:before="120" w:after="120" w:line="360" w:lineRule="auto"/>
        <w:rPr>
          <w:bCs/>
        </w:rPr>
      </w:pPr>
      <w:r w:rsidRPr="008E698F">
        <w:rPr>
          <w:bCs/>
        </w:rPr>
        <w:t>Clause 2, add new sub-clause:</w:t>
      </w:r>
      <w:r>
        <w:rPr>
          <w:bCs/>
        </w:rPr>
        <w:t xml:space="preserve"> </w:t>
      </w:r>
      <w:r w:rsidRPr="008E698F">
        <w:rPr>
          <w:bCs/>
          <w:i/>
          <w:iCs/>
        </w:rPr>
        <w:t>“The body responsible for the operation of any memorial and centre for learning constructed on the land so described shall not have authority over the parts of Victoria Tower Gardens not occupied by that memorial and centre for learning.”</w:t>
      </w:r>
    </w:p>
    <w:p w:rsidR="008E698F" w:rsidRPr="008E698F" w:rsidP="008E698F">
      <w:pPr>
        <w:spacing w:before="120" w:after="120" w:line="360" w:lineRule="auto"/>
        <w:rPr>
          <w:bCs/>
          <w:i/>
          <w:iCs/>
        </w:rPr>
      </w:pPr>
    </w:p>
    <w:p w:rsidR="008E698F" w:rsidRPr="008E698F" w:rsidP="008E698F">
      <w:pPr>
        <w:spacing w:before="120" w:after="120" w:line="360" w:lineRule="auto"/>
        <w:rPr>
          <w:b/>
        </w:rPr>
      </w:pPr>
      <w:r w:rsidRPr="008E698F">
        <w:rPr>
          <w:b/>
        </w:rPr>
        <w:t>Closures</w:t>
      </w:r>
    </w:p>
    <w:p w:rsidR="008E698F" w:rsidRPr="008E698F" w:rsidP="008E698F">
      <w:pPr>
        <w:numPr>
          <w:ilvl w:val="0"/>
          <w:numId w:val="5"/>
        </w:numPr>
        <w:spacing w:before="120" w:after="120" w:line="360" w:lineRule="auto"/>
        <w:rPr>
          <w:bCs/>
        </w:rPr>
      </w:pPr>
      <w:r w:rsidRPr="008E698F">
        <w:rPr>
          <w:bCs/>
        </w:rPr>
        <w:t>Clause 2, add new sub-clause:</w:t>
      </w:r>
      <w:r>
        <w:rPr>
          <w:bCs/>
        </w:rPr>
        <w:t xml:space="preserve"> “</w:t>
      </w:r>
      <w:r w:rsidRPr="008E698F">
        <w:rPr>
          <w:bCs/>
          <w:i/>
          <w:iCs/>
        </w:rPr>
        <w:t>After the opening of any memorial and centre for learning constructed on the land so described, Victoria Tower Gardens shall not be closed for more than three days per year for Holocaust commemoration</w:t>
      </w:r>
      <w:r w:rsidRPr="008E698F">
        <w:rPr>
          <w:bCs/>
        </w:rPr>
        <w:t>.</w:t>
      </w:r>
      <w:r>
        <w:rPr>
          <w:bCs/>
        </w:rPr>
        <w:t>”</w:t>
      </w:r>
    </w:p>
    <w:p w:rsidR="008E698F" w:rsidRPr="008E698F" w:rsidP="008E698F">
      <w:pPr>
        <w:spacing w:before="120" w:after="120" w:line="360" w:lineRule="auto"/>
        <w:rPr>
          <w:b/>
        </w:rPr>
      </w:pPr>
      <w:r w:rsidRPr="008E698F">
        <w:rPr>
          <w:b/>
        </w:rPr>
        <w:t>Sunset</w:t>
      </w:r>
    </w:p>
    <w:p w:rsidR="008E698F" w:rsidRPr="008E698F" w:rsidP="008E698F">
      <w:pPr>
        <w:numPr>
          <w:ilvl w:val="0"/>
          <w:numId w:val="5"/>
        </w:numPr>
        <w:spacing w:before="120" w:after="120" w:line="360" w:lineRule="auto"/>
        <w:jc w:val="both"/>
        <w:rPr>
          <w:bCs/>
        </w:rPr>
      </w:pPr>
      <w:r w:rsidRPr="008E698F">
        <w:rPr>
          <w:bCs/>
        </w:rPr>
        <w:t>Clause 2, add new sub-clause:</w:t>
      </w:r>
      <w:r>
        <w:rPr>
          <w:bCs/>
        </w:rPr>
        <w:t xml:space="preserve"> “</w:t>
      </w:r>
      <w:r w:rsidRPr="002820BE">
        <w:rPr>
          <w:bCs/>
          <w:i/>
          <w:iCs/>
        </w:rPr>
        <w:t xml:space="preserve">This section will cease to have effect at the end of 2029, except for the </w:t>
      </w:r>
      <w:r w:rsidR="002820BE">
        <w:rPr>
          <w:bCs/>
          <w:i/>
          <w:iCs/>
        </w:rPr>
        <w:t xml:space="preserve">use, </w:t>
      </w:r>
      <w:r w:rsidRPr="002820BE">
        <w:rPr>
          <w:bCs/>
          <w:i/>
          <w:iCs/>
        </w:rPr>
        <w:t>maintenance and operation of any buildings already completed or under construction by virtue of this section.</w:t>
      </w:r>
      <w:r w:rsidRPr="008E698F">
        <w:rPr>
          <w:bCs/>
        </w:rPr>
        <w:t>”</w:t>
      </w:r>
    </w:p>
    <w:p w:rsidR="008E698F" w:rsidRPr="008E698F" w:rsidP="00885F2B">
      <w:pPr>
        <w:keepNext/>
        <w:spacing w:before="120" w:after="120" w:line="360" w:lineRule="auto"/>
        <w:rPr>
          <w:b/>
        </w:rPr>
      </w:pPr>
      <w:r w:rsidRPr="008E698F">
        <w:rPr>
          <w:bCs/>
        </w:rPr>
        <w:t xml:space="preserve"> </w:t>
      </w:r>
      <w:r w:rsidR="00342F5B">
        <w:rPr>
          <w:b/>
        </w:rPr>
        <w:t>Consumer Sales</w:t>
      </w:r>
    </w:p>
    <w:p w:rsidR="008E698F" w:rsidRPr="008E698F" w:rsidP="008E698F">
      <w:pPr>
        <w:numPr>
          <w:ilvl w:val="0"/>
          <w:numId w:val="5"/>
        </w:numPr>
        <w:spacing w:before="120" w:after="120" w:line="360" w:lineRule="auto"/>
        <w:rPr>
          <w:bCs/>
        </w:rPr>
      </w:pPr>
      <w:r w:rsidRPr="008E698F">
        <w:rPr>
          <w:bCs/>
        </w:rPr>
        <w:t>Clause 2, add new sub-clause:</w:t>
      </w:r>
      <w:r>
        <w:rPr>
          <w:bCs/>
        </w:rPr>
        <w:t xml:space="preserve"> “</w:t>
      </w:r>
      <w:r w:rsidRPr="008E698F">
        <w:rPr>
          <w:bCs/>
          <w:i/>
          <w:iCs/>
        </w:rPr>
        <w:t xml:space="preserve">After the opening of any memorial and centre for learning constructed on the land so described, no </w:t>
      </w:r>
      <w:r w:rsidR="00F85BA2">
        <w:rPr>
          <w:bCs/>
          <w:i/>
          <w:iCs/>
        </w:rPr>
        <w:t xml:space="preserve">consumer items, including </w:t>
      </w:r>
      <w:r w:rsidRPr="008E698F">
        <w:rPr>
          <w:bCs/>
          <w:i/>
          <w:iCs/>
        </w:rPr>
        <w:t xml:space="preserve">food or drink </w:t>
      </w:r>
      <w:r w:rsidR="00931C2C">
        <w:rPr>
          <w:bCs/>
          <w:i/>
          <w:iCs/>
        </w:rPr>
        <w:t>or</w:t>
      </w:r>
      <w:r w:rsidR="00F85BA2">
        <w:rPr>
          <w:bCs/>
          <w:i/>
          <w:iCs/>
        </w:rPr>
        <w:t xml:space="preserve"> souvenirs, </w:t>
      </w:r>
      <w:r w:rsidRPr="008E698F">
        <w:rPr>
          <w:bCs/>
          <w:i/>
          <w:iCs/>
        </w:rPr>
        <w:t>may be sold in Victoria Tower Gardens.</w:t>
      </w:r>
      <w:r w:rsidRPr="008E698F">
        <w:rPr>
          <w:bCs/>
        </w:rPr>
        <w:t>”</w:t>
      </w:r>
    </w:p>
    <w:p w:rsidR="008E698F" w:rsidRPr="002820BE" w:rsidP="002820BE">
      <w:pPr>
        <w:spacing w:before="120" w:after="120" w:line="360" w:lineRule="auto"/>
        <w:rPr>
          <w:b/>
        </w:rPr>
      </w:pPr>
      <w:r w:rsidRPr="002820BE">
        <w:rPr>
          <w:b/>
        </w:rPr>
        <w:t>Buxton</w:t>
      </w:r>
      <w:r w:rsidRPr="002820BE" w:rsidR="002820BE">
        <w:rPr>
          <w:b/>
        </w:rPr>
        <w:t xml:space="preserve"> Memorial</w:t>
      </w:r>
    </w:p>
    <w:p w:rsidR="00B047E3" w:rsidRPr="00840538" w:rsidP="00B047E3">
      <w:pPr>
        <w:numPr>
          <w:ilvl w:val="0"/>
          <w:numId w:val="5"/>
        </w:numPr>
        <w:spacing w:before="120" w:after="120" w:line="360" w:lineRule="auto"/>
        <w:rPr>
          <w:bCs/>
        </w:rPr>
      </w:pPr>
      <w:r>
        <w:rPr>
          <w:bCs/>
        </w:rPr>
        <w:t>Clause 2, add “</w:t>
      </w:r>
      <w:r w:rsidRPr="00B677EE">
        <w:rPr>
          <w:i/>
          <w:iCs/>
          <w:sz w:val="28"/>
          <w:szCs w:val="28"/>
        </w:rPr>
        <w:t xml:space="preserve">provided that any such activities </w:t>
      </w:r>
      <w:r w:rsidRPr="00B677EE">
        <w:rPr>
          <w:i/>
          <w:iCs/>
          <w:sz w:val="28"/>
          <w:szCs w:val="28"/>
        </w:rPr>
        <w:t xml:space="preserve">shall preserve </w:t>
      </w:r>
      <w:r w:rsidR="00342F5B">
        <w:rPr>
          <w:i/>
          <w:iCs/>
          <w:sz w:val="28"/>
          <w:szCs w:val="28"/>
        </w:rPr>
        <w:t>[</w:t>
      </w:r>
      <w:r w:rsidRPr="00B677EE">
        <w:rPr>
          <w:i/>
          <w:iCs/>
          <w:sz w:val="28"/>
          <w:szCs w:val="28"/>
        </w:rPr>
        <w:t>or enhance</w:t>
      </w:r>
      <w:r w:rsidR="00342F5B">
        <w:rPr>
          <w:i/>
          <w:iCs/>
          <w:sz w:val="28"/>
          <w:szCs w:val="28"/>
        </w:rPr>
        <w:t>]</w:t>
      </w:r>
      <w:r w:rsidRPr="00B677EE">
        <w:rPr>
          <w:i/>
          <w:iCs/>
          <w:sz w:val="28"/>
          <w:szCs w:val="28"/>
        </w:rPr>
        <w:t xml:space="preserve"> any other memorial </w:t>
      </w:r>
      <w:r w:rsidRPr="00B677EE" w:rsidR="001537C1">
        <w:rPr>
          <w:i/>
          <w:iCs/>
          <w:sz w:val="28"/>
          <w:szCs w:val="28"/>
        </w:rPr>
        <w:t xml:space="preserve">or the setting of such memorial </w:t>
      </w:r>
      <w:r w:rsidRPr="00B677EE">
        <w:rPr>
          <w:i/>
          <w:iCs/>
          <w:sz w:val="28"/>
          <w:szCs w:val="28"/>
        </w:rPr>
        <w:t>in the land described in section 8(1) of that Act</w:t>
      </w:r>
      <w:r w:rsidRPr="00B677EE">
        <w:rPr>
          <w:i/>
          <w:iCs/>
          <w:sz w:val="28"/>
          <w:szCs w:val="28"/>
        </w:rPr>
        <w:t>”</w:t>
      </w:r>
    </w:p>
    <w:p w:rsidR="00840538" w:rsidRPr="00B677EE" w:rsidP="00B047E3">
      <w:pPr>
        <w:numPr>
          <w:ilvl w:val="0"/>
          <w:numId w:val="5"/>
        </w:numPr>
        <w:spacing w:before="120" w:after="120" w:line="360" w:lineRule="auto"/>
        <w:rPr>
          <w:bCs/>
        </w:rPr>
      </w:pPr>
      <w:r>
        <w:rPr>
          <w:sz w:val="28"/>
          <w:szCs w:val="28"/>
        </w:rPr>
        <w:t>Clause 2: add “</w:t>
      </w:r>
      <w:r w:rsidRPr="00B677EE">
        <w:rPr>
          <w:i/>
          <w:iCs/>
          <w:sz w:val="28"/>
          <w:szCs w:val="28"/>
        </w:rPr>
        <w:t xml:space="preserve">provided that </w:t>
      </w:r>
      <w:r w:rsidR="00C539B5">
        <w:rPr>
          <w:i/>
          <w:iCs/>
          <w:sz w:val="28"/>
          <w:szCs w:val="28"/>
        </w:rPr>
        <w:t xml:space="preserve">the no part of the </w:t>
      </w:r>
      <w:r w:rsidR="00EB67A7">
        <w:rPr>
          <w:i/>
          <w:iCs/>
          <w:sz w:val="28"/>
          <w:szCs w:val="28"/>
        </w:rPr>
        <w:t xml:space="preserve">memorial and centre for learning (including any surrounding fencing) shall be located less than </w:t>
      </w:r>
      <w:r w:rsidR="005B35F0">
        <w:rPr>
          <w:i/>
          <w:iCs/>
          <w:sz w:val="28"/>
          <w:szCs w:val="28"/>
        </w:rPr>
        <w:t>8</w:t>
      </w:r>
      <w:r w:rsidR="00EB67A7">
        <w:rPr>
          <w:i/>
          <w:iCs/>
          <w:sz w:val="28"/>
          <w:szCs w:val="28"/>
        </w:rPr>
        <w:t>m from the Buxton Memorial</w:t>
      </w:r>
      <w:r w:rsidRPr="00B677EE">
        <w:rPr>
          <w:i/>
          <w:iCs/>
          <w:sz w:val="28"/>
          <w:szCs w:val="28"/>
        </w:rPr>
        <w:t>”</w:t>
      </w:r>
    </w:p>
    <w:p w:rsidR="008E698F" w:rsidRPr="008E698F" w:rsidP="009B2B8D">
      <w:pPr>
        <w:spacing w:before="120" w:after="120" w:line="360" w:lineRule="auto"/>
        <w:ind w:left="720"/>
        <w:rPr>
          <w:bCs/>
        </w:rPr>
      </w:pPr>
    </w:p>
    <w:p w:rsidR="008E698F" w:rsidRPr="00725104" w:rsidP="009B2B8D">
      <w:pPr>
        <w:spacing w:before="120" w:after="120" w:line="360" w:lineRule="auto"/>
        <w:rPr>
          <w:b/>
        </w:rPr>
      </w:pPr>
      <w:r w:rsidRPr="00725104">
        <w:rPr>
          <w:b/>
        </w:rPr>
        <w:t>R&amp;R</w:t>
      </w:r>
    </w:p>
    <w:p w:rsidR="008E698F" w:rsidRPr="008A2480" w:rsidP="008A2480">
      <w:pPr>
        <w:numPr>
          <w:ilvl w:val="0"/>
          <w:numId w:val="5"/>
        </w:numPr>
        <w:spacing w:before="120" w:after="120" w:line="360" w:lineRule="auto"/>
        <w:rPr>
          <w:bCs/>
        </w:rPr>
      </w:pPr>
      <w:r w:rsidRPr="008E698F">
        <w:rPr>
          <w:bCs/>
        </w:rPr>
        <w:t xml:space="preserve">Add new clause: </w:t>
      </w:r>
      <w:r w:rsidR="009D6DDE">
        <w:rPr>
          <w:bCs/>
        </w:rPr>
        <w:t>“</w:t>
      </w:r>
      <w:r w:rsidRPr="00142996">
        <w:rPr>
          <w:bCs/>
          <w:i/>
          <w:iCs/>
        </w:rPr>
        <w:t xml:space="preserve">The activities described in section 1(1) may not be carried out on the land referred to in section 2 unless the authorities of the two Houses have certified that </w:t>
      </w:r>
      <w:r w:rsidR="00DD127E">
        <w:rPr>
          <w:bCs/>
          <w:i/>
          <w:iCs/>
        </w:rPr>
        <w:t xml:space="preserve">the planned </w:t>
      </w:r>
      <w:r w:rsidRPr="00142996">
        <w:rPr>
          <w:bCs/>
          <w:i/>
          <w:iCs/>
        </w:rPr>
        <w:t xml:space="preserve">restoration and </w:t>
      </w:r>
      <w:r w:rsidRPr="00142996">
        <w:rPr>
          <w:bCs/>
          <w:i/>
          <w:iCs/>
        </w:rPr>
        <w:t xml:space="preserve">renewal </w:t>
      </w:r>
      <w:r w:rsidR="00653229">
        <w:rPr>
          <w:bCs/>
          <w:i/>
          <w:iCs/>
        </w:rPr>
        <w:t xml:space="preserve"> </w:t>
      </w:r>
      <w:r w:rsidRPr="00142996">
        <w:rPr>
          <w:bCs/>
          <w:i/>
          <w:iCs/>
        </w:rPr>
        <w:t>of</w:t>
      </w:r>
      <w:r w:rsidRPr="00142996">
        <w:rPr>
          <w:bCs/>
          <w:i/>
          <w:iCs/>
        </w:rPr>
        <w:t xml:space="preserve"> the Palace of Westminster</w:t>
      </w:r>
      <w:r w:rsidR="00DD127E">
        <w:rPr>
          <w:bCs/>
          <w:i/>
          <w:iCs/>
        </w:rPr>
        <w:t xml:space="preserve"> </w:t>
      </w:r>
      <w:r w:rsidR="00653229">
        <w:rPr>
          <w:bCs/>
          <w:i/>
          <w:iCs/>
        </w:rPr>
        <w:t>(“R&amp;R”)</w:t>
      </w:r>
      <w:r w:rsidR="008E0C17">
        <w:rPr>
          <w:bCs/>
          <w:i/>
          <w:iCs/>
        </w:rPr>
        <w:t xml:space="preserve"> </w:t>
      </w:r>
      <w:r w:rsidR="00DD127E">
        <w:rPr>
          <w:bCs/>
          <w:i/>
          <w:iCs/>
        </w:rPr>
        <w:t xml:space="preserve">will not </w:t>
      </w:r>
      <w:r w:rsidR="00483232">
        <w:rPr>
          <w:bCs/>
          <w:i/>
          <w:iCs/>
        </w:rPr>
        <w:t xml:space="preserve">make </w:t>
      </w:r>
      <w:r w:rsidR="00DD54B4">
        <w:rPr>
          <w:bCs/>
          <w:i/>
          <w:iCs/>
        </w:rPr>
        <w:t xml:space="preserve">use </w:t>
      </w:r>
      <w:r w:rsidR="00483232">
        <w:rPr>
          <w:bCs/>
          <w:i/>
          <w:iCs/>
        </w:rPr>
        <w:t xml:space="preserve">during construction of </w:t>
      </w:r>
      <w:r w:rsidR="00653229">
        <w:rPr>
          <w:bCs/>
          <w:i/>
          <w:iCs/>
        </w:rPr>
        <w:t xml:space="preserve">any </w:t>
      </w:r>
      <w:r w:rsidR="007A2AB4">
        <w:rPr>
          <w:bCs/>
          <w:i/>
          <w:iCs/>
        </w:rPr>
        <w:t xml:space="preserve">part of Victoria Tower </w:t>
      </w:r>
      <w:r w:rsidR="00DA6508">
        <w:rPr>
          <w:bCs/>
          <w:i/>
          <w:iCs/>
        </w:rPr>
        <w:t>Gardens</w:t>
      </w:r>
      <w:r w:rsidRPr="008A2480">
        <w:rPr>
          <w:bCs/>
        </w:rPr>
        <w:t>”</w:t>
      </w:r>
    </w:p>
    <w:p w:rsidR="00EC55A0" w:rsidRPr="000F2A01" w:rsidP="00EC55A0">
      <w:pPr>
        <w:spacing w:before="120" w:after="120" w:line="360" w:lineRule="auto"/>
        <w:rPr>
          <w:b/>
        </w:rPr>
      </w:pPr>
      <w:r w:rsidRPr="000F2A01">
        <w:rPr>
          <w:b/>
        </w:rPr>
        <w:t>Contents of learning centre</w:t>
      </w:r>
    </w:p>
    <w:p w:rsidR="00EC55A0" w:rsidRPr="008E698F" w:rsidP="00EC55A0">
      <w:pPr>
        <w:numPr>
          <w:ilvl w:val="0"/>
          <w:numId w:val="5"/>
        </w:numPr>
        <w:spacing w:before="120" w:after="120" w:line="360" w:lineRule="auto"/>
        <w:rPr>
          <w:bCs/>
        </w:rPr>
      </w:pPr>
      <w:r w:rsidRPr="000F2A01">
        <w:rPr>
          <w:bCs/>
        </w:rPr>
        <w:t>Any Learning Centre built pursuant to this Act should include the educational facilities recommended in the Prime Minister's 2015 Holocaust Commission, including a physical campus, an online hub, a lecture theatre, classrooms and offices.</w:t>
      </w:r>
    </w:p>
    <w:p w:rsidR="00EC55A0" w:rsidRPr="008E698F" w:rsidP="001867F6">
      <w:pPr>
        <w:spacing w:before="120" w:after="120" w:line="360" w:lineRule="auto"/>
        <w:ind w:left="720"/>
        <w:rPr>
          <w:bCs/>
        </w:rPr>
      </w:pPr>
    </w:p>
    <w:p w:rsidR="00C40DE7" w:rsidP="00D467E2">
      <w:pPr>
        <w:spacing w:before="120" w:after="120" w:line="360" w:lineRule="auto"/>
        <w:ind w:left="720"/>
        <w:rPr>
          <w:bCs/>
        </w:rPr>
      </w:pPr>
    </w:p>
    <w:sectPr>
      <w:footerReference w:type="even" r:id="rId5"/>
      <w:footerReference w:type="default" r:id="rId6"/>
      <w:pgSz w:w="11906" w:h="16838" w:code="9"/>
      <w:pgMar w:top="1440" w:right="1797" w:bottom="1440"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0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C40D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0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45F7">
      <w:rPr>
        <w:rStyle w:val="PageNumber"/>
        <w:noProof/>
      </w:rPr>
      <w:t>12</w:t>
    </w:r>
    <w:r>
      <w:rPr>
        <w:rStyle w:val="PageNumber"/>
      </w:rPr>
      <w:fldChar w:fldCharType="end"/>
    </w:r>
  </w:p>
  <w:p w:rsidR="00C40D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1C80">
      <w:r>
        <w:separator/>
      </w:r>
    </w:p>
  </w:footnote>
  <w:footnote w:type="continuationSeparator" w:id="1">
    <w:p w:rsidR="00181C80">
      <w:r>
        <w:continuationSeparator/>
      </w:r>
    </w:p>
  </w:footnote>
  <w:footnote w:id="2">
    <w:p w:rsidR="00B6502A" w:rsidRPr="000623C0" w:rsidP="001867F6">
      <w:pPr>
        <w:pStyle w:val="ListParagraph"/>
        <w:ind w:left="0"/>
        <w:rPr>
          <w:rFonts w:ascii="Gill Sans MT" w:hAnsi="Gill Sans MT"/>
        </w:rPr>
      </w:pPr>
      <w:r>
        <w:rPr>
          <w:rStyle w:val="FootnoteReference"/>
        </w:rPr>
        <w:footnoteRef/>
      </w:r>
      <w:r>
        <w:t xml:space="preserve"> </w:t>
      </w:r>
      <w:r w:rsidRPr="000623C0">
        <w:rPr>
          <w:rFonts w:ascii="Gill Sans MT" w:hAnsi="Gill Sans MT"/>
          <w:i/>
          <w:iCs/>
        </w:rPr>
        <w:t>‘Area in square metres of Victoria Tower Gardens as a whole that will be occupied by the intended UK Holocaust Memorial and Learning Centre, including (a) the entrance pavilion, (b) courtyard and ramp into the Learning Centre, (c) associated hard standing, (d) service access, (e) new access paths, (f) the parts of the mound not accessible to the public, and (g) areas to be enclosed to ensure the security of the Centre’</w:t>
      </w:r>
      <w:r w:rsidRPr="000623C0">
        <w:rPr>
          <w:rFonts w:ascii="Gill Sans MT" w:hAnsi="Gill Sans MT"/>
        </w:rPr>
        <w:t xml:space="preserve">. </w:t>
      </w:r>
      <w:r>
        <w:rPr>
          <w:rFonts w:ascii="Gill Sans MT" w:hAnsi="Gill Sans MT"/>
        </w:rPr>
        <w:t xml:space="preserve">She also tabled </w:t>
      </w:r>
      <w:r w:rsidR="007540E1">
        <w:rPr>
          <w:rFonts w:ascii="Gill Sans MT" w:hAnsi="Gill Sans MT"/>
        </w:rPr>
        <w:t>a plan</w:t>
      </w:r>
      <w:r w:rsidR="00230BC0">
        <w:rPr>
          <w:rFonts w:ascii="Gill Sans MT" w:hAnsi="Gill Sans MT"/>
        </w:rPr>
        <w:t xml:space="preserve"> in the</w:t>
      </w:r>
      <w:r w:rsidR="007540E1">
        <w:rPr>
          <w:rFonts w:ascii="Gill Sans MT" w:hAnsi="Gill Sans MT"/>
        </w:rPr>
        <w:t xml:space="preserve"> </w:t>
      </w:r>
      <w:r w:rsidRPr="000623C0" w:rsidR="007540E1">
        <w:rPr>
          <w:rFonts w:ascii="Gill Sans MT" w:hAnsi="Gill Sans MT"/>
        </w:rPr>
        <w:t xml:space="preserve">Lords Library, subsequently reproduced </w:t>
      </w:r>
      <w:r>
        <w:fldChar w:fldCharType="begin"/>
      </w:r>
      <w:r>
        <w:instrText xml:space="preserve"> HYPERLINK "https://committees.parliament.uk/publications/45520/documents/225342/default/" </w:instrText>
      </w:r>
      <w:r>
        <w:fldChar w:fldCharType="separate"/>
      </w:r>
      <w:r w:rsidRPr="000623C0" w:rsidR="007540E1">
        <w:rPr>
          <w:rStyle w:val="Hyperlink"/>
          <w:rFonts w:ascii="Gill Sans MT" w:hAnsi="Gill Sans MT"/>
        </w:rPr>
        <w:t>with minor changes by Pinsent Masons with their letter about the Commons Select Committee  assurance</w:t>
      </w:r>
      <w:r>
        <w:fldChar w:fldCharType="end"/>
      </w:r>
      <w:r w:rsidRPr="000623C0" w:rsidR="007540E1">
        <w:rPr>
          <w:rFonts w:ascii="Gill Sans MT" w:hAnsi="Gill Sans MT"/>
        </w:rPr>
        <w:t xml:space="preserve"> Appendix 2</w:t>
      </w:r>
    </w:p>
    <w:p w:rsidR="00EF4947">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AD6766"/>
    <w:multiLevelType w:val="multilevel"/>
    <w:tmpl w:val="E8907390"/>
    <w:lvl w:ilvl="0">
      <w:start w:val="1"/>
      <w:numFmt w:val="decimal"/>
      <w:lvlText w:val="%1"/>
      <w:lvlJc w:val="left"/>
      <w:rPr>
        <w:rFonts w:ascii="Times New Roman" w:hAnsi="Times New Roman" w:hint="default"/>
        <w:b w:val="0"/>
        <w:i w:val="0"/>
        <w:caps w:val="0"/>
        <w:strike w:val="0"/>
        <w:dstrike w:val="0"/>
        <w:vanish w:val="0"/>
        <w:color w:val="auto"/>
        <w:sz w:val="26"/>
        <w:vertAlign w:val="baseline"/>
      </w:rPr>
    </w:lvl>
    <w:lvl w:ilvl="1">
      <w:start w:val="1"/>
      <w:numFmt w:val="lowerLetter"/>
      <w:lvlText w:val="%2)"/>
      <w:lvlJc w:val="left"/>
      <w:pPr>
        <w:tabs>
          <w:tab w:val="num" w:pos="720"/>
        </w:tabs>
        <w:ind w:left="1656" w:hanging="129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BC57E6D"/>
    <w:multiLevelType w:val="multilevel"/>
    <w:tmpl w:val="FAC4E0E0"/>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6."/>
      <w:legacy w:legacy="1" w:legacySpace="0" w:legacyIndent="0"/>
      <w:lvlJc w:val="left"/>
    </w:lvl>
    <w:lvl w:ilvl="6">
      <w:start w:val="1"/>
      <w:numFmt w:val="decimal"/>
      <w:lvlText w:val="%6.%7"/>
      <w:legacy w:legacy="1" w:legacySpace="0" w:legacyIndent="0"/>
      <w:lvlJc w:val="left"/>
    </w:lvl>
    <w:lvl w:ilvl="7">
      <w:start w:val="1"/>
      <w:numFmt w:val="decimal"/>
      <w:lvlText w:val="%6.%7.%8"/>
      <w:legacy w:legacy="1" w:legacySpace="0" w:legacyIndent="0"/>
      <w:lvlJc w:val="left"/>
    </w:lvl>
    <w:lvl w:ilvl="8">
      <w:start w:val="1"/>
      <w:numFmt w:val="lowerRoman"/>
      <w:lvlText w:val="%9"/>
      <w:legacy w:legacy="1" w:legacySpace="0" w:legacyIndent="0"/>
      <w:lvlJc w:val="left"/>
    </w:lvl>
  </w:abstractNum>
  <w:abstractNum w:abstractNumId="2">
    <w:nsid w:val="20476FBA"/>
    <w:multiLevelType w:val="hybridMultilevel"/>
    <w:tmpl w:val="AA14429C"/>
    <w:lvl w:ilvl="0">
      <w:start w:val="14"/>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D50248C"/>
    <w:multiLevelType w:val="multilevel"/>
    <w:tmpl w:val="BBF2D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152"/>
        </w:tabs>
        <w:ind w:left="1152" w:hanging="1152"/>
      </w:pPr>
      <w:rPr>
        <w:rFonts w:hint="default"/>
      </w:rPr>
    </w:lvl>
    <w:lvl w:ilvl="2">
      <w:start w:val="1"/>
      <w:numFmt w:val="lowerLetter"/>
      <w:lvlText w:val="(%3)"/>
      <w:lvlJc w:val="left"/>
      <w:pPr>
        <w:tabs>
          <w:tab w:val="num" w:pos="1656"/>
        </w:tabs>
        <w:ind w:left="1656" w:hanging="936"/>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3B9A5619"/>
    <w:multiLevelType w:val="multilevel"/>
    <w:tmpl w:val="DB06ED44"/>
    <w:lvl w:ilvl="0">
      <w:start w:val="1"/>
      <w:numFmt w:val="decimal"/>
      <w:lvlText w:val="%1"/>
      <w:lvlJc w:val="left"/>
      <w:rPr>
        <w:rFonts w:ascii="Times New Roman" w:hAnsi="Times New Roman" w:hint="default"/>
        <w:b w:val="0"/>
        <w:i w:val="0"/>
        <w:caps w:val="0"/>
        <w:strike w:val="0"/>
        <w:dstrike w:val="0"/>
        <w:vanish w:val="0"/>
        <w:color w:val="auto"/>
        <w:sz w:val="26"/>
        <w:vertAlign w:val="baseline"/>
      </w:rPr>
    </w:lvl>
    <w:lvl w:ilvl="1">
      <w:start w:val="1"/>
      <w:numFmt w:val="lowerLetter"/>
      <w:lvlText w:val="%2)"/>
      <w:lvlJc w:val="left"/>
      <w:pPr>
        <w:tabs>
          <w:tab w:val="num" w:pos="720"/>
        </w:tabs>
        <w:ind w:left="1656" w:hanging="129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3C5D6D6C"/>
    <w:multiLevelType w:val="multilevel"/>
    <w:tmpl w:val="BBF2D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152"/>
        </w:tabs>
        <w:ind w:left="1152" w:hanging="1152"/>
      </w:pPr>
      <w:rPr>
        <w:rFonts w:hint="default"/>
      </w:rPr>
    </w:lvl>
    <w:lvl w:ilvl="2">
      <w:start w:val="1"/>
      <w:numFmt w:val="lowerLetter"/>
      <w:lvlText w:val="(%3)"/>
      <w:lvlJc w:val="left"/>
      <w:pPr>
        <w:tabs>
          <w:tab w:val="num" w:pos="1656"/>
        </w:tabs>
        <w:ind w:left="1656" w:hanging="936"/>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1431C2E"/>
    <w:multiLevelType w:val="multilevel"/>
    <w:tmpl w:val="706C83BE"/>
    <w:lvl w:ilvl="0">
      <w:start w:val="1"/>
      <w:numFmt w:val="decimal"/>
      <w:lvlText w:val="%1"/>
      <w:lvlJc w:val="left"/>
      <w:rPr>
        <w:rFonts w:ascii="Times New Roman" w:hAnsi="Times New Roman" w:hint="default"/>
        <w:b w:val="0"/>
        <w:i w:val="0"/>
        <w:caps w:val="0"/>
        <w:strike w:val="0"/>
        <w:dstrike w:val="0"/>
        <w:vanish w:val="0"/>
        <w:color w:val="auto"/>
        <w:sz w:val="26"/>
        <w:vertAlign w:val="base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
  </w:num>
  <w:num w:numId="2">
    <w:abstractNumId w:val="6"/>
  </w:num>
  <w:num w:numId="3">
    <w:abstractNumId w:val="0"/>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spacing w:before="120" w:after="120" w:line="360" w:lineRule="auto"/>
      <w:ind w:left="720"/>
    </w:pPr>
    <w:rPr>
      <w:sz w:val="20"/>
      <w:szCs w:val="20"/>
    </w:rPr>
  </w:style>
  <w:style w:type="paragraph" w:styleId="BodyTextIndent2">
    <w:name w:val="Body Text Indent 2"/>
    <w:basedOn w:val="Normal"/>
    <w:pPr>
      <w:spacing w:before="120" w:after="120" w:line="360" w:lineRule="auto"/>
      <w:ind w:left="540"/>
    </w:pPr>
    <w:rPr>
      <w:sz w:val="20"/>
      <w:szCs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1Legal">
    <w:name w:val="1Legal"/>
    <w:pPr>
      <w:tabs>
        <w:tab w:val="left" w:pos="720"/>
      </w:tabs>
      <w:autoSpaceDE w:val="0"/>
      <w:autoSpaceDN w:val="0"/>
      <w:adjustRightInd w:val="0"/>
      <w:ind w:left="720" w:hanging="720"/>
    </w:pPr>
    <w:rPr>
      <w:szCs w:val="24"/>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sid w:val="006563B2"/>
    <w:rPr>
      <w:sz w:val="26"/>
      <w:szCs w:val="24"/>
      <w:lang w:eastAsia="en-US"/>
    </w:rPr>
  </w:style>
  <w:style w:type="paragraph" w:styleId="ListParagraph">
    <w:name w:val="List Paragraph"/>
    <w:basedOn w:val="Normal"/>
    <w:uiPriority w:val="34"/>
    <w:qFormat/>
    <w:rsid w:val="00B6502A"/>
    <w:pPr>
      <w:ind w:left="720"/>
      <w:contextualSpacing/>
    </w:pPr>
    <w:rPr>
      <w:rFonts w:asciiTheme="minorHAnsi" w:eastAsiaTheme="minorEastAsia" w:hAnsiTheme="minorHAnsi" w:cstheme="minorBidi"/>
      <w:kern w:val="2"/>
      <w:sz w:val="24"/>
      <w:lang w:eastAsia="zh-CN"/>
    </w:rPr>
  </w:style>
  <w:style w:type="character" w:styleId="Hyperlink">
    <w:name w:val="Hyperlink"/>
    <w:basedOn w:val="DefaultParagraphFont"/>
    <w:uiPriority w:val="99"/>
    <w:unhideWhenUsed/>
    <w:rsid w:val="007540E1"/>
    <w:rPr>
      <w:color w:val="0563C1" w:themeColor="hyperlink"/>
      <w:u w:val="single"/>
    </w:rPr>
  </w:style>
  <w:style w:type="character" w:styleId="CommentReference">
    <w:name w:val="annotation reference"/>
    <w:basedOn w:val="DefaultParagraphFont"/>
    <w:uiPriority w:val="99"/>
    <w:semiHidden/>
    <w:unhideWhenUsed/>
    <w:rsid w:val="009D6DDE"/>
    <w:rPr>
      <w:sz w:val="16"/>
      <w:szCs w:val="16"/>
    </w:rPr>
  </w:style>
  <w:style w:type="paragraph" w:styleId="CommentText">
    <w:name w:val="annotation text"/>
    <w:basedOn w:val="Normal"/>
    <w:link w:val="CommentTextChar"/>
    <w:uiPriority w:val="99"/>
    <w:semiHidden/>
    <w:unhideWhenUsed/>
    <w:rsid w:val="009D6DDE"/>
    <w:rPr>
      <w:sz w:val="20"/>
      <w:szCs w:val="20"/>
    </w:rPr>
  </w:style>
  <w:style w:type="character" w:customStyle="1" w:styleId="CommentTextChar">
    <w:name w:val="Comment Text Char"/>
    <w:basedOn w:val="DefaultParagraphFont"/>
    <w:link w:val="CommentText"/>
    <w:uiPriority w:val="99"/>
    <w:semiHidden/>
    <w:rsid w:val="009D6DDE"/>
    <w:rPr>
      <w:lang w:eastAsia="en-US"/>
    </w:rPr>
  </w:style>
  <w:style w:type="paragraph" w:styleId="CommentSubject">
    <w:name w:val="annotation subject"/>
    <w:basedOn w:val="CommentText"/>
    <w:next w:val="CommentText"/>
    <w:link w:val="CommentSubjectChar"/>
    <w:uiPriority w:val="99"/>
    <w:semiHidden/>
    <w:unhideWhenUsed/>
    <w:rsid w:val="009D6DDE"/>
    <w:rPr>
      <w:b/>
      <w:bCs/>
    </w:rPr>
  </w:style>
  <w:style w:type="character" w:customStyle="1" w:styleId="CommentSubjectChar">
    <w:name w:val="Comment Subject Char"/>
    <w:basedOn w:val="CommentTextChar"/>
    <w:link w:val="CommentSubject"/>
    <w:uiPriority w:val="99"/>
    <w:semiHidden/>
    <w:rsid w:val="009D6D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ambo\Documents\Custom%20Office%20Templates\Draft%20opinion%20document%20with%20paragraph%20numbering.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