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99750D">
      <w:pPr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>Possible amendments to Holocaust Memorial Bill</w:t>
      </w:r>
    </w:p>
    <w:p w:rsidR="006871B4">
      <w:pPr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>(not checked with Public Bill Office)</w:t>
      </w:r>
    </w:p>
    <w:p w:rsidR="000D0E88" w:rsidP="00F12BE2">
      <w:pPr>
        <w:spacing w:line="360" w:lineRule="auto"/>
        <w:rPr>
          <w:rFonts w:ascii="Gill Sans MT" w:hAnsi="Gill Sans MT"/>
          <w:b/>
          <w:bCs/>
        </w:rPr>
      </w:pPr>
    </w:p>
    <w:p w:rsidR="006871B4" w:rsidP="00F12BE2">
      <w:pPr>
        <w:spacing w:line="360" w:lineRule="auto"/>
        <w:rPr>
          <w:rFonts w:ascii="Gill Sans MT" w:hAnsi="Gill Sans MT"/>
        </w:rPr>
      </w:pPr>
      <w:r>
        <w:rPr>
          <w:rFonts w:ascii="Gill Sans MT" w:hAnsi="Gill Sans MT"/>
        </w:rPr>
        <w:t xml:space="preserve">Subject to </w:t>
      </w:r>
      <w:r w:rsidR="00F12BE2">
        <w:rPr>
          <w:rFonts w:ascii="Gill Sans MT" w:hAnsi="Gill Sans MT"/>
        </w:rPr>
        <w:t>later discussion with the Public Bill Office, the following are possible amendments related to security</w:t>
      </w:r>
      <w:r w:rsidR="00C832A1">
        <w:rPr>
          <w:rFonts w:ascii="Gill Sans MT" w:hAnsi="Gill Sans MT"/>
        </w:rPr>
        <w:t>.</w:t>
      </w:r>
    </w:p>
    <w:p w:rsidR="00F12BE2" w:rsidP="00F12BE2">
      <w:pPr>
        <w:spacing w:line="360" w:lineRule="auto"/>
        <w:rPr>
          <w:rFonts w:ascii="Gill Sans MT" w:hAnsi="Gill Sans MT"/>
        </w:rPr>
      </w:pPr>
    </w:p>
    <w:p w:rsidR="00F12BE2" w:rsidRPr="00EA02BF" w:rsidP="00F12BE2">
      <w:pPr>
        <w:spacing w:line="360" w:lineRule="auto"/>
        <w:rPr>
          <w:rFonts w:ascii="Gill Sans MT" w:hAnsi="Gill Sans MT"/>
          <w:i/>
          <w:iCs/>
        </w:rPr>
      </w:pPr>
      <w:r w:rsidRPr="00EA02BF">
        <w:rPr>
          <w:rFonts w:ascii="Gill Sans MT" w:hAnsi="Gill Sans MT"/>
          <w:i/>
          <w:iCs/>
        </w:rPr>
        <w:t>After Clause 2, insert New Clause –</w:t>
      </w:r>
    </w:p>
    <w:p w:rsidR="00C07BA0" w:rsidRPr="001242FA" w:rsidP="001242FA">
      <w:pPr>
        <w:pStyle w:val="ListParagraph"/>
        <w:numPr>
          <w:ilvl w:val="0"/>
          <w:numId w:val="2"/>
        </w:numPr>
        <w:spacing w:line="360" w:lineRule="auto"/>
        <w:rPr>
          <w:rFonts w:ascii="Gill Sans MT" w:hAnsi="Gill Sans MT"/>
        </w:rPr>
      </w:pPr>
      <w:r w:rsidRPr="001242FA">
        <w:rPr>
          <w:rFonts w:ascii="Gill Sans MT" w:hAnsi="Gill Sans MT"/>
        </w:rPr>
        <w:t xml:space="preserve">Within </w:t>
      </w:r>
      <w:r w:rsidR="00C15CA9">
        <w:rPr>
          <w:rFonts w:ascii="Gill Sans MT" w:hAnsi="Gill Sans MT"/>
        </w:rPr>
        <w:t>three</w:t>
      </w:r>
      <w:r w:rsidRPr="001242FA">
        <w:rPr>
          <w:rFonts w:ascii="Gill Sans MT" w:hAnsi="Gill Sans MT"/>
        </w:rPr>
        <w:t xml:space="preserve"> month</w:t>
      </w:r>
      <w:r w:rsidR="00C15CA9">
        <w:rPr>
          <w:rFonts w:ascii="Gill Sans MT" w:hAnsi="Gill Sans MT"/>
        </w:rPr>
        <w:t>s</w:t>
      </w:r>
      <w:r w:rsidRPr="001242FA">
        <w:rPr>
          <w:rFonts w:ascii="Gill Sans MT" w:hAnsi="Gill Sans MT"/>
        </w:rPr>
        <w:t xml:space="preserve"> of the passing of this Act</w:t>
      </w:r>
      <w:r w:rsidRPr="001242FA" w:rsidR="005F6434">
        <w:rPr>
          <w:rFonts w:ascii="Gill Sans MT" w:hAnsi="Gill Sans MT"/>
        </w:rPr>
        <w:t xml:space="preserve"> the Secretary of State</w:t>
      </w:r>
      <w:r w:rsidRPr="001242FA" w:rsidR="00A07EC0">
        <w:rPr>
          <w:rFonts w:ascii="Gill Sans MT" w:hAnsi="Gill Sans MT"/>
        </w:rPr>
        <w:t xml:space="preserve"> will provide a report to </w:t>
      </w:r>
      <w:r w:rsidR="00C15CA9">
        <w:rPr>
          <w:rFonts w:ascii="Gill Sans MT" w:hAnsi="Gill Sans MT"/>
        </w:rPr>
        <w:t>both Houses of P</w:t>
      </w:r>
      <w:r w:rsidRPr="001242FA" w:rsidR="00A07EC0">
        <w:rPr>
          <w:rFonts w:ascii="Gill Sans MT" w:hAnsi="Gill Sans MT"/>
        </w:rPr>
        <w:t xml:space="preserve">arliament </w:t>
      </w:r>
      <w:r w:rsidRPr="001242FA" w:rsidR="009C13F6">
        <w:rPr>
          <w:rFonts w:ascii="Gill Sans MT" w:hAnsi="Gill Sans MT"/>
        </w:rPr>
        <w:t xml:space="preserve">setting out </w:t>
      </w:r>
      <w:r w:rsidRPr="001242FA" w:rsidR="00A07EC0">
        <w:rPr>
          <w:rFonts w:ascii="Gill Sans MT" w:hAnsi="Gill Sans MT"/>
        </w:rPr>
        <w:t xml:space="preserve">the </w:t>
      </w:r>
      <w:r w:rsidRPr="001242FA" w:rsidR="00CE792E">
        <w:rPr>
          <w:rFonts w:ascii="Gill Sans MT" w:hAnsi="Gill Sans MT"/>
        </w:rPr>
        <w:t>effect</w:t>
      </w:r>
      <w:r w:rsidRPr="001242FA" w:rsidR="00E41C4B">
        <w:rPr>
          <w:rFonts w:ascii="Gill Sans MT" w:hAnsi="Gill Sans MT"/>
        </w:rPr>
        <w:t>s</w:t>
      </w:r>
      <w:r w:rsidRPr="001242FA" w:rsidR="00CE792E">
        <w:rPr>
          <w:rFonts w:ascii="Gill Sans MT" w:hAnsi="Gill Sans MT"/>
        </w:rPr>
        <w:t xml:space="preserve"> </w:t>
      </w:r>
      <w:r w:rsidRPr="001242FA" w:rsidR="00E41C4B">
        <w:rPr>
          <w:rFonts w:ascii="Gill Sans MT" w:hAnsi="Gill Sans MT"/>
        </w:rPr>
        <w:t>arising from</w:t>
      </w:r>
      <w:r w:rsidRPr="001242FA" w:rsidR="00CE792E">
        <w:rPr>
          <w:rFonts w:ascii="Gill Sans MT" w:hAnsi="Gill Sans MT"/>
        </w:rPr>
        <w:t xml:space="preserve"> the construction, presence and use of the </w:t>
      </w:r>
      <w:r w:rsidRPr="001242FA" w:rsidR="005762F5">
        <w:rPr>
          <w:rFonts w:ascii="Gill Sans MT" w:hAnsi="Gill Sans MT"/>
        </w:rPr>
        <w:t>Hol</w:t>
      </w:r>
      <w:r w:rsidRPr="001242FA" w:rsidR="00401533">
        <w:rPr>
          <w:rFonts w:ascii="Gill Sans MT" w:hAnsi="Gill Sans MT"/>
        </w:rPr>
        <w:t>o</w:t>
      </w:r>
      <w:r w:rsidRPr="001242FA" w:rsidR="005762F5">
        <w:rPr>
          <w:rFonts w:ascii="Gill Sans MT" w:hAnsi="Gill Sans MT"/>
        </w:rPr>
        <w:t>caust Memorial and Learning Centre on</w:t>
      </w:r>
      <w:r w:rsidRPr="001242FA" w:rsidR="009C13F6">
        <w:rPr>
          <w:rFonts w:ascii="Gill Sans MT" w:hAnsi="Gill Sans MT"/>
        </w:rPr>
        <w:t xml:space="preserve"> the chosen site</w:t>
      </w:r>
      <w:r w:rsidRPr="001242FA" w:rsidR="000364BC">
        <w:rPr>
          <w:rFonts w:ascii="Gill Sans MT" w:hAnsi="Gill Sans MT"/>
        </w:rPr>
        <w:t>. Such report shall include:</w:t>
      </w:r>
    </w:p>
    <w:p w:rsidR="000364BC" w:rsidP="000364BC">
      <w:pPr>
        <w:pStyle w:val="ListParagraph"/>
        <w:numPr>
          <w:ilvl w:val="0"/>
          <w:numId w:val="1"/>
        </w:numPr>
        <w:spacing w:line="360" w:lineRule="auto"/>
        <w:rPr>
          <w:rFonts w:ascii="Gill Sans MT" w:hAnsi="Gill Sans MT"/>
        </w:rPr>
      </w:pPr>
      <w:r>
        <w:rPr>
          <w:rFonts w:ascii="Gill Sans MT" w:hAnsi="Gill Sans MT"/>
        </w:rPr>
        <w:t xml:space="preserve">A list of those bodies and individuals consulted </w:t>
      </w:r>
      <w:r w:rsidR="008110A7">
        <w:rPr>
          <w:rFonts w:ascii="Gill Sans MT" w:hAnsi="Gill Sans MT"/>
        </w:rPr>
        <w:t>(subject to redaction of names where necessitated by national security);</w:t>
      </w:r>
    </w:p>
    <w:p w:rsidR="008110A7" w:rsidP="000364BC">
      <w:pPr>
        <w:pStyle w:val="ListParagraph"/>
        <w:numPr>
          <w:ilvl w:val="0"/>
          <w:numId w:val="1"/>
        </w:numPr>
        <w:spacing w:line="360" w:lineRule="auto"/>
        <w:rPr>
          <w:rFonts w:ascii="Gill Sans MT" w:hAnsi="Gill Sans MT"/>
        </w:rPr>
      </w:pPr>
      <w:r>
        <w:rPr>
          <w:rFonts w:ascii="Gill Sans MT" w:hAnsi="Gill Sans MT"/>
        </w:rPr>
        <w:t xml:space="preserve">A summary of the </w:t>
      </w:r>
      <w:r w:rsidR="006A373E">
        <w:rPr>
          <w:rFonts w:ascii="Gill Sans MT" w:hAnsi="Gill Sans MT"/>
        </w:rPr>
        <w:t xml:space="preserve">advice provided by each </w:t>
      </w:r>
      <w:r w:rsidR="00D37EA1">
        <w:rPr>
          <w:rFonts w:ascii="Gill Sans MT" w:hAnsi="Gill Sans MT"/>
        </w:rPr>
        <w:t>body and individual consulted;</w:t>
      </w:r>
    </w:p>
    <w:p w:rsidR="00D37EA1" w:rsidP="000364BC">
      <w:pPr>
        <w:pStyle w:val="ListParagraph"/>
        <w:numPr>
          <w:ilvl w:val="0"/>
          <w:numId w:val="1"/>
        </w:numPr>
        <w:spacing w:line="360" w:lineRule="auto"/>
        <w:rPr>
          <w:rFonts w:ascii="Gill Sans MT" w:hAnsi="Gill Sans MT"/>
        </w:rPr>
      </w:pPr>
      <w:r>
        <w:rPr>
          <w:rFonts w:ascii="Gill Sans MT" w:hAnsi="Gill Sans MT"/>
        </w:rPr>
        <w:t xml:space="preserve">A full description with </w:t>
      </w:r>
      <w:r w:rsidR="00F81732">
        <w:rPr>
          <w:rFonts w:ascii="Gill Sans MT" w:hAnsi="Gill Sans MT"/>
        </w:rPr>
        <w:t xml:space="preserve">visual depictions of all </w:t>
      </w:r>
      <w:r w:rsidR="00E13BE1">
        <w:rPr>
          <w:rFonts w:ascii="Gill Sans MT" w:hAnsi="Gill Sans MT"/>
        </w:rPr>
        <w:t xml:space="preserve">road and </w:t>
      </w:r>
      <w:r w:rsidR="00F81732">
        <w:rPr>
          <w:rFonts w:ascii="Gill Sans MT" w:hAnsi="Gill Sans MT"/>
        </w:rPr>
        <w:t>traffic changes</w:t>
      </w:r>
      <w:r w:rsidR="0081696A">
        <w:rPr>
          <w:rFonts w:ascii="Gill Sans MT" w:hAnsi="Gill Sans MT"/>
        </w:rPr>
        <w:t>,</w:t>
      </w:r>
      <w:r w:rsidR="00F81732">
        <w:rPr>
          <w:rFonts w:ascii="Gill Sans MT" w:hAnsi="Gill Sans MT"/>
        </w:rPr>
        <w:t xml:space="preserve"> </w:t>
      </w:r>
      <w:r w:rsidR="004A3609">
        <w:rPr>
          <w:rFonts w:ascii="Gill Sans MT" w:hAnsi="Gill Sans MT"/>
        </w:rPr>
        <w:t xml:space="preserve">at and </w:t>
      </w:r>
      <w:r w:rsidR="00D33DD0">
        <w:rPr>
          <w:rFonts w:ascii="Gill Sans MT" w:hAnsi="Gill Sans MT"/>
        </w:rPr>
        <w:t>near</w:t>
      </w:r>
      <w:r w:rsidR="0081696A">
        <w:rPr>
          <w:rFonts w:ascii="Gill Sans MT" w:hAnsi="Gill Sans MT"/>
        </w:rPr>
        <w:t xml:space="preserve"> to the chosen site, </w:t>
      </w:r>
      <w:r w:rsidR="00F81732">
        <w:rPr>
          <w:rFonts w:ascii="Gill Sans MT" w:hAnsi="Gill Sans MT"/>
        </w:rPr>
        <w:t xml:space="preserve">proposed to be made </w:t>
      </w:r>
      <w:r w:rsidR="00401533">
        <w:rPr>
          <w:rFonts w:ascii="Gill Sans MT" w:hAnsi="Gill Sans MT"/>
        </w:rPr>
        <w:t xml:space="preserve">during construction and following completion of the </w:t>
      </w:r>
      <w:r w:rsidR="00A26B7C">
        <w:rPr>
          <w:rFonts w:ascii="Gill Sans MT" w:hAnsi="Gill Sans MT"/>
        </w:rPr>
        <w:t>M</w:t>
      </w:r>
      <w:r w:rsidR="00E13BE1">
        <w:rPr>
          <w:rFonts w:ascii="Gill Sans MT" w:hAnsi="Gill Sans MT"/>
        </w:rPr>
        <w:t>emorial and Learning Centre</w:t>
      </w:r>
      <w:r w:rsidR="0081696A">
        <w:rPr>
          <w:rFonts w:ascii="Gill Sans MT" w:hAnsi="Gill Sans MT"/>
        </w:rPr>
        <w:t>;</w:t>
      </w:r>
    </w:p>
    <w:p w:rsidR="0081696A" w:rsidP="000364BC">
      <w:pPr>
        <w:pStyle w:val="ListParagraph"/>
        <w:numPr>
          <w:ilvl w:val="0"/>
          <w:numId w:val="1"/>
        </w:numPr>
        <w:spacing w:line="360" w:lineRule="auto"/>
        <w:rPr>
          <w:rFonts w:ascii="Gill Sans MT" w:hAnsi="Gill Sans MT"/>
        </w:rPr>
      </w:pPr>
      <w:r>
        <w:rPr>
          <w:rFonts w:ascii="Gill Sans MT" w:hAnsi="Gill Sans MT"/>
        </w:rPr>
        <w:t>Proposals for the continuing assessment of</w:t>
      </w:r>
      <w:r w:rsidR="00C15CA9">
        <w:rPr>
          <w:rFonts w:ascii="Gill Sans MT" w:hAnsi="Gill Sans MT"/>
        </w:rPr>
        <w:t xml:space="preserve"> </w:t>
      </w:r>
      <w:r w:rsidR="00271BDD">
        <w:rPr>
          <w:rFonts w:ascii="Gill Sans MT" w:hAnsi="Gill Sans MT"/>
        </w:rPr>
        <w:t xml:space="preserve">the security of the </w:t>
      </w:r>
      <w:r w:rsidR="00A26B7C">
        <w:rPr>
          <w:rFonts w:ascii="Gill Sans MT" w:hAnsi="Gill Sans MT"/>
        </w:rPr>
        <w:t xml:space="preserve">site and </w:t>
      </w:r>
      <w:r w:rsidR="00AA6185">
        <w:rPr>
          <w:rFonts w:ascii="Gill Sans MT" w:hAnsi="Gill Sans MT"/>
        </w:rPr>
        <w:t>nearby buildings.</w:t>
      </w:r>
    </w:p>
    <w:p w:rsidR="00FE31A1" w:rsidP="000364BC">
      <w:pPr>
        <w:pStyle w:val="ListParagraph"/>
        <w:numPr>
          <w:ilvl w:val="0"/>
          <w:numId w:val="1"/>
        </w:numPr>
        <w:spacing w:line="360" w:lineRule="auto"/>
        <w:rPr>
          <w:rFonts w:ascii="Gill Sans MT" w:hAnsi="Gill Sans MT"/>
        </w:rPr>
      </w:pPr>
      <w:r>
        <w:rPr>
          <w:rFonts w:ascii="Gill Sans MT" w:hAnsi="Gill Sans MT"/>
        </w:rPr>
        <w:t>Such other security information as the Secretary of State considers to be relevant.</w:t>
      </w:r>
    </w:p>
    <w:p w:rsidR="00AA6185" w:rsidP="00AA6185">
      <w:pPr>
        <w:pStyle w:val="ListParagraph"/>
        <w:numPr>
          <w:ilvl w:val="0"/>
          <w:numId w:val="2"/>
        </w:numPr>
        <w:spacing w:line="360" w:lineRule="auto"/>
        <w:rPr>
          <w:rFonts w:ascii="Gill Sans MT" w:hAnsi="Gill Sans MT"/>
        </w:rPr>
      </w:pPr>
      <w:r>
        <w:rPr>
          <w:rFonts w:ascii="Gill Sans MT" w:hAnsi="Gill Sans MT"/>
        </w:rPr>
        <w:t xml:space="preserve">The Secretary of State may delegate the preparation of </w:t>
      </w:r>
      <w:r w:rsidR="00FE31A1">
        <w:rPr>
          <w:rFonts w:ascii="Gill Sans MT" w:hAnsi="Gill Sans MT"/>
        </w:rPr>
        <w:t xml:space="preserve">the report referred to in </w:t>
      </w:r>
      <w:r w:rsidR="00207AE4">
        <w:rPr>
          <w:rFonts w:ascii="Gill Sans MT" w:hAnsi="Gill Sans MT"/>
        </w:rPr>
        <w:t>subsection 1 of this section to the Independent Reviewer of Terrorism Legislation</w:t>
      </w:r>
      <w:r w:rsidR="00C832A1">
        <w:rPr>
          <w:rFonts w:ascii="Gill Sans MT" w:hAnsi="Gill Sans MT"/>
        </w:rPr>
        <w:t>.</w:t>
      </w:r>
    </w:p>
    <w:p w:rsidR="007F32BE" w:rsidRPr="0059172A" w:rsidP="0059172A">
      <w:pPr>
        <w:pStyle w:val="ListParagraph"/>
        <w:numPr>
          <w:ilvl w:val="0"/>
          <w:numId w:val="2"/>
        </w:numPr>
        <w:spacing w:line="360" w:lineRule="auto"/>
        <w:rPr>
          <w:rFonts w:ascii="Gill Sans MT" w:hAnsi="Gill Sans MT"/>
        </w:rPr>
      </w:pPr>
      <w:r>
        <w:rPr>
          <w:rFonts w:ascii="Gill Sans MT" w:hAnsi="Gill Sans MT"/>
        </w:rPr>
        <w:t xml:space="preserve">Prior to this Act coming into force the Secretary of State </w:t>
      </w:r>
      <w:r w:rsidR="00DB5937">
        <w:rPr>
          <w:rFonts w:ascii="Gill Sans MT" w:hAnsi="Gill Sans MT"/>
        </w:rPr>
        <w:t xml:space="preserve">shall obtain a resolution from both Houses of Parliament </w:t>
      </w:r>
      <w:r w:rsidR="00AD6898">
        <w:rPr>
          <w:rFonts w:ascii="Gill Sans MT" w:hAnsi="Gill Sans MT"/>
        </w:rPr>
        <w:t xml:space="preserve">approving the bringing of the Act into force following the report </w:t>
      </w:r>
      <w:r>
        <w:rPr>
          <w:rFonts w:ascii="Gill Sans MT" w:hAnsi="Gill Sans MT"/>
        </w:rPr>
        <w:t>referred to in this section.</w:t>
      </w:r>
    </w:p>
    <w:p w:rsidR="007F32BE" w:rsidP="007F32BE">
      <w:pPr>
        <w:pStyle w:val="ListParagraph"/>
        <w:spacing w:line="360" w:lineRule="auto"/>
        <w:rPr>
          <w:rFonts w:ascii="Gill Sans MT" w:hAnsi="Gill Sans MT"/>
        </w:rPr>
      </w:pPr>
    </w:p>
    <w:p w:rsidR="007F32BE" w:rsidP="007F32BE">
      <w:pPr>
        <w:pStyle w:val="ListParagraph"/>
        <w:spacing w:line="360" w:lineRule="auto"/>
        <w:rPr>
          <w:rFonts w:ascii="Gill Sans MT" w:hAnsi="Gill Sans MT"/>
          <w:i/>
          <w:iCs/>
        </w:rPr>
      </w:pPr>
      <w:r>
        <w:rPr>
          <w:rFonts w:ascii="Gill Sans MT" w:hAnsi="Gill Sans MT"/>
          <w:i/>
          <w:iCs/>
        </w:rPr>
        <w:t>In Clause 3</w:t>
      </w:r>
      <w:r w:rsidR="00C76540">
        <w:rPr>
          <w:rFonts w:ascii="Gill Sans MT" w:hAnsi="Gill Sans MT"/>
          <w:i/>
          <w:iCs/>
        </w:rPr>
        <w:t>(2) –</w:t>
      </w:r>
    </w:p>
    <w:p w:rsidR="00C76540" w:rsidP="007F32BE">
      <w:pPr>
        <w:pStyle w:val="ListParagraph"/>
        <w:spacing w:line="360" w:lineRule="auto"/>
        <w:rPr>
          <w:rFonts w:ascii="Gill Sans MT" w:hAnsi="Gill Sans MT"/>
          <w:i/>
          <w:iCs/>
        </w:rPr>
      </w:pPr>
    </w:p>
    <w:p w:rsidR="00C76540" w:rsidP="007F32BE">
      <w:pPr>
        <w:pStyle w:val="ListParagraph"/>
        <w:spacing w:line="360" w:lineRule="auto"/>
        <w:rPr>
          <w:rFonts w:ascii="Gill Sans MT" w:hAnsi="Gill Sans MT"/>
          <w:i/>
          <w:iCs/>
        </w:rPr>
      </w:pPr>
      <w:r>
        <w:rPr>
          <w:rFonts w:ascii="Gill Sans MT" w:hAnsi="Gill Sans MT"/>
          <w:i/>
          <w:iCs/>
        </w:rPr>
        <w:t xml:space="preserve">Line 21 After </w:t>
      </w:r>
      <w:r w:rsidR="003B3F11">
        <w:rPr>
          <w:rFonts w:ascii="Gill Sans MT" w:hAnsi="Gill Sans MT"/>
          <w:i/>
          <w:iCs/>
        </w:rPr>
        <w:t>‘beginning’ delete ‘with the day on which this Act is passed</w:t>
      </w:r>
      <w:r w:rsidR="00644FC0">
        <w:rPr>
          <w:rFonts w:ascii="Gill Sans MT" w:hAnsi="Gill Sans MT"/>
          <w:i/>
          <w:iCs/>
        </w:rPr>
        <w:t>’ and insert</w:t>
      </w:r>
    </w:p>
    <w:p w:rsidR="00EA02BF" w:rsidP="003467D8">
      <w:pPr>
        <w:spacing w:line="360" w:lineRule="auto"/>
        <w:ind w:left="720"/>
        <w:rPr>
          <w:rFonts w:ascii="Gill Sans MT" w:hAnsi="Gill Sans MT"/>
        </w:rPr>
      </w:pPr>
      <w:r>
        <w:rPr>
          <w:rFonts w:ascii="Gill Sans MT" w:hAnsi="Gill Sans MT"/>
        </w:rPr>
        <w:t xml:space="preserve">‘with the day on which both resolutions described in section 3 </w:t>
      </w:r>
      <w:r w:rsidR="00ED0CD0">
        <w:rPr>
          <w:rFonts w:ascii="Gill Sans MT" w:hAnsi="Gill Sans MT"/>
        </w:rPr>
        <w:t>of this Act have been passed’.</w:t>
      </w:r>
    </w:p>
    <w:p w:rsidR="003467D8" w:rsidP="003467D8">
      <w:pPr>
        <w:spacing w:line="360" w:lineRule="auto"/>
        <w:ind w:left="720"/>
        <w:rPr>
          <w:rFonts w:ascii="Gill Sans MT" w:hAnsi="Gill Sans MT"/>
        </w:rPr>
      </w:pPr>
    </w:p>
    <w:p w:rsidR="003467D8" w:rsidP="003467D8">
      <w:pPr>
        <w:spacing w:line="360" w:lineRule="auto"/>
        <w:ind w:left="720"/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>Alex Carlile</w:t>
      </w:r>
    </w:p>
    <w:p w:rsidR="00EA02BF" w:rsidP="009B57B2">
      <w:pPr>
        <w:spacing w:line="360" w:lineRule="auto"/>
        <w:ind w:left="720"/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>Lord Carlile of CBE KC</w:t>
      </w:r>
      <w:r>
        <w:rPr>
          <w:rFonts w:ascii="Gill Sans MT" w:hAnsi="Gill Sans MT"/>
          <w:b/>
          <w:bCs/>
        </w:rPr>
        <w:tab/>
      </w:r>
      <w:r>
        <w:rPr>
          <w:rFonts w:ascii="Gill Sans MT" w:hAnsi="Gill Sans MT"/>
          <w:b/>
          <w:bCs/>
        </w:rPr>
        <w:tab/>
        <w:t>22 November 2024</w:t>
      </w:r>
    </w:p>
    <w:p w:rsidR="00EA02BF" w:rsidRPr="009B57B2" w:rsidP="009B57B2">
      <w:pPr>
        <w:spacing w:line="360" w:lineRule="auto"/>
        <w:rPr>
          <w:rFonts w:ascii="Gill Sans MT" w:hAnsi="Gill Sans MT"/>
          <w:i/>
          <w:iCs/>
        </w:rPr>
      </w:pP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Heavy">
    <w:panose1 w:val="020B0703020203020204"/>
    <w:charset w:val="4D"/>
    <w:family w:val="swiss"/>
    <w:pitch w:val="variable"/>
    <w:sig w:usb0="800000AF" w:usb1="5000204A" w:usb2="00000000" w:usb3="00000000" w:csb0="0000009B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CD6771A"/>
    <w:multiLevelType w:val="hybridMultilevel"/>
    <w:tmpl w:val="FE407DFE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B05772"/>
    <w:multiLevelType w:val="hybridMultilevel"/>
    <w:tmpl w:val="9140CB0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7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venir Heavy" w:hAnsi="Avenir Heavy" w:eastAsiaTheme="minorHAnsi" w:cs="Times New Roman (Body CS)"/>
        <w:kern w:val="2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56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6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62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62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62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62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62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62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62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6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6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62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62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62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62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62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62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62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6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6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62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562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6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56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56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56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6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6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6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