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9750D">
      <w:pPr>
        <w:rPr>
          <w:rFonts w:ascii="Gill Sans MT" w:hAnsi="Gill Sans MT"/>
          <w:b/>
          <w:bCs/>
        </w:rPr>
      </w:pPr>
      <w:r>
        <w:rPr>
          <w:rFonts w:ascii="Gill Sans MT" w:hAnsi="Gill Sans MT"/>
          <w:b/>
          <w:bCs/>
        </w:rPr>
        <w:t>Submission by Lord Carlile of Berriew following provisional ruling by the Committee as to scope</w:t>
      </w:r>
    </w:p>
    <w:p w:rsidR="005364FB">
      <w:pPr>
        <w:rPr>
          <w:rFonts w:ascii="Gill Sans MT" w:hAnsi="Gill Sans MT"/>
          <w:b/>
          <w:bCs/>
        </w:rPr>
      </w:pPr>
    </w:p>
    <w:p w:rsidR="005364FB" w:rsidP="005364FB">
      <w:pPr>
        <w:pStyle w:val="ListParagraph"/>
        <w:numPr>
          <w:ilvl w:val="0"/>
          <w:numId w:val="1"/>
        </w:numPr>
        <w:spacing w:line="360" w:lineRule="auto"/>
        <w:rPr>
          <w:rFonts w:ascii="Gill Sans MT" w:hAnsi="Gill Sans MT"/>
        </w:rPr>
      </w:pPr>
      <w:r>
        <w:rPr>
          <w:rFonts w:ascii="Gill Sans MT" w:hAnsi="Gill Sans MT"/>
        </w:rPr>
        <w:t>The Committee has ruled provisionally that the following are out of scope:</w:t>
      </w:r>
    </w:p>
    <w:p w:rsidR="005364FB" w:rsidP="005364FB">
      <w:pPr>
        <w:pStyle w:val="ListParagraph"/>
        <w:numPr>
          <w:ilvl w:val="0"/>
          <w:numId w:val="2"/>
        </w:numPr>
        <w:spacing w:line="360" w:lineRule="auto"/>
        <w:rPr>
          <w:rFonts w:ascii="Gill Sans MT" w:hAnsi="Gill Sans MT"/>
        </w:rPr>
      </w:pPr>
      <w:r>
        <w:rPr>
          <w:rFonts w:ascii="Gill Sans MT" w:hAnsi="Gill Sans MT"/>
        </w:rPr>
        <w:t>The issue of whether there should be a memorial and centre in VTG;</w:t>
      </w:r>
    </w:p>
    <w:p w:rsidR="005364FB" w:rsidP="005364FB">
      <w:pPr>
        <w:pStyle w:val="ListParagraph"/>
        <w:numPr>
          <w:ilvl w:val="0"/>
          <w:numId w:val="2"/>
        </w:numPr>
        <w:spacing w:line="360" w:lineRule="auto"/>
        <w:rPr>
          <w:rFonts w:ascii="Gill Sans MT" w:hAnsi="Gill Sans MT"/>
        </w:rPr>
      </w:pPr>
      <w:r>
        <w:rPr>
          <w:rFonts w:ascii="Gill Sans MT" w:hAnsi="Gill Sans MT"/>
        </w:rPr>
        <w:t>Argument that the memorial and the Learning centre should not be co-located;</w:t>
      </w:r>
    </w:p>
    <w:p w:rsidR="005364FB" w:rsidP="005364FB">
      <w:pPr>
        <w:pStyle w:val="ListParagraph"/>
        <w:numPr>
          <w:ilvl w:val="0"/>
          <w:numId w:val="2"/>
        </w:numPr>
        <w:spacing w:line="360" w:lineRule="auto"/>
        <w:rPr>
          <w:rFonts w:ascii="Gill Sans MT" w:hAnsi="Gill Sans MT"/>
        </w:rPr>
      </w:pPr>
      <w:r>
        <w:rPr>
          <w:rFonts w:ascii="Gill Sans MT" w:hAnsi="Gill Sans MT"/>
        </w:rPr>
        <w:t>Argument that there should be no construction below ground.</w:t>
      </w:r>
    </w:p>
    <w:p w:rsidR="0017444A" w:rsidP="0017444A">
      <w:pPr>
        <w:pStyle w:val="ListParagraph"/>
        <w:numPr>
          <w:ilvl w:val="0"/>
          <w:numId w:val="1"/>
        </w:numPr>
        <w:spacing w:line="360" w:lineRule="auto"/>
        <w:rPr>
          <w:rFonts w:ascii="Gill Sans MT" w:hAnsi="Gill Sans MT"/>
        </w:rPr>
      </w:pPr>
      <w:r>
        <w:rPr>
          <w:rFonts w:ascii="Gill Sans MT" w:hAnsi="Gill Sans MT"/>
        </w:rPr>
        <w:t xml:space="preserve">My understanding is that the provisional ruling is founded upon Clause 2, which removes any restriction in relation to VTG which otherwise would apply pursuant to the </w:t>
      </w:r>
      <w:r>
        <w:rPr>
          <w:rFonts w:ascii="Gill Sans MT" w:hAnsi="Gill Sans MT"/>
          <w:i/>
          <w:iCs/>
        </w:rPr>
        <w:t xml:space="preserve">London County Council </w:t>
      </w:r>
      <w:r>
        <w:rPr>
          <w:rFonts w:ascii="Gill Sans MT" w:hAnsi="Gill Sans MT"/>
          <w:i/>
          <w:iCs/>
        </w:rPr>
        <w:t>(</w:t>
      </w:r>
      <w:r>
        <w:rPr>
          <w:rFonts w:ascii="Gill Sans MT" w:hAnsi="Gill Sans MT"/>
          <w:i/>
          <w:iCs/>
        </w:rPr>
        <w:t>Improvements</w:t>
      </w:r>
      <w:r>
        <w:rPr>
          <w:rFonts w:ascii="Gill Sans MT" w:hAnsi="Gill Sans MT"/>
          <w:i/>
          <w:iCs/>
        </w:rPr>
        <w:t>)</w:t>
      </w:r>
      <w:r>
        <w:rPr>
          <w:rFonts w:ascii="Gill Sans MT" w:hAnsi="Gill Sans MT"/>
          <w:i/>
          <w:iCs/>
        </w:rPr>
        <w:t xml:space="preserve"> Act </w:t>
      </w:r>
      <w:r>
        <w:rPr>
          <w:rFonts w:ascii="Gill Sans MT" w:hAnsi="Gill Sans MT"/>
          <w:i/>
          <w:iCs/>
        </w:rPr>
        <w:t>190</w:t>
      </w:r>
      <w:r w:rsidR="002A26F9">
        <w:rPr>
          <w:rFonts w:ascii="Gill Sans MT" w:hAnsi="Gill Sans MT"/>
          <w:i/>
          <w:iCs/>
        </w:rPr>
        <w:t>0, section 8</w:t>
      </w:r>
      <w:r>
        <w:rPr>
          <w:rFonts w:ascii="Gill Sans MT" w:hAnsi="Gill Sans MT"/>
        </w:rPr>
        <w:t xml:space="preserve">. </w:t>
      </w:r>
    </w:p>
    <w:p w:rsidR="0017444A" w:rsidRPr="0017444A" w:rsidP="0017444A">
      <w:pPr>
        <w:pStyle w:val="ListParagraph"/>
        <w:numPr>
          <w:ilvl w:val="0"/>
          <w:numId w:val="1"/>
        </w:numPr>
        <w:spacing w:line="360" w:lineRule="auto"/>
        <w:rPr>
          <w:rFonts w:ascii="Gill Sans MT" w:hAnsi="Gill Sans MT"/>
        </w:rPr>
      </w:pPr>
      <w:r w:rsidRPr="0017444A">
        <w:rPr>
          <w:rFonts w:ascii="Gill Sans MT" w:hAnsi="Gill Sans MT"/>
          <w:i/>
          <w:iCs/>
        </w:rPr>
        <w:t xml:space="preserve">Clause 1(1) </w:t>
      </w:r>
      <w:r w:rsidRPr="0017444A">
        <w:rPr>
          <w:rFonts w:ascii="Gill Sans MT" w:hAnsi="Gill Sans MT"/>
        </w:rPr>
        <w:t xml:space="preserve">provides that the Secretary of State </w:t>
      </w:r>
      <w:r w:rsidRPr="0017444A">
        <w:rPr>
          <w:rFonts w:ascii="Gill Sans MT" w:hAnsi="Gill Sans MT"/>
          <w:i/>
          <w:iCs/>
        </w:rPr>
        <w:t>‘may incur expenditure for or in connection with – (a) the construction ….. of – (i) a memorial ….., and (ii) a centre….’</w:t>
      </w:r>
    </w:p>
    <w:p w:rsidR="0017444A" w:rsidP="0017444A">
      <w:pPr>
        <w:pStyle w:val="ListParagraph"/>
        <w:spacing w:line="360" w:lineRule="auto"/>
        <w:rPr>
          <w:rFonts w:ascii="Gill Sans MT" w:hAnsi="Gill Sans MT"/>
        </w:rPr>
      </w:pPr>
      <w:r>
        <w:rPr>
          <w:rFonts w:ascii="Gill Sans MT" w:hAnsi="Gill Sans MT"/>
          <w:i/>
          <w:iCs/>
        </w:rPr>
        <w:t>‘(2) Expenditure incurred under this section is to be paid out of money provided by Parliament’.</w:t>
      </w:r>
    </w:p>
    <w:p w:rsidR="0017444A" w:rsidP="0017444A">
      <w:pPr>
        <w:pStyle w:val="ListParagraph"/>
        <w:numPr>
          <w:ilvl w:val="0"/>
          <w:numId w:val="1"/>
        </w:numPr>
        <w:spacing w:line="360" w:lineRule="auto"/>
        <w:rPr>
          <w:rFonts w:ascii="Gill Sans MT" w:hAnsi="Gill Sans MT"/>
        </w:rPr>
      </w:pPr>
      <w:r>
        <w:rPr>
          <w:rFonts w:ascii="Gill Sans MT" w:hAnsi="Gill Sans MT"/>
        </w:rPr>
        <w:t xml:space="preserve">The effect of the provisions quoted purports </w:t>
      </w:r>
      <w:r w:rsidR="002D52B2">
        <w:rPr>
          <w:rFonts w:ascii="Gill Sans MT" w:hAnsi="Gill Sans MT"/>
        </w:rPr>
        <w:t xml:space="preserve">and appears </w:t>
      </w:r>
      <w:r>
        <w:rPr>
          <w:rFonts w:ascii="Gill Sans MT" w:hAnsi="Gill Sans MT"/>
        </w:rPr>
        <w:t xml:space="preserve">to allow the SoS to incur the expenditure at any time after the coming into force of the Act, as provided by </w:t>
      </w:r>
      <w:r>
        <w:rPr>
          <w:rFonts w:ascii="Gill Sans MT" w:hAnsi="Gill Sans MT"/>
          <w:i/>
          <w:iCs/>
        </w:rPr>
        <w:t>Clause 3(2).</w:t>
      </w:r>
    </w:p>
    <w:p w:rsidR="0017444A" w:rsidP="0017444A">
      <w:pPr>
        <w:pStyle w:val="ListParagraph"/>
        <w:numPr>
          <w:ilvl w:val="0"/>
          <w:numId w:val="1"/>
        </w:numPr>
        <w:spacing w:line="360" w:lineRule="auto"/>
        <w:rPr>
          <w:rFonts w:ascii="Gill Sans MT" w:hAnsi="Gill Sans MT"/>
        </w:rPr>
      </w:pPr>
      <w:r>
        <w:rPr>
          <w:rFonts w:ascii="Gill Sans MT" w:hAnsi="Gill Sans MT"/>
        </w:rPr>
        <w:t>My attention has been drawn to the ‘</w:t>
      </w:r>
      <w:r>
        <w:rPr>
          <w:rFonts w:ascii="Gill Sans MT" w:hAnsi="Gill Sans MT"/>
          <w:i/>
          <w:iCs/>
        </w:rPr>
        <w:t xml:space="preserve">Ram Doctrine’ </w:t>
      </w:r>
      <w:r>
        <w:rPr>
          <w:rFonts w:ascii="Gill Sans MT" w:hAnsi="Gill Sans MT"/>
        </w:rPr>
        <w:t>(</w:t>
      </w:r>
      <w:r w:rsidR="002D52B2">
        <w:rPr>
          <w:rFonts w:ascii="Gill Sans MT" w:hAnsi="Gill Sans MT"/>
        </w:rPr>
        <w:t>h</w:t>
      </w:r>
      <w:r w:rsidR="007A7800">
        <w:rPr>
          <w:rFonts w:ascii="Gill Sans MT" w:hAnsi="Gill Sans MT"/>
        </w:rPr>
        <w:t xml:space="preserve">ighlighted </w:t>
      </w:r>
      <w:r>
        <w:rPr>
          <w:rFonts w:ascii="Gill Sans MT" w:hAnsi="Gill Sans MT"/>
        </w:rPr>
        <w:t>cop</w:t>
      </w:r>
      <w:r w:rsidR="007A7800">
        <w:rPr>
          <w:rFonts w:ascii="Gill Sans MT" w:hAnsi="Gill Sans MT"/>
        </w:rPr>
        <w:t>y provided</w:t>
      </w:r>
      <w:r>
        <w:rPr>
          <w:rFonts w:ascii="Gill Sans MT" w:hAnsi="Gill Sans MT"/>
        </w:rPr>
        <w:t>).</w:t>
      </w:r>
      <w:r w:rsidR="007A7800">
        <w:rPr>
          <w:rFonts w:ascii="Gill Sans MT" w:hAnsi="Gill Sans MT"/>
        </w:rPr>
        <w:t xml:space="preserve"> Also copied is a HoL Constitution Committee report extract </w:t>
      </w:r>
      <w:r w:rsidR="007A7800">
        <w:rPr>
          <w:rFonts w:ascii="Gill Sans MT" w:hAnsi="Gill Sans MT"/>
          <w:i/>
          <w:iCs/>
        </w:rPr>
        <w:t>‘The Legal Basis of Pre-emption’.</w:t>
      </w:r>
    </w:p>
    <w:p w:rsidR="00220855" w:rsidP="00220855">
      <w:pPr>
        <w:pStyle w:val="ListParagraph"/>
        <w:numPr>
          <w:ilvl w:val="0"/>
          <w:numId w:val="1"/>
        </w:numPr>
        <w:spacing w:line="360" w:lineRule="auto"/>
        <w:rPr>
          <w:rFonts w:ascii="Gill Sans MT" w:hAnsi="Gill Sans MT"/>
        </w:rPr>
      </w:pPr>
      <w:r>
        <w:rPr>
          <w:rFonts w:ascii="Gill Sans MT" w:hAnsi="Gill Sans MT"/>
        </w:rPr>
        <w:t xml:space="preserve">Although the Ram Doctrine does not have the force of Law, in practice </w:t>
      </w:r>
      <w:r w:rsidR="002D52B2">
        <w:rPr>
          <w:rFonts w:ascii="Gill Sans MT" w:hAnsi="Gill Sans MT"/>
        </w:rPr>
        <w:t xml:space="preserve">and in the present context </w:t>
      </w:r>
      <w:r>
        <w:rPr>
          <w:rFonts w:ascii="Gill Sans MT" w:hAnsi="Gill Sans MT"/>
        </w:rPr>
        <w:t xml:space="preserve">it provides a continuing and clear principle that the </w:t>
      </w:r>
      <w:r>
        <w:rPr>
          <w:rFonts w:ascii="Gill Sans MT" w:hAnsi="Gill Sans MT"/>
        </w:rPr>
        <w:t xml:space="preserve">inclusion in a Bill of a power to incur expenditure in the future (for example in a future year to defray costs of construction)  does </w:t>
      </w:r>
      <w:r w:rsidRPr="00220855">
        <w:rPr>
          <w:rFonts w:ascii="Gill Sans MT" w:hAnsi="Gill Sans MT"/>
          <w:i/>
          <w:iCs/>
        </w:rPr>
        <w:t>‘not form the statutory authority for the</w:t>
      </w:r>
      <w:r>
        <w:rPr>
          <w:rFonts w:ascii="Gill Sans MT" w:hAnsi="Gill Sans MT"/>
          <w:i/>
          <w:iCs/>
        </w:rPr>
        <w:t xml:space="preserve"> payment of the expenditure concerned and that legally they amount to no more than an expression of intention, because no Parliament is able to bind its successors, or even to bind itself, to vote money in future years. Statutory authority for the payment of expenditure out of moneys provided by Parliament must be, and can only be, given year by year by means of the Votes and Appropriation Act.’</w:t>
      </w:r>
    </w:p>
    <w:p w:rsidR="00334EF6" w:rsidP="00220855">
      <w:pPr>
        <w:pStyle w:val="ListParagraph"/>
        <w:numPr>
          <w:ilvl w:val="0"/>
          <w:numId w:val="1"/>
        </w:numPr>
        <w:spacing w:line="360" w:lineRule="auto"/>
        <w:rPr>
          <w:rFonts w:ascii="Gill Sans MT" w:hAnsi="Gill Sans MT"/>
        </w:rPr>
      </w:pPr>
      <w:r>
        <w:rPr>
          <w:rFonts w:ascii="Gill Sans MT" w:hAnsi="Gill Sans MT"/>
          <w:i/>
          <w:iCs/>
        </w:rPr>
        <w:t xml:space="preserve">The Cabinet Manual </w:t>
      </w:r>
      <w:r w:rsidRPr="000A3357">
        <w:rPr>
          <w:rFonts w:ascii="Gill Sans MT" w:hAnsi="Gill Sans MT"/>
        </w:rPr>
        <w:t>2011</w:t>
      </w:r>
      <w:r w:rsidR="00650F16">
        <w:rPr>
          <w:rFonts w:ascii="Gill Sans MT" w:hAnsi="Gill Sans MT"/>
        </w:rPr>
        <w:t xml:space="preserve"> </w:t>
      </w:r>
      <w:r w:rsidRPr="00EE1AAF" w:rsidR="00650F16">
        <w:rPr>
          <w:rFonts w:ascii="Gill Sans MT" w:hAnsi="Gill Sans MT"/>
          <w:i/>
          <w:iCs/>
        </w:rPr>
        <w:t>paragraphs 3.24-3.32</w:t>
      </w:r>
      <w:r w:rsidR="00EE1AAF">
        <w:rPr>
          <w:rFonts w:ascii="Gill Sans MT" w:hAnsi="Gill Sans MT"/>
        </w:rPr>
        <w:t xml:space="preserve"> [copied] confirm the above propositions. </w:t>
      </w:r>
      <w:r w:rsidR="005C6676">
        <w:rPr>
          <w:rFonts w:ascii="Gill Sans MT" w:hAnsi="Gill Sans MT"/>
        </w:rPr>
        <w:t xml:space="preserve">Further confirmatory assistance can be obtained from </w:t>
      </w:r>
      <w:r w:rsidR="005A338D">
        <w:rPr>
          <w:rFonts w:ascii="Gill Sans MT" w:hAnsi="Gill Sans MT"/>
          <w:i/>
          <w:iCs/>
        </w:rPr>
        <w:t xml:space="preserve">HM </w:t>
      </w:r>
      <w:r w:rsidR="005A338D">
        <w:rPr>
          <w:rFonts w:ascii="Gill Sans MT" w:hAnsi="Gill Sans MT"/>
          <w:i/>
          <w:iCs/>
        </w:rPr>
        <w:t>Tresaury</w:t>
      </w:r>
      <w:r w:rsidR="005A338D">
        <w:rPr>
          <w:rFonts w:ascii="Gill Sans MT" w:hAnsi="Gill Sans MT"/>
          <w:i/>
          <w:iCs/>
        </w:rPr>
        <w:t xml:space="preserve"> (2011) Managing Public Money</w:t>
      </w:r>
      <w:r>
        <w:rPr>
          <w:rFonts w:ascii="Gill Sans MT" w:hAnsi="Gill Sans MT"/>
          <w:i/>
          <w:iCs/>
        </w:rPr>
        <w:t>, Annex 2.1; Public Accounts Committee Concordat 1932.</w:t>
      </w:r>
    </w:p>
    <w:p w:rsidR="00220855" w:rsidP="00220855">
      <w:pPr>
        <w:pStyle w:val="ListParagraph"/>
        <w:numPr>
          <w:ilvl w:val="0"/>
          <w:numId w:val="1"/>
        </w:numPr>
        <w:spacing w:line="360" w:lineRule="auto"/>
        <w:rPr>
          <w:rFonts w:ascii="Gill Sans MT" w:hAnsi="Gill Sans MT"/>
        </w:rPr>
      </w:pPr>
      <w:r w:rsidRPr="000A3357">
        <w:rPr>
          <w:rFonts w:ascii="Gill Sans MT" w:hAnsi="Gill Sans MT"/>
        </w:rPr>
        <w:t>If</w:t>
      </w:r>
      <w:r>
        <w:rPr>
          <w:rFonts w:ascii="Gill Sans MT" w:hAnsi="Gill Sans MT"/>
        </w:rPr>
        <w:t xml:space="preserve"> paragraph 6 above accurately represents the position, </w:t>
      </w:r>
      <w:r w:rsidR="005F59AB">
        <w:rPr>
          <w:rFonts w:ascii="Gill Sans MT" w:hAnsi="Gill Sans MT"/>
        </w:rPr>
        <w:t xml:space="preserve">the corollary is that, reading together </w:t>
      </w:r>
      <w:r w:rsidR="005F59AB">
        <w:rPr>
          <w:rFonts w:ascii="Gill Sans MT" w:hAnsi="Gill Sans MT"/>
          <w:i/>
          <w:iCs/>
        </w:rPr>
        <w:t>Clause 1(1)</w:t>
      </w:r>
      <w:r w:rsidR="005F59AB">
        <w:rPr>
          <w:rFonts w:ascii="Gill Sans MT" w:hAnsi="Gill Sans MT"/>
        </w:rPr>
        <w:t xml:space="preserve"> and </w:t>
      </w:r>
      <w:r w:rsidR="005F59AB">
        <w:rPr>
          <w:rFonts w:ascii="Gill Sans MT" w:hAnsi="Gill Sans MT"/>
          <w:i/>
          <w:iCs/>
        </w:rPr>
        <w:t>Clause 2</w:t>
      </w:r>
      <w:r w:rsidR="005F59AB">
        <w:rPr>
          <w:rFonts w:ascii="Gill Sans MT" w:hAnsi="Gill Sans MT"/>
        </w:rPr>
        <w:t xml:space="preserve"> of the Bill, there is a statement of intention to place the memorial and centre in VTG and pay for it, but nothing that can bind the </w:t>
      </w:r>
      <w:r w:rsidR="005F59AB">
        <w:rPr>
          <w:rFonts w:ascii="Gill Sans MT" w:hAnsi="Gill Sans MT"/>
        </w:rPr>
        <w:t xml:space="preserve">Government to allow </w:t>
      </w:r>
      <w:r w:rsidR="002D52B2">
        <w:rPr>
          <w:rFonts w:ascii="Gill Sans MT" w:hAnsi="Gill Sans MT"/>
        </w:rPr>
        <w:t>future</w:t>
      </w:r>
      <w:r w:rsidR="005F59AB">
        <w:rPr>
          <w:rFonts w:ascii="Gill Sans MT" w:hAnsi="Gill Sans MT"/>
        </w:rPr>
        <w:t xml:space="preserve"> expenditure absent a pre-existing provision in an Appropriation Act.</w:t>
      </w:r>
    </w:p>
    <w:p w:rsidR="005F59AB" w:rsidP="00220855">
      <w:pPr>
        <w:pStyle w:val="ListParagraph"/>
        <w:numPr>
          <w:ilvl w:val="0"/>
          <w:numId w:val="1"/>
        </w:numPr>
        <w:spacing w:line="360" w:lineRule="auto"/>
        <w:rPr>
          <w:rFonts w:ascii="Gill Sans MT" w:hAnsi="Gill Sans MT"/>
        </w:rPr>
      </w:pPr>
      <w:r>
        <w:rPr>
          <w:rFonts w:ascii="Gill Sans MT" w:hAnsi="Gill Sans MT"/>
        </w:rPr>
        <w:t xml:space="preserve">If correct, it is submitted that this renders </w:t>
      </w:r>
      <w:r>
        <w:rPr>
          <w:rFonts w:ascii="Gill Sans MT" w:hAnsi="Gill Sans MT"/>
          <w:i/>
          <w:iCs/>
        </w:rPr>
        <w:t xml:space="preserve">Clause 1(2) </w:t>
      </w:r>
      <w:r>
        <w:rPr>
          <w:rFonts w:ascii="Gill Sans MT" w:hAnsi="Gill Sans MT"/>
        </w:rPr>
        <w:t xml:space="preserve">nothing more than an expression of intention or hope; and  should bring within scope whether the Minister </w:t>
      </w:r>
      <w:r>
        <w:rPr>
          <w:rFonts w:ascii="Gill Sans MT" w:hAnsi="Gill Sans MT"/>
          <w:i/>
          <w:iCs/>
        </w:rPr>
        <w:t>‘may incur expenditure’</w:t>
      </w:r>
      <w:r>
        <w:rPr>
          <w:rFonts w:ascii="Gill Sans MT" w:hAnsi="Gill Sans MT"/>
        </w:rPr>
        <w:t xml:space="preserve"> as provided, and on what and where, and thereby should remove the blockage from scope of the 3 items excluded by the provisional ruling.</w:t>
      </w:r>
    </w:p>
    <w:p w:rsidR="005F59AB" w:rsidP="00220855">
      <w:pPr>
        <w:pStyle w:val="ListParagraph"/>
        <w:numPr>
          <w:ilvl w:val="0"/>
          <w:numId w:val="1"/>
        </w:numPr>
        <w:spacing w:line="360" w:lineRule="auto"/>
        <w:rPr>
          <w:rFonts w:ascii="Gill Sans MT" w:hAnsi="Gill Sans MT"/>
        </w:rPr>
      </w:pPr>
      <w:r>
        <w:rPr>
          <w:rFonts w:ascii="Gill Sans MT" w:hAnsi="Gill Sans MT"/>
        </w:rPr>
        <w:t xml:space="preserve">If the above is correct, </w:t>
      </w:r>
      <w:r w:rsidR="002D52B2">
        <w:rPr>
          <w:rFonts w:ascii="Gill Sans MT" w:hAnsi="Gill Sans MT"/>
        </w:rPr>
        <w:t xml:space="preserve">it would be possible legitimately to debate the alternatives consistent with the expression in </w:t>
      </w:r>
      <w:r w:rsidR="002D52B2">
        <w:rPr>
          <w:rFonts w:ascii="Gill Sans MT" w:hAnsi="Gill Sans MT"/>
          <w:i/>
          <w:iCs/>
        </w:rPr>
        <w:t xml:space="preserve">Clause 1(1)(a) ‘any land’, </w:t>
      </w:r>
      <w:r w:rsidR="002D52B2">
        <w:rPr>
          <w:rFonts w:ascii="Gill Sans MT" w:hAnsi="Gill Sans MT"/>
        </w:rPr>
        <w:t>and would render the discussion of scope consistent with the short and long titles of the Bill.</w:t>
      </w:r>
    </w:p>
    <w:p w:rsidR="002A26F9" w:rsidP="00220855">
      <w:pPr>
        <w:pStyle w:val="ListParagraph"/>
        <w:numPr>
          <w:ilvl w:val="0"/>
          <w:numId w:val="1"/>
        </w:numPr>
        <w:spacing w:line="360" w:lineRule="auto"/>
        <w:rPr>
          <w:rFonts w:ascii="Gill Sans MT" w:hAnsi="Gill Sans MT"/>
        </w:rPr>
      </w:pPr>
      <w:r>
        <w:rPr>
          <w:rFonts w:ascii="Gill Sans MT" w:hAnsi="Gill Sans MT"/>
        </w:rPr>
        <w:t xml:space="preserve">In any event, the effect of </w:t>
      </w:r>
      <w:r>
        <w:rPr>
          <w:rFonts w:ascii="Gill Sans MT" w:hAnsi="Gill Sans MT"/>
          <w:i/>
          <w:iCs/>
        </w:rPr>
        <w:t xml:space="preserve">Clauses 1 and 2 </w:t>
      </w:r>
      <w:r>
        <w:rPr>
          <w:rFonts w:ascii="Gill Sans MT" w:hAnsi="Gill Sans MT"/>
        </w:rPr>
        <w:t xml:space="preserve"> taken together is </w:t>
      </w:r>
      <w:r>
        <w:rPr>
          <w:rFonts w:ascii="Gill Sans MT" w:hAnsi="Gill Sans MT"/>
          <w:i/>
          <w:iCs/>
        </w:rPr>
        <w:t xml:space="preserve">‘not [to] prevent, restrict or otherwise affect’ </w:t>
      </w:r>
      <w:r>
        <w:rPr>
          <w:rFonts w:ascii="Gill Sans MT" w:hAnsi="Gill Sans MT"/>
        </w:rPr>
        <w:t>placing the memorial and centre in VTG. There is nothing in the Bill that precludes the discussion within scope of the meaning of ‘</w:t>
      </w:r>
      <w:r>
        <w:rPr>
          <w:rFonts w:ascii="Gill Sans MT" w:hAnsi="Gill Sans MT"/>
          <w:i/>
          <w:iCs/>
        </w:rPr>
        <w:t>any land’</w:t>
      </w:r>
      <w:r>
        <w:rPr>
          <w:rFonts w:ascii="Gill Sans MT" w:hAnsi="Gill Sans MT"/>
        </w:rPr>
        <w:t>.</w:t>
      </w:r>
      <w:r>
        <w:rPr>
          <w:rFonts w:ascii="Gill Sans MT" w:hAnsi="Gill Sans MT"/>
          <w:i/>
          <w:iCs/>
        </w:rPr>
        <w:t xml:space="preserve"> </w:t>
      </w:r>
    </w:p>
    <w:p w:rsidR="002D52B2" w:rsidP="002D52B2">
      <w:pPr>
        <w:spacing w:line="360" w:lineRule="auto"/>
        <w:rPr>
          <w:rFonts w:ascii="Gill Sans MT" w:hAnsi="Gill Sans MT"/>
        </w:rPr>
      </w:pPr>
    </w:p>
    <w:p w:rsidR="002D52B2" w:rsidP="002D52B2">
      <w:pPr>
        <w:spacing w:line="360" w:lineRule="auto"/>
        <w:rPr>
          <w:rFonts w:ascii="Gill Sans MT" w:hAnsi="Gill Sans MT"/>
        </w:rPr>
      </w:pPr>
    </w:p>
    <w:p w:rsidR="002D52B2" w:rsidP="002D52B2">
      <w:pPr>
        <w:spacing w:line="360" w:lineRule="auto"/>
        <w:rPr>
          <w:rFonts w:ascii="Gill Sans MT" w:hAnsi="Gill Sans MT"/>
          <w:b/>
          <w:bCs/>
        </w:rPr>
      </w:pPr>
    </w:p>
    <w:p w:rsidR="002D52B2" w:rsidP="002D52B2">
      <w:pPr>
        <w:spacing w:line="360" w:lineRule="auto"/>
        <w:rPr>
          <w:rFonts w:ascii="Gill Sans MT" w:hAnsi="Gill Sans MT"/>
          <w:b/>
          <w:bCs/>
        </w:rPr>
      </w:pPr>
      <w:r>
        <w:rPr>
          <w:rFonts w:ascii="Gill Sans MT" w:hAnsi="Gill Sans MT"/>
          <w:b/>
          <w:bCs/>
        </w:rPr>
        <w:t>Alex Carlile</w:t>
      </w:r>
    </w:p>
    <w:p w:rsidR="002D52B2" w:rsidP="002D52B2">
      <w:pPr>
        <w:spacing w:line="360" w:lineRule="auto"/>
        <w:rPr>
          <w:rFonts w:ascii="Gill Sans MT" w:hAnsi="Gill Sans MT"/>
          <w:b/>
          <w:bCs/>
        </w:rPr>
      </w:pPr>
      <w:r>
        <w:rPr>
          <w:rFonts w:ascii="Gill Sans MT" w:hAnsi="Gill Sans MT"/>
          <w:b/>
          <w:bCs/>
        </w:rPr>
        <w:t>Lord Carlile of Berriew CBE KC</w:t>
      </w:r>
    </w:p>
    <w:p w:rsidR="002D52B2" w:rsidRPr="002D52B2" w:rsidP="002D52B2">
      <w:pPr>
        <w:spacing w:line="360" w:lineRule="auto"/>
        <w:rPr>
          <w:rFonts w:ascii="Gill Sans MT" w:hAnsi="Gill Sans MT"/>
          <w:b/>
          <w:bCs/>
        </w:rPr>
      </w:pPr>
      <w:r>
        <w:rPr>
          <w:rFonts w:ascii="Gill Sans MT" w:hAnsi="Gill Sans MT"/>
          <w:b/>
          <w:bCs/>
        </w:rPr>
        <w:t>22 November 2024</w:t>
      </w:r>
    </w:p>
    <w:p w:rsidR="0017444A" w:rsidRPr="0017444A" w:rsidP="0017444A">
      <w:pPr>
        <w:pStyle w:val="ListParagraph"/>
        <w:spacing w:line="360" w:lineRule="auto"/>
        <w:rPr>
          <w:rFonts w:ascii="Gill Sans MT" w:hAnsi="Gill Sans MT"/>
          <w:i/>
          <w:iCs/>
        </w:rPr>
      </w:pPr>
      <w:r w:rsidRPr="0017444A">
        <w:rPr>
          <w:rFonts w:ascii="Gill Sans MT" w:hAnsi="Gill Sans MT"/>
        </w:rPr>
        <w:t xml:space="preserve"> </w:t>
      </w:r>
      <w:r w:rsidRPr="0017444A">
        <w:rPr>
          <w:rFonts w:ascii="Gill Sans MT" w:hAnsi="Gill Sans MT"/>
          <w:i/>
          <w:iCs/>
        </w:rPr>
        <w:t xml:space="preserve">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venir Heavy">
    <w:panose1 w:val="020B0703020203020204"/>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3653C8"/>
    <w:multiLevelType w:val="hybridMultilevel"/>
    <w:tmpl w:val="22406E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3447B30"/>
    <w:multiLevelType w:val="hybridMultilevel"/>
    <w:tmpl w:val="919C842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Heavy" w:hAnsi="Avenir Heavy" w:eastAsiaTheme="minorHAnsi" w:cs="Times New Roman (Body CS)"/>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536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4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4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4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4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4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4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4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4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4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4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4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4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4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4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4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4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4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4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64FB"/>
    <w:rPr>
      <w:i/>
      <w:iCs/>
      <w:color w:val="404040" w:themeColor="text1" w:themeTint="BF"/>
    </w:rPr>
  </w:style>
  <w:style w:type="paragraph" w:styleId="ListParagraph">
    <w:name w:val="List Paragraph"/>
    <w:basedOn w:val="Normal"/>
    <w:uiPriority w:val="34"/>
    <w:qFormat/>
    <w:rsid w:val="005364FB"/>
    <w:pPr>
      <w:ind w:left="720"/>
      <w:contextualSpacing/>
    </w:pPr>
  </w:style>
  <w:style w:type="character" w:styleId="IntenseEmphasis">
    <w:name w:val="Intense Emphasis"/>
    <w:basedOn w:val="DefaultParagraphFont"/>
    <w:uiPriority w:val="21"/>
    <w:qFormat/>
    <w:rsid w:val="005364FB"/>
    <w:rPr>
      <w:i/>
      <w:iCs/>
      <w:color w:val="0F4761" w:themeColor="accent1" w:themeShade="BF"/>
    </w:rPr>
  </w:style>
  <w:style w:type="paragraph" w:styleId="IntenseQuote">
    <w:name w:val="Intense Quote"/>
    <w:basedOn w:val="Normal"/>
    <w:next w:val="Normal"/>
    <w:link w:val="IntenseQuoteChar"/>
    <w:uiPriority w:val="30"/>
    <w:qFormat/>
    <w:rsid w:val="00536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4FB"/>
    <w:rPr>
      <w:i/>
      <w:iCs/>
      <w:color w:val="0F4761" w:themeColor="accent1" w:themeShade="BF"/>
    </w:rPr>
  </w:style>
  <w:style w:type="character" w:styleId="IntenseReference">
    <w:name w:val="Intense Reference"/>
    <w:basedOn w:val="DefaultParagraphFont"/>
    <w:uiPriority w:val="32"/>
    <w:qFormat/>
    <w:rsid w:val="00536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