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3464">
      <w:pPr>
        <w:pStyle w:val="Heading1"/>
        <w:rPr>
          <w:rFonts w:eastAsia="Times New Roman"/>
        </w:rPr>
      </w:pPr>
      <w:r>
        <w:rPr>
          <w:rFonts w:eastAsia="Times New Roman"/>
        </w:rPr>
        <w:t>Liaison Sub-Committee on Scrutiny of Strategic Thinking in Government attendance for Session 2023–24</w:t>
      </w:r>
    </w:p>
    <w:p w:rsidR="001C3464">
      <w:pPr>
        <w:pStyle w:val="NormalWeb"/>
      </w:pPr>
      <w:r>
        <w:t>The Sub-committee was nominated by the Committee on 13 June 2023.</w:t>
      </w:r>
    </w:p>
    <w:p w:rsidR="001C3464">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1C3464">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1C3464">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Sir Bernard Jenkin (Conservative, Harwich and North Essex) (Chair)</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4 of 4</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Dame Harriett Baldwin (Conservative, West Worcestershire)</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3 of 4</w:t>
            </w:r>
            <w:r>
              <w:rPr>
                <w:rFonts w:ascii="Arial" w:eastAsia="Times New Roman" w:hAnsi="Arial" w:cs="Arial"/>
              </w:rPr>
              <w:br/>
              <w:t>(75.0%)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Mr Clive Betts (Labour, Sheffield South East)</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2 of 4</w:t>
            </w:r>
            <w:r>
              <w:rPr>
                <w:rFonts w:ascii="Arial" w:eastAsia="Times New Roman" w:hAnsi="Arial" w:cs="Arial"/>
              </w:rPr>
              <w:br/>
              <w:t>(50.0%)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Sir Robert Buckland (Conservative, South Swindon)</w:t>
            </w:r>
            <w:r>
              <w:rPr>
                <w:rFonts w:ascii="Arial" w:eastAsia="Times New Roman" w:hAnsi="Arial" w:cs="Arial"/>
              </w:rPr>
              <w:br/>
              <w:t xml:space="preserve">(added 19 Dec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2 of 3</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Liam Byrne (Labour, Birmingham, Hodge Hill)</w:t>
            </w:r>
            <w:r>
              <w:rPr>
                <w:rFonts w:ascii="Arial" w:eastAsia="Times New Roman" w:hAnsi="Arial" w:cs="Arial"/>
              </w:rPr>
              <w:br/>
              <w:t xml:space="preserve">(added 19 Dec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2 of 3</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Sarah Champion (Labour, Rotherham)</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0 of 4</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Greg Clark (Conservative, Tunbridge Wells)</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0 of 4</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Philip Dunne (Conservative, Ludlow)</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2 of 4</w:t>
            </w:r>
            <w:r>
              <w:rPr>
                <w:rFonts w:ascii="Arial" w:eastAsia="Times New Roman" w:hAnsi="Arial" w:cs="Arial"/>
              </w:rPr>
              <w:br/>
              <w:t>(50.0%)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Dame Meg Hillier (Labour, Hackney South and Shoreditch)</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0 of 4</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Dame Diana Johnson (Labour, Kingston upon Hull North)</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1 of 4</w:t>
            </w:r>
            <w:r>
              <w:rPr>
                <w:rFonts w:ascii="Arial" w:eastAsia="Times New Roman" w:hAnsi="Arial" w:cs="Arial"/>
              </w:rPr>
              <w:br/>
              <w:t>(25.0%)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Alicia Kearns (Conservative, Rutland and Melton)</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0 of 4</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Angus Brendan MacNeil (Independent, Na h-Eileanan an Iar)</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1 of 4</w:t>
            </w:r>
            <w:r>
              <w:rPr>
                <w:rFonts w:ascii="Arial" w:eastAsia="Times New Roman" w:hAnsi="Arial" w:cs="Arial"/>
              </w:rPr>
              <w:br/>
              <w:t>(25.0%)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Sir Jeremy Quin (Conservative, Horsham)</w:t>
            </w:r>
            <w:r>
              <w:rPr>
                <w:rFonts w:ascii="Arial" w:eastAsia="Times New Roman" w:hAnsi="Arial" w:cs="Arial"/>
              </w:rPr>
              <w:br/>
              <w:t xml:space="preserve">(added 12 Mar 2024)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0 of 2</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Iain Stewart (Conservative, Milton Keynes South)</w:t>
            </w:r>
            <w:r>
              <w:rPr>
                <w:rFonts w:ascii="Arial" w:eastAsia="Times New Roman" w:hAnsi="Arial" w:cs="Arial"/>
              </w:rPr>
              <w:br/>
              <w:t xml:space="preserve">(added 22 Jun 2023) </w:t>
            </w:r>
          </w:p>
        </w:tc>
        <w:tc>
          <w:tcPr>
            <w:tcW w:w="0" w:type="auto"/>
            <w:tcMar>
              <w:top w:w="120" w:type="dxa"/>
              <w:left w:w="120" w:type="dxa"/>
              <w:bottom w:w="120" w:type="dxa"/>
              <w:right w:w="120" w:type="dxa"/>
            </w:tcMar>
            <w:vAlign w:val="center"/>
            <w:hideMark/>
          </w:tcPr>
          <w:p w:rsidR="001C3464">
            <w:pPr>
              <w:rPr>
                <w:rFonts w:ascii="Arial" w:eastAsia="Times New Roman" w:hAnsi="Arial" w:cs="Arial"/>
              </w:rPr>
            </w:pPr>
            <w:r>
              <w:rPr>
                <w:rFonts w:ascii="Arial" w:eastAsia="Times New Roman" w:hAnsi="Arial" w:cs="Arial"/>
              </w:rPr>
              <w:t>4 of 4</w:t>
            </w:r>
            <w:r>
              <w:rPr>
                <w:rFonts w:ascii="Arial" w:eastAsia="Times New Roman" w:hAnsi="Arial" w:cs="Arial"/>
              </w:rPr>
              <w:br/>
              <w:t>(100.0%)</w:t>
            </w:r>
          </w:p>
        </w:tc>
      </w:tr>
    </w:tbl>
    <w:p w:rsidR="001C3464">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1C3464">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1C3464">
            <w:pPr>
              <w:rPr>
                <w:rFonts w:ascii="Arial" w:eastAsia="Times New Roman" w:hAnsi="Arial" w:cs="Arial"/>
                <w:b/>
                <w:bCs/>
                <w:color w:val="FFFFFF"/>
              </w:rPr>
            </w:pPr>
            <w:r>
              <w:rPr>
                <w:rFonts w:ascii="Arial" w:eastAsia="Times New Roman" w:hAnsi="Arial" w:cs="Arial"/>
                <w:b/>
                <w:bCs/>
                <w:color w:val="FFFFFF"/>
              </w:rPr>
              <w:t>40.4%</w:t>
            </w:r>
          </w:p>
        </w:tc>
      </w:tr>
    </w:tbl>
    <w:p w:rsidR="001C3464">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