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D0B2C">
      <w:pPr>
        <w:pStyle w:val="Heading1"/>
        <w:rPr>
          <w:rFonts w:eastAsia="Times New Roman"/>
        </w:rPr>
      </w:pPr>
      <w:r>
        <w:rPr>
          <w:rFonts w:eastAsia="Times New Roman"/>
        </w:rPr>
        <w:t>Environment, Food and Rural Affairs Committee attendance for Session 2023–24</w:t>
      </w:r>
    </w:p>
    <w:p w:rsidR="003D0B2C">
      <w:pPr>
        <w:pStyle w:val="NormalWeb"/>
      </w:pPr>
      <w:r>
        <w:t>The Committee was nominated by the House of Commons on 2 March 2020.</w:t>
      </w:r>
    </w:p>
    <w:p w:rsidR="003D0B2C">
      <w:pPr>
        <w:pStyle w:val="NormalWeb"/>
      </w:pPr>
      <w:r>
        <w:t>Note: Members of Parliament value the opportunity to be a member of a select committee and will try to participate as fully as they can. Not all the work they do happens in formal meetings. As Members of Parliament, committee members have other duties in the House that may sometimes limit their attendance at select committee meetings. They may have commitments in the Chamber or Westminster Hall, or on other parliamentary committees, such as those scrutinising legislation. Most belong to political parties and may have to attend meetings and events in that capacity. Some hold official front-bench positions or work in support of those who do. Most will, on occasion, need to put a constituency issue ahead of committee attendance. Attendance rates can also be affected by such things as illnesses or caring responsibilities. In some cases, a Member might not attend if they have indicated they wish to leave the committee but the House has yet to discharge them.</w:t>
      </w:r>
    </w:p>
    <w:tbl>
      <w:tblPr>
        <w:tblW w:w="5000" w:type="pct"/>
        <w:tblCellMar>
          <w:top w:w="15" w:type="dxa"/>
          <w:left w:w="15" w:type="dxa"/>
          <w:bottom w:w="15" w:type="dxa"/>
          <w:right w:w="15" w:type="dxa"/>
        </w:tblCellMar>
        <w:tblLook w:val="04A0"/>
      </w:tblPr>
      <w:tblGrid>
        <w:gridCol w:w="7479"/>
        <w:gridCol w:w="1547"/>
      </w:tblGrid>
      <w:tr>
        <w:tblPrEx>
          <w:tblW w:w="5000" w:type="pct"/>
          <w:tblCellMar>
            <w:top w:w="15" w:type="dxa"/>
            <w:left w:w="15" w:type="dxa"/>
            <w:bottom w:w="15" w:type="dxa"/>
            <w:right w:w="15" w:type="dxa"/>
          </w:tblCellMar>
          <w:tblLook w:val="04A0"/>
        </w:tblPrEx>
        <w:tc>
          <w:tcPr>
            <w:tcW w:w="0" w:type="auto"/>
            <w:shd w:val="clear" w:color="auto" w:fill="0D7E0B"/>
            <w:tcMar>
              <w:top w:w="120" w:type="dxa"/>
              <w:left w:w="120" w:type="dxa"/>
              <w:bottom w:w="120" w:type="dxa"/>
              <w:right w:w="120" w:type="dxa"/>
            </w:tcMar>
            <w:vAlign w:val="center"/>
            <w:hideMark/>
          </w:tcPr>
          <w:p w:rsidR="003D0B2C">
            <w:pPr>
              <w:rPr>
                <w:rFonts w:ascii="Arial" w:eastAsia="Times New Roman" w:hAnsi="Arial" w:cs="Arial"/>
                <w:b/>
                <w:bCs/>
                <w:color w:val="FFFFFF"/>
              </w:rPr>
            </w:pPr>
            <w:r>
              <w:rPr>
                <w:rFonts w:ascii="Arial" w:eastAsia="Times New Roman" w:hAnsi="Arial" w:cs="Arial"/>
                <w:b/>
                <w:bCs/>
                <w:color w:val="FFFFFF"/>
              </w:rPr>
              <w:t>Current members</w:t>
            </w:r>
          </w:p>
        </w:tc>
        <w:tc>
          <w:tcPr>
            <w:tcW w:w="0" w:type="auto"/>
            <w:shd w:val="clear" w:color="auto" w:fill="0D7E0B"/>
            <w:tcMar>
              <w:top w:w="120" w:type="dxa"/>
              <w:left w:w="120" w:type="dxa"/>
              <w:bottom w:w="120" w:type="dxa"/>
              <w:right w:w="120" w:type="dxa"/>
            </w:tcMar>
            <w:vAlign w:val="center"/>
            <w:hideMark/>
          </w:tcPr>
          <w:p w:rsidR="003D0B2C">
            <w:pPr>
              <w:rPr>
                <w:rFonts w:ascii="Arial" w:eastAsia="Times New Roman" w:hAnsi="Arial" w:cs="Arial"/>
                <w:b/>
                <w:bCs/>
                <w:color w:val="FFFFFF"/>
              </w:rPr>
            </w:pPr>
            <w:r>
              <w:rPr>
                <w:rFonts w:ascii="Arial" w:eastAsia="Times New Roman" w:hAnsi="Arial" w:cs="Arial"/>
                <w:b/>
                <w:bCs/>
                <w:color w:val="FFFFFF"/>
              </w:rPr>
              <w:t>Attendance</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Sir Robert Goodwill (Conservative, Scarborough and Whitby) (Chair)</w:t>
            </w:r>
            <w:r>
              <w:rPr>
                <w:rFonts w:ascii="Arial" w:eastAsia="Times New Roman" w:hAnsi="Arial" w:cs="Arial"/>
              </w:rPr>
              <w:br/>
              <w:t xml:space="preserve">(added 25 May 2022) </w:t>
            </w:r>
          </w:p>
        </w:tc>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19 of 21</w:t>
            </w:r>
            <w:r>
              <w:rPr>
                <w:rFonts w:ascii="Arial" w:eastAsia="Times New Roman" w:hAnsi="Arial" w:cs="Arial"/>
              </w:rPr>
              <w:br/>
              <w:t>(90.5%)</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Steven Bonnar (Scottish National Party, Coatbridge, Chryston and Bellshill)</w:t>
            </w:r>
            <w:r>
              <w:rPr>
                <w:rFonts w:ascii="Arial" w:eastAsia="Times New Roman" w:hAnsi="Arial" w:cs="Arial"/>
              </w:rPr>
              <w:br/>
              <w:t xml:space="preserve">(added 8 Nov 2022) </w:t>
            </w:r>
          </w:p>
        </w:tc>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7 of 21</w:t>
            </w:r>
            <w:r>
              <w:rPr>
                <w:rFonts w:ascii="Arial" w:eastAsia="Times New Roman" w:hAnsi="Arial" w:cs="Arial"/>
              </w:rPr>
              <w:br/>
              <w:t>(33.3%)</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Ian Byrne (Labour, Liverpool, West Derby)</w:t>
            </w:r>
            <w:r>
              <w:rPr>
                <w:rFonts w:ascii="Arial" w:eastAsia="Times New Roman" w:hAnsi="Arial" w:cs="Arial"/>
              </w:rPr>
              <w:br/>
              <w:t xml:space="preserve">(added 11 May 2020) </w:t>
            </w:r>
          </w:p>
        </w:tc>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17 of 21</w:t>
            </w:r>
            <w:r>
              <w:rPr>
                <w:rFonts w:ascii="Arial" w:eastAsia="Times New Roman" w:hAnsi="Arial" w:cs="Arial"/>
              </w:rPr>
              <w:br/>
              <w:t>(81.0%)</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Rosie Duffield (Labour, Canterbury)</w:t>
            </w:r>
            <w:r>
              <w:rPr>
                <w:rFonts w:ascii="Arial" w:eastAsia="Times New Roman" w:hAnsi="Arial" w:cs="Arial"/>
              </w:rPr>
              <w:br/>
              <w:t xml:space="preserve">(added 2 Mar 2020) </w:t>
            </w:r>
          </w:p>
        </w:tc>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11 of 21</w:t>
            </w:r>
            <w:r>
              <w:rPr>
                <w:rFonts w:ascii="Arial" w:eastAsia="Times New Roman" w:hAnsi="Arial" w:cs="Arial"/>
              </w:rPr>
              <w:br/>
              <w:t>(52.4%)</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Barry Gardiner (Labour, Brent North)</w:t>
            </w:r>
            <w:r>
              <w:rPr>
                <w:rFonts w:ascii="Arial" w:eastAsia="Times New Roman" w:hAnsi="Arial" w:cs="Arial"/>
              </w:rPr>
              <w:br/>
              <w:t xml:space="preserve">(added 8 Jun 2020) </w:t>
            </w:r>
          </w:p>
        </w:tc>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17 of 21</w:t>
            </w:r>
            <w:r>
              <w:rPr>
                <w:rFonts w:ascii="Arial" w:eastAsia="Times New Roman" w:hAnsi="Arial" w:cs="Arial"/>
              </w:rPr>
              <w:br/>
              <w:t>(81.0%)</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Dr Neil Hudson (Conservative, Penrith and The Border)</w:t>
            </w:r>
            <w:r>
              <w:rPr>
                <w:rFonts w:ascii="Arial" w:eastAsia="Times New Roman" w:hAnsi="Arial" w:cs="Arial"/>
              </w:rPr>
              <w:br/>
              <w:t xml:space="preserve">(added 2 Mar 2020) </w:t>
            </w:r>
          </w:p>
        </w:tc>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21 of 21</w:t>
            </w:r>
            <w:r>
              <w:rPr>
                <w:rFonts w:ascii="Arial" w:eastAsia="Times New Roman" w:hAnsi="Arial" w:cs="Arial"/>
              </w:rPr>
              <w:br/>
              <w:t>(100.0%)</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Mrs Sheryll Murray (Conservative, South East Cornwall)</w:t>
            </w:r>
            <w:r>
              <w:rPr>
                <w:rFonts w:ascii="Arial" w:eastAsia="Times New Roman" w:hAnsi="Arial" w:cs="Arial"/>
              </w:rPr>
              <w:br/>
              <w:t xml:space="preserve">(added 2 Mar 2020) </w:t>
            </w:r>
          </w:p>
        </w:tc>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15 of 21</w:t>
            </w:r>
            <w:r>
              <w:rPr>
                <w:rFonts w:ascii="Arial" w:eastAsia="Times New Roman" w:hAnsi="Arial" w:cs="Arial"/>
              </w:rPr>
              <w:br/>
              <w:t>(71.4%)</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Selaine Saxby (Conservative, North Devon)</w:t>
            </w:r>
            <w:r>
              <w:rPr>
                <w:rFonts w:ascii="Arial" w:eastAsia="Times New Roman" w:hAnsi="Arial" w:cs="Arial"/>
              </w:rPr>
              <w:br/>
              <w:t xml:space="preserve">(added 22 Jan 2024) </w:t>
            </w:r>
          </w:p>
        </w:tc>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11 of 14</w:t>
            </w:r>
            <w:r>
              <w:rPr>
                <w:rFonts w:ascii="Arial" w:eastAsia="Times New Roman" w:hAnsi="Arial" w:cs="Arial"/>
              </w:rPr>
              <w:br/>
              <w:t>(78.6%)</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Cat Smith (Labour, Lancaster and Fleetwood)</w:t>
            </w:r>
            <w:r>
              <w:rPr>
                <w:rFonts w:ascii="Arial" w:eastAsia="Times New Roman" w:hAnsi="Arial" w:cs="Arial"/>
              </w:rPr>
              <w:br/>
              <w:t xml:space="preserve">(added 19 Jun 2023) </w:t>
            </w:r>
          </w:p>
        </w:tc>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19 of 21</w:t>
            </w:r>
            <w:r>
              <w:rPr>
                <w:rFonts w:ascii="Arial" w:eastAsia="Times New Roman" w:hAnsi="Arial" w:cs="Arial"/>
              </w:rPr>
              <w:br/>
              <w:t>(90.5%)</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Julian Sturdy (Conservative, York Outer)</w:t>
            </w:r>
            <w:r>
              <w:rPr>
                <w:rFonts w:ascii="Arial" w:eastAsia="Times New Roman" w:hAnsi="Arial" w:cs="Arial"/>
              </w:rPr>
              <w:br/>
              <w:t xml:space="preserve">(added 2 Mar 2020) </w:t>
            </w:r>
          </w:p>
        </w:tc>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10 of 21</w:t>
            </w:r>
            <w:r>
              <w:rPr>
                <w:rFonts w:ascii="Arial" w:eastAsia="Times New Roman" w:hAnsi="Arial" w:cs="Arial"/>
              </w:rPr>
              <w:br/>
              <w:t>(47.6%)</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Derek Thomas (Conservative, St Ives)</w:t>
            </w:r>
            <w:r>
              <w:rPr>
                <w:rFonts w:ascii="Arial" w:eastAsia="Times New Roman" w:hAnsi="Arial" w:cs="Arial"/>
              </w:rPr>
              <w:br/>
              <w:t xml:space="preserve">(added 2 Mar 2020) </w:t>
            </w:r>
          </w:p>
        </w:tc>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13 of 21</w:t>
            </w:r>
            <w:r>
              <w:rPr>
                <w:rFonts w:ascii="Arial" w:eastAsia="Times New Roman" w:hAnsi="Arial" w:cs="Arial"/>
              </w:rPr>
              <w:br/>
              <w:t>(61.9%)</w:t>
            </w:r>
          </w:p>
        </w:tc>
      </w:tr>
    </w:tbl>
    <w:p w:rsidR="003D0B2C">
      <w:pPr>
        <w:rPr>
          <w:rFonts w:eastAsia="Times New Roman"/>
          <w:vanish/>
        </w:rPr>
      </w:pPr>
    </w:p>
    <w:tbl>
      <w:tblPr>
        <w:tblW w:w="5000" w:type="pct"/>
        <w:tblCellMar>
          <w:top w:w="15" w:type="dxa"/>
          <w:left w:w="15" w:type="dxa"/>
          <w:bottom w:w="15" w:type="dxa"/>
          <w:right w:w="15" w:type="dxa"/>
        </w:tblCellMar>
        <w:tblLook w:val="04A0"/>
      </w:tblPr>
      <w:tblGrid>
        <w:gridCol w:w="6827"/>
        <w:gridCol w:w="2199"/>
      </w:tblGrid>
      <w:tr>
        <w:tblPrEx>
          <w:tblW w:w="5000" w:type="pct"/>
          <w:tblCellMar>
            <w:top w:w="15" w:type="dxa"/>
            <w:left w:w="15" w:type="dxa"/>
            <w:bottom w:w="15" w:type="dxa"/>
            <w:right w:w="15" w:type="dxa"/>
          </w:tblCellMar>
          <w:tblLook w:val="04A0"/>
        </w:tblPrEx>
        <w:tc>
          <w:tcPr>
            <w:tcW w:w="0" w:type="auto"/>
            <w:shd w:val="clear" w:color="auto" w:fill="0D7E0B"/>
            <w:tcMar>
              <w:top w:w="120" w:type="dxa"/>
              <w:left w:w="120" w:type="dxa"/>
              <w:bottom w:w="120" w:type="dxa"/>
              <w:right w:w="120" w:type="dxa"/>
            </w:tcMar>
            <w:vAlign w:val="center"/>
            <w:hideMark/>
          </w:tcPr>
          <w:p w:rsidR="003D0B2C">
            <w:pPr>
              <w:rPr>
                <w:rFonts w:ascii="Arial" w:eastAsia="Times New Roman" w:hAnsi="Arial" w:cs="Arial"/>
                <w:b/>
                <w:bCs/>
                <w:color w:val="FFFFFF"/>
              </w:rPr>
            </w:pPr>
            <w:r>
              <w:rPr>
                <w:rFonts w:ascii="Arial" w:eastAsia="Times New Roman" w:hAnsi="Arial" w:cs="Arial"/>
                <w:b/>
                <w:bCs/>
                <w:color w:val="FFFFFF"/>
              </w:rPr>
              <w:t>Former members</w:t>
            </w:r>
          </w:p>
        </w:tc>
        <w:tc>
          <w:tcPr>
            <w:tcW w:w="0" w:type="auto"/>
            <w:shd w:val="clear" w:color="auto" w:fill="0D7E0B"/>
            <w:tcMar>
              <w:top w:w="120" w:type="dxa"/>
              <w:left w:w="120" w:type="dxa"/>
              <w:bottom w:w="120" w:type="dxa"/>
              <w:right w:w="120" w:type="dxa"/>
            </w:tcMar>
            <w:vAlign w:val="center"/>
            <w:hideMark/>
          </w:tcPr>
          <w:p w:rsidR="003D0B2C">
            <w:pPr>
              <w:rPr>
                <w:rFonts w:ascii="Arial" w:eastAsia="Times New Roman" w:hAnsi="Arial" w:cs="Arial"/>
                <w:b/>
                <w:bCs/>
                <w:color w:val="FFFFFF"/>
              </w:rPr>
            </w:pPr>
            <w:r>
              <w:rPr>
                <w:rFonts w:ascii="Arial" w:eastAsia="Times New Roman" w:hAnsi="Arial" w:cs="Arial"/>
                <w:b/>
                <w:bCs/>
                <w:color w:val="FFFFFF"/>
              </w:rPr>
              <w:t>Attendance</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Robbie Moore (Conservative, Keighley)</w:t>
            </w:r>
            <w:r>
              <w:rPr>
                <w:rFonts w:ascii="Arial" w:eastAsia="Times New Roman" w:hAnsi="Arial" w:cs="Arial"/>
              </w:rPr>
              <w:br/>
              <w:t xml:space="preserve">(added 2 Mar 2020; removed 22 Jan 2024) </w:t>
            </w:r>
          </w:p>
        </w:tc>
        <w:tc>
          <w:tcPr>
            <w:tcW w:w="0" w:type="auto"/>
            <w:tcMar>
              <w:top w:w="120" w:type="dxa"/>
              <w:left w:w="120" w:type="dxa"/>
              <w:bottom w:w="120" w:type="dxa"/>
              <w:right w:w="120" w:type="dxa"/>
            </w:tcMar>
            <w:vAlign w:val="center"/>
            <w:hideMark/>
          </w:tcPr>
          <w:p w:rsidR="003D0B2C">
            <w:pPr>
              <w:rPr>
                <w:rFonts w:ascii="Arial" w:eastAsia="Times New Roman" w:hAnsi="Arial" w:cs="Arial"/>
              </w:rPr>
            </w:pPr>
            <w:r>
              <w:rPr>
                <w:rFonts w:ascii="Arial" w:eastAsia="Times New Roman" w:hAnsi="Arial" w:cs="Arial"/>
              </w:rPr>
              <w:t>0 of 7</w:t>
            </w:r>
            <w:r>
              <w:rPr>
                <w:rFonts w:ascii="Arial" w:eastAsia="Times New Roman" w:hAnsi="Arial" w:cs="Arial"/>
              </w:rPr>
              <w:br/>
              <w:t>(0.0%)</w:t>
            </w:r>
          </w:p>
        </w:tc>
      </w:tr>
    </w:tbl>
    <w:p w:rsidR="003D0B2C">
      <w:pPr>
        <w:rPr>
          <w:rFonts w:eastAsia="Times New Roman"/>
          <w:vanish/>
        </w:rPr>
      </w:pPr>
    </w:p>
    <w:tbl>
      <w:tblPr>
        <w:tblW w:w="5000" w:type="pct"/>
        <w:tblCellMar>
          <w:top w:w="15" w:type="dxa"/>
          <w:left w:w="15" w:type="dxa"/>
          <w:bottom w:w="15" w:type="dxa"/>
          <w:right w:w="15" w:type="dxa"/>
        </w:tblCellMar>
        <w:tblLook w:val="04A0"/>
      </w:tblPr>
      <w:tblGrid>
        <w:gridCol w:w="4817"/>
        <w:gridCol w:w="4209"/>
      </w:tblGrid>
      <w:tr>
        <w:tblPrEx>
          <w:tblW w:w="5000" w:type="pct"/>
          <w:tblCellMar>
            <w:top w:w="15" w:type="dxa"/>
            <w:left w:w="15" w:type="dxa"/>
            <w:bottom w:w="15" w:type="dxa"/>
            <w:right w:w="15" w:type="dxa"/>
          </w:tblCellMar>
          <w:tblLook w:val="04A0"/>
        </w:tblPrEx>
        <w:tc>
          <w:tcPr>
            <w:tcW w:w="0" w:type="auto"/>
            <w:shd w:val="clear" w:color="auto" w:fill="0D7E0B"/>
            <w:tcMar>
              <w:top w:w="120" w:type="dxa"/>
              <w:left w:w="120" w:type="dxa"/>
              <w:bottom w:w="120" w:type="dxa"/>
              <w:right w:w="120" w:type="dxa"/>
            </w:tcMar>
            <w:vAlign w:val="center"/>
            <w:hideMark/>
          </w:tcPr>
          <w:p w:rsidR="003D0B2C">
            <w:pPr>
              <w:rPr>
                <w:rFonts w:ascii="Arial" w:eastAsia="Times New Roman" w:hAnsi="Arial" w:cs="Arial"/>
                <w:b/>
                <w:bCs/>
                <w:color w:val="FFFFFF"/>
              </w:rPr>
            </w:pPr>
            <w:r>
              <w:rPr>
                <w:rFonts w:ascii="Arial" w:eastAsia="Times New Roman" w:hAnsi="Arial" w:cs="Arial"/>
                <w:b/>
                <w:bCs/>
                <w:color w:val="FFFFFF"/>
              </w:rPr>
              <w:t>Overall</w:t>
            </w:r>
          </w:p>
        </w:tc>
        <w:tc>
          <w:tcPr>
            <w:tcW w:w="0" w:type="auto"/>
            <w:shd w:val="clear" w:color="auto" w:fill="0D7E0B"/>
            <w:tcMar>
              <w:top w:w="120" w:type="dxa"/>
              <w:left w:w="120" w:type="dxa"/>
              <w:bottom w:w="120" w:type="dxa"/>
              <w:right w:w="120" w:type="dxa"/>
            </w:tcMar>
            <w:vAlign w:val="center"/>
            <w:hideMark/>
          </w:tcPr>
          <w:p w:rsidR="003D0B2C">
            <w:pPr>
              <w:rPr>
                <w:rFonts w:ascii="Arial" w:eastAsia="Times New Roman" w:hAnsi="Arial" w:cs="Arial"/>
                <w:b/>
                <w:bCs/>
                <w:color w:val="FFFFFF"/>
              </w:rPr>
            </w:pPr>
            <w:r>
              <w:rPr>
                <w:rFonts w:ascii="Arial" w:eastAsia="Times New Roman" w:hAnsi="Arial" w:cs="Arial"/>
                <w:b/>
                <w:bCs/>
                <w:color w:val="FFFFFF"/>
              </w:rPr>
              <w:t>69.3%</w:t>
            </w:r>
          </w:p>
        </w:tc>
      </w:tr>
    </w:tbl>
    <w:p w:rsidR="003D0B2C">
      <w:pPr>
        <w:rPr>
          <w:rFonts w:eastAsia="Times New Roman"/>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Arial" w:hAnsi="Arial" w:cs="Arial"/>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ascii="Arial" w:hAnsi="Arial" w:cs="Arial"/>
      <w:b/>
      <w:bCs/>
      <w:sz w:val="36"/>
      <w:szCs w:val="36"/>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customStyle="1" w:styleId="msonormal">
    <w:name w:val="msonormal"/>
    <w:basedOn w:val="Normal"/>
    <w:pPr>
      <w:spacing w:before="100" w:beforeAutospacing="1" w:after="100" w:afterAutospacing="1"/>
    </w:pPr>
    <w:rPr>
      <w:rFonts w:ascii="Arial" w:hAnsi="Arial" w:cs="Arial"/>
    </w:rPr>
  </w:style>
  <w:style w:type="paragraph" w:styleId="NormalWeb">
    <w:name w:val="Normal (Web)"/>
    <w:basedOn w:val="Normal"/>
    <w:uiPriority w:val="99"/>
    <w:semiHidden/>
    <w:unhideWhenUsed/>
    <w:pPr>
      <w:spacing w:before="100" w:beforeAutospacing="1" w:after="100" w:afterAutospacing="1"/>
    </w:pPr>
    <w:rPr>
      <w:rFonts w:ascii="Arial" w:hAnsi="Arial" w:cs="Arial"/>
    </w:rPr>
  </w:style>
  <w:style w:type="paragraph" w:customStyle="1" w:styleId="membercol">
    <w:name w:val="membercol"/>
    <w:basedOn w:val="Normal"/>
    <w:pPr>
      <w:spacing w:before="100" w:beforeAutospacing="1" w:after="100" w:afterAutospacing="1"/>
    </w:pPr>
  </w:style>
  <w:style w:type="paragraph" w:customStyle="1" w:styleId="percentagecol">
    <w:name w:val="percentagecol"/>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