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embeddings/Microsoft_Office_Excel_Worksheet1.xlsx" ContentType="application/vnd.openxmlformats-officedocument.spreadsheetml.shee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E85B2A" w:rsidRPr="000D78B5" w:rsidP="00E85B2A">
      <w:pPr>
        <w:pStyle w:val="Heading1"/>
        <w:numPr>
          <w:ilvl w:val="0"/>
          <w:numId w:val="0"/>
        </w:numPr>
        <w:rPr>
          <w:b/>
          <w:sz w:val="28"/>
          <w:szCs w:val="28"/>
        </w:rPr>
      </w:pPr>
      <w:r w:rsidRPr="000D78B5">
        <w:rPr>
          <w:b/>
          <w:sz w:val="28"/>
          <w:szCs w:val="28"/>
        </w:rPr>
        <w:t xml:space="preserve">Serious Fraud Office </w:t>
      </w:r>
      <w:r w:rsidRPr="000D78B5" w:rsidR="0031614A">
        <w:rPr>
          <w:b/>
          <w:sz w:val="28"/>
          <w:szCs w:val="28"/>
        </w:rPr>
        <w:t xml:space="preserve">Supplementary </w:t>
      </w:r>
      <w:r w:rsidRPr="000D78B5">
        <w:rPr>
          <w:b/>
          <w:sz w:val="28"/>
          <w:szCs w:val="28"/>
        </w:rPr>
        <w:t>Estimates Memorandum 20</w:t>
      </w:r>
      <w:r w:rsidR="00CC4F7E">
        <w:rPr>
          <w:b/>
          <w:sz w:val="28"/>
          <w:szCs w:val="28"/>
        </w:rPr>
        <w:t>2</w:t>
      </w:r>
      <w:r w:rsidR="000C0F5C">
        <w:rPr>
          <w:b/>
          <w:sz w:val="28"/>
          <w:szCs w:val="28"/>
        </w:rPr>
        <w:t>3</w:t>
      </w:r>
      <w:r w:rsidRPr="000D78B5">
        <w:rPr>
          <w:b/>
          <w:sz w:val="28"/>
          <w:szCs w:val="28"/>
        </w:rPr>
        <w:t>-2</w:t>
      </w:r>
      <w:r w:rsidR="000C0F5C">
        <w:rPr>
          <w:b/>
          <w:sz w:val="28"/>
          <w:szCs w:val="28"/>
        </w:rPr>
        <w:t>4</w:t>
      </w:r>
    </w:p>
    <w:p w:rsidR="00E85B2A" w:rsidRPr="000D78B5" w:rsidP="009656A3">
      <w:pPr>
        <w:pStyle w:val="Heading1"/>
        <w:spacing w:after="200"/>
        <w:ind w:left="431" w:hanging="431"/>
        <w:rPr>
          <w:b/>
          <w:sz w:val="28"/>
          <w:szCs w:val="28"/>
        </w:rPr>
      </w:pPr>
      <w:r w:rsidRPr="000D78B5">
        <w:rPr>
          <w:b/>
          <w:sz w:val="28"/>
          <w:szCs w:val="28"/>
        </w:rPr>
        <w:t>Overview</w:t>
      </w:r>
    </w:p>
    <w:p w:rsidR="00E85B2A" w:rsidRPr="00E85B2A" w:rsidP="00817052">
      <w:pPr>
        <w:pStyle w:val="Heading2"/>
        <w:spacing w:after="40"/>
        <w:ind w:left="578" w:hanging="578"/>
        <w:rPr>
          <w:sz w:val="28"/>
          <w:szCs w:val="28"/>
        </w:rPr>
      </w:pPr>
      <w:r w:rsidRPr="00E85B2A">
        <w:rPr>
          <w:sz w:val="28"/>
          <w:szCs w:val="28"/>
        </w:rPr>
        <w:t>Objectives</w:t>
      </w:r>
    </w:p>
    <w:p w:rsidR="00E85B2A" w:rsidRPr="00817052" w:rsidP="00E85B2A">
      <w:pPr>
        <w:rPr>
          <w:rFonts w:cstheme="minorHAnsi"/>
        </w:rPr>
      </w:pPr>
      <w:r w:rsidRPr="00817052">
        <w:rPr>
          <w:rFonts w:cstheme="minorHAnsi"/>
        </w:rPr>
        <w:t xml:space="preserve">The Serious Fraud Office (SFO) is a non-ministerial Government department under the superintendence of the Attorney General. </w:t>
      </w:r>
      <w:r w:rsidRPr="00831EAA" w:rsidR="00831EAA">
        <w:rPr>
          <w:rFonts w:cstheme="minorHAnsi"/>
        </w:rPr>
        <w:t>The Serious Fraud Office fights complex financial crime, delivers justice for victims and protects the UK’s reputation as a safe place to do business</w:t>
      </w:r>
      <w:r w:rsidR="00831EAA">
        <w:rPr>
          <w:rFonts w:cstheme="minorHAnsi"/>
        </w:rPr>
        <w:t>.</w:t>
      </w:r>
    </w:p>
    <w:p w:rsidR="00831EAA" w:rsidP="00E85B2A">
      <w:pPr>
        <w:rPr>
          <w:rFonts w:cstheme="minorHAnsi"/>
        </w:rPr>
      </w:pPr>
      <w:r>
        <w:rPr>
          <w:rFonts w:cstheme="minorHAnsi"/>
        </w:rPr>
        <w:t>Our Objectives:</w:t>
      </w:r>
      <w:r w:rsidRPr="00817052" w:rsidR="00E85B2A">
        <w:rPr>
          <w:rFonts w:cstheme="minorHAnsi"/>
        </w:rPr>
        <w:t xml:space="preserve"> </w:t>
      </w:r>
    </w:p>
    <w:p w:rsidR="00831EAA" w:rsidRPr="00831EAA" w:rsidP="00831EAA">
      <w:pPr>
        <w:pStyle w:val="ListParagraph"/>
        <w:numPr>
          <w:ilvl w:val="0"/>
          <w:numId w:val="12"/>
        </w:numPr>
        <w:rPr>
          <w:rFonts w:cstheme="minorHAnsi"/>
        </w:rPr>
      </w:pPr>
      <w:r w:rsidRPr="00831EAA">
        <w:rPr>
          <w:rFonts w:cstheme="minorHAnsi"/>
        </w:rPr>
        <w:t>To investigate and prosecute the most serious or complex cases of fraud, bribery and corruption.</w:t>
      </w:r>
    </w:p>
    <w:p w:rsidR="00831EAA" w:rsidRPr="00831EAA" w:rsidP="00831EAA">
      <w:pPr>
        <w:pStyle w:val="ListParagraph"/>
        <w:numPr>
          <w:ilvl w:val="0"/>
          <w:numId w:val="12"/>
        </w:numPr>
        <w:rPr>
          <w:rFonts w:cstheme="minorHAnsi"/>
        </w:rPr>
      </w:pPr>
      <w:r w:rsidRPr="00831EAA">
        <w:rPr>
          <w:rFonts w:cstheme="minorHAnsi"/>
        </w:rPr>
        <w:t>To uphold the rule of law, deliver justice for victims and recover the proceeds of financial crime.</w:t>
      </w:r>
    </w:p>
    <w:p w:rsidR="00831EAA" w:rsidRPr="00831EAA" w:rsidP="00831EAA">
      <w:pPr>
        <w:pStyle w:val="ListParagraph"/>
        <w:numPr>
          <w:ilvl w:val="0"/>
          <w:numId w:val="12"/>
        </w:numPr>
        <w:rPr>
          <w:rFonts w:cstheme="minorHAnsi"/>
        </w:rPr>
      </w:pPr>
      <w:r w:rsidRPr="00831EAA">
        <w:rPr>
          <w:rFonts w:cstheme="minorHAnsi"/>
        </w:rPr>
        <w:t>To deter criminals and require offending companies to reform in order to protect the UK’s economy and global reputation as a safe place to invest and do business.</w:t>
      </w:r>
    </w:p>
    <w:p w:rsidR="00831EAA" w:rsidRPr="00831EAA" w:rsidP="00831EAA">
      <w:pPr>
        <w:pStyle w:val="ListParagraph"/>
        <w:numPr>
          <w:ilvl w:val="0"/>
          <w:numId w:val="12"/>
        </w:numPr>
        <w:rPr>
          <w:rFonts w:cstheme="minorHAnsi"/>
        </w:rPr>
      </w:pPr>
      <w:r w:rsidRPr="00831EAA">
        <w:rPr>
          <w:rFonts w:cstheme="minorHAnsi"/>
        </w:rPr>
        <w:t>To collaborate with partners in the UK and overseas to ensure there is no safe haven for those who commit serious financial crime.</w:t>
      </w:r>
    </w:p>
    <w:p w:rsidR="00E85B2A" w:rsidRPr="0043215D" w:rsidP="00817052">
      <w:pPr>
        <w:pStyle w:val="Heading2"/>
        <w:spacing w:after="40"/>
        <w:ind w:left="578" w:hanging="578"/>
        <w:rPr>
          <w:sz w:val="28"/>
          <w:szCs w:val="28"/>
        </w:rPr>
      </w:pPr>
      <w:r w:rsidRPr="0043215D">
        <w:rPr>
          <w:sz w:val="28"/>
          <w:szCs w:val="28"/>
        </w:rPr>
        <w:t>Spending controls</w:t>
      </w:r>
    </w:p>
    <w:p w:rsidR="00E85B2A" w:rsidRPr="00817052" w:rsidP="00E85B2A">
      <w:pPr>
        <w:rPr>
          <w:rFonts w:cstheme="minorHAnsi"/>
        </w:rPr>
      </w:pPr>
      <w:r w:rsidRPr="00817052">
        <w:rPr>
          <w:rFonts w:cstheme="minorHAnsi"/>
        </w:rPr>
        <w:t xml:space="preserve">The SFO’s net spending is broken down into several different spending totals, for which Parliament’s approval </w:t>
      </w:r>
      <w:r w:rsidRPr="00817052">
        <w:rPr>
          <w:rFonts w:cstheme="minorHAnsi"/>
        </w:rPr>
        <w:t>is sought</w:t>
      </w:r>
      <w:r w:rsidRPr="00817052">
        <w:rPr>
          <w:rFonts w:cstheme="minorHAnsi"/>
        </w:rPr>
        <w:t xml:space="preserve">. </w:t>
      </w:r>
    </w:p>
    <w:p w:rsidR="00E85B2A" w:rsidRPr="00817052" w:rsidP="00E85B2A">
      <w:pPr>
        <w:rPr>
          <w:rFonts w:cstheme="minorHAnsi"/>
        </w:rPr>
      </w:pPr>
      <w:r w:rsidRPr="00817052">
        <w:rPr>
          <w:rFonts w:cstheme="minorHAnsi"/>
        </w:rPr>
        <w:t>The spending totals which Parliament votes are:</w:t>
      </w:r>
    </w:p>
    <w:p w:rsidR="00E85B2A" w:rsidRPr="00817052" w:rsidP="0043215D">
      <w:pPr>
        <w:pStyle w:val="ListParagraph"/>
        <w:numPr>
          <w:ilvl w:val="0"/>
          <w:numId w:val="8"/>
        </w:numPr>
        <w:rPr>
          <w:rFonts w:cstheme="minorHAnsi"/>
        </w:rPr>
      </w:pPr>
      <w:r w:rsidRPr="00817052">
        <w:rPr>
          <w:rFonts w:cstheme="minorHAnsi"/>
        </w:rPr>
        <w:t>Resource Departmental Expenditure Limit (Resource DEL) - a net limit comprising day-to-day running costs, less income from cost awards.</w:t>
      </w:r>
    </w:p>
    <w:p w:rsidR="00E85B2A" w:rsidRPr="00817052" w:rsidP="0043215D">
      <w:pPr>
        <w:pStyle w:val="ListParagraph"/>
        <w:numPr>
          <w:ilvl w:val="0"/>
          <w:numId w:val="8"/>
        </w:numPr>
        <w:rPr>
          <w:rFonts w:cstheme="minorHAnsi"/>
        </w:rPr>
      </w:pPr>
      <w:r w:rsidRPr="00817052">
        <w:rPr>
          <w:rFonts w:cstheme="minorHAnsi"/>
        </w:rPr>
        <w:t>Capital Departmental Expenditure Limit (Capital DEL) - investment in capital equipment such as servers, laptops and software</w:t>
      </w:r>
      <w:r w:rsidR="00604EB1">
        <w:rPr>
          <w:rFonts w:cstheme="minorHAnsi"/>
        </w:rPr>
        <w:t xml:space="preserve"> and leases</w:t>
      </w:r>
      <w:r w:rsidRPr="00817052">
        <w:rPr>
          <w:rFonts w:cstheme="minorHAnsi"/>
        </w:rPr>
        <w:t>.</w:t>
      </w:r>
    </w:p>
    <w:p w:rsidR="00E85B2A" w:rsidRPr="00817052" w:rsidP="0043215D">
      <w:pPr>
        <w:pStyle w:val="ListParagraph"/>
        <w:numPr>
          <w:ilvl w:val="0"/>
          <w:numId w:val="8"/>
        </w:numPr>
        <w:rPr>
          <w:rFonts w:cstheme="minorHAnsi"/>
        </w:rPr>
      </w:pPr>
      <w:r w:rsidRPr="00817052">
        <w:rPr>
          <w:rFonts w:cstheme="minorHAnsi"/>
        </w:rPr>
        <w:t xml:space="preserve">Annually Managed Expenditure Limit (AME DEL) - used to record </w:t>
      </w:r>
      <w:r w:rsidR="004549F8">
        <w:rPr>
          <w:rFonts w:cstheme="minorHAnsi"/>
        </w:rPr>
        <w:t xml:space="preserve">legal </w:t>
      </w:r>
      <w:r w:rsidRPr="00817052">
        <w:rPr>
          <w:rFonts w:cstheme="minorHAnsi"/>
        </w:rPr>
        <w:t xml:space="preserve">costs arising from events in year but expected to </w:t>
      </w:r>
      <w:r w:rsidRPr="00817052">
        <w:rPr>
          <w:rFonts w:cstheme="minorHAnsi"/>
        </w:rPr>
        <w:t>be paid</w:t>
      </w:r>
      <w:r w:rsidRPr="00817052">
        <w:rPr>
          <w:rFonts w:cstheme="minorHAnsi"/>
        </w:rPr>
        <w:t xml:space="preserve"> in future financial years. </w:t>
      </w:r>
    </w:p>
    <w:p w:rsidR="00E85B2A" w:rsidP="0043215D">
      <w:pPr>
        <w:rPr>
          <w:rFonts w:cstheme="minorHAnsi"/>
        </w:rPr>
      </w:pPr>
      <w:r w:rsidRPr="00817052">
        <w:rPr>
          <w:rFonts w:cstheme="minorHAnsi"/>
        </w:rPr>
        <w:t xml:space="preserve">In addition, Parliament votes a net cash requirement to cover the elements of the above </w:t>
      </w:r>
      <w:r w:rsidRPr="00817052">
        <w:rPr>
          <w:rFonts w:cstheme="minorHAnsi"/>
        </w:rPr>
        <w:t>budgets which</w:t>
      </w:r>
      <w:r w:rsidRPr="00817052">
        <w:rPr>
          <w:rFonts w:cstheme="minorHAnsi"/>
        </w:rPr>
        <w:t xml:space="preserve"> require the SFO to pay out cash in year.</w:t>
      </w:r>
    </w:p>
    <w:p w:rsidR="00ED33F0" w:rsidRPr="0043215D" w:rsidP="00817052">
      <w:pPr>
        <w:pStyle w:val="Heading2"/>
        <w:spacing w:after="40"/>
        <w:ind w:left="578" w:hanging="578"/>
        <w:rPr>
          <w:sz w:val="28"/>
          <w:szCs w:val="28"/>
        </w:rPr>
      </w:pPr>
      <w:r w:rsidRPr="0043215D">
        <w:rPr>
          <w:sz w:val="28"/>
          <w:szCs w:val="28"/>
        </w:rPr>
        <w:t>Comparison of net spending totals sought</w:t>
      </w:r>
    </w:p>
    <w:p w:rsidR="00E85B2A" w:rsidRPr="00817052" w:rsidP="00E85B2A">
      <w:pPr>
        <w:rPr>
          <w:rFonts w:cstheme="minorHAnsi"/>
        </w:rPr>
      </w:pPr>
      <w:r w:rsidRPr="00817052">
        <w:rPr>
          <w:rFonts w:cstheme="minorHAnsi"/>
        </w:rPr>
        <w:t>The table below shows how the net spending totals sought for the SFO compares with last year:</w:t>
      </w:r>
    </w:p>
    <w:tbl>
      <w:tblPr>
        <w:tblW w:w="8587" w:type="dxa"/>
        <w:tblLook w:val="04A0"/>
      </w:tblPr>
      <w:tblGrid>
        <w:gridCol w:w="1521"/>
        <w:gridCol w:w="1414"/>
        <w:gridCol w:w="1413"/>
        <w:gridCol w:w="1413"/>
        <w:gridCol w:w="1413"/>
        <w:gridCol w:w="1413"/>
      </w:tblGrid>
      <w:tr w:rsidTr="00934F69">
        <w:tblPrEx>
          <w:tblW w:w="8587" w:type="dxa"/>
          <w:tblLook w:val="04A0"/>
        </w:tblPrEx>
        <w:trPr>
          <w:trHeight w:val="543"/>
        </w:trPr>
        <w:tc>
          <w:tcPr>
            <w:tcW w:w="293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34F69" w:rsidRPr="00934F69" w:rsidP="00934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Net Spending total</w:t>
            </w:r>
          </w:p>
        </w:tc>
        <w:tc>
          <w:tcPr>
            <w:tcW w:w="282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34F69" w:rsidRPr="00934F69" w:rsidP="00934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Compared to original budget this year</w:t>
            </w:r>
          </w:p>
        </w:tc>
        <w:tc>
          <w:tcPr>
            <w:tcW w:w="28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34F69" w:rsidRPr="00934F69" w:rsidP="00934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 xml:space="preserve">Compared to final budget last year (Supplementary Estimate 2022-23) </w:t>
            </w:r>
          </w:p>
        </w:tc>
      </w:tr>
      <w:tr w:rsidTr="00934F69">
        <w:tblPrEx>
          <w:tblW w:w="8587" w:type="dxa"/>
          <w:tblLook w:val="04A0"/>
        </w:tblPrEx>
        <w:trPr>
          <w:trHeight w:val="73"/>
        </w:trPr>
        <w:tc>
          <w:tcPr>
            <w:tcW w:w="29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34F69" w:rsidRPr="00934F69" w:rsidP="00934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Amounts sought this year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34F69" w:rsidRPr="00934F69" w:rsidP="00934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(Main Estimate 2023-24)</w:t>
            </w:r>
          </w:p>
        </w:tc>
        <w:tc>
          <w:tcPr>
            <w:tcW w:w="28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4F69" w:rsidRPr="00934F69" w:rsidP="00934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</w:tr>
      <w:tr w:rsidTr="00934F69">
        <w:tblPrEx>
          <w:tblW w:w="8587" w:type="dxa"/>
          <w:tblLook w:val="04A0"/>
        </w:tblPrEx>
        <w:trPr>
          <w:trHeight w:val="81"/>
        </w:trPr>
        <w:tc>
          <w:tcPr>
            <w:tcW w:w="29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34F69" w:rsidRPr="00934F69" w:rsidP="00934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Supplementary Estimate 2023-24)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34F69" w:rsidRPr="00934F69" w:rsidP="00934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4F69" w:rsidRPr="00934F69" w:rsidP="00934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</w:tr>
      <w:tr w:rsidTr="00934F69">
        <w:tblPrEx>
          <w:tblW w:w="8587" w:type="dxa"/>
          <w:tblLook w:val="04A0"/>
        </w:tblPrEx>
        <w:trPr>
          <w:trHeight w:val="281"/>
        </w:trPr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£0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£0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£0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en-GB"/>
              </w:rPr>
              <w:t>%</w:t>
            </w:r>
          </w:p>
        </w:tc>
      </w:tr>
      <w:tr w:rsidTr="00934F69">
        <w:tblPrEx>
          <w:tblW w:w="8587" w:type="dxa"/>
          <w:tblLook w:val="04A0"/>
        </w:tblPrEx>
        <w:trPr>
          <w:trHeight w:val="281"/>
        </w:trPr>
        <w:tc>
          <w:tcPr>
            <w:tcW w:w="1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Resource DEL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92,522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58,269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59%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78,565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18%</w:t>
            </w:r>
          </w:p>
        </w:tc>
      </w:tr>
      <w:tr w:rsidTr="00934F69">
        <w:tblPrEx>
          <w:tblW w:w="8587" w:type="dxa"/>
          <w:tblLook w:val="04A0"/>
        </w:tblPrEx>
        <w:trPr>
          <w:trHeight w:val="281"/>
        </w:trPr>
        <w:tc>
          <w:tcPr>
            <w:tcW w:w="1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Capital DEL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2,900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2,900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0%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5,502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-47%</w:t>
            </w:r>
          </w:p>
        </w:tc>
      </w:tr>
      <w:tr w:rsidTr="00934F69">
        <w:tblPrEx>
          <w:tblW w:w="8587" w:type="dxa"/>
          <w:tblLook w:val="04A0"/>
        </w:tblPrEx>
        <w:trPr>
          <w:trHeight w:val="281"/>
        </w:trPr>
        <w:tc>
          <w:tcPr>
            <w:tcW w:w="1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AME DEL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250,000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4,500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4F69" w:rsidRPr="00934F69" w:rsidP="00934F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</w:pP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,</w:t>
            </w:r>
            <w:r w:rsidRPr="00934F69">
              <w:rPr>
                <w:rFonts w:ascii="Arial" w:eastAsia="Times New Roman" w:hAnsi="Arial" w:cs="Arial"/>
                <w:color w:val="333333"/>
                <w:sz w:val="20"/>
                <w:szCs w:val="20"/>
                <w:lang w:eastAsia="en-GB"/>
              </w:rPr>
              <w:t>456%</w:t>
            </w:r>
          </w:p>
        </w:tc>
      </w:tr>
    </w:tbl>
    <w:p w:rsidR="00E85B2A" w:rsidP="00E85B2A"/>
    <w:p w:rsidR="00BF6607" w:rsidP="008C2E3E">
      <w:pPr>
        <w:pStyle w:val="Heading2"/>
        <w:rPr>
          <w:sz w:val="28"/>
          <w:szCs w:val="28"/>
        </w:rPr>
      </w:pPr>
      <w:r w:rsidRPr="003371D8">
        <w:rPr>
          <w:sz w:val="28"/>
          <w:szCs w:val="28"/>
        </w:rPr>
        <w:t xml:space="preserve">Key drivers of spending changes since </w:t>
      </w:r>
      <w:r w:rsidRPr="003371D8" w:rsidR="008C2E3E">
        <w:rPr>
          <w:sz w:val="28"/>
          <w:szCs w:val="28"/>
        </w:rPr>
        <w:t>original budget this year</w:t>
      </w:r>
    </w:p>
    <w:p w:rsidR="00C546C4" w:rsidP="003371D8">
      <w:r>
        <w:t xml:space="preserve">The net </w:t>
      </w:r>
      <w:r w:rsidR="00C94723">
        <w:t>R</w:t>
      </w:r>
      <w:r w:rsidR="004E1E7F">
        <w:t>esource DEL has increased by £34.25</w:t>
      </w:r>
      <w:r>
        <w:t>m since the Main Estimate was agreed, this is reflective of the particular circumstances of the SFO whereby access to the Reserve is available for the add</w:t>
      </w:r>
      <w:r w:rsidR="008F152E">
        <w:t>it</w:t>
      </w:r>
      <w:r w:rsidR="00C94723">
        <w:t xml:space="preserve">ional cost of cases above </w:t>
      </w:r>
      <w:r w:rsidR="008F152E">
        <w:t>4</w:t>
      </w:r>
      <w:r>
        <w:t>% of non-</w:t>
      </w:r>
      <w:r>
        <w:t>ringfenced</w:t>
      </w:r>
      <w:r>
        <w:t xml:space="preserve"> </w:t>
      </w:r>
      <w:r w:rsidR="00C94723">
        <w:t xml:space="preserve">Resource </w:t>
      </w:r>
      <w:r>
        <w:t>DEL. Of the £</w:t>
      </w:r>
      <w:r w:rsidR="004E1E7F">
        <w:t>34.25m increase, £22.25</w:t>
      </w:r>
      <w:r>
        <w:t xml:space="preserve">m is attributed to </w:t>
      </w:r>
      <w:r>
        <w:t>cases which</w:t>
      </w:r>
      <w:r>
        <w:t xml:space="preserve"> will cost above </w:t>
      </w:r>
      <w:r w:rsidRPr="008F152E" w:rsidR="008F152E">
        <w:t xml:space="preserve">the 4% threshold </w:t>
      </w:r>
      <w:r>
        <w:t>for the year</w:t>
      </w:r>
      <w:r w:rsidR="008F152E">
        <w:t xml:space="preserve"> </w:t>
      </w:r>
      <w:r w:rsidRPr="008F152E" w:rsidR="008F152E">
        <w:t>and £</w:t>
      </w:r>
      <w:r w:rsidR="004E1E7F">
        <w:t>12</w:t>
      </w:r>
      <w:r w:rsidRPr="008F152E" w:rsidR="008F152E">
        <w:t>.</w:t>
      </w:r>
      <w:r w:rsidR="004E1E7F">
        <w:t>0m to cover a payment on account for an ongoing case.</w:t>
      </w:r>
    </w:p>
    <w:p w:rsidR="003371D8" w:rsidP="003371D8">
      <w:r>
        <w:t xml:space="preserve">Capital DEL </w:t>
      </w:r>
      <w:r w:rsidR="004E1E7F">
        <w:t>is in line with the Main Estimate, but has decreased by £2.6</w:t>
      </w:r>
      <w:r w:rsidR="00A33A1D">
        <w:t xml:space="preserve">m since </w:t>
      </w:r>
      <w:r w:rsidR="004E1E7F">
        <w:t xml:space="preserve">against last </w:t>
      </w:r>
      <w:r w:rsidR="004E1E7F">
        <w:t>years</w:t>
      </w:r>
      <w:r w:rsidR="004E1E7F">
        <w:t xml:space="preserve"> Supplementary estimate</w:t>
      </w:r>
      <w:r w:rsidR="00A33A1D">
        <w:t xml:space="preserve">, this is </w:t>
      </w:r>
      <w:r w:rsidR="004E1E7F">
        <w:t xml:space="preserve">due to the </w:t>
      </w:r>
      <w:r w:rsidR="00A33A1D">
        <w:t>accommodation lease capitalised under IFRS16</w:t>
      </w:r>
      <w:r w:rsidR="004E1E7F">
        <w:t xml:space="preserve"> in 2022-23</w:t>
      </w:r>
      <w:r>
        <w:t>.</w:t>
      </w:r>
      <w:r w:rsidR="00A33A1D">
        <w:t xml:space="preserve">  </w:t>
      </w:r>
      <w:r>
        <w:t xml:space="preserve">The </w:t>
      </w:r>
      <w:r w:rsidR="00C546C4">
        <w:t xml:space="preserve">core capital budget for this year of </w:t>
      </w:r>
      <w:r>
        <w:t>£</w:t>
      </w:r>
      <w:r w:rsidR="004E1E7F">
        <w:t>2.9</w:t>
      </w:r>
      <w:r w:rsidR="00CA18FA">
        <w:t xml:space="preserve">m </w:t>
      </w:r>
      <w:r w:rsidR="004E1E7F">
        <w:t>(£3.1m in 2022-23</w:t>
      </w:r>
      <w:r w:rsidR="00C546C4">
        <w:t xml:space="preserve">), </w:t>
      </w:r>
      <w:r w:rsidR="00CA18FA">
        <w:t xml:space="preserve">is </w:t>
      </w:r>
      <w:r w:rsidRPr="00CA18FA" w:rsidR="00CA18FA">
        <w:t>to enable the SFO to continue to invest in essential IT and digital infrastructure to respond to the increasing volume and complexity of case data and the chall</w:t>
      </w:r>
      <w:r w:rsidR="00C546C4">
        <w:t>enges this poses for disclosure</w:t>
      </w:r>
      <w:r w:rsidR="00A33A1D">
        <w:t>.</w:t>
      </w:r>
    </w:p>
    <w:p w:rsidR="003371D8" w:rsidRPr="003371D8" w:rsidP="003371D8">
      <w:r>
        <w:t xml:space="preserve">AME DEL is </w:t>
      </w:r>
      <w:r w:rsidR="004E1E7F">
        <w:t xml:space="preserve">£250m </w:t>
      </w:r>
      <w:r>
        <w:t xml:space="preserve">higher than agreed at Mains this year. AME at the SFO </w:t>
      </w:r>
      <w:r>
        <w:t>is used</w:t>
      </w:r>
      <w:r>
        <w:t xml:space="preserve"> exclusively for the recording of new</w:t>
      </w:r>
      <w:r w:rsidR="00C94723">
        <w:t>,</w:t>
      </w:r>
      <w:r>
        <w:t xml:space="preserve"> or increases in existing</w:t>
      </w:r>
      <w:r w:rsidR="00C94723">
        <w:t>,</w:t>
      </w:r>
      <w:r>
        <w:t xml:space="preserve"> </w:t>
      </w:r>
      <w:r w:rsidR="00CA18FA">
        <w:t xml:space="preserve">legal </w:t>
      </w:r>
      <w:r>
        <w:t>provisions at the end of the financial year. This is not a predictable value as there can be significant movements due to in year events not anticipated during the Spending Review.</w:t>
      </w:r>
    </w:p>
    <w:p w:rsidR="00CF2687" w:rsidRPr="0043215D" w:rsidP="00581991">
      <w:pPr>
        <w:pStyle w:val="Heading2"/>
        <w:rPr>
          <w:sz w:val="28"/>
          <w:szCs w:val="28"/>
        </w:rPr>
      </w:pPr>
      <w:r w:rsidRPr="0043215D">
        <w:rPr>
          <w:sz w:val="28"/>
          <w:szCs w:val="28"/>
        </w:rPr>
        <w:t>Spending and income trends</w:t>
      </w:r>
    </w:p>
    <w:p w:rsidR="003C0F68" w:rsidRPr="00817052" w:rsidP="00581991">
      <w:pPr>
        <w:rPr>
          <w:rFonts w:cstheme="minorHAnsi"/>
        </w:rPr>
      </w:pPr>
      <w:r w:rsidRPr="00817052">
        <w:rPr>
          <w:rFonts w:cstheme="minorHAnsi"/>
        </w:rPr>
        <w:t>The chart below show</w:t>
      </w:r>
      <w:r w:rsidR="003D0913">
        <w:rPr>
          <w:rFonts w:cstheme="minorHAnsi"/>
        </w:rPr>
        <w:t>s</w:t>
      </w:r>
      <w:r w:rsidRPr="00817052">
        <w:rPr>
          <w:rFonts w:cstheme="minorHAnsi"/>
        </w:rPr>
        <w:t xml:space="preserve"> </w:t>
      </w:r>
      <w:r w:rsidR="003D0913">
        <w:rPr>
          <w:rFonts w:cstheme="minorHAnsi"/>
        </w:rPr>
        <w:t xml:space="preserve">actual </w:t>
      </w:r>
      <w:r w:rsidRPr="00817052">
        <w:rPr>
          <w:rFonts w:cstheme="minorHAnsi"/>
        </w:rPr>
        <w:t>overall resource DEL funding</w:t>
      </w:r>
      <w:r w:rsidRPr="00817052" w:rsidR="0043215D">
        <w:rPr>
          <w:rFonts w:cstheme="minorHAnsi"/>
        </w:rPr>
        <w:t xml:space="preserve">, </w:t>
      </w:r>
      <w:r>
        <w:rPr>
          <w:rFonts w:cstheme="minorHAnsi"/>
        </w:rPr>
        <w:t>supplementary request</w:t>
      </w:r>
      <w:r w:rsidR="004F42AE">
        <w:rPr>
          <w:rFonts w:cstheme="minorHAnsi"/>
        </w:rPr>
        <w:t xml:space="preserve"> and income for </w:t>
      </w:r>
      <w:r w:rsidRPr="00817052" w:rsidR="004F42AE">
        <w:rPr>
          <w:rFonts w:cstheme="minorHAnsi"/>
        </w:rPr>
        <w:t>the last five years</w:t>
      </w:r>
      <w:r w:rsidRPr="00817052">
        <w:rPr>
          <w:rFonts w:cstheme="minorHAnsi"/>
        </w:rPr>
        <w:t>.</w:t>
      </w:r>
    </w:p>
    <w:p w:rsidR="00992714" w:rsidP="00992714">
      <w:r>
        <w:rPr>
          <w:noProof/>
          <w:lang w:eastAsia="en-GB"/>
        </w:rPr>
        <w:drawing>
          <wp:inline distT="0" distB="0" distL="0" distR="0">
            <wp:extent cx="4560780" cy="2602954"/>
            <wp:effectExtent l="0" t="0" r="11430" b="698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D09AC" w:rsidRPr="000D78B5" w:rsidP="009656A3">
      <w:pPr>
        <w:pStyle w:val="Heading1"/>
        <w:spacing w:after="200"/>
        <w:ind w:left="431" w:hanging="431"/>
        <w:rPr>
          <w:b/>
          <w:sz w:val="28"/>
          <w:szCs w:val="28"/>
        </w:rPr>
      </w:pPr>
      <w:r w:rsidRPr="000D78B5">
        <w:rPr>
          <w:b/>
          <w:sz w:val="28"/>
          <w:szCs w:val="28"/>
        </w:rPr>
        <w:t>Spending detail</w:t>
      </w:r>
    </w:p>
    <w:p w:rsidR="000D09AC" w:rsidRPr="00817052" w:rsidP="00817052">
      <w:pPr>
        <w:pStyle w:val="Heading2"/>
        <w:spacing w:after="40"/>
        <w:ind w:left="578" w:hanging="578"/>
        <w:rPr>
          <w:rFonts w:eastAsia="Times New Roman"/>
          <w:sz w:val="28"/>
          <w:szCs w:val="28"/>
          <w:lang w:eastAsia="en-GB"/>
        </w:rPr>
      </w:pPr>
      <w:r w:rsidRPr="00817052">
        <w:rPr>
          <w:rFonts w:eastAsia="Times New Roman"/>
          <w:sz w:val="28"/>
          <w:szCs w:val="28"/>
          <w:lang w:eastAsia="en-GB"/>
        </w:rPr>
        <w:t>Explanations of changes in spending</w:t>
      </w:r>
    </w:p>
    <w:p w:rsidR="000D54CF" w:rsidRPr="00817052" w:rsidP="00992714">
      <w:pPr>
        <w:rPr>
          <w:rFonts w:cstheme="minorHAnsi"/>
        </w:rPr>
      </w:pPr>
      <w:r>
        <w:rPr>
          <w:rFonts w:cstheme="minorHAnsi"/>
        </w:rPr>
        <w:t>Resource DEL c</w:t>
      </w:r>
      <w:r w:rsidRPr="00817052" w:rsidR="003D76E4">
        <w:rPr>
          <w:rFonts w:cstheme="minorHAnsi"/>
        </w:rPr>
        <w:t xml:space="preserve">osts </w:t>
      </w:r>
      <w:r w:rsidRPr="00817052" w:rsidR="008B4CC1">
        <w:rPr>
          <w:rFonts w:cstheme="minorHAnsi"/>
        </w:rPr>
        <w:t>are expected to be broadly in line with last year</w:t>
      </w:r>
      <w:r w:rsidR="00604EB1">
        <w:rPr>
          <w:rFonts w:cstheme="minorHAnsi"/>
        </w:rPr>
        <w:t xml:space="preserve"> with the exception of £12m allocated for payments on account on an ongoing legal case</w:t>
      </w:r>
      <w:r w:rsidRPr="00817052" w:rsidR="008B4CC1">
        <w:rPr>
          <w:rFonts w:cstheme="minorHAnsi"/>
        </w:rPr>
        <w:t xml:space="preserve">. </w:t>
      </w:r>
      <w:r w:rsidR="00604EB1">
        <w:rPr>
          <w:rFonts w:cstheme="minorHAnsi"/>
        </w:rPr>
        <w:t xml:space="preserve">Capital DEL costs </w:t>
      </w:r>
      <w:r w:rsidR="00604EB1">
        <w:rPr>
          <w:rFonts w:cstheme="minorHAnsi"/>
        </w:rPr>
        <w:t>are expected</w:t>
      </w:r>
      <w:r w:rsidR="00604EB1">
        <w:rPr>
          <w:rFonts w:cstheme="minorHAnsi"/>
        </w:rPr>
        <w:t xml:space="preserve"> to reduce in comparison to last year as 2022-23 included to capitalisation of lease costs under IFRS16.</w:t>
      </w:r>
    </w:p>
    <w:p w:rsidR="007D340E" w:rsidRPr="00817052" w:rsidP="00817052">
      <w:pPr>
        <w:pStyle w:val="Heading2"/>
        <w:spacing w:after="40"/>
        <w:ind w:left="578" w:hanging="578"/>
        <w:rPr>
          <w:rFonts w:eastAsia="Times New Roman"/>
          <w:sz w:val="28"/>
          <w:szCs w:val="28"/>
          <w:lang w:eastAsia="en-GB"/>
        </w:rPr>
      </w:pPr>
      <w:r w:rsidRPr="00817052">
        <w:rPr>
          <w:rFonts w:eastAsia="Times New Roman"/>
          <w:sz w:val="28"/>
          <w:szCs w:val="28"/>
          <w:lang w:eastAsia="en-GB"/>
        </w:rPr>
        <w:t>Ring fenced budgets</w:t>
      </w:r>
    </w:p>
    <w:p w:rsidR="002F7A4A" w:rsidP="002F7A4A">
      <w:pPr>
        <w:rPr>
          <w:rFonts w:cstheme="minorHAnsi"/>
        </w:rPr>
      </w:pPr>
      <w:r w:rsidRPr="00817052">
        <w:rPr>
          <w:rFonts w:cstheme="minorHAnsi"/>
        </w:rPr>
        <w:t xml:space="preserve">Within the totals, the following elements are ring fenced </w:t>
      </w:r>
      <w:r w:rsidRPr="00817052">
        <w:rPr>
          <w:rFonts w:cstheme="minorHAnsi"/>
        </w:rPr>
        <w:t>ie</w:t>
      </w:r>
      <w:r w:rsidRPr="00817052">
        <w:rPr>
          <w:rFonts w:cstheme="minorHAnsi"/>
        </w:rPr>
        <w:t xml:space="preserve"> savings in these budgets may not be used to fund pre</w:t>
      </w:r>
      <w:r w:rsidRPr="00817052" w:rsidR="007D340E">
        <w:rPr>
          <w:rFonts w:cstheme="minorHAnsi"/>
        </w:rPr>
        <w:t>ssures on other budgets.</w:t>
      </w:r>
    </w:p>
    <w:p w:rsidR="000D78B5" w:rsidRPr="00817052" w:rsidP="002F7A4A">
      <w:pPr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5"/>
        <w:gridCol w:w="1205"/>
        <w:gridCol w:w="1746"/>
        <w:gridCol w:w="1656"/>
        <w:gridCol w:w="1383"/>
        <w:gridCol w:w="1401"/>
      </w:tblGrid>
      <w:tr w:rsidTr="009656A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830" w:type="dxa"/>
            <w:gridSpan w:val="2"/>
            <w:vMerge w:val="restart"/>
          </w:tcPr>
          <w:p w:rsidR="0008075E" w:rsidP="0008075E">
            <w:pPr>
              <w:spacing w:after="0" w:line="240" w:lineRule="auto"/>
              <w:rPr>
                <w:rFonts w:cstheme="minorHAnsi"/>
                <w:b/>
                <w:color w:val="333333"/>
              </w:rPr>
            </w:pPr>
            <w:r w:rsidRPr="0008075E">
              <w:rPr>
                <w:rFonts w:cstheme="minorHAnsi"/>
                <w:b/>
                <w:color w:val="333333"/>
              </w:rPr>
              <w:t>Ring fenced budgets</w:t>
            </w:r>
          </w:p>
          <w:p w:rsidR="0008075E" w:rsidP="0008075E">
            <w:pPr>
              <w:spacing w:after="0" w:line="240" w:lineRule="auto"/>
              <w:rPr>
                <w:rFonts w:cstheme="minorHAnsi"/>
                <w:b/>
                <w:color w:val="333333"/>
              </w:rPr>
            </w:pPr>
          </w:p>
          <w:p w:rsidR="007D340E" w:rsidRPr="009656A3" w:rsidP="00C37AEB">
            <w:pPr>
              <w:spacing w:after="0" w:line="240" w:lineRule="auto"/>
              <w:rPr>
                <w:rFonts w:cstheme="minorHAnsi"/>
                <w:b/>
                <w:color w:val="333333"/>
              </w:rPr>
            </w:pPr>
            <w:r>
              <w:rPr>
                <w:rFonts w:cstheme="minorHAnsi"/>
                <w:b/>
                <w:color w:val="333333"/>
              </w:rPr>
              <w:t>(Supplementary Estimate 202</w:t>
            </w:r>
            <w:r w:rsidR="00C37AEB">
              <w:rPr>
                <w:rFonts w:cstheme="minorHAnsi"/>
                <w:b/>
                <w:color w:val="333333"/>
              </w:rPr>
              <w:t>3</w:t>
            </w:r>
            <w:r w:rsidR="0008075E">
              <w:rPr>
                <w:rFonts w:cstheme="minorHAnsi"/>
                <w:b/>
                <w:color w:val="333333"/>
              </w:rPr>
              <w:t>-2</w:t>
            </w:r>
            <w:r w:rsidR="00C37AEB">
              <w:rPr>
                <w:rFonts w:cstheme="minorHAnsi"/>
                <w:b/>
                <w:color w:val="333333"/>
              </w:rPr>
              <w:t>4</w:t>
            </w:r>
            <w:r w:rsidRPr="0008075E" w:rsidR="0008075E">
              <w:rPr>
                <w:rFonts w:cstheme="minorHAnsi"/>
                <w:b/>
                <w:color w:val="333333"/>
              </w:rPr>
              <w:t>)</w:t>
            </w:r>
            <w:r w:rsidR="00412CF5">
              <w:rPr>
                <w:rFonts w:cstheme="minorHAnsi"/>
                <w:b/>
                <w:color w:val="333333"/>
              </w:rPr>
              <w:t xml:space="preserve"> £000</w:t>
            </w:r>
          </w:p>
        </w:tc>
        <w:tc>
          <w:tcPr>
            <w:tcW w:w="3402" w:type="dxa"/>
            <w:gridSpan w:val="2"/>
          </w:tcPr>
          <w:p w:rsidR="007D340E" w:rsidP="007D340E">
            <w:pPr>
              <w:spacing w:after="0" w:line="240" w:lineRule="auto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9656A3">
              <w:rPr>
                <w:rFonts w:cstheme="minorHAnsi"/>
                <w:b/>
                <w:color w:val="333333"/>
              </w:rPr>
              <w:t xml:space="preserve">Compared to </w:t>
            </w:r>
            <w:r w:rsidRPr="00473B2B" w:rsidR="0008075E">
              <w:rPr>
                <w:rFonts w:ascii="Arial" w:hAnsi="Arial" w:cs="Arial"/>
                <w:b/>
                <w:color w:val="333333"/>
                <w:sz w:val="20"/>
                <w:szCs w:val="20"/>
              </w:rPr>
              <w:t>original budget</w:t>
            </w:r>
          </w:p>
          <w:p w:rsidR="0008075E" w:rsidRPr="009656A3" w:rsidP="007D340E">
            <w:pPr>
              <w:spacing w:after="0" w:line="240" w:lineRule="auto"/>
              <w:rPr>
                <w:rFonts w:cstheme="minorHAnsi"/>
                <w:b/>
                <w:color w:val="333333"/>
              </w:rPr>
            </w:pPr>
          </w:p>
          <w:p w:rsidR="007D340E" w:rsidRPr="009656A3" w:rsidP="00CB07E1">
            <w:pPr>
              <w:spacing w:after="0" w:line="240" w:lineRule="auto"/>
              <w:rPr>
                <w:rFonts w:cstheme="minorHAnsi"/>
                <w:b/>
                <w:color w:val="333333"/>
              </w:rPr>
            </w:pPr>
            <w:r w:rsidRPr="009656A3">
              <w:rPr>
                <w:rFonts w:cstheme="minorHAnsi"/>
                <w:b/>
                <w:color w:val="333333"/>
              </w:rPr>
              <w:t>(</w:t>
            </w:r>
            <w:r w:rsidR="0008075E">
              <w:rPr>
                <w:rFonts w:cstheme="minorHAnsi"/>
                <w:b/>
                <w:color w:val="333333"/>
              </w:rPr>
              <w:t>Main</w:t>
            </w:r>
            <w:r w:rsidRPr="009656A3">
              <w:rPr>
                <w:rFonts w:cstheme="minorHAnsi"/>
                <w:b/>
                <w:color w:val="333333"/>
              </w:rPr>
              <w:t xml:space="preserve"> Estimate 20</w:t>
            </w:r>
            <w:r w:rsidR="004F42AE">
              <w:rPr>
                <w:rFonts w:cstheme="minorHAnsi"/>
                <w:b/>
                <w:color w:val="333333"/>
              </w:rPr>
              <w:t>2</w:t>
            </w:r>
            <w:r w:rsidR="00C37AEB">
              <w:rPr>
                <w:rFonts w:cstheme="minorHAnsi"/>
                <w:b/>
                <w:color w:val="333333"/>
              </w:rPr>
              <w:t>3</w:t>
            </w:r>
            <w:r w:rsidRPr="009656A3">
              <w:rPr>
                <w:rFonts w:cstheme="minorHAnsi"/>
                <w:b/>
                <w:color w:val="333333"/>
              </w:rPr>
              <w:t>-</w:t>
            </w:r>
            <w:r w:rsidR="0008075E">
              <w:rPr>
                <w:rFonts w:cstheme="minorHAnsi"/>
                <w:b/>
                <w:color w:val="333333"/>
              </w:rPr>
              <w:t>2</w:t>
            </w:r>
            <w:r w:rsidR="00C37AEB">
              <w:rPr>
                <w:rFonts w:cstheme="minorHAnsi"/>
                <w:b/>
                <w:color w:val="333333"/>
              </w:rPr>
              <w:t>4</w:t>
            </w:r>
            <w:r w:rsidRPr="009656A3">
              <w:rPr>
                <w:rFonts w:cstheme="minorHAnsi"/>
                <w:b/>
                <w:color w:val="333333"/>
              </w:rPr>
              <w:t>)</w:t>
            </w:r>
          </w:p>
        </w:tc>
        <w:tc>
          <w:tcPr>
            <w:tcW w:w="2784" w:type="dxa"/>
            <w:gridSpan w:val="2"/>
          </w:tcPr>
          <w:p w:rsidR="0008075E" w:rsidP="0008075E">
            <w:pPr>
              <w:spacing w:after="0" w:line="240" w:lineRule="auto"/>
              <w:rPr>
                <w:rFonts w:cstheme="minorHAnsi"/>
                <w:b/>
                <w:color w:val="333333"/>
              </w:rPr>
            </w:pPr>
            <w:r w:rsidRPr="009656A3">
              <w:rPr>
                <w:rFonts w:cstheme="minorHAnsi"/>
                <w:b/>
                <w:color w:val="333333"/>
              </w:rPr>
              <w:t xml:space="preserve">Compared to </w:t>
            </w:r>
            <w:r w:rsidRPr="0008075E">
              <w:rPr>
                <w:rFonts w:cstheme="minorHAnsi"/>
                <w:b/>
                <w:color w:val="333333"/>
              </w:rPr>
              <w:t>final budget last year</w:t>
            </w:r>
          </w:p>
          <w:p w:rsidR="007D340E" w:rsidRPr="009656A3" w:rsidP="00CB07E1">
            <w:pPr>
              <w:spacing w:after="0" w:line="240" w:lineRule="auto"/>
              <w:rPr>
                <w:rFonts w:cstheme="minorHAnsi"/>
                <w:b/>
                <w:color w:val="333333"/>
              </w:rPr>
            </w:pPr>
            <w:r w:rsidRPr="009656A3">
              <w:rPr>
                <w:rFonts w:cstheme="minorHAnsi"/>
                <w:b/>
                <w:color w:val="333333"/>
              </w:rPr>
              <w:t>(</w:t>
            </w:r>
            <w:r w:rsidRPr="0008075E" w:rsidR="0008075E">
              <w:rPr>
                <w:rFonts w:cstheme="minorHAnsi"/>
                <w:b/>
                <w:color w:val="333333"/>
              </w:rPr>
              <w:t xml:space="preserve">Supplementary Estimate </w:t>
            </w:r>
            <w:r w:rsidRPr="009656A3">
              <w:rPr>
                <w:rFonts w:cstheme="minorHAnsi"/>
                <w:b/>
                <w:color w:val="333333"/>
              </w:rPr>
              <w:t>20</w:t>
            </w:r>
            <w:r w:rsidR="004F42AE">
              <w:rPr>
                <w:rFonts w:cstheme="minorHAnsi"/>
                <w:b/>
                <w:color w:val="333333"/>
              </w:rPr>
              <w:t>2</w:t>
            </w:r>
            <w:r w:rsidR="00C37AEB">
              <w:rPr>
                <w:rFonts w:cstheme="minorHAnsi"/>
                <w:b/>
                <w:color w:val="333333"/>
              </w:rPr>
              <w:t>2</w:t>
            </w:r>
            <w:r w:rsidRPr="009656A3">
              <w:rPr>
                <w:rFonts w:cstheme="minorHAnsi"/>
                <w:b/>
                <w:color w:val="333333"/>
              </w:rPr>
              <w:t>-</w:t>
            </w:r>
            <w:r w:rsidR="004F42AE">
              <w:rPr>
                <w:rFonts w:cstheme="minorHAnsi"/>
                <w:b/>
                <w:color w:val="333333"/>
              </w:rPr>
              <w:t>2</w:t>
            </w:r>
            <w:r w:rsidR="00C37AEB">
              <w:rPr>
                <w:rFonts w:cstheme="minorHAnsi"/>
                <w:b/>
                <w:color w:val="333333"/>
              </w:rPr>
              <w:t>3</w:t>
            </w:r>
            <w:r w:rsidRPr="009656A3">
              <w:rPr>
                <w:rFonts w:cstheme="minorHAnsi"/>
                <w:b/>
                <w:color w:val="333333"/>
              </w:rPr>
              <w:t>)</w:t>
            </w:r>
          </w:p>
        </w:tc>
      </w:tr>
      <w:tr w:rsidTr="00FE5207">
        <w:tblPrEx>
          <w:tblW w:w="0" w:type="auto"/>
          <w:tblLook w:val="04A0"/>
        </w:tblPrEx>
        <w:trPr>
          <w:trHeight w:val="318"/>
        </w:trPr>
        <w:tc>
          <w:tcPr>
            <w:tcW w:w="2830" w:type="dxa"/>
            <w:gridSpan w:val="2"/>
            <w:vMerge/>
          </w:tcPr>
          <w:p w:rsidR="007D340E" w:rsidRPr="009656A3" w:rsidP="007D340E">
            <w:pPr>
              <w:spacing w:after="0" w:line="240" w:lineRule="auto"/>
              <w:rPr>
                <w:rFonts w:cstheme="minorHAnsi"/>
                <w:b/>
                <w:color w:val="333333"/>
              </w:rPr>
            </w:pPr>
          </w:p>
        </w:tc>
        <w:tc>
          <w:tcPr>
            <w:tcW w:w="1746" w:type="dxa"/>
          </w:tcPr>
          <w:p w:rsidR="007D340E" w:rsidRPr="009656A3" w:rsidP="007D340E">
            <w:pPr>
              <w:spacing w:after="0" w:line="240" w:lineRule="auto"/>
              <w:jc w:val="right"/>
              <w:rPr>
                <w:rFonts w:cstheme="minorHAnsi"/>
                <w:b/>
                <w:color w:val="333333"/>
              </w:rPr>
            </w:pPr>
            <w:r w:rsidRPr="009656A3">
              <w:rPr>
                <w:rFonts w:cstheme="minorHAnsi"/>
                <w:b/>
                <w:color w:val="333333"/>
              </w:rPr>
              <w:t>£000</w:t>
            </w:r>
          </w:p>
          <w:p w:rsidR="007D340E" w:rsidRPr="009656A3" w:rsidP="007D340E">
            <w:pPr>
              <w:spacing w:after="0" w:line="240" w:lineRule="auto"/>
              <w:jc w:val="right"/>
              <w:rPr>
                <w:rFonts w:cstheme="minorHAnsi"/>
                <w:b/>
                <w:color w:val="333333"/>
              </w:rPr>
            </w:pPr>
          </w:p>
        </w:tc>
        <w:tc>
          <w:tcPr>
            <w:tcW w:w="1656" w:type="dxa"/>
          </w:tcPr>
          <w:p w:rsidR="007D340E" w:rsidRPr="009656A3" w:rsidP="007D340E">
            <w:pPr>
              <w:spacing w:after="0" w:line="240" w:lineRule="auto"/>
              <w:jc w:val="right"/>
              <w:rPr>
                <w:rFonts w:cstheme="minorHAnsi"/>
                <w:b/>
                <w:color w:val="333333"/>
              </w:rPr>
            </w:pPr>
            <w:r w:rsidRPr="009656A3">
              <w:rPr>
                <w:rFonts w:cstheme="minorHAnsi"/>
                <w:b/>
                <w:color w:val="333333"/>
              </w:rPr>
              <w:t>%</w:t>
            </w:r>
          </w:p>
        </w:tc>
        <w:tc>
          <w:tcPr>
            <w:tcW w:w="1383" w:type="dxa"/>
          </w:tcPr>
          <w:p w:rsidR="007D340E" w:rsidRPr="009656A3" w:rsidP="007D340E">
            <w:pPr>
              <w:spacing w:after="0" w:line="240" w:lineRule="auto"/>
              <w:jc w:val="right"/>
              <w:rPr>
                <w:rFonts w:cstheme="minorHAnsi"/>
                <w:b/>
                <w:color w:val="333333"/>
              </w:rPr>
            </w:pPr>
            <w:r w:rsidRPr="009656A3">
              <w:rPr>
                <w:rFonts w:cstheme="minorHAnsi"/>
                <w:b/>
                <w:color w:val="333333"/>
              </w:rPr>
              <w:t>£000</w:t>
            </w:r>
          </w:p>
        </w:tc>
        <w:tc>
          <w:tcPr>
            <w:tcW w:w="1401" w:type="dxa"/>
          </w:tcPr>
          <w:p w:rsidR="007D340E" w:rsidRPr="009656A3" w:rsidP="007D340E">
            <w:pPr>
              <w:spacing w:after="0" w:line="240" w:lineRule="auto"/>
              <w:jc w:val="right"/>
              <w:rPr>
                <w:rFonts w:cstheme="minorHAnsi"/>
                <w:b/>
                <w:color w:val="333333"/>
              </w:rPr>
            </w:pPr>
            <w:r w:rsidRPr="009656A3">
              <w:rPr>
                <w:rFonts w:cstheme="minorHAnsi"/>
                <w:b/>
                <w:color w:val="333333"/>
              </w:rPr>
              <w:t>%</w:t>
            </w:r>
          </w:p>
        </w:tc>
      </w:tr>
      <w:tr w:rsidTr="009656A3">
        <w:tblPrEx>
          <w:tblW w:w="0" w:type="auto"/>
          <w:tblLook w:val="04A0"/>
        </w:tblPrEx>
        <w:tc>
          <w:tcPr>
            <w:tcW w:w="1625" w:type="dxa"/>
          </w:tcPr>
          <w:p w:rsidR="007D340E" w:rsidRPr="009656A3" w:rsidP="007D340E">
            <w:pPr>
              <w:spacing w:after="0" w:line="240" w:lineRule="auto"/>
              <w:rPr>
                <w:rFonts w:cstheme="minorHAnsi"/>
                <w:b/>
                <w:color w:val="333333"/>
              </w:rPr>
            </w:pPr>
            <w:r w:rsidRPr="009656A3">
              <w:rPr>
                <w:rFonts w:cstheme="minorHAnsi"/>
                <w:b/>
                <w:color w:val="333333"/>
              </w:rPr>
              <w:t>Depreciation</w:t>
            </w:r>
          </w:p>
        </w:tc>
        <w:tc>
          <w:tcPr>
            <w:tcW w:w="1205" w:type="dxa"/>
          </w:tcPr>
          <w:p w:rsidR="007D340E" w:rsidRPr="009656A3" w:rsidP="007D340E">
            <w:pPr>
              <w:spacing w:after="0" w:line="240" w:lineRule="auto"/>
              <w:jc w:val="right"/>
              <w:rPr>
                <w:rFonts w:cstheme="minorHAnsi"/>
                <w:b/>
                <w:color w:val="333333"/>
              </w:rPr>
            </w:pPr>
            <w:r w:rsidRPr="009656A3">
              <w:rPr>
                <w:rFonts w:cstheme="minorHAnsi"/>
                <w:b/>
                <w:color w:val="333333"/>
              </w:rPr>
              <w:t>2,700</w:t>
            </w:r>
          </w:p>
        </w:tc>
        <w:tc>
          <w:tcPr>
            <w:tcW w:w="1746" w:type="dxa"/>
          </w:tcPr>
          <w:p w:rsidR="007D340E" w:rsidRPr="009656A3" w:rsidP="007D340E">
            <w:pPr>
              <w:spacing w:after="0" w:line="240" w:lineRule="auto"/>
              <w:jc w:val="right"/>
              <w:rPr>
                <w:rFonts w:cstheme="minorHAnsi"/>
                <w:b/>
                <w:color w:val="333333"/>
              </w:rPr>
            </w:pPr>
            <w:r w:rsidRPr="009656A3">
              <w:rPr>
                <w:rFonts w:cstheme="minorHAnsi"/>
                <w:b/>
                <w:color w:val="333333"/>
              </w:rPr>
              <w:t>2,700</w:t>
            </w:r>
          </w:p>
        </w:tc>
        <w:tc>
          <w:tcPr>
            <w:tcW w:w="1656" w:type="dxa"/>
          </w:tcPr>
          <w:p w:rsidR="007D340E" w:rsidRPr="009656A3" w:rsidP="007D340E">
            <w:pPr>
              <w:spacing w:after="0" w:line="240" w:lineRule="auto"/>
              <w:jc w:val="right"/>
              <w:rPr>
                <w:rFonts w:cstheme="minorHAnsi"/>
                <w:b/>
                <w:color w:val="333333"/>
              </w:rPr>
            </w:pPr>
            <w:r w:rsidRPr="009656A3">
              <w:rPr>
                <w:rFonts w:cstheme="minorHAnsi"/>
                <w:b/>
                <w:color w:val="333333"/>
              </w:rPr>
              <w:t>-</w:t>
            </w:r>
          </w:p>
        </w:tc>
        <w:tc>
          <w:tcPr>
            <w:tcW w:w="1383" w:type="dxa"/>
          </w:tcPr>
          <w:p w:rsidR="007D340E" w:rsidRPr="009656A3" w:rsidP="007D340E">
            <w:pPr>
              <w:spacing w:after="0" w:line="240" w:lineRule="auto"/>
              <w:jc w:val="right"/>
              <w:rPr>
                <w:rFonts w:cstheme="minorHAnsi"/>
                <w:b/>
                <w:color w:val="333333"/>
              </w:rPr>
            </w:pPr>
            <w:r w:rsidRPr="009656A3">
              <w:rPr>
                <w:rFonts w:cstheme="minorHAnsi"/>
                <w:b/>
                <w:color w:val="333333"/>
              </w:rPr>
              <w:t>2,700</w:t>
            </w:r>
          </w:p>
        </w:tc>
        <w:tc>
          <w:tcPr>
            <w:tcW w:w="1401" w:type="dxa"/>
          </w:tcPr>
          <w:p w:rsidR="007D340E" w:rsidRPr="009656A3" w:rsidP="007D340E">
            <w:pPr>
              <w:spacing w:after="0" w:line="240" w:lineRule="auto"/>
              <w:jc w:val="right"/>
              <w:rPr>
                <w:rFonts w:cstheme="minorHAnsi"/>
                <w:b/>
                <w:color w:val="333333"/>
              </w:rPr>
            </w:pPr>
            <w:r w:rsidRPr="009656A3">
              <w:rPr>
                <w:rFonts w:cstheme="minorHAnsi"/>
                <w:b/>
                <w:color w:val="333333"/>
              </w:rPr>
              <w:t>-</w:t>
            </w:r>
          </w:p>
        </w:tc>
      </w:tr>
    </w:tbl>
    <w:p w:rsidR="007D340E" w:rsidRPr="00817052" w:rsidP="00817052">
      <w:pPr>
        <w:pStyle w:val="Heading2"/>
        <w:spacing w:after="40"/>
        <w:ind w:left="578" w:hanging="578"/>
        <w:rPr>
          <w:rFonts w:eastAsia="Times New Roman"/>
          <w:sz w:val="28"/>
          <w:szCs w:val="28"/>
          <w:lang w:eastAsia="en-GB"/>
        </w:rPr>
      </w:pPr>
      <w:bookmarkStart w:id="0" w:name="_GoBack"/>
      <w:bookmarkEnd w:id="0"/>
      <w:r w:rsidRPr="00817052">
        <w:rPr>
          <w:rFonts w:eastAsia="Times New Roman"/>
          <w:sz w:val="28"/>
          <w:szCs w:val="28"/>
          <w:lang w:eastAsia="en-GB"/>
        </w:rPr>
        <w:t>Changes to contingent liabilities</w:t>
      </w:r>
    </w:p>
    <w:p w:rsidR="00EA43DC" w:rsidP="00EA43DC">
      <w:pPr>
        <w:rPr>
          <w:rFonts w:cstheme="minorHAnsi"/>
        </w:rPr>
      </w:pPr>
      <w:r w:rsidRPr="00EA43DC">
        <w:rPr>
          <w:rFonts w:cstheme="minorHAnsi"/>
        </w:rPr>
        <w:t xml:space="preserve">In December 2023, the Commercial Court just published a judgment in relation to civil action taken by (mining conglomerate) ENRC against its former law firm </w:t>
      </w:r>
      <w:r w:rsidRPr="00EA43DC">
        <w:rPr>
          <w:rFonts w:cstheme="minorHAnsi"/>
        </w:rPr>
        <w:t>Dechert</w:t>
      </w:r>
      <w:r w:rsidRPr="00EA43DC">
        <w:rPr>
          <w:rFonts w:cstheme="minorHAnsi"/>
        </w:rPr>
        <w:t>, former lawyer Neil Gerrard and the SFO in relation to events from 2011 to 2013.</w:t>
      </w:r>
      <w:r w:rsidR="00D91041">
        <w:rPr>
          <w:rFonts w:cstheme="minorHAnsi"/>
        </w:rPr>
        <w:t xml:space="preserve"> </w:t>
      </w:r>
      <w:r w:rsidRPr="00EA43DC">
        <w:rPr>
          <w:rFonts w:cstheme="minorHAnsi"/>
        </w:rPr>
        <w:t>The next development will be a “</w:t>
      </w:r>
      <w:r w:rsidRPr="00EA43DC">
        <w:rPr>
          <w:rFonts w:cstheme="minorHAnsi"/>
        </w:rPr>
        <w:t>consequentials</w:t>
      </w:r>
      <w:r w:rsidRPr="00EA43DC">
        <w:rPr>
          <w:rFonts w:cstheme="minorHAnsi"/>
        </w:rPr>
        <w:t xml:space="preserve">” hearing which will take place in </w:t>
      </w:r>
      <w:r w:rsidR="00604EB1">
        <w:rPr>
          <w:rFonts w:cstheme="minorHAnsi"/>
        </w:rPr>
        <w:t xml:space="preserve">March </w:t>
      </w:r>
      <w:r w:rsidRPr="00EA43DC">
        <w:rPr>
          <w:rFonts w:cstheme="minorHAnsi"/>
        </w:rPr>
        <w:t>.</w:t>
      </w:r>
      <w:r w:rsidRPr="00EA43DC">
        <w:rPr>
          <w:rFonts w:cstheme="minorHAnsi"/>
        </w:rPr>
        <w:t xml:space="preserve"> This hearing will, among other things, start to address costs and set a timetable for next steps including a potential “phase 2” trial (to establish the amount of damages). It would also consider the timetable for any possible appeals.</w:t>
      </w:r>
    </w:p>
    <w:p w:rsidR="00EA43DC" w:rsidP="00EA43DC">
      <w:pPr>
        <w:rPr>
          <w:rFonts w:cstheme="minorHAnsi"/>
        </w:rPr>
      </w:pPr>
      <w:r w:rsidRPr="00EA43DC">
        <w:rPr>
          <w:rFonts w:cstheme="minorHAnsi"/>
        </w:rPr>
        <w:t>We continue to monitor potential exposure on our cases and will inform the Committee should material changes occur.</w:t>
      </w:r>
    </w:p>
    <w:p w:rsidR="002C090D" w:rsidP="002C090D">
      <w:pPr>
        <w:pStyle w:val="Heading1"/>
      </w:pPr>
      <w:r w:rsidRPr="002C090D">
        <w:t>Priorities and performance</w:t>
      </w:r>
    </w:p>
    <w:p w:rsidR="002C090D" w:rsidP="002C090D">
      <w:pPr>
        <w:pStyle w:val="Heading2"/>
      </w:pPr>
      <w:r w:rsidRPr="002C090D">
        <w:t>Measures of performance</w:t>
      </w:r>
    </w:p>
    <w:p w:rsidR="002C090D" w:rsidRPr="002C090D" w:rsidP="002C090D">
      <w:r>
        <w:t xml:space="preserve">The SFO’s business plan </w:t>
      </w:r>
      <w:r>
        <w:fldChar w:fldCharType="begin"/>
      </w:r>
      <w:r>
        <w:instrText xml:space="preserve"> HYPERLINK "https://www.sfo.gov.uk/publications/corporate-information/strategic-and-business-plans/" </w:instrText>
      </w:r>
      <w:r>
        <w:fldChar w:fldCharType="separate"/>
      </w:r>
      <w:r w:rsidRPr="002C090D">
        <w:rPr>
          <w:rStyle w:val="Hyperlink"/>
        </w:rPr>
        <w:t>(see here)</w:t>
      </w:r>
      <w:r>
        <w:fldChar w:fldCharType="end"/>
      </w:r>
      <w:r>
        <w:t xml:space="preserve"> sets out the following high-level objectives, and measures of performance for the current financial year.</w:t>
      </w:r>
    </w:p>
    <w:p w:rsidR="002C090D" w:rsidP="002C090D">
      <w:pPr>
        <w:pStyle w:val="Heading2"/>
      </w:pPr>
      <w:r>
        <w:t>Major projects</w:t>
      </w:r>
    </w:p>
    <w:p w:rsidR="002C090D" w:rsidP="002C090D">
      <w:r>
        <w:t>The SFO has commenced Phase 1 of the Enterprise Resource Planning (ERP) project. The ERP project will deliver a modern fit for purpose replacement to t</w:t>
      </w:r>
      <w:r w:rsidR="000C0F5C">
        <w:t xml:space="preserve">he current legacy systems by 31 June </w:t>
      </w:r>
      <w:r>
        <w:t>2024; which draws upon industry’ best practice, supports the organisation in meeting its objectives, and offers a solid platform for meeting future business demands, pressures and needs.</w:t>
      </w:r>
    </w:p>
    <w:p w:rsidR="00604EB1" w:rsidRPr="002C090D" w:rsidP="002C090D">
      <w:r>
        <w:t>Phase 1 of an Accommodation Project has also commenced.  This is preparing for an office move in accordance with the Government Property Agency’s Plan for London.</w:t>
      </w:r>
    </w:p>
    <w:p w:rsidR="00351868" w:rsidP="009656A3">
      <w:pPr>
        <w:pStyle w:val="Heading1"/>
        <w:spacing w:after="200"/>
        <w:ind w:left="431" w:hanging="431"/>
      </w:pPr>
      <w:r w:rsidRPr="00351868">
        <w:t>Other information</w:t>
      </w:r>
    </w:p>
    <w:p w:rsidR="00351868" w:rsidRPr="00351868" w:rsidP="00817052">
      <w:pPr>
        <w:pStyle w:val="Heading2"/>
        <w:spacing w:after="40"/>
        <w:ind w:left="578" w:hanging="578"/>
      </w:pPr>
      <w:r w:rsidRPr="00351868">
        <w:rPr>
          <w:sz w:val="28"/>
          <w:szCs w:val="28"/>
        </w:rPr>
        <w:t>Additional specific information required by the select committee</w:t>
      </w:r>
    </w:p>
    <w:p w:rsidR="00351868" w:rsidRPr="00817052" w:rsidP="00351868">
      <w:pPr>
        <w:rPr>
          <w:rFonts w:cstheme="minorHAnsi"/>
        </w:rPr>
      </w:pPr>
      <w:r w:rsidRPr="00817052">
        <w:rPr>
          <w:rFonts w:cstheme="minorHAnsi"/>
        </w:rPr>
        <w:t xml:space="preserve">No additional information has been requested by the </w:t>
      </w:r>
      <w:r w:rsidR="00B11BE1">
        <w:rPr>
          <w:rFonts w:cstheme="minorHAnsi"/>
        </w:rPr>
        <w:t xml:space="preserve">Select </w:t>
      </w:r>
      <w:r w:rsidRPr="00817052">
        <w:rPr>
          <w:rFonts w:cstheme="minorHAnsi"/>
        </w:rPr>
        <w:t>Committee</w:t>
      </w:r>
    </w:p>
    <w:p w:rsidR="00351868" w:rsidRPr="00351868" w:rsidP="009656A3">
      <w:pPr>
        <w:pStyle w:val="Heading1"/>
        <w:spacing w:after="200"/>
        <w:ind w:left="431" w:hanging="431"/>
        <w:rPr>
          <w:rFonts w:eastAsia="Times New Roman"/>
          <w:lang w:eastAsia="en-GB"/>
        </w:rPr>
      </w:pPr>
      <w:r w:rsidRPr="00351868">
        <w:rPr>
          <w:rFonts w:eastAsia="Times New Roman"/>
          <w:lang w:eastAsia="en-GB"/>
        </w:rPr>
        <w:t>Accounting Officer Approval</w:t>
      </w:r>
    </w:p>
    <w:p w:rsidR="000D78B5" w:rsidRPr="00817052" w:rsidP="00351868">
      <w:pPr>
        <w:rPr>
          <w:rFonts w:cstheme="minorHAnsi"/>
        </w:rPr>
      </w:pPr>
      <w:r w:rsidRPr="00817052">
        <w:rPr>
          <w:rFonts w:cstheme="minorHAnsi"/>
        </w:rPr>
        <w:t>This memorandum has been prepared according to the requirements and guidance set out by HM Treasury and the House of Commons Scrutiny Unit, available on the Scrutiny Unit website.</w:t>
      </w:r>
      <w:r w:rsidR="00FE5207">
        <w:rPr>
          <w:rFonts w:cstheme="minorHAnsi"/>
        </w:rPr>
        <w:t xml:space="preserve"> </w:t>
      </w:r>
      <w:r w:rsidRPr="00817052">
        <w:rPr>
          <w:rFonts w:cstheme="minorHAnsi"/>
        </w:rPr>
        <w:t xml:space="preserve">The information in this Estimates Memorandum </w:t>
      </w:r>
      <w:r w:rsidRPr="00817052">
        <w:rPr>
          <w:rFonts w:cstheme="minorHAnsi"/>
        </w:rPr>
        <w:t>has been approved</w:t>
      </w:r>
      <w:r w:rsidRPr="00817052">
        <w:rPr>
          <w:rFonts w:cstheme="minorHAnsi"/>
        </w:rPr>
        <w:t xml:space="preserve"> on behalf of the Departmental Accounting Officer.</w:t>
      </w:r>
    </w:p>
    <w:p w:rsidR="000D78B5" w:rsidRPr="000D78B5" w:rsidP="000D78B5">
      <w:pPr>
        <w:spacing w:after="0"/>
        <w:rPr>
          <w:rFonts w:cstheme="minorHAnsi"/>
        </w:rPr>
      </w:pPr>
      <w:r>
        <w:rPr>
          <w:rFonts w:cstheme="minorHAnsi"/>
        </w:rPr>
        <w:t>Liz Corrin</w:t>
      </w:r>
    </w:p>
    <w:p w:rsidR="00071962" w:rsidP="000D78B5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Chief Financial O</w:t>
      </w:r>
      <w:r w:rsidRPr="00071962">
        <w:rPr>
          <w:rFonts w:cstheme="minorHAnsi"/>
          <w:b/>
        </w:rPr>
        <w:t>fficer (CFO)</w:t>
      </w:r>
    </w:p>
    <w:p w:rsidR="00A569B5" w:rsidRPr="00817052" w:rsidP="000D78B5">
      <w:pPr>
        <w:spacing w:after="0"/>
        <w:rPr>
          <w:rFonts w:cstheme="minorHAnsi"/>
        </w:rPr>
      </w:pPr>
      <w:r w:rsidRPr="00817052">
        <w:rPr>
          <w:rFonts w:cstheme="minorHAnsi"/>
        </w:rPr>
        <w:t>Serious Fraud Office</w:t>
      </w:r>
    </w:p>
    <w:p w:rsidR="00E85B2A" w:rsidRPr="00E85B2A" w:rsidP="009656A3">
      <w:pPr>
        <w:spacing w:after="0"/>
        <w:rPr>
          <w:rFonts w:ascii="Arial" w:hAnsi="Arial" w:cs="Arial"/>
        </w:rPr>
      </w:pPr>
      <w:r>
        <w:rPr>
          <w:rFonts w:cstheme="minorHAnsi"/>
        </w:rPr>
        <w:t>25 March 2024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E74140"/>
    <w:multiLevelType w:val="multilevel"/>
    <w:tmpl w:val="9B5EEC0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08DF7F55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0B9D344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7AF406E"/>
    <w:multiLevelType w:val="hybridMultilevel"/>
    <w:tmpl w:val="6D76E6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EA4B83"/>
    <w:multiLevelType w:val="hybridMultilevel"/>
    <w:tmpl w:val="2C38DA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901A62"/>
    <w:multiLevelType w:val="hybridMultilevel"/>
    <w:tmpl w:val="C59A43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E20E90"/>
    <w:multiLevelType w:val="hybridMultilevel"/>
    <w:tmpl w:val="B9CAEE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6E1F62"/>
    <w:multiLevelType w:val="hybridMultilevel"/>
    <w:tmpl w:val="56F6A6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9D7D3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B2A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5B2A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B2A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B2A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B2A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B2A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B2A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B2A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B2A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5B2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85B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5B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B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B2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B2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B2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B2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B2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B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B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090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04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4E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4E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E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hart" Target="charts/chart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charts/_rels/chart1.xml.rels>&#65279;<?xml version="1.0" encoding="utf-8" standalone="yes"?><Relationships xmlns="http://schemas.openxmlformats.org/package/2006/relationships"><Relationship Id="rId1" Type="http://schemas.openxmlformats.org/officeDocument/2006/relationships/package" Target="../embeddings/Microsoft_Office_Excel_Worksheet1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800" b="0" i="0" baseline="0">
                <a:effectLst/>
              </a:rPr>
              <a:t>Gross expenditure and income for the past 5 years, £ million</a:t>
            </a:r>
            <a:endParaRPr lang="en-GB">
              <a:effectLst/>
            </a:endParaRPr>
          </a:p>
        </c:rich>
      </c:tx>
      <c:layout>
        <c:manualLayout>
          <c:xMode val="edge"/>
          <c:yMode val="edge"/>
          <c:x val="0.12715579710144928"/>
          <c:y val="2.3323608021362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Sheet1!$A$17</c:f>
              <c:strCache>
                <c:ptCount val="1"/>
                <c:pt idx="0">
                  <c:v>Gross expenditure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Sheet1!$B$16:$F$16</c:f>
              <c:strCache>
                <c:ptCount val="5"/>
                <c:pt idx="0">
                  <c:v>2019-20</c:v>
                </c:pt>
                <c:pt idx="1">
                  <c:v>2020-21</c:v>
                </c:pt>
                <c:pt idx="2">
                  <c:v>2021-22</c:v>
                </c:pt>
                <c:pt idx="3">
                  <c:v>2022-23</c:v>
                </c:pt>
                <c:pt idx="4">
                  <c:v>2023-24</c:v>
                </c:pt>
              </c:strCache>
            </c:strRef>
          </c:cat>
          <c:val>
            <c:numRef>
              <c:f>Sheet1!$B$17:$F$17</c:f>
              <c:numCache>
                <c:formatCode>_-* #,##0_-;\-* #,##0_-;_-* "-"??_-;_-@_-</c:formatCode>
                <c:ptCount val="5"/>
                <c:pt idx="0">
                  <c:v>65560</c:v>
                </c:pt>
                <c:pt idx="1">
                  <c:v>67877</c:v>
                </c:pt>
                <c:pt idx="2">
                  <c:v>73162</c:v>
                </c:pt>
                <c:pt idx="3">
                  <c:v>78565</c:v>
                </c:pt>
                <c:pt idx="4">
                  <c:v>92522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DF7-4902-83B7-7D826ABE5DFB}"/>
            </c:ext>
          </c:extLst>
        </c:ser>
        <c:ser>
          <c:idx val="2"/>
          <c:order val="1"/>
          <c:tx>
            <c:strRef>
              <c:f>Sheet1!$A$18</c:f>
              <c:strCache>
                <c:ptCount val="1"/>
                <c:pt idx="0">
                  <c:v>Income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Sheet1!$B$16:$F$16</c:f>
              <c:strCache>
                <c:ptCount val="5"/>
                <c:pt idx="0">
                  <c:v>2019-20</c:v>
                </c:pt>
                <c:pt idx="1">
                  <c:v>2020-21</c:v>
                </c:pt>
                <c:pt idx="2">
                  <c:v>2021-22</c:v>
                </c:pt>
                <c:pt idx="3">
                  <c:v>2022-23</c:v>
                </c:pt>
                <c:pt idx="4">
                  <c:v>2023-24</c:v>
                </c:pt>
              </c:strCache>
            </c:strRef>
          </c:cat>
          <c:val>
            <c:numRef>
              <c:f>Sheet1!$B$18:$F$18</c:f>
              <c:numCache>
                <c:formatCode>_-* #,##0_-;\-* #,##0_-;_-* "-"??_-;_-@_-</c:formatCode>
                <c:ptCount val="5"/>
                <c:pt idx="0">
                  <c:v>863889</c:v>
                </c:pt>
                <c:pt idx="1">
                  <c:v>48519</c:v>
                </c:pt>
                <c:pt idx="2">
                  <c:v>130454.00000000001</c:v>
                </c:pt>
                <c:pt idx="3">
                  <c:v>5730</c:v>
                </c:pt>
                <c:pt idx="4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F7-4902-83B7-7D826ABE5D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1031615"/>
        <c:axId val="671033279"/>
      </c:lineChart>
      <c:catAx>
        <c:axId val="6710316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1033279"/>
        <c:crosses val="autoZero"/>
        <c:auto val="1"/>
        <c:lblAlgn val="ctr"/>
        <c:lblOffset val="100"/>
        <c:noMultiLvlLbl val="0"/>
      </c:catAx>
      <c:valAx>
        <c:axId val="6710332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_-;\-* #,##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103161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