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B5B40" w:rsidP="006B5B40">
      <w:pPr>
        <w:pStyle w:val="Heading1"/>
        <w:ind w:left="720" w:firstLine="720"/>
        <w:rPr>
          <w:lang w:eastAsia="en-GB"/>
        </w:rPr>
      </w:pPr>
      <w:bookmarkStart w:id="0" w:name="_GoBack"/>
      <w:bookmarkEnd w:id="0"/>
      <w:r>
        <w:rPr>
          <w:lang w:eastAsia="en-GB"/>
        </w:rPr>
        <w:t>Office of the Secretary of State for Wales</w:t>
      </w:r>
    </w:p>
    <w:p w:rsidR="00165E62" w:rsidRPr="00165E62" w:rsidP="006B5B40">
      <w:pPr>
        <w:pStyle w:val="Heading1"/>
        <w:ind w:left="2160" w:firstLine="720"/>
        <w:rPr>
          <w:lang w:eastAsia="en-GB"/>
        </w:rPr>
      </w:pPr>
      <w:r>
        <w:rPr>
          <w:lang w:eastAsia="en-GB"/>
        </w:rPr>
        <w:t xml:space="preserve"> </w:t>
      </w:r>
      <w:r w:rsidR="00141BF6">
        <w:rPr>
          <w:lang w:eastAsia="en-GB"/>
        </w:rPr>
        <w:t xml:space="preserve">Wales </w:t>
      </w:r>
      <w:r w:rsidR="00881C1E">
        <w:rPr>
          <w:lang w:eastAsia="en-GB"/>
        </w:rPr>
        <w:t>Office</w:t>
      </w:r>
      <w:r w:rsidR="00255E39">
        <w:rPr>
          <w:lang w:eastAsia="en-GB"/>
        </w:rPr>
        <w:t xml:space="preserve"> </w:t>
      </w:r>
    </w:p>
    <w:p w:rsidR="00165E62" w:rsidP="00C27CC3">
      <w:pPr>
        <w:pStyle w:val="Heading1"/>
      </w:pPr>
      <w:r>
        <w:t xml:space="preserve">Supplementary </w:t>
      </w:r>
      <w:r>
        <w:t>Estimate 201</w:t>
      </w:r>
      <w:r w:rsidR="004719D4">
        <w:t>9</w:t>
      </w:r>
      <w:r>
        <w:t>-</w:t>
      </w:r>
      <w:r w:rsidR="004719D4">
        <w:t>20</w:t>
      </w:r>
      <w:r>
        <w:t xml:space="preserve">: Estimates </w:t>
      </w:r>
      <w:r w:rsidR="00FF728D">
        <w:t>M</w:t>
      </w:r>
      <w:r>
        <w:t>emora</w:t>
      </w:r>
      <w:r w:rsidR="00594756">
        <w:t>n</w:t>
      </w:r>
      <w:r>
        <w:t>dum</w:t>
      </w:r>
      <w:r w:rsidR="009C3C20">
        <w:t xml:space="preserve"> </w:t>
      </w:r>
    </w:p>
    <w:p w:rsidR="00FD7F90" w:rsidRPr="00FD7F90" w:rsidP="00FD7F90"/>
    <w:p w:rsidR="00740C96" w:rsidRPr="00740C96" w:rsidP="008554A9">
      <w:pPr>
        <w:pStyle w:val="Heading2"/>
      </w:pPr>
      <w:r w:rsidRPr="00740C96">
        <w:t>1</w:t>
      </w:r>
      <w:r w:rsidR="008554A9">
        <w:tab/>
      </w:r>
      <w:r w:rsidRPr="00740C96">
        <w:t>Overview</w:t>
      </w:r>
    </w:p>
    <w:p w:rsidR="00FE33BD" w:rsidP="00137ED6">
      <w:pPr>
        <w:pStyle w:val="Heading2"/>
      </w:pPr>
    </w:p>
    <w:p w:rsidR="003325FE" w:rsidP="00531D6F">
      <w:pPr>
        <w:pStyle w:val="Heading2"/>
        <w:numPr>
          <w:ilvl w:val="1"/>
          <w:numId w:val="36"/>
        </w:numPr>
      </w:pPr>
      <w:r>
        <w:t>Objectives</w:t>
      </w:r>
    </w:p>
    <w:p w:rsidR="00531D6F" w:rsidRPr="00531D6F" w:rsidP="00531D6F"/>
    <w:p w:rsidR="00141BF6" w:rsidRPr="00531D6F" w:rsidP="00531D6F">
      <w:pPr>
        <w:jc w:val="both"/>
      </w:pPr>
      <w:r w:rsidRPr="00531D6F">
        <w:t xml:space="preserve">The Office of the Secretary of State for Wales (Wales Office) supports the Secretary of State for Wales in promoting the best interests of Wales within a strong United Kingdom. We are the face of the UK Government in </w:t>
      </w:r>
      <w:smartTag w:uri="urn:schemas-microsoft-com:office:smarttags" w:element="country-region">
        <w:r w:rsidRPr="00531D6F">
          <w:t>Wales</w:t>
        </w:r>
      </w:smartTag>
      <w:r w:rsidRPr="00531D6F">
        <w:t xml:space="preserve"> and the voice of </w:t>
      </w:r>
      <w:smartTag w:uri="urn:schemas-microsoft-com:office:smarttags" w:element="country-region">
        <w:r w:rsidRPr="00531D6F">
          <w:t>Wales</w:t>
        </w:r>
      </w:smartTag>
      <w:r w:rsidRPr="00531D6F">
        <w:t xml:space="preserve"> in </w:t>
      </w:r>
      <w:smartTag w:uri="urn:schemas-microsoft-com:office:smarttags" w:element="place">
        <w:smartTag w:uri="urn:schemas-microsoft-com:office:smarttags" w:element="City">
          <w:r w:rsidRPr="00531D6F">
            <w:t>Whitehall</w:t>
          </w:r>
        </w:smartTag>
      </w:smartTag>
      <w:r w:rsidRPr="00531D6F">
        <w:t xml:space="preserve">.  Our primary and on-going goal is to support the Union of the United Kingdom. </w:t>
      </w:r>
    </w:p>
    <w:p w:rsidR="00141BF6" w:rsidP="00531D6F">
      <w:pPr>
        <w:jc w:val="both"/>
      </w:pPr>
      <w:r w:rsidRPr="00531D6F">
        <w:t xml:space="preserve">This Estimate provides for the administration costs of the Wales Office, including the upkeep of a Grade II* listed building; the salaries of Wales Office Ministers and staff; and payments to the Welsh Consolidated Fund.  </w:t>
      </w:r>
    </w:p>
    <w:p w:rsidR="00531D6F" w:rsidRPr="00531D6F" w:rsidP="00531D6F">
      <w:pPr>
        <w:jc w:val="both"/>
      </w:pPr>
    </w:p>
    <w:p w:rsidR="00DE2997" w:rsidP="00137ED6">
      <w:pPr>
        <w:pStyle w:val="Heading2"/>
      </w:pPr>
      <w:r>
        <w:t>1.</w:t>
      </w:r>
      <w:r w:rsidR="007B4F10">
        <w:t>2</w:t>
      </w:r>
      <w:r w:rsidR="00F94CBD">
        <w:t xml:space="preserve"> </w:t>
      </w:r>
      <w:r w:rsidR="00E11B20">
        <w:tab/>
      </w:r>
      <w:r w:rsidR="00F94CBD">
        <w:t>Spending controls</w:t>
      </w:r>
    </w:p>
    <w:p w:rsidR="000E0F4E" w:rsidP="00F94CBD"/>
    <w:p w:rsidR="00F94CBD" w:rsidRPr="00DE2997" w:rsidP="00F94CBD">
      <w:pPr>
        <w:rPr>
          <w:i/>
        </w:rPr>
      </w:pPr>
      <w:r>
        <w:t xml:space="preserve">The Wales </w:t>
      </w:r>
      <w:r w:rsidR="00881C1E">
        <w:t xml:space="preserve">Office’ </w:t>
      </w:r>
      <w:r w:rsidRPr="00B436BA">
        <w:t xml:space="preserve">s </w:t>
      </w:r>
      <w:r w:rsidR="00D71E00">
        <w:t>Estimate</w:t>
      </w:r>
      <w:r w:rsidRPr="00B436BA">
        <w:t xml:space="preserve"> is broken down into </w:t>
      </w:r>
      <w:r w:rsidR="00881C1E">
        <w:t>a number of discrete elements</w:t>
      </w:r>
      <w:r w:rsidRPr="00B436BA">
        <w:t>, for which Parliament’s approval is sought</w:t>
      </w:r>
      <w:r w:rsidR="00D71E00">
        <w:t xml:space="preserve"> separately</w:t>
      </w:r>
      <w:r w:rsidRPr="00B436BA">
        <w:t>.</w:t>
      </w:r>
      <w:r w:rsidRPr="00DE2997">
        <w:rPr>
          <w:i/>
        </w:rPr>
        <w:t xml:space="preserve"> </w:t>
      </w:r>
    </w:p>
    <w:p w:rsidR="00F94CBD" w:rsidP="00F94CBD">
      <w:r w:rsidRPr="00B436BA">
        <w:t>The spending totals which Parliament votes are:</w:t>
      </w:r>
    </w:p>
    <w:p w:rsidR="00881C1E" w:rsidP="00F94CBD">
      <w:r>
        <w:t xml:space="preserve">For </w:t>
      </w:r>
      <w:r w:rsidR="00141BF6">
        <w:t xml:space="preserve">the Wales Office </w:t>
      </w:r>
      <w:r>
        <w:t>itself:</w:t>
      </w:r>
    </w:p>
    <w:p w:rsidR="007B4F10" w:rsidP="007D45AD">
      <w:pPr>
        <w:pStyle w:val="ListParagraph"/>
        <w:numPr>
          <w:ilvl w:val="0"/>
          <w:numId w:val="10"/>
        </w:numPr>
      </w:pPr>
      <w:r w:rsidRPr="002D77F1">
        <w:t>Resource Departmental Expenditure Limit (“</w:t>
      </w:r>
      <w:r w:rsidRPr="006270EF">
        <w:rPr>
          <w:b/>
        </w:rPr>
        <w:t>Resource DEL</w:t>
      </w:r>
      <w:r w:rsidRPr="002D77F1">
        <w:t>”)</w:t>
      </w:r>
      <w:r>
        <w:t>- day to day running costs</w:t>
      </w:r>
      <w:r w:rsidR="00881C1E">
        <w:t xml:space="preserve"> of the Office</w:t>
      </w:r>
      <w:r w:rsidR="00AB5E6E">
        <w:t>;</w:t>
      </w:r>
    </w:p>
    <w:p w:rsidR="007B4F10" w:rsidP="007D45AD">
      <w:pPr>
        <w:pStyle w:val="ListParagraph"/>
        <w:numPr>
          <w:ilvl w:val="0"/>
          <w:numId w:val="10"/>
        </w:numPr>
      </w:pPr>
      <w:r w:rsidRPr="002D77F1">
        <w:t>Capital Departmental Expenditure Limit (“</w:t>
      </w:r>
      <w:r w:rsidRPr="006270EF">
        <w:rPr>
          <w:b/>
        </w:rPr>
        <w:t>Capital DEL</w:t>
      </w:r>
      <w:r w:rsidRPr="002D77F1">
        <w:t>”):</w:t>
      </w:r>
      <w:r>
        <w:t xml:space="preserve"> - </w:t>
      </w:r>
      <w:r w:rsidR="00CC1454">
        <w:t xml:space="preserve"> purchase of capital items </w:t>
      </w:r>
      <w:r w:rsidR="00531D6F">
        <w:t>e.g.</w:t>
      </w:r>
      <w:r w:rsidR="00CC1454">
        <w:t xml:space="preserve"> equipment for the O</w:t>
      </w:r>
      <w:r w:rsidR="00881C1E">
        <w:t>ffice</w:t>
      </w:r>
      <w:r w:rsidR="00AB5E6E">
        <w:t>;</w:t>
      </w:r>
    </w:p>
    <w:p w:rsidR="00AB5E6E" w:rsidP="007D45AD">
      <w:pPr>
        <w:pStyle w:val="ListParagraph"/>
        <w:numPr>
          <w:ilvl w:val="0"/>
          <w:numId w:val="10"/>
        </w:numPr>
      </w:pPr>
      <w:r>
        <w:t>Resource Annually Managed Expenditure Limit (“</w:t>
      </w:r>
      <w:r w:rsidRPr="00CC710A">
        <w:rPr>
          <w:b/>
        </w:rPr>
        <w:t>Resource AME</w:t>
      </w:r>
      <w:r>
        <w:rPr>
          <w:b/>
        </w:rPr>
        <w:t>”</w:t>
      </w:r>
      <w:r>
        <w:t>): -</w:t>
      </w:r>
      <w:r w:rsidR="00A66883">
        <w:t xml:space="preserve">provision for </w:t>
      </w:r>
      <w:r w:rsidR="007D6DFE">
        <w:t>future exit costs from the Cardiff Office.</w:t>
      </w:r>
    </w:p>
    <w:p w:rsidR="00881C1E" w:rsidP="00B40678">
      <w:r>
        <w:t xml:space="preserve">For the </w:t>
      </w:r>
      <w:r w:rsidR="00CC1454">
        <w:t xml:space="preserve">Welsh </w:t>
      </w:r>
      <w:r>
        <w:t xml:space="preserve">Government </w:t>
      </w:r>
    </w:p>
    <w:p w:rsidR="00881C1E" w:rsidP="00881C1E">
      <w:pPr>
        <w:pStyle w:val="ListParagraph"/>
        <w:numPr>
          <w:ilvl w:val="0"/>
          <w:numId w:val="25"/>
        </w:numPr>
      </w:pPr>
      <w:r w:rsidRPr="00881C1E">
        <w:rPr>
          <w:b/>
        </w:rPr>
        <w:t>Non</w:t>
      </w:r>
      <w:r>
        <w:rPr>
          <w:b/>
        </w:rPr>
        <w:t>-</w:t>
      </w:r>
      <w:r w:rsidRPr="00881C1E">
        <w:rPr>
          <w:b/>
        </w:rPr>
        <w:t>budget</w:t>
      </w:r>
      <w:r>
        <w:t xml:space="preserve"> expenditure-cash payments to the </w:t>
      </w:r>
      <w:r w:rsidR="00CC1454">
        <w:t xml:space="preserve">Welsh </w:t>
      </w:r>
      <w:r>
        <w:t>Consolidated Fund.  This includes cash payme</w:t>
      </w:r>
      <w:r w:rsidR="00CC1454">
        <w:t xml:space="preserve">nts to support spending by the Welsh </w:t>
      </w:r>
      <w:r>
        <w:t xml:space="preserve">Government and </w:t>
      </w:r>
      <w:r w:rsidR="00404DD8">
        <w:t>National Assembly for Wales</w:t>
      </w:r>
      <w:r>
        <w:t xml:space="preserve">, including </w:t>
      </w:r>
      <w:r>
        <w:t>payover</w:t>
      </w:r>
      <w:r>
        <w:t xml:space="preserve"> of the </w:t>
      </w:r>
      <w:r w:rsidR="00CC1454">
        <w:t xml:space="preserve">Welsh </w:t>
      </w:r>
      <w:r>
        <w:t>rate of income tax.</w:t>
      </w:r>
    </w:p>
    <w:p w:rsidR="00B40678" w:rsidP="00B40678">
      <w:r>
        <w:t xml:space="preserve">In addition, Parliament votes a net cash requirement, designed to cover </w:t>
      </w:r>
      <w:r w:rsidR="00881C1E">
        <w:t xml:space="preserve">both the cash required to cover </w:t>
      </w:r>
      <w:r w:rsidR="00CC1454">
        <w:t xml:space="preserve">the Wales </w:t>
      </w:r>
      <w:r w:rsidR="00881C1E">
        <w:t xml:space="preserve">Office’s own DEL spending, and the cash grant to the </w:t>
      </w:r>
      <w:r w:rsidR="00531D6F">
        <w:t>Welsh Consolidated</w:t>
      </w:r>
      <w:r w:rsidR="00881C1E">
        <w:t xml:space="preserve"> Fund.</w:t>
      </w:r>
    </w:p>
    <w:p w:rsidR="00CC1454" w:rsidP="00B40678"/>
    <w:p w:rsidR="00C27CC3" w:rsidP="00B40678"/>
    <w:p w:rsidR="00D71E00" w:rsidP="00D71E00">
      <w:pPr>
        <w:pStyle w:val="Heading1"/>
      </w:pPr>
      <w:r>
        <w:t xml:space="preserve">2 </w:t>
      </w:r>
      <w:r>
        <w:tab/>
      </w:r>
      <w:r w:rsidR="00CC1454">
        <w:t xml:space="preserve">Wales </w:t>
      </w:r>
      <w:r>
        <w:t>Office</w:t>
      </w:r>
    </w:p>
    <w:p w:rsidR="00F94CBD" w:rsidP="000E0F4E">
      <w:pPr>
        <w:pStyle w:val="Heading2"/>
      </w:pPr>
      <w:r>
        <w:t>2.1</w:t>
      </w:r>
      <w:r>
        <w:tab/>
      </w:r>
      <w:r w:rsidR="00BA4D39">
        <w:t xml:space="preserve">Comparison of spending totals sought </w:t>
      </w:r>
    </w:p>
    <w:p w:rsidR="0084152F" w:rsidP="00740C96">
      <w:pPr>
        <w:shd w:val="clear" w:color="auto" w:fill="FFFFFF"/>
        <w:spacing w:after="180" w:line="288" w:lineRule="auto"/>
        <w:rPr>
          <w:noProof/>
        </w:rPr>
      </w:pPr>
    </w:p>
    <w:p w:rsidR="00416336" w:rsidP="00740C96">
      <w:pPr>
        <w:shd w:val="clear" w:color="auto" w:fill="FFFFFF"/>
        <w:spacing w:after="180" w:line="288" w:lineRule="auto"/>
        <w:rPr>
          <w:noProof/>
        </w:rPr>
      </w:pPr>
      <w:r>
        <w:rPr>
          <w:noProof/>
        </w:rPr>
        <w:t xml:space="preserve">The table and graphic below show how the totals sought for the </w:t>
      </w:r>
      <w:r w:rsidR="00CC1454">
        <w:rPr>
          <w:noProof/>
        </w:rPr>
        <w:t xml:space="preserve">Wales </w:t>
      </w:r>
      <w:r w:rsidR="001E2D68">
        <w:rPr>
          <w:noProof/>
        </w:rPr>
        <w:t xml:space="preserve">Office </w:t>
      </w:r>
      <w:r w:rsidR="001E0FA1">
        <w:rPr>
          <w:noProof/>
        </w:rPr>
        <w:t>only</w:t>
      </w:r>
      <w:r w:rsidR="00D71E00">
        <w:rPr>
          <w:noProof/>
        </w:rPr>
        <w:t xml:space="preserve"> </w:t>
      </w:r>
      <w:r>
        <w:rPr>
          <w:noProof/>
        </w:rPr>
        <w:t>compare</w:t>
      </w:r>
      <w:r w:rsidR="00C82F56">
        <w:rPr>
          <w:noProof/>
        </w:rPr>
        <w:t xml:space="preserve">d </w:t>
      </w:r>
      <w:r>
        <w:rPr>
          <w:noProof/>
        </w:rPr>
        <w:t>with last year: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98"/>
        <w:gridCol w:w="1324"/>
        <w:gridCol w:w="1444"/>
        <w:gridCol w:w="1271"/>
        <w:gridCol w:w="1511"/>
        <w:gridCol w:w="1254"/>
      </w:tblGrid>
      <w:tr w:rsidTr="0084152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822" w:type="dxa"/>
            <w:gridSpan w:val="2"/>
            <w:vMerge w:val="restart"/>
          </w:tcPr>
          <w:p w:rsidR="0084152F" w:rsidRPr="00E60D27" w:rsidP="0084152F">
            <w:pPr>
              <w:rPr>
                <w:rFonts w:ascii="Verdana" w:hAnsi="Verdana"/>
                <w:b/>
                <w:color w:val="333333"/>
                <w:sz w:val="19"/>
                <w:szCs w:val="19"/>
              </w:rPr>
            </w:pPr>
            <w:r w:rsidRPr="00E60D27">
              <w:rPr>
                <w:rFonts w:ascii="Verdana" w:hAnsi="Verdana"/>
                <w:b/>
                <w:color w:val="333333"/>
                <w:sz w:val="19"/>
                <w:szCs w:val="19"/>
              </w:rPr>
              <w:t>Spending total</w:t>
            </w:r>
          </w:p>
          <w:p w:rsidR="0084152F" w:rsidRPr="00E60D27" w:rsidP="0084152F">
            <w:pPr>
              <w:rPr>
                <w:rFonts w:ascii="Verdana" w:hAnsi="Verdana"/>
                <w:b/>
                <w:color w:val="333333"/>
                <w:sz w:val="19"/>
                <w:szCs w:val="19"/>
              </w:rPr>
            </w:pPr>
            <w:r w:rsidRPr="00E60D27">
              <w:rPr>
                <w:rFonts w:ascii="Verdana" w:hAnsi="Verdana"/>
                <w:b/>
                <w:color w:val="333333"/>
                <w:sz w:val="19"/>
                <w:szCs w:val="19"/>
              </w:rPr>
              <w:t>Amount</w:t>
            </w:r>
            <w:r>
              <w:rPr>
                <w:rFonts w:ascii="Verdana" w:hAnsi="Verdana"/>
                <w:b/>
                <w:color w:val="333333"/>
                <w:sz w:val="19"/>
                <w:szCs w:val="19"/>
              </w:rPr>
              <w:t>s</w:t>
            </w:r>
            <w:r w:rsidRPr="00E60D27">
              <w:rPr>
                <w:rFonts w:ascii="Verdana" w:hAnsi="Verdana"/>
                <w:b/>
                <w:color w:val="333333"/>
                <w:sz w:val="19"/>
                <w:szCs w:val="19"/>
              </w:rPr>
              <w:t xml:space="preserve"> sought</w:t>
            </w:r>
            <w:r>
              <w:rPr>
                <w:rFonts w:ascii="Verdana" w:hAnsi="Verdana"/>
                <w:b/>
                <w:color w:val="333333"/>
                <w:sz w:val="19"/>
                <w:szCs w:val="19"/>
              </w:rPr>
              <w:t xml:space="preserve"> this year (Supplementary Estimates)</w:t>
            </w:r>
          </w:p>
        </w:tc>
        <w:tc>
          <w:tcPr>
            <w:tcW w:w="2715" w:type="dxa"/>
            <w:gridSpan w:val="2"/>
          </w:tcPr>
          <w:p w:rsidR="0084152F" w:rsidRPr="00E60D27" w:rsidP="0084152F">
            <w:pPr>
              <w:rPr>
                <w:rFonts w:ascii="Verdana" w:hAnsi="Verdana"/>
                <w:b/>
                <w:color w:val="333333"/>
                <w:sz w:val="19"/>
                <w:szCs w:val="19"/>
              </w:rPr>
            </w:pPr>
            <w:r w:rsidRPr="00E60D27">
              <w:rPr>
                <w:rFonts w:ascii="Verdana" w:hAnsi="Verdana"/>
                <w:b/>
                <w:color w:val="333333"/>
                <w:sz w:val="19"/>
                <w:szCs w:val="19"/>
              </w:rPr>
              <w:t xml:space="preserve">Compared to </w:t>
            </w:r>
            <w:r>
              <w:rPr>
                <w:rFonts w:ascii="Verdana" w:hAnsi="Verdana"/>
                <w:b/>
                <w:color w:val="333333"/>
                <w:sz w:val="19"/>
                <w:szCs w:val="19"/>
              </w:rPr>
              <w:t xml:space="preserve">final budget last year (Supplementary Estimates) </w:t>
            </w:r>
          </w:p>
        </w:tc>
        <w:tc>
          <w:tcPr>
            <w:tcW w:w="2765" w:type="dxa"/>
            <w:gridSpan w:val="2"/>
          </w:tcPr>
          <w:p w:rsidR="0084152F" w:rsidRPr="00E60D27" w:rsidP="0084152F">
            <w:pPr>
              <w:rPr>
                <w:rFonts w:ascii="Verdana" w:hAnsi="Verdana"/>
                <w:b/>
                <w:color w:val="333333"/>
                <w:sz w:val="19"/>
                <w:szCs w:val="19"/>
              </w:rPr>
            </w:pPr>
            <w:r w:rsidRPr="00E60D27">
              <w:rPr>
                <w:rFonts w:ascii="Verdana" w:hAnsi="Verdana"/>
                <w:b/>
                <w:color w:val="333333"/>
                <w:sz w:val="19"/>
                <w:szCs w:val="19"/>
              </w:rPr>
              <w:t xml:space="preserve">Compared to </w:t>
            </w:r>
            <w:r>
              <w:rPr>
                <w:rFonts w:ascii="Verdana" w:hAnsi="Verdana"/>
                <w:b/>
                <w:color w:val="333333"/>
                <w:sz w:val="19"/>
                <w:szCs w:val="19"/>
              </w:rPr>
              <w:t xml:space="preserve">original budget last year (Main Estimates) </w:t>
            </w:r>
          </w:p>
        </w:tc>
      </w:tr>
      <w:tr w:rsidTr="0084152F">
        <w:tblPrEx>
          <w:tblW w:w="0" w:type="auto"/>
          <w:tblLook w:val="04A0"/>
        </w:tblPrEx>
        <w:tc>
          <w:tcPr>
            <w:tcW w:w="2822" w:type="dxa"/>
            <w:gridSpan w:val="2"/>
            <w:vMerge/>
          </w:tcPr>
          <w:p w:rsidR="0084152F" w:rsidP="0084152F">
            <w:pPr>
              <w:rPr>
                <w:rFonts w:ascii="Verdana" w:hAnsi="Verdana"/>
                <w:color w:val="333333"/>
                <w:sz w:val="19"/>
                <w:szCs w:val="19"/>
              </w:rPr>
            </w:pPr>
          </w:p>
        </w:tc>
        <w:tc>
          <w:tcPr>
            <w:tcW w:w="1444" w:type="dxa"/>
          </w:tcPr>
          <w:p w:rsidR="0084152F" w:rsidP="0084152F">
            <w:pPr>
              <w:rPr>
                <w:rFonts w:ascii="Verdana" w:hAnsi="Verdana"/>
                <w:color w:val="333333"/>
                <w:sz w:val="19"/>
                <w:szCs w:val="19"/>
              </w:rPr>
            </w:pPr>
            <w:r w:rsidRPr="00E60D27">
              <w:rPr>
                <w:rFonts w:ascii="Verdana" w:hAnsi="Verdana"/>
                <w:b/>
                <w:color w:val="333333"/>
                <w:sz w:val="19"/>
                <w:szCs w:val="19"/>
              </w:rPr>
              <w:t>£ m</w:t>
            </w:r>
          </w:p>
        </w:tc>
        <w:tc>
          <w:tcPr>
            <w:tcW w:w="1271" w:type="dxa"/>
          </w:tcPr>
          <w:p w:rsidR="0084152F" w:rsidP="0084152F">
            <w:pPr>
              <w:rPr>
                <w:rFonts w:ascii="Verdana" w:hAnsi="Verdana"/>
                <w:color w:val="333333"/>
                <w:sz w:val="19"/>
                <w:szCs w:val="19"/>
              </w:rPr>
            </w:pPr>
            <w:r w:rsidRPr="00E60D27">
              <w:rPr>
                <w:rFonts w:ascii="Verdana" w:hAnsi="Verdana"/>
                <w:b/>
                <w:color w:val="333333"/>
                <w:sz w:val="19"/>
                <w:szCs w:val="19"/>
              </w:rPr>
              <w:t>%</w:t>
            </w:r>
          </w:p>
        </w:tc>
        <w:tc>
          <w:tcPr>
            <w:tcW w:w="1511" w:type="dxa"/>
          </w:tcPr>
          <w:p w:rsidR="0084152F" w:rsidP="0084152F">
            <w:pPr>
              <w:rPr>
                <w:rFonts w:ascii="Verdana" w:hAnsi="Verdana"/>
                <w:color w:val="333333"/>
                <w:sz w:val="19"/>
                <w:szCs w:val="19"/>
              </w:rPr>
            </w:pPr>
            <w:r w:rsidRPr="00E60D27">
              <w:rPr>
                <w:rFonts w:ascii="Verdana" w:hAnsi="Verdana"/>
                <w:b/>
                <w:color w:val="333333"/>
                <w:sz w:val="19"/>
                <w:szCs w:val="19"/>
              </w:rPr>
              <w:t>£m</w:t>
            </w:r>
          </w:p>
        </w:tc>
        <w:tc>
          <w:tcPr>
            <w:tcW w:w="1254" w:type="dxa"/>
          </w:tcPr>
          <w:p w:rsidR="0084152F" w:rsidP="0084152F">
            <w:pPr>
              <w:rPr>
                <w:rFonts w:ascii="Verdana" w:hAnsi="Verdana"/>
                <w:color w:val="333333"/>
                <w:sz w:val="19"/>
                <w:szCs w:val="19"/>
              </w:rPr>
            </w:pPr>
            <w:r w:rsidRPr="00E60D27">
              <w:rPr>
                <w:rFonts w:ascii="Verdana" w:hAnsi="Verdana"/>
                <w:b/>
                <w:color w:val="333333"/>
                <w:sz w:val="19"/>
                <w:szCs w:val="19"/>
              </w:rPr>
              <w:t>%</w:t>
            </w:r>
          </w:p>
        </w:tc>
      </w:tr>
      <w:tr w:rsidTr="0084152F">
        <w:tblPrEx>
          <w:tblW w:w="0" w:type="auto"/>
          <w:tblLook w:val="04A0"/>
        </w:tblPrEx>
        <w:tc>
          <w:tcPr>
            <w:tcW w:w="1498" w:type="dxa"/>
          </w:tcPr>
          <w:p w:rsidR="0084152F" w:rsidP="0084152F">
            <w:pPr>
              <w:rPr>
                <w:rFonts w:ascii="Verdana" w:hAnsi="Verdana"/>
                <w:color w:val="333333"/>
                <w:sz w:val="19"/>
                <w:szCs w:val="19"/>
              </w:rPr>
            </w:pPr>
            <w:r>
              <w:rPr>
                <w:rFonts w:ascii="Verdana" w:hAnsi="Verdana"/>
                <w:color w:val="333333"/>
                <w:sz w:val="19"/>
                <w:szCs w:val="19"/>
              </w:rPr>
              <w:t>Wales Office: Resource DEL</w:t>
            </w:r>
          </w:p>
        </w:tc>
        <w:tc>
          <w:tcPr>
            <w:tcW w:w="1324" w:type="dxa"/>
          </w:tcPr>
          <w:p w:rsidR="0084152F" w:rsidP="0084152F">
            <w:pPr>
              <w:rPr>
                <w:rFonts w:ascii="Verdana" w:hAnsi="Verdana"/>
                <w:color w:val="333333"/>
                <w:sz w:val="19"/>
                <w:szCs w:val="19"/>
              </w:rPr>
            </w:pPr>
            <w:r>
              <w:rPr>
                <w:rFonts w:ascii="Verdana" w:hAnsi="Verdana"/>
                <w:color w:val="333333"/>
                <w:sz w:val="19"/>
                <w:szCs w:val="19"/>
              </w:rPr>
              <w:t>£5.08m</w:t>
            </w:r>
          </w:p>
        </w:tc>
        <w:tc>
          <w:tcPr>
            <w:tcW w:w="1444" w:type="dxa"/>
          </w:tcPr>
          <w:p w:rsidR="0084152F" w:rsidP="0084152F">
            <w:pPr>
              <w:rPr>
                <w:rFonts w:ascii="Verdana" w:hAnsi="Verdana"/>
                <w:color w:val="333333"/>
                <w:sz w:val="19"/>
                <w:szCs w:val="19"/>
              </w:rPr>
            </w:pPr>
            <w:r>
              <w:rPr>
                <w:rFonts w:ascii="Verdana" w:hAnsi="Verdana"/>
                <w:color w:val="333333"/>
                <w:sz w:val="19"/>
                <w:szCs w:val="19"/>
              </w:rPr>
              <w:t>£0.</w:t>
            </w:r>
            <w:r w:rsidR="00B13B0C">
              <w:rPr>
                <w:rFonts w:ascii="Verdana" w:hAnsi="Verdana"/>
                <w:color w:val="333333"/>
                <w:sz w:val="19"/>
                <w:szCs w:val="19"/>
              </w:rPr>
              <w:t>167</w:t>
            </w:r>
            <w:r>
              <w:rPr>
                <w:rFonts w:ascii="Verdana" w:hAnsi="Verdana"/>
                <w:color w:val="333333"/>
                <w:sz w:val="19"/>
                <w:szCs w:val="19"/>
              </w:rPr>
              <w:t>m</w:t>
            </w:r>
          </w:p>
        </w:tc>
        <w:tc>
          <w:tcPr>
            <w:tcW w:w="1271" w:type="dxa"/>
          </w:tcPr>
          <w:p w:rsidR="0084152F" w:rsidP="0084152F">
            <w:pPr>
              <w:rPr>
                <w:rFonts w:ascii="Verdana" w:hAnsi="Verdana"/>
                <w:color w:val="333333"/>
                <w:sz w:val="19"/>
                <w:szCs w:val="19"/>
              </w:rPr>
            </w:pPr>
            <w:r>
              <w:rPr>
                <w:rFonts w:ascii="Verdana" w:hAnsi="Verdana"/>
                <w:color w:val="333333"/>
                <w:sz w:val="19"/>
                <w:szCs w:val="19"/>
              </w:rPr>
              <w:t>3%</w:t>
            </w:r>
          </w:p>
        </w:tc>
        <w:tc>
          <w:tcPr>
            <w:tcW w:w="1511" w:type="dxa"/>
          </w:tcPr>
          <w:p w:rsidR="0084152F" w:rsidP="0084152F">
            <w:pPr>
              <w:rPr>
                <w:rFonts w:ascii="Verdana" w:hAnsi="Verdana"/>
                <w:color w:val="333333"/>
                <w:sz w:val="19"/>
                <w:szCs w:val="19"/>
              </w:rPr>
            </w:pPr>
            <w:r>
              <w:rPr>
                <w:rFonts w:ascii="Verdana" w:hAnsi="Verdana"/>
                <w:color w:val="333333"/>
                <w:sz w:val="19"/>
                <w:szCs w:val="19"/>
              </w:rPr>
              <w:t>£</w:t>
            </w:r>
            <w:r w:rsidR="00DB6E61">
              <w:rPr>
                <w:rFonts w:ascii="Verdana" w:hAnsi="Verdana"/>
                <w:color w:val="333333"/>
                <w:sz w:val="19"/>
                <w:szCs w:val="19"/>
              </w:rPr>
              <w:t>0.432</w:t>
            </w:r>
            <w:r w:rsidR="002271A5">
              <w:rPr>
                <w:rFonts w:ascii="Verdana" w:hAnsi="Verdana"/>
                <w:color w:val="333333"/>
                <w:sz w:val="19"/>
                <w:szCs w:val="19"/>
              </w:rPr>
              <w:t>m</w:t>
            </w:r>
          </w:p>
        </w:tc>
        <w:tc>
          <w:tcPr>
            <w:tcW w:w="1254" w:type="dxa"/>
          </w:tcPr>
          <w:p w:rsidR="0084152F" w:rsidP="0084152F">
            <w:pPr>
              <w:rPr>
                <w:rFonts w:ascii="Verdana" w:hAnsi="Verdana"/>
                <w:color w:val="333333"/>
                <w:sz w:val="19"/>
                <w:szCs w:val="19"/>
              </w:rPr>
            </w:pPr>
            <w:r>
              <w:rPr>
                <w:rFonts w:ascii="Verdana" w:hAnsi="Verdana"/>
                <w:color w:val="333333"/>
                <w:sz w:val="19"/>
                <w:szCs w:val="19"/>
              </w:rPr>
              <w:t>9%</w:t>
            </w:r>
          </w:p>
        </w:tc>
      </w:tr>
      <w:tr w:rsidTr="0084152F">
        <w:tblPrEx>
          <w:tblW w:w="0" w:type="auto"/>
          <w:tblLook w:val="04A0"/>
        </w:tblPrEx>
        <w:tc>
          <w:tcPr>
            <w:tcW w:w="1498" w:type="dxa"/>
          </w:tcPr>
          <w:p w:rsidR="0084152F" w:rsidP="0084152F">
            <w:pPr>
              <w:rPr>
                <w:rFonts w:ascii="Verdana" w:hAnsi="Verdana"/>
                <w:color w:val="333333"/>
                <w:sz w:val="19"/>
                <w:szCs w:val="19"/>
              </w:rPr>
            </w:pPr>
            <w:r>
              <w:rPr>
                <w:rFonts w:ascii="Verdana" w:hAnsi="Verdana"/>
                <w:color w:val="333333"/>
                <w:sz w:val="19"/>
                <w:szCs w:val="19"/>
              </w:rPr>
              <w:t>Wales Office: Capital DEL</w:t>
            </w:r>
          </w:p>
        </w:tc>
        <w:tc>
          <w:tcPr>
            <w:tcW w:w="1324" w:type="dxa"/>
          </w:tcPr>
          <w:p w:rsidR="0084152F" w:rsidP="0084152F">
            <w:pPr>
              <w:rPr>
                <w:rFonts w:ascii="Verdana" w:hAnsi="Verdana"/>
                <w:color w:val="333333"/>
                <w:sz w:val="19"/>
                <w:szCs w:val="19"/>
              </w:rPr>
            </w:pPr>
            <w:r>
              <w:rPr>
                <w:rFonts w:ascii="Verdana" w:hAnsi="Verdana"/>
                <w:color w:val="333333"/>
                <w:sz w:val="19"/>
                <w:szCs w:val="19"/>
              </w:rPr>
              <w:t>£0.05m</w:t>
            </w:r>
          </w:p>
        </w:tc>
        <w:tc>
          <w:tcPr>
            <w:tcW w:w="1444" w:type="dxa"/>
          </w:tcPr>
          <w:p w:rsidR="0084152F" w:rsidP="0084152F">
            <w:pPr>
              <w:rPr>
                <w:rFonts w:ascii="Verdana" w:hAnsi="Verdana"/>
                <w:color w:val="333333"/>
                <w:sz w:val="19"/>
                <w:szCs w:val="19"/>
              </w:rPr>
            </w:pPr>
            <w:r>
              <w:rPr>
                <w:rFonts w:ascii="Verdana" w:hAnsi="Verdana"/>
                <w:color w:val="333333"/>
                <w:sz w:val="19"/>
                <w:szCs w:val="19"/>
              </w:rPr>
              <w:t>+£0.02m</w:t>
            </w:r>
          </w:p>
        </w:tc>
        <w:tc>
          <w:tcPr>
            <w:tcW w:w="1271" w:type="dxa"/>
          </w:tcPr>
          <w:p w:rsidR="0084152F" w:rsidP="0084152F">
            <w:pPr>
              <w:rPr>
                <w:rFonts w:ascii="Verdana" w:hAnsi="Verdana"/>
                <w:color w:val="333333"/>
                <w:sz w:val="19"/>
                <w:szCs w:val="19"/>
              </w:rPr>
            </w:pPr>
            <w:r>
              <w:rPr>
                <w:rFonts w:ascii="Verdana" w:hAnsi="Verdana"/>
                <w:color w:val="333333"/>
                <w:sz w:val="19"/>
                <w:szCs w:val="19"/>
              </w:rPr>
              <w:t>40%</w:t>
            </w:r>
          </w:p>
        </w:tc>
        <w:tc>
          <w:tcPr>
            <w:tcW w:w="1511" w:type="dxa"/>
          </w:tcPr>
          <w:p w:rsidR="0084152F" w:rsidP="0084152F">
            <w:pPr>
              <w:rPr>
                <w:rFonts w:ascii="Verdana" w:hAnsi="Verdana"/>
                <w:color w:val="333333"/>
                <w:sz w:val="19"/>
                <w:szCs w:val="19"/>
              </w:rPr>
            </w:pPr>
            <w:r>
              <w:rPr>
                <w:rFonts w:ascii="Verdana" w:hAnsi="Verdana"/>
                <w:color w:val="333333"/>
                <w:sz w:val="19"/>
                <w:szCs w:val="19"/>
              </w:rPr>
              <w:t>+£0.02m</w:t>
            </w:r>
          </w:p>
        </w:tc>
        <w:tc>
          <w:tcPr>
            <w:tcW w:w="1254" w:type="dxa"/>
          </w:tcPr>
          <w:p w:rsidR="0084152F" w:rsidP="0084152F">
            <w:pPr>
              <w:rPr>
                <w:rFonts w:ascii="Verdana" w:hAnsi="Verdana"/>
                <w:color w:val="333333"/>
                <w:sz w:val="19"/>
                <w:szCs w:val="19"/>
              </w:rPr>
            </w:pPr>
            <w:r>
              <w:rPr>
                <w:rFonts w:ascii="Verdana" w:hAnsi="Verdana"/>
                <w:color w:val="333333"/>
                <w:sz w:val="19"/>
                <w:szCs w:val="19"/>
              </w:rPr>
              <w:t>40%</w:t>
            </w:r>
          </w:p>
        </w:tc>
      </w:tr>
      <w:tr w:rsidTr="0084152F">
        <w:tblPrEx>
          <w:tblW w:w="0" w:type="auto"/>
          <w:tblLook w:val="04A0"/>
        </w:tblPrEx>
        <w:tc>
          <w:tcPr>
            <w:tcW w:w="1498" w:type="dxa"/>
          </w:tcPr>
          <w:p w:rsidR="0084152F" w:rsidP="0084152F">
            <w:pPr>
              <w:rPr>
                <w:rFonts w:ascii="Verdana" w:hAnsi="Verdana"/>
                <w:color w:val="333333"/>
                <w:sz w:val="19"/>
                <w:szCs w:val="19"/>
              </w:rPr>
            </w:pPr>
            <w:r>
              <w:rPr>
                <w:rFonts w:ascii="Verdana" w:hAnsi="Verdana"/>
                <w:color w:val="333333"/>
                <w:sz w:val="19"/>
                <w:szCs w:val="19"/>
              </w:rPr>
              <w:t>Wales Office: Resource AME</w:t>
            </w:r>
          </w:p>
        </w:tc>
        <w:tc>
          <w:tcPr>
            <w:tcW w:w="1324" w:type="dxa"/>
          </w:tcPr>
          <w:p w:rsidR="0084152F" w:rsidP="0084152F">
            <w:pPr>
              <w:rPr>
                <w:rFonts w:ascii="Verdana" w:hAnsi="Verdana"/>
                <w:color w:val="333333"/>
                <w:sz w:val="19"/>
                <w:szCs w:val="19"/>
              </w:rPr>
            </w:pPr>
            <w:r>
              <w:rPr>
                <w:rFonts w:ascii="Verdana" w:hAnsi="Verdana"/>
                <w:color w:val="333333"/>
                <w:sz w:val="19"/>
                <w:szCs w:val="19"/>
              </w:rPr>
              <w:t>£0.243m</w:t>
            </w:r>
          </w:p>
        </w:tc>
        <w:tc>
          <w:tcPr>
            <w:tcW w:w="1444" w:type="dxa"/>
          </w:tcPr>
          <w:p w:rsidR="0084152F" w:rsidP="0084152F">
            <w:pPr>
              <w:rPr>
                <w:rFonts w:ascii="Verdana" w:hAnsi="Verdana"/>
                <w:color w:val="333333"/>
                <w:sz w:val="19"/>
                <w:szCs w:val="19"/>
              </w:rPr>
            </w:pPr>
            <w:r>
              <w:rPr>
                <w:rFonts w:ascii="Verdana" w:hAnsi="Verdana"/>
                <w:color w:val="333333"/>
                <w:sz w:val="19"/>
                <w:szCs w:val="19"/>
              </w:rPr>
              <w:t>+0.2</w:t>
            </w:r>
            <w:r w:rsidR="00507849">
              <w:rPr>
                <w:rFonts w:ascii="Verdana" w:hAnsi="Verdana"/>
                <w:color w:val="333333"/>
                <w:sz w:val="19"/>
                <w:szCs w:val="19"/>
              </w:rPr>
              <w:t>36</w:t>
            </w:r>
            <w:r>
              <w:rPr>
                <w:rFonts w:ascii="Verdana" w:hAnsi="Verdana"/>
                <w:color w:val="333333"/>
                <w:sz w:val="19"/>
                <w:szCs w:val="19"/>
              </w:rPr>
              <w:t>m</w:t>
            </w:r>
          </w:p>
        </w:tc>
        <w:tc>
          <w:tcPr>
            <w:tcW w:w="1271" w:type="dxa"/>
          </w:tcPr>
          <w:p w:rsidR="0084152F" w:rsidP="0084152F">
            <w:pPr>
              <w:rPr>
                <w:rFonts w:ascii="Verdana" w:hAnsi="Verdana"/>
                <w:color w:val="333333"/>
                <w:sz w:val="19"/>
                <w:szCs w:val="19"/>
              </w:rPr>
            </w:pPr>
            <w:r>
              <w:rPr>
                <w:rFonts w:ascii="Verdana" w:hAnsi="Verdana"/>
                <w:color w:val="333333"/>
                <w:sz w:val="19"/>
                <w:szCs w:val="19"/>
              </w:rPr>
              <w:t>97</w:t>
            </w:r>
            <w:r>
              <w:rPr>
                <w:rFonts w:ascii="Verdana" w:hAnsi="Verdana"/>
                <w:color w:val="333333"/>
                <w:sz w:val="19"/>
                <w:szCs w:val="19"/>
              </w:rPr>
              <w:t>%</w:t>
            </w:r>
          </w:p>
        </w:tc>
        <w:tc>
          <w:tcPr>
            <w:tcW w:w="1511" w:type="dxa"/>
          </w:tcPr>
          <w:p w:rsidR="0084152F" w:rsidP="0084152F">
            <w:pPr>
              <w:rPr>
                <w:rFonts w:ascii="Verdana" w:hAnsi="Verdana"/>
                <w:color w:val="333333"/>
                <w:sz w:val="19"/>
                <w:szCs w:val="19"/>
              </w:rPr>
            </w:pPr>
            <w:r>
              <w:rPr>
                <w:rFonts w:ascii="Verdana" w:hAnsi="Verdana"/>
                <w:color w:val="333333"/>
                <w:sz w:val="19"/>
                <w:szCs w:val="19"/>
              </w:rPr>
              <w:t>+0.243m</w:t>
            </w:r>
          </w:p>
        </w:tc>
        <w:tc>
          <w:tcPr>
            <w:tcW w:w="1254" w:type="dxa"/>
          </w:tcPr>
          <w:p w:rsidR="0084152F" w:rsidP="0084152F">
            <w:pPr>
              <w:rPr>
                <w:rFonts w:ascii="Verdana" w:hAnsi="Verdana"/>
                <w:color w:val="333333"/>
                <w:sz w:val="19"/>
                <w:szCs w:val="19"/>
              </w:rPr>
            </w:pPr>
            <w:r>
              <w:rPr>
                <w:rFonts w:ascii="Verdana" w:hAnsi="Verdana"/>
                <w:color w:val="333333"/>
                <w:sz w:val="19"/>
                <w:szCs w:val="19"/>
              </w:rPr>
              <w:t>100%</w:t>
            </w:r>
          </w:p>
        </w:tc>
      </w:tr>
    </w:tbl>
    <w:p w:rsidR="00DF798D" w:rsidP="00DF798D">
      <w:pPr>
        <w:shd w:val="clear" w:color="auto" w:fill="FFFFFF"/>
        <w:spacing w:after="180" w:line="288" w:lineRule="auto"/>
        <w:rPr>
          <w:rFonts w:ascii="Verdana" w:eastAsia="Times New Roman" w:hAnsi="Verdana" w:cs="Times New Roman"/>
          <w:i/>
          <w:color w:val="333333"/>
          <w:sz w:val="19"/>
          <w:szCs w:val="19"/>
          <w:lang w:eastAsia="en-GB"/>
        </w:rPr>
      </w:pPr>
    </w:p>
    <w:p w:rsidR="00B779AA" w:rsidP="00B779AA">
      <w:pPr>
        <w:rPr>
          <w:lang w:eastAsia="en-GB"/>
        </w:rPr>
      </w:pPr>
      <w:r w:rsidRPr="00B779AA">
        <w:rPr>
          <w:lang w:eastAsia="en-GB"/>
        </w:rPr>
        <w:t xml:space="preserve">Provision for </w:t>
      </w:r>
      <w:r>
        <w:rPr>
          <w:lang w:eastAsia="en-GB"/>
        </w:rPr>
        <w:t xml:space="preserve">the DEL budget for </w:t>
      </w:r>
      <w:r w:rsidRPr="00B779AA">
        <w:rPr>
          <w:lang w:eastAsia="en-GB"/>
        </w:rPr>
        <w:t>201</w:t>
      </w:r>
      <w:r>
        <w:rPr>
          <w:lang w:eastAsia="en-GB"/>
        </w:rPr>
        <w:t>9</w:t>
      </w:r>
      <w:r w:rsidRPr="00B779AA">
        <w:rPr>
          <w:lang w:eastAsia="en-GB"/>
        </w:rPr>
        <w:t>-20 was determined in the 2015 Spending Review. From the baseline set in the 2015 Spending Review, the Wales Office agreed a flat real terms increase. This is in line with the settlements for the other Territorial Offices.</w:t>
      </w:r>
    </w:p>
    <w:p w:rsidR="00DB6E61" w:rsidP="00B779AA">
      <w:pPr>
        <w:rPr>
          <w:lang w:eastAsia="en-GB"/>
        </w:rPr>
      </w:pPr>
      <w:r>
        <w:rPr>
          <w:lang w:eastAsia="en-GB"/>
        </w:rPr>
        <w:t>The Office also received additional funding of £0.265m for EU Exit work in the 2018-19 Supplementary Estimates and 2019-20 Main Estimates.</w:t>
      </w:r>
    </w:p>
    <w:p w:rsidR="00AB5E6E" w:rsidP="00B779AA">
      <w:pPr>
        <w:rPr>
          <w:lang w:eastAsia="en-GB"/>
        </w:rPr>
      </w:pPr>
      <w:r>
        <w:rPr>
          <w:lang w:eastAsia="en-GB"/>
        </w:rPr>
        <w:t xml:space="preserve">As part of the Supplementary Estimate process the Office made the following changes to its </w:t>
      </w:r>
      <w:r>
        <w:rPr>
          <w:lang w:eastAsia="en-GB"/>
        </w:rPr>
        <w:t xml:space="preserve">DEL </w:t>
      </w:r>
      <w:r w:rsidR="007D6DFE">
        <w:rPr>
          <w:lang w:eastAsia="en-GB"/>
        </w:rPr>
        <w:t xml:space="preserve">and AME </w:t>
      </w:r>
      <w:r>
        <w:rPr>
          <w:lang w:eastAsia="en-GB"/>
        </w:rPr>
        <w:t xml:space="preserve">Control Totals.   </w:t>
      </w:r>
    </w:p>
    <w:p w:rsidR="00C82F56" w:rsidP="007D6DFE">
      <w:pPr>
        <w:pStyle w:val="ListParagraph"/>
        <w:numPr>
          <w:ilvl w:val="0"/>
          <w:numId w:val="25"/>
        </w:numPr>
        <w:rPr>
          <w:lang w:eastAsia="en-GB"/>
        </w:rPr>
      </w:pPr>
      <w:r>
        <w:rPr>
          <w:b/>
          <w:lang w:eastAsia="en-GB"/>
        </w:rPr>
        <w:t>£</w:t>
      </w:r>
      <w:r w:rsidRPr="00AB5E6E">
        <w:rPr>
          <w:b/>
          <w:lang w:eastAsia="en-GB"/>
        </w:rPr>
        <w:t>0.02</w:t>
      </w:r>
      <w:r w:rsidRPr="00AB5E6E" w:rsidR="00566809">
        <w:rPr>
          <w:b/>
          <w:lang w:eastAsia="en-GB"/>
        </w:rPr>
        <w:t>m</w:t>
      </w:r>
      <w:r w:rsidR="00566809">
        <w:rPr>
          <w:lang w:eastAsia="en-GB"/>
        </w:rPr>
        <w:t xml:space="preserve"> -</w:t>
      </w:r>
      <w:r>
        <w:rPr>
          <w:lang w:eastAsia="en-GB"/>
        </w:rPr>
        <w:t xml:space="preserve"> </w:t>
      </w:r>
      <w:r w:rsidRPr="00AB5E6E">
        <w:rPr>
          <w:lang w:eastAsia="en-GB"/>
        </w:rPr>
        <w:t xml:space="preserve">Budget switch from </w:t>
      </w:r>
      <w:r>
        <w:rPr>
          <w:lang w:eastAsia="en-GB"/>
        </w:rPr>
        <w:t xml:space="preserve">Resource DEL to Capital DEL </w:t>
      </w:r>
      <w:r w:rsidRPr="00AB5E6E">
        <w:rPr>
          <w:lang w:eastAsia="en-GB"/>
        </w:rPr>
        <w:t xml:space="preserve">to reflect increase in asset </w:t>
      </w:r>
      <w:r w:rsidRPr="00AB5E6E" w:rsidR="00566809">
        <w:rPr>
          <w:lang w:eastAsia="en-GB"/>
        </w:rPr>
        <w:t>base</w:t>
      </w:r>
      <w:r w:rsidR="00566809">
        <w:rPr>
          <w:lang w:eastAsia="en-GB"/>
        </w:rPr>
        <w:t>;</w:t>
      </w:r>
    </w:p>
    <w:p w:rsidR="00437EFE" w:rsidRPr="00437EFE" w:rsidP="00437EFE">
      <w:pPr>
        <w:pStyle w:val="ListParagraph"/>
        <w:numPr>
          <w:ilvl w:val="0"/>
          <w:numId w:val="25"/>
        </w:numPr>
        <w:rPr>
          <w:b/>
          <w:lang w:eastAsia="en-GB"/>
        </w:rPr>
      </w:pPr>
      <w:r w:rsidRPr="007D6DFE">
        <w:rPr>
          <w:b/>
          <w:lang w:eastAsia="en-GB"/>
        </w:rPr>
        <w:t>£0.243</w:t>
      </w:r>
      <w:r w:rsidRPr="007D6DFE" w:rsidR="00566809">
        <w:rPr>
          <w:b/>
          <w:lang w:eastAsia="en-GB"/>
        </w:rPr>
        <w:t>m</w:t>
      </w:r>
      <w:r w:rsidR="00566809">
        <w:rPr>
          <w:b/>
          <w:lang w:eastAsia="en-GB"/>
        </w:rPr>
        <w:t>: -</w:t>
      </w:r>
      <w:r w:rsidRPr="00437EFE">
        <w:t xml:space="preserve"> </w:t>
      </w:r>
    </w:p>
    <w:p w:rsidR="007D6DFE" w:rsidP="00437EFE">
      <w:pPr>
        <w:pStyle w:val="ListParagraph"/>
        <w:numPr>
          <w:ilvl w:val="1"/>
          <w:numId w:val="25"/>
        </w:numPr>
        <w:rPr>
          <w:b/>
          <w:lang w:eastAsia="en-GB"/>
        </w:rPr>
      </w:pPr>
      <w:r w:rsidRPr="00437EFE">
        <w:rPr>
          <w:b/>
        </w:rPr>
        <w:t>£0.008m</w:t>
      </w:r>
      <w:r>
        <w:t xml:space="preserve"> - </w:t>
      </w:r>
      <w:r w:rsidRPr="00437EFE">
        <w:rPr>
          <w:lang w:eastAsia="en-GB"/>
        </w:rPr>
        <w:t xml:space="preserve">Increase in Wales Office provision to cover increase in potential </w:t>
      </w:r>
      <w:r w:rsidR="004B6F5F">
        <w:rPr>
          <w:lang w:eastAsia="en-GB"/>
        </w:rPr>
        <w:t>dilapidation</w:t>
      </w:r>
      <w:r w:rsidR="001839A2">
        <w:rPr>
          <w:lang w:eastAsia="en-GB"/>
        </w:rPr>
        <w:t>s</w:t>
      </w:r>
      <w:r w:rsidR="004B6F5F">
        <w:rPr>
          <w:lang w:eastAsia="en-GB"/>
        </w:rPr>
        <w:t xml:space="preserve"> resulting from </w:t>
      </w:r>
      <w:r w:rsidRPr="00437EFE">
        <w:rPr>
          <w:lang w:eastAsia="en-GB"/>
        </w:rPr>
        <w:t>future exit costs from the lease at the Cardiff Office</w:t>
      </w:r>
    </w:p>
    <w:p w:rsidR="00437EFE" w:rsidP="00437EFE">
      <w:pPr>
        <w:pStyle w:val="ListParagraph"/>
        <w:numPr>
          <w:ilvl w:val="1"/>
          <w:numId w:val="25"/>
        </w:numPr>
        <w:rPr>
          <w:lang w:eastAsia="en-GB"/>
        </w:rPr>
      </w:pPr>
      <w:r w:rsidRPr="00437EFE">
        <w:rPr>
          <w:b/>
          <w:lang w:eastAsia="en-GB"/>
        </w:rPr>
        <w:t xml:space="preserve">£0.235m </w:t>
      </w:r>
      <w:r w:rsidRPr="00437EFE">
        <w:rPr>
          <w:lang w:eastAsia="en-GB"/>
        </w:rPr>
        <w:t xml:space="preserve">- </w:t>
      </w:r>
      <w:r>
        <w:rPr>
          <w:lang w:eastAsia="en-GB"/>
        </w:rPr>
        <w:t>i</w:t>
      </w:r>
      <w:r w:rsidRPr="00437EFE">
        <w:rPr>
          <w:lang w:eastAsia="en-GB"/>
        </w:rPr>
        <w:t>ncrease in Wales Office AME to cover creation of a new provision for a potential onerous lease for future planned relocation of the Cardiff Office</w:t>
      </w:r>
      <w:r>
        <w:rPr>
          <w:lang w:eastAsia="en-GB"/>
        </w:rPr>
        <w:t>.</w:t>
      </w:r>
    </w:p>
    <w:p w:rsidR="00437EFE" w:rsidP="000F7D1D">
      <w:pPr>
        <w:pStyle w:val="Heading2"/>
        <w:rPr>
          <w:lang w:eastAsia="en-GB"/>
        </w:rPr>
      </w:pPr>
    </w:p>
    <w:p w:rsidR="00541F38" w:rsidRPr="00541F38" w:rsidP="00541F38">
      <w:pPr>
        <w:rPr>
          <w:lang w:eastAsia="en-GB"/>
        </w:rPr>
      </w:pPr>
    </w:p>
    <w:p w:rsidR="00437EFE" w:rsidP="000F7D1D">
      <w:pPr>
        <w:pStyle w:val="Heading2"/>
        <w:rPr>
          <w:lang w:eastAsia="en-GB"/>
        </w:rPr>
      </w:pPr>
    </w:p>
    <w:p w:rsidR="00437EFE" w:rsidP="000F7D1D">
      <w:pPr>
        <w:pStyle w:val="Heading2"/>
        <w:rPr>
          <w:lang w:eastAsia="en-GB"/>
        </w:rPr>
      </w:pPr>
    </w:p>
    <w:p w:rsidR="00437EFE" w:rsidP="000F7D1D">
      <w:pPr>
        <w:pStyle w:val="Heading2"/>
        <w:rPr>
          <w:lang w:eastAsia="en-GB"/>
        </w:rPr>
      </w:pPr>
    </w:p>
    <w:p w:rsidR="008F792E" w:rsidRPr="008F792E" w:rsidP="008F792E">
      <w:pPr>
        <w:rPr>
          <w:lang w:eastAsia="en-GB"/>
        </w:rPr>
      </w:pPr>
    </w:p>
    <w:p w:rsidR="000F7D1D" w:rsidP="000F7D1D">
      <w:pPr>
        <w:pStyle w:val="Heading2"/>
        <w:rPr>
          <w:lang w:eastAsia="en-GB"/>
        </w:rPr>
      </w:pPr>
      <w:r>
        <w:rPr>
          <w:lang w:eastAsia="en-GB"/>
        </w:rPr>
        <w:t>2.3 Spending trends</w:t>
      </w:r>
    </w:p>
    <w:p w:rsidR="000F7D1D" w:rsidP="000F7D1D">
      <w:pPr>
        <w:rPr>
          <w:lang w:eastAsia="en-GB"/>
        </w:rPr>
      </w:pPr>
    </w:p>
    <w:tbl>
      <w:tblPr>
        <w:tblStyle w:val="TableGrid"/>
        <w:tblW w:w="0" w:type="auto"/>
        <w:tblLook w:val="04A0"/>
      </w:tblPr>
      <w:tblGrid>
        <w:gridCol w:w="1792"/>
        <w:gridCol w:w="974"/>
        <w:gridCol w:w="1384"/>
        <w:gridCol w:w="1384"/>
        <w:gridCol w:w="1384"/>
        <w:gridCol w:w="1384"/>
      </w:tblGrid>
      <w:tr w:rsidTr="000F7D1D">
        <w:tblPrEx>
          <w:tblW w:w="0" w:type="auto"/>
          <w:tblLook w:val="04A0"/>
        </w:tblPrEx>
        <w:tc>
          <w:tcPr>
            <w:tcW w:w="1792" w:type="dxa"/>
          </w:tcPr>
          <w:p w:rsidR="000F7D1D" w:rsidP="000F7D1D">
            <w:pPr>
              <w:rPr>
                <w:b/>
                <w:lang w:eastAsia="en-GB"/>
              </w:rPr>
            </w:pPr>
            <w:r>
              <w:rPr>
                <w:b/>
                <w:lang w:eastAsia="en-GB"/>
              </w:rPr>
              <w:t xml:space="preserve">Wales </w:t>
            </w:r>
            <w:r w:rsidRPr="0074085B">
              <w:rPr>
                <w:b/>
                <w:lang w:eastAsia="en-GB"/>
              </w:rPr>
              <w:t>Office</w:t>
            </w:r>
            <w:r w:rsidR="0074085B">
              <w:rPr>
                <w:b/>
                <w:lang w:eastAsia="en-GB"/>
              </w:rPr>
              <w:t>,</w:t>
            </w:r>
          </w:p>
          <w:p w:rsidR="0074085B" w:rsidRPr="0074085B" w:rsidP="000F7D1D">
            <w:pPr>
              <w:rPr>
                <w:b/>
                <w:lang w:eastAsia="en-GB"/>
              </w:rPr>
            </w:pPr>
            <w:r>
              <w:rPr>
                <w:b/>
                <w:lang w:eastAsia="en-GB"/>
              </w:rPr>
              <w:t>£ million</w:t>
            </w:r>
          </w:p>
        </w:tc>
        <w:tc>
          <w:tcPr>
            <w:tcW w:w="974" w:type="dxa"/>
          </w:tcPr>
          <w:p w:rsidR="000F7D1D" w:rsidP="000F7D1D">
            <w:pPr>
              <w:rPr>
                <w:lang w:eastAsia="en-GB"/>
              </w:rPr>
            </w:pPr>
            <w:r>
              <w:rPr>
                <w:lang w:eastAsia="en-GB"/>
              </w:rPr>
              <w:t>2015/16</w:t>
            </w:r>
          </w:p>
        </w:tc>
        <w:tc>
          <w:tcPr>
            <w:tcW w:w="1384" w:type="dxa"/>
          </w:tcPr>
          <w:p w:rsidR="000F7D1D" w:rsidP="000F7D1D">
            <w:pPr>
              <w:rPr>
                <w:lang w:eastAsia="en-GB"/>
              </w:rPr>
            </w:pPr>
            <w:r>
              <w:rPr>
                <w:lang w:eastAsia="en-GB"/>
              </w:rPr>
              <w:t>2016/17</w:t>
            </w:r>
          </w:p>
        </w:tc>
        <w:tc>
          <w:tcPr>
            <w:tcW w:w="1384" w:type="dxa"/>
          </w:tcPr>
          <w:p w:rsidR="000F7D1D" w:rsidP="000F7D1D">
            <w:pPr>
              <w:rPr>
                <w:lang w:eastAsia="en-GB"/>
              </w:rPr>
            </w:pPr>
            <w:r>
              <w:rPr>
                <w:lang w:eastAsia="en-GB"/>
              </w:rPr>
              <w:t>2017/18</w:t>
            </w:r>
          </w:p>
        </w:tc>
        <w:tc>
          <w:tcPr>
            <w:tcW w:w="1384" w:type="dxa"/>
          </w:tcPr>
          <w:p w:rsidR="000F7D1D" w:rsidP="000F7D1D">
            <w:pPr>
              <w:rPr>
                <w:lang w:eastAsia="en-GB"/>
              </w:rPr>
            </w:pPr>
            <w:r>
              <w:rPr>
                <w:lang w:eastAsia="en-GB"/>
              </w:rPr>
              <w:t>2018/19</w:t>
            </w:r>
          </w:p>
        </w:tc>
        <w:tc>
          <w:tcPr>
            <w:tcW w:w="1384" w:type="dxa"/>
          </w:tcPr>
          <w:p w:rsidR="000F7D1D" w:rsidP="000F7D1D">
            <w:pPr>
              <w:rPr>
                <w:lang w:eastAsia="en-GB"/>
              </w:rPr>
            </w:pPr>
            <w:r>
              <w:rPr>
                <w:lang w:eastAsia="en-GB"/>
              </w:rPr>
              <w:t>2019/20</w:t>
            </w:r>
          </w:p>
        </w:tc>
      </w:tr>
      <w:tr w:rsidTr="000F7D1D">
        <w:tblPrEx>
          <w:tblW w:w="0" w:type="auto"/>
          <w:tblLook w:val="04A0"/>
        </w:tblPrEx>
        <w:tc>
          <w:tcPr>
            <w:tcW w:w="1792" w:type="dxa"/>
          </w:tcPr>
          <w:p w:rsidR="00CF049D" w:rsidP="000F7D1D">
            <w:pPr>
              <w:rPr>
                <w:lang w:eastAsia="en-GB"/>
              </w:rPr>
            </w:pPr>
          </w:p>
        </w:tc>
        <w:tc>
          <w:tcPr>
            <w:tcW w:w="974" w:type="dxa"/>
          </w:tcPr>
          <w:p w:rsidR="00CF049D" w:rsidP="000F7D1D">
            <w:pPr>
              <w:rPr>
                <w:lang w:eastAsia="en-GB"/>
              </w:rPr>
            </w:pPr>
            <w:r>
              <w:rPr>
                <w:lang w:eastAsia="en-GB"/>
              </w:rPr>
              <w:t>Outturn</w:t>
            </w:r>
          </w:p>
        </w:tc>
        <w:tc>
          <w:tcPr>
            <w:tcW w:w="1384" w:type="dxa"/>
          </w:tcPr>
          <w:p w:rsidR="00CF049D" w:rsidP="000F7D1D">
            <w:pPr>
              <w:rPr>
                <w:lang w:eastAsia="en-GB"/>
              </w:rPr>
            </w:pPr>
            <w:r>
              <w:rPr>
                <w:lang w:eastAsia="en-GB"/>
              </w:rPr>
              <w:t>Outturn</w:t>
            </w:r>
          </w:p>
        </w:tc>
        <w:tc>
          <w:tcPr>
            <w:tcW w:w="1384" w:type="dxa"/>
          </w:tcPr>
          <w:p w:rsidR="00CF049D" w:rsidP="000F7D1D">
            <w:pPr>
              <w:rPr>
                <w:lang w:eastAsia="en-GB"/>
              </w:rPr>
            </w:pPr>
            <w:r>
              <w:rPr>
                <w:lang w:eastAsia="en-GB"/>
              </w:rPr>
              <w:t>Outturn</w:t>
            </w:r>
          </w:p>
        </w:tc>
        <w:tc>
          <w:tcPr>
            <w:tcW w:w="1384" w:type="dxa"/>
          </w:tcPr>
          <w:p w:rsidR="00CF049D" w:rsidP="000F7D1D">
            <w:pPr>
              <w:rPr>
                <w:lang w:eastAsia="en-GB"/>
              </w:rPr>
            </w:pPr>
            <w:r>
              <w:rPr>
                <w:lang w:eastAsia="en-GB"/>
              </w:rPr>
              <w:t>Outturn</w:t>
            </w:r>
          </w:p>
        </w:tc>
        <w:tc>
          <w:tcPr>
            <w:tcW w:w="1384" w:type="dxa"/>
          </w:tcPr>
          <w:p w:rsidR="00CF049D" w:rsidP="000F7D1D">
            <w:pPr>
              <w:rPr>
                <w:lang w:eastAsia="en-GB"/>
              </w:rPr>
            </w:pPr>
            <w:r>
              <w:rPr>
                <w:lang w:eastAsia="en-GB"/>
              </w:rPr>
              <w:t>Plans</w:t>
            </w:r>
          </w:p>
        </w:tc>
      </w:tr>
      <w:tr w:rsidTr="00F867CE">
        <w:tblPrEx>
          <w:tblW w:w="0" w:type="auto"/>
          <w:tblLook w:val="04A0"/>
        </w:tblPrEx>
        <w:tc>
          <w:tcPr>
            <w:tcW w:w="1792" w:type="dxa"/>
          </w:tcPr>
          <w:p w:rsidR="000A7072" w:rsidP="000A7072">
            <w:pPr>
              <w:rPr>
                <w:lang w:eastAsia="en-GB"/>
              </w:rPr>
            </w:pPr>
            <w:r>
              <w:rPr>
                <w:lang w:eastAsia="en-GB"/>
              </w:rPr>
              <w:t>Admin costs</w:t>
            </w:r>
          </w:p>
        </w:tc>
        <w:tc>
          <w:tcPr>
            <w:tcW w:w="97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3.9</w:t>
            </w:r>
          </w:p>
        </w:tc>
        <w:tc>
          <w:tcPr>
            <w:tcW w:w="138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4.4</w:t>
            </w:r>
          </w:p>
        </w:tc>
        <w:tc>
          <w:tcPr>
            <w:tcW w:w="138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4.6</w:t>
            </w:r>
          </w:p>
        </w:tc>
        <w:tc>
          <w:tcPr>
            <w:tcW w:w="1384" w:type="dxa"/>
            <w:tcBorders>
              <w:top w:val="nil"/>
              <w:left w:val="nil"/>
              <w:bottom w:val="single" w:sz="8" w:space="0" w:color="auto"/>
              <w:right w:val="nil"/>
            </w:tcBorders>
            <w:shd w:val="clear" w:color="auto" w:fill="auto"/>
            <w:vAlign w:val="center"/>
          </w:tcPr>
          <w:p w:rsidR="000A7072" w:rsidP="000A7072">
            <w:pPr>
              <w:rPr>
                <w:lang w:eastAsia="en-GB"/>
              </w:rPr>
            </w:pPr>
            <w:r>
              <w:rPr>
                <w:rFonts w:ascii="Calibri" w:hAnsi="Calibri" w:cs="Calibri"/>
                <w:color w:val="000000"/>
              </w:rPr>
              <w:t>4.</w:t>
            </w:r>
            <w:r w:rsidR="00541F38">
              <w:rPr>
                <w:rFonts w:ascii="Calibri" w:hAnsi="Calibri" w:cs="Calibri"/>
                <w:color w:val="000000"/>
              </w:rPr>
              <w:t>4</w:t>
            </w:r>
          </w:p>
        </w:tc>
        <w:tc>
          <w:tcPr>
            <w:tcW w:w="1384" w:type="dxa"/>
            <w:tcBorders>
              <w:top w:val="single" w:sz="4" w:space="0" w:color="auto"/>
              <w:left w:val="single" w:sz="4" w:space="0" w:color="auto"/>
              <w:bottom w:val="single" w:sz="4" w:space="0" w:color="auto"/>
              <w:right w:val="single" w:sz="4" w:space="0" w:color="auto"/>
            </w:tcBorders>
            <w:shd w:val="clear" w:color="auto" w:fill="auto"/>
            <w:vAlign w:val="bottom"/>
          </w:tcPr>
          <w:p w:rsidR="000A7072" w:rsidP="000A7072">
            <w:pPr>
              <w:rPr>
                <w:lang w:eastAsia="en-GB"/>
              </w:rPr>
            </w:pPr>
            <w:r w:rsidRPr="001B2617">
              <w:rPr>
                <w:rFonts w:ascii="Calibri" w:hAnsi="Calibri" w:cs="Calibri"/>
                <w:color w:val="000000"/>
              </w:rPr>
              <w:t>4.</w:t>
            </w:r>
            <w:r w:rsidRPr="001B2617" w:rsidR="003844D6">
              <w:rPr>
                <w:rFonts w:ascii="Calibri" w:hAnsi="Calibri" w:cs="Calibri"/>
                <w:color w:val="000000"/>
              </w:rPr>
              <w:t>6</w:t>
            </w:r>
          </w:p>
        </w:tc>
      </w:tr>
      <w:tr w:rsidTr="00F867CE">
        <w:tblPrEx>
          <w:tblW w:w="0" w:type="auto"/>
          <w:tblLook w:val="04A0"/>
        </w:tblPrEx>
        <w:tc>
          <w:tcPr>
            <w:tcW w:w="1792" w:type="dxa"/>
          </w:tcPr>
          <w:p w:rsidR="000A7072" w:rsidP="000A7072">
            <w:pPr>
              <w:rPr>
                <w:lang w:eastAsia="en-GB"/>
              </w:rPr>
            </w:pPr>
            <w:r>
              <w:rPr>
                <w:lang w:eastAsia="en-GB"/>
              </w:rPr>
              <w:t>Other costs</w:t>
            </w:r>
          </w:p>
        </w:tc>
        <w:tc>
          <w:tcPr>
            <w:tcW w:w="97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0.1</w:t>
            </w:r>
          </w:p>
        </w:tc>
        <w:tc>
          <w:tcPr>
            <w:tcW w:w="138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0.</w:t>
            </w:r>
            <w:r w:rsidR="007D4D16">
              <w:rPr>
                <w:rFonts w:ascii="Calibri" w:hAnsi="Calibri" w:cs="Calibri"/>
                <w:color w:val="000000"/>
              </w:rPr>
              <w:t>1</w:t>
            </w:r>
          </w:p>
        </w:tc>
        <w:tc>
          <w:tcPr>
            <w:tcW w:w="138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0.2</w:t>
            </w:r>
          </w:p>
        </w:tc>
        <w:tc>
          <w:tcPr>
            <w:tcW w:w="138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0.2</w:t>
            </w:r>
          </w:p>
        </w:tc>
        <w:tc>
          <w:tcPr>
            <w:tcW w:w="138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0.4</w:t>
            </w:r>
          </w:p>
        </w:tc>
      </w:tr>
      <w:tr w:rsidTr="00F867CE">
        <w:tblPrEx>
          <w:tblW w:w="0" w:type="auto"/>
          <w:tblLook w:val="04A0"/>
        </w:tblPrEx>
        <w:tc>
          <w:tcPr>
            <w:tcW w:w="1792" w:type="dxa"/>
          </w:tcPr>
          <w:p w:rsidR="000A7072" w:rsidP="000A7072">
            <w:pPr>
              <w:rPr>
                <w:lang w:eastAsia="en-GB"/>
              </w:rPr>
            </w:pPr>
            <w:r>
              <w:rPr>
                <w:lang w:eastAsia="en-GB"/>
              </w:rPr>
              <w:t>Total Resource DEL</w:t>
            </w:r>
          </w:p>
        </w:tc>
        <w:tc>
          <w:tcPr>
            <w:tcW w:w="97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4.0</w:t>
            </w:r>
          </w:p>
        </w:tc>
        <w:tc>
          <w:tcPr>
            <w:tcW w:w="138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4.</w:t>
            </w:r>
            <w:r w:rsidR="007D4D16">
              <w:rPr>
                <w:rFonts w:ascii="Calibri" w:hAnsi="Calibri" w:cs="Calibri"/>
                <w:color w:val="000000"/>
              </w:rPr>
              <w:t>5</w:t>
            </w:r>
          </w:p>
        </w:tc>
        <w:tc>
          <w:tcPr>
            <w:tcW w:w="138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4.8</w:t>
            </w:r>
          </w:p>
        </w:tc>
        <w:tc>
          <w:tcPr>
            <w:tcW w:w="138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4.</w:t>
            </w:r>
            <w:r w:rsidR="00541F38">
              <w:rPr>
                <w:rFonts w:ascii="Calibri" w:hAnsi="Calibri" w:cs="Calibri"/>
                <w:color w:val="000000"/>
              </w:rPr>
              <w:t>6</w:t>
            </w:r>
          </w:p>
        </w:tc>
        <w:tc>
          <w:tcPr>
            <w:tcW w:w="138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5.</w:t>
            </w:r>
            <w:r w:rsidR="003844D6">
              <w:rPr>
                <w:rFonts w:ascii="Calibri" w:hAnsi="Calibri" w:cs="Calibri"/>
                <w:color w:val="000000"/>
              </w:rPr>
              <w:t>0</w:t>
            </w:r>
          </w:p>
        </w:tc>
      </w:tr>
      <w:tr w:rsidTr="00F867CE">
        <w:tblPrEx>
          <w:tblW w:w="0" w:type="auto"/>
          <w:tblLook w:val="04A0"/>
        </w:tblPrEx>
        <w:tc>
          <w:tcPr>
            <w:tcW w:w="1792" w:type="dxa"/>
          </w:tcPr>
          <w:p w:rsidR="000A7072" w:rsidP="000A7072">
            <w:pPr>
              <w:rPr>
                <w:lang w:eastAsia="en-GB"/>
              </w:rPr>
            </w:pPr>
            <w:r>
              <w:rPr>
                <w:lang w:eastAsia="en-GB"/>
              </w:rPr>
              <w:t>Capital DEL</w:t>
            </w:r>
          </w:p>
        </w:tc>
        <w:tc>
          <w:tcPr>
            <w:tcW w:w="97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0.0</w:t>
            </w:r>
          </w:p>
        </w:tc>
        <w:tc>
          <w:tcPr>
            <w:tcW w:w="138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0.0</w:t>
            </w:r>
          </w:p>
        </w:tc>
        <w:tc>
          <w:tcPr>
            <w:tcW w:w="138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0.1</w:t>
            </w:r>
          </w:p>
        </w:tc>
        <w:tc>
          <w:tcPr>
            <w:tcW w:w="138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0.0</w:t>
            </w:r>
          </w:p>
        </w:tc>
        <w:tc>
          <w:tcPr>
            <w:tcW w:w="138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0</w:t>
            </w:r>
            <w:r w:rsidR="00C27CC3">
              <w:rPr>
                <w:rFonts w:ascii="Calibri" w:hAnsi="Calibri" w:cs="Calibri"/>
                <w:color w:val="000000"/>
              </w:rPr>
              <w:t>.</w:t>
            </w:r>
            <w:r w:rsidR="00541F38">
              <w:rPr>
                <w:rFonts w:ascii="Calibri" w:hAnsi="Calibri" w:cs="Calibri"/>
                <w:color w:val="000000"/>
              </w:rPr>
              <w:t>1</w:t>
            </w:r>
          </w:p>
        </w:tc>
      </w:tr>
      <w:tr w:rsidTr="00F867CE">
        <w:tblPrEx>
          <w:tblW w:w="0" w:type="auto"/>
          <w:tblLook w:val="04A0"/>
        </w:tblPrEx>
        <w:tc>
          <w:tcPr>
            <w:tcW w:w="1792" w:type="dxa"/>
          </w:tcPr>
          <w:p w:rsidR="000A7072" w:rsidP="000A7072">
            <w:pPr>
              <w:rPr>
                <w:lang w:eastAsia="en-GB"/>
              </w:rPr>
            </w:pPr>
            <w:r>
              <w:rPr>
                <w:lang w:eastAsia="en-GB"/>
              </w:rPr>
              <w:t>Less depreciation and impairments</w:t>
            </w:r>
          </w:p>
        </w:tc>
        <w:tc>
          <w:tcPr>
            <w:tcW w:w="97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0.1</w:t>
            </w:r>
          </w:p>
        </w:tc>
        <w:tc>
          <w:tcPr>
            <w:tcW w:w="138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0.1</w:t>
            </w:r>
          </w:p>
        </w:tc>
        <w:tc>
          <w:tcPr>
            <w:tcW w:w="138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0.1</w:t>
            </w:r>
          </w:p>
        </w:tc>
        <w:tc>
          <w:tcPr>
            <w:tcW w:w="138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0.</w:t>
            </w:r>
            <w:r w:rsidR="00541F38">
              <w:rPr>
                <w:rFonts w:ascii="Calibri" w:hAnsi="Calibri" w:cs="Calibri"/>
                <w:color w:val="000000"/>
              </w:rPr>
              <w:t>1</w:t>
            </w:r>
          </w:p>
        </w:tc>
        <w:tc>
          <w:tcPr>
            <w:tcW w:w="138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0.</w:t>
            </w:r>
            <w:r w:rsidR="003844D6">
              <w:rPr>
                <w:rFonts w:ascii="Calibri" w:hAnsi="Calibri" w:cs="Calibri"/>
                <w:color w:val="000000"/>
              </w:rPr>
              <w:t>1</w:t>
            </w:r>
          </w:p>
        </w:tc>
      </w:tr>
      <w:tr w:rsidTr="00F867CE">
        <w:tblPrEx>
          <w:tblW w:w="0" w:type="auto"/>
          <w:tblLook w:val="04A0"/>
        </w:tblPrEx>
        <w:tc>
          <w:tcPr>
            <w:tcW w:w="1792" w:type="dxa"/>
          </w:tcPr>
          <w:p w:rsidR="000A7072" w:rsidP="000A7072">
            <w:pPr>
              <w:rPr>
                <w:lang w:eastAsia="en-GB"/>
              </w:rPr>
            </w:pPr>
            <w:r>
              <w:rPr>
                <w:lang w:eastAsia="en-GB"/>
              </w:rPr>
              <w:t>Total DEL</w:t>
            </w:r>
          </w:p>
        </w:tc>
        <w:tc>
          <w:tcPr>
            <w:tcW w:w="97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3.9</w:t>
            </w:r>
          </w:p>
        </w:tc>
        <w:tc>
          <w:tcPr>
            <w:tcW w:w="138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4.4</w:t>
            </w:r>
          </w:p>
        </w:tc>
        <w:tc>
          <w:tcPr>
            <w:tcW w:w="138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4.8</w:t>
            </w:r>
          </w:p>
        </w:tc>
        <w:tc>
          <w:tcPr>
            <w:tcW w:w="138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4.</w:t>
            </w:r>
            <w:r w:rsidR="00541F38">
              <w:rPr>
                <w:rFonts w:ascii="Calibri" w:hAnsi="Calibri" w:cs="Calibri"/>
                <w:color w:val="000000"/>
              </w:rPr>
              <w:t>5</w:t>
            </w:r>
          </w:p>
        </w:tc>
        <w:tc>
          <w:tcPr>
            <w:tcW w:w="1384" w:type="dxa"/>
            <w:tcBorders>
              <w:top w:val="nil"/>
              <w:left w:val="nil"/>
              <w:bottom w:val="single" w:sz="8" w:space="0" w:color="auto"/>
              <w:right w:val="single" w:sz="8" w:space="0" w:color="auto"/>
            </w:tcBorders>
            <w:shd w:val="clear" w:color="auto" w:fill="auto"/>
            <w:vAlign w:val="center"/>
          </w:tcPr>
          <w:p w:rsidR="000A7072" w:rsidP="000A7072">
            <w:pPr>
              <w:rPr>
                <w:lang w:eastAsia="en-GB"/>
              </w:rPr>
            </w:pPr>
            <w:r>
              <w:rPr>
                <w:rFonts w:ascii="Calibri" w:hAnsi="Calibri" w:cs="Calibri"/>
                <w:color w:val="000000"/>
              </w:rPr>
              <w:t>5.</w:t>
            </w:r>
            <w:r w:rsidR="00541F38">
              <w:rPr>
                <w:rFonts w:ascii="Calibri" w:hAnsi="Calibri" w:cs="Calibri"/>
                <w:color w:val="000000"/>
              </w:rPr>
              <w:t>0</w:t>
            </w:r>
          </w:p>
        </w:tc>
      </w:tr>
    </w:tbl>
    <w:p w:rsidR="000F7D1D" w:rsidP="000F7D1D">
      <w:pPr>
        <w:rPr>
          <w:lang w:eastAsia="en-GB"/>
        </w:rPr>
      </w:pPr>
    </w:p>
    <w:p w:rsidR="0074085B" w:rsidRPr="000F7D1D" w:rsidP="000F7D1D">
      <w:pPr>
        <w:rPr>
          <w:lang w:eastAsia="en-GB"/>
        </w:rPr>
      </w:pPr>
      <w:r>
        <w:rPr>
          <w:lang w:eastAsia="en-GB"/>
        </w:rPr>
        <w:t>T</w:t>
      </w:r>
      <w:r w:rsidR="000A7072">
        <w:rPr>
          <w:lang w:eastAsia="en-GB"/>
        </w:rPr>
        <w:t xml:space="preserve">otals may not sum due to </w:t>
      </w:r>
      <w:r w:rsidR="00566809">
        <w:rPr>
          <w:lang w:eastAsia="en-GB"/>
        </w:rPr>
        <w:t>rounding</w:t>
      </w:r>
      <w:r w:rsidR="000A7072">
        <w:rPr>
          <w:lang w:eastAsia="en-GB"/>
        </w:rPr>
        <w:t xml:space="preserve"> </w:t>
      </w:r>
    </w:p>
    <w:p w:rsidR="000F7D1D" w:rsidP="000F7D1D">
      <w:pPr>
        <w:rPr>
          <w:lang w:eastAsia="en-GB"/>
        </w:rPr>
      </w:pPr>
    </w:p>
    <w:p w:rsidR="002A25F8" w:rsidP="000E0F4E">
      <w:pPr>
        <w:pStyle w:val="Heading2"/>
      </w:pPr>
      <w:r>
        <w:t>2.4</w:t>
      </w:r>
      <w:r>
        <w:t xml:space="preserve"> </w:t>
      </w:r>
      <w:r w:rsidR="00E11B20">
        <w:tab/>
      </w:r>
      <w:r w:rsidR="00594756">
        <w:t>Administration costs and e</w:t>
      </w:r>
      <w:r>
        <w:t>fficiency plans</w:t>
      </w:r>
    </w:p>
    <w:p w:rsidR="00594756" w:rsidP="00594756">
      <w:r>
        <w:t xml:space="preserve">Administration costs are set to </w:t>
      </w:r>
      <w:r w:rsidR="00FE33BD">
        <w:t>fall</w:t>
      </w:r>
      <w:r>
        <w:t xml:space="preserve"> by 0</w:t>
      </w:r>
      <w:r w:rsidR="006828EE">
        <w:t>.1</w:t>
      </w:r>
      <w:r>
        <w:t>% in 201</w:t>
      </w:r>
      <w:r w:rsidR="006828EE">
        <w:t>9</w:t>
      </w:r>
      <w:r>
        <w:t>-</w:t>
      </w:r>
      <w:r w:rsidR="006828EE">
        <w:t>20</w:t>
      </w:r>
      <w:r>
        <w:t xml:space="preserve"> compared to last year’s final budget.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2"/>
        <w:gridCol w:w="1293"/>
        <w:gridCol w:w="1391"/>
        <w:gridCol w:w="1266"/>
        <w:gridCol w:w="1465"/>
        <w:gridCol w:w="1265"/>
      </w:tblGrid>
      <w:tr w:rsidTr="00DB6E6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915" w:type="dxa"/>
            <w:gridSpan w:val="2"/>
            <w:vMerge w:val="restart"/>
          </w:tcPr>
          <w:p w:rsidR="00DB6E61" w:rsidRPr="00E60D27" w:rsidP="00DB6E61">
            <w:pPr>
              <w:rPr>
                <w:rFonts w:ascii="Verdana" w:hAnsi="Verdana"/>
                <w:b/>
                <w:color w:val="333333"/>
                <w:sz w:val="19"/>
                <w:szCs w:val="19"/>
              </w:rPr>
            </w:pPr>
            <w:r w:rsidRPr="00E60D27">
              <w:rPr>
                <w:rFonts w:ascii="Verdana" w:hAnsi="Verdana"/>
                <w:b/>
                <w:color w:val="333333"/>
                <w:sz w:val="19"/>
                <w:szCs w:val="19"/>
              </w:rPr>
              <w:t>Spending total</w:t>
            </w:r>
          </w:p>
          <w:p w:rsidR="00DB6E61" w:rsidRPr="00E60D27" w:rsidP="00DB6E61">
            <w:pPr>
              <w:rPr>
                <w:rFonts w:ascii="Verdana" w:hAnsi="Verdana"/>
                <w:b/>
                <w:color w:val="333333"/>
                <w:sz w:val="19"/>
                <w:szCs w:val="19"/>
              </w:rPr>
            </w:pPr>
            <w:r w:rsidRPr="00E60D27">
              <w:rPr>
                <w:rFonts w:ascii="Verdana" w:hAnsi="Verdana"/>
                <w:b/>
                <w:color w:val="333333"/>
                <w:sz w:val="19"/>
                <w:szCs w:val="19"/>
              </w:rPr>
              <w:t>Amount</w:t>
            </w:r>
            <w:r>
              <w:rPr>
                <w:rFonts w:ascii="Verdana" w:hAnsi="Verdana"/>
                <w:b/>
                <w:color w:val="333333"/>
                <w:sz w:val="19"/>
                <w:szCs w:val="19"/>
              </w:rPr>
              <w:t>s</w:t>
            </w:r>
            <w:r w:rsidRPr="00E60D27">
              <w:rPr>
                <w:rFonts w:ascii="Verdana" w:hAnsi="Verdana"/>
                <w:b/>
                <w:color w:val="333333"/>
                <w:sz w:val="19"/>
                <w:szCs w:val="19"/>
              </w:rPr>
              <w:t xml:space="preserve"> sought</w:t>
            </w:r>
            <w:r>
              <w:rPr>
                <w:rFonts w:ascii="Verdana" w:hAnsi="Verdana"/>
                <w:b/>
                <w:color w:val="333333"/>
                <w:sz w:val="19"/>
                <w:szCs w:val="19"/>
              </w:rPr>
              <w:t xml:space="preserve"> this year (Supplementary Estimates)</w:t>
            </w:r>
          </w:p>
        </w:tc>
        <w:tc>
          <w:tcPr>
            <w:tcW w:w="2657" w:type="dxa"/>
            <w:gridSpan w:val="2"/>
          </w:tcPr>
          <w:p w:rsidR="00DB6E61" w:rsidRPr="00E60D27" w:rsidP="00DB6E61">
            <w:pPr>
              <w:rPr>
                <w:rFonts w:ascii="Verdana" w:hAnsi="Verdana"/>
                <w:b/>
                <w:color w:val="333333"/>
                <w:sz w:val="19"/>
                <w:szCs w:val="19"/>
              </w:rPr>
            </w:pPr>
            <w:r w:rsidRPr="00E60D27">
              <w:rPr>
                <w:rFonts w:ascii="Verdana" w:hAnsi="Verdana"/>
                <w:b/>
                <w:color w:val="333333"/>
                <w:sz w:val="19"/>
                <w:szCs w:val="19"/>
              </w:rPr>
              <w:t xml:space="preserve">Compared to </w:t>
            </w:r>
            <w:r>
              <w:rPr>
                <w:rFonts w:ascii="Verdana" w:hAnsi="Verdana"/>
                <w:b/>
                <w:color w:val="333333"/>
                <w:sz w:val="19"/>
                <w:szCs w:val="19"/>
              </w:rPr>
              <w:t xml:space="preserve">final budget last year (Supplementary Estimates) </w:t>
            </w:r>
          </w:p>
        </w:tc>
        <w:tc>
          <w:tcPr>
            <w:tcW w:w="2730" w:type="dxa"/>
            <w:gridSpan w:val="2"/>
          </w:tcPr>
          <w:p w:rsidR="00DB6E61" w:rsidRPr="00E60D27" w:rsidP="00DB6E61">
            <w:pPr>
              <w:rPr>
                <w:rFonts w:ascii="Verdana" w:hAnsi="Verdana"/>
                <w:b/>
                <w:color w:val="333333"/>
                <w:sz w:val="19"/>
                <w:szCs w:val="19"/>
              </w:rPr>
            </w:pPr>
            <w:r w:rsidRPr="00E60D27">
              <w:rPr>
                <w:rFonts w:ascii="Verdana" w:hAnsi="Verdana"/>
                <w:b/>
                <w:color w:val="333333"/>
                <w:sz w:val="19"/>
                <w:szCs w:val="19"/>
              </w:rPr>
              <w:t xml:space="preserve">Compared to </w:t>
            </w:r>
            <w:r>
              <w:rPr>
                <w:rFonts w:ascii="Verdana" w:hAnsi="Verdana"/>
                <w:b/>
                <w:color w:val="333333"/>
                <w:sz w:val="19"/>
                <w:szCs w:val="19"/>
              </w:rPr>
              <w:t xml:space="preserve">original budget last year (Main Estimates) </w:t>
            </w:r>
          </w:p>
        </w:tc>
      </w:tr>
      <w:tr w:rsidTr="00DB6E61">
        <w:tblPrEx>
          <w:tblW w:w="0" w:type="auto"/>
          <w:tblLook w:val="04A0"/>
        </w:tblPrEx>
        <w:tc>
          <w:tcPr>
            <w:tcW w:w="2915" w:type="dxa"/>
            <w:gridSpan w:val="2"/>
            <w:vMerge/>
          </w:tcPr>
          <w:p w:rsidR="00594756" w:rsidP="000E0F4E">
            <w:pPr>
              <w:rPr>
                <w:rFonts w:ascii="Verdana" w:hAnsi="Verdana"/>
                <w:color w:val="333333"/>
                <w:sz w:val="19"/>
                <w:szCs w:val="19"/>
              </w:rPr>
            </w:pPr>
          </w:p>
        </w:tc>
        <w:tc>
          <w:tcPr>
            <w:tcW w:w="1391" w:type="dxa"/>
          </w:tcPr>
          <w:p w:rsidR="00594756" w:rsidP="000E0F4E">
            <w:pPr>
              <w:rPr>
                <w:rFonts w:ascii="Verdana" w:hAnsi="Verdana"/>
                <w:color w:val="333333"/>
                <w:sz w:val="19"/>
                <w:szCs w:val="19"/>
              </w:rPr>
            </w:pPr>
            <w:r w:rsidRPr="00E60D27">
              <w:rPr>
                <w:rFonts w:ascii="Verdana" w:hAnsi="Verdana"/>
                <w:b/>
                <w:color w:val="333333"/>
                <w:sz w:val="19"/>
                <w:szCs w:val="19"/>
              </w:rPr>
              <w:t>£m</w:t>
            </w:r>
          </w:p>
        </w:tc>
        <w:tc>
          <w:tcPr>
            <w:tcW w:w="1266" w:type="dxa"/>
          </w:tcPr>
          <w:p w:rsidR="00594756" w:rsidP="000E0F4E">
            <w:pPr>
              <w:rPr>
                <w:rFonts w:ascii="Verdana" w:hAnsi="Verdana"/>
                <w:color w:val="333333"/>
                <w:sz w:val="19"/>
                <w:szCs w:val="19"/>
              </w:rPr>
            </w:pPr>
            <w:r w:rsidRPr="00E60D27">
              <w:rPr>
                <w:rFonts w:ascii="Verdana" w:hAnsi="Verdana"/>
                <w:b/>
                <w:color w:val="333333"/>
                <w:sz w:val="19"/>
                <w:szCs w:val="19"/>
              </w:rPr>
              <w:t>%</w:t>
            </w:r>
          </w:p>
        </w:tc>
        <w:tc>
          <w:tcPr>
            <w:tcW w:w="1465" w:type="dxa"/>
          </w:tcPr>
          <w:p w:rsidR="00594756" w:rsidP="000E0F4E">
            <w:pPr>
              <w:rPr>
                <w:rFonts w:ascii="Verdana" w:hAnsi="Verdana"/>
                <w:color w:val="333333"/>
                <w:sz w:val="19"/>
                <w:szCs w:val="19"/>
              </w:rPr>
            </w:pPr>
            <w:r w:rsidRPr="00E60D27">
              <w:rPr>
                <w:rFonts w:ascii="Verdana" w:hAnsi="Verdana"/>
                <w:b/>
                <w:color w:val="333333"/>
                <w:sz w:val="19"/>
                <w:szCs w:val="19"/>
              </w:rPr>
              <w:t>£m</w:t>
            </w:r>
          </w:p>
        </w:tc>
        <w:tc>
          <w:tcPr>
            <w:tcW w:w="1265" w:type="dxa"/>
          </w:tcPr>
          <w:p w:rsidR="00594756" w:rsidP="000E0F4E">
            <w:pPr>
              <w:rPr>
                <w:rFonts w:ascii="Verdana" w:hAnsi="Verdana"/>
                <w:color w:val="333333"/>
                <w:sz w:val="19"/>
                <w:szCs w:val="19"/>
              </w:rPr>
            </w:pPr>
            <w:r w:rsidRPr="00E60D27">
              <w:rPr>
                <w:rFonts w:ascii="Verdana" w:hAnsi="Verdana"/>
                <w:b/>
                <w:color w:val="333333"/>
                <w:sz w:val="19"/>
                <w:szCs w:val="19"/>
              </w:rPr>
              <w:t>%</w:t>
            </w:r>
          </w:p>
        </w:tc>
      </w:tr>
      <w:tr w:rsidTr="00DB6E61">
        <w:tblPrEx>
          <w:tblW w:w="0" w:type="auto"/>
          <w:tblLook w:val="04A0"/>
        </w:tblPrEx>
        <w:tc>
          <w:tcPr>
            <w:tcW w:w="1622" w:type="dxa"/>
          </w:tcPr>
          <w:p w:rsidR="00594756" w:rsidP="000E0F4E">
            <w:pPr>
              <w:rPr>
                <w:rFonts w:ascii="Verdana" w:hAnsi="Verdana"/>
                <w:color w:val="333333"/>
                <w:sz w:val="19"/>
                <w:szCs w:val="19"/>
              </w:rPr>
            </w:pPr>
            <w:r>
              <w:rPr>
                <w:rFonts w:ascii="Verdana" w:hAnsi="Verdana"/>
                <w:color w:val="333333"/>
                <w:sz w:val="19"/>
                <w:szCs w:val="19"/>
              </w:rPr>
              <w:t>Administration costs</w:t>
            </w:r>
          </w:p>
        </w:tc>
        <w:tc>
          <w:tcPr>
            <w:tcW w:w="1293" w:type="dxa"/>
          </w:tcPr>
          <w:p w:rsidR="00594756" w:rsidP="000E0F4E">
            <w:pPr>
              <w:rPr>
                <w:rFonts w:ascii="Verdana" w:hAnsi="Verdana"/>
                <w:color w:val="333333"/>
                <w:sz w:val="19"/>
                <w:szCs w:val="19"/>
              </w:rPr>
            </w:pPr>
            <w:r>
              <w:rPr>
                <w:rFonts w:ascii="Verdana" w:hAnsi="Verdana"/>
                <w:color w:val="333333"/>
                <w:sz w:val="19"/>
                <w:szCs w:val="19"/>
              </w:rPr>
              <w:t>4.</w:t>
            </w:r>
            <w:r w:rsidR="008F792E">
              <w:rPr>
                <w:rFonts w:ascii="Verdana" w:hAnsi="Verdana"/>
                <w:color w:val="333333"/>
                <w:sz w:val="19"/>
                <w:szCs w:val="19"/>
              </w:rPr>
              <w:t>6</w:t>
            </w:r>
            <w:r>
              <w:rPr>
                <w:rFonts w:ascii="Verdana" w:hAnsi="Verdana"/>
                <w:color w:val="333333"/>
                <w:sz w:val="19"/>
                <w:szCs w:val="19"/>
              </w:rPr>
              <w:t>m</w:t>
            </w:r>
          </w:p>
        </w:tc>
        <w:tc>
          <w:tcPr>
            <w:tcW w:w="1391" w:type="dxa"/>
          </w:tcPr>
          <w:p w:rsidR="00594756" w:rsidP="000E0F4E">
            <w:pPr>
              <w:rPr>
                <w:rFonts w:ascii="Verdana" w:hAnsi="Verdana"/>
                <w:color w:val="333333"/>
                <w:sz w:val="19"/>
                <w:szCs w:val="19"/>
              </w:rPr>
            </w:pPr>
            <w:r>
              <w:rPr>
                <w:rFonts w:ascii="Verdana" w:hAnsi="Verdana"/>
                <w:color w:val="333333"/>
                <w:sz w:val="19"/>
                <w:szCs w:val="19"/>
              </w:rPr>
              <w:t>-</w:t>
            </w:r>
            <w:r w:rsidR="006828EE">
              <w:rPr>
                <w:rFonts w:ascii="Verdana" w:hAnsi="Verdana"/>
                <w:color w:val="333333"/>
                <w:sz w:val="19"/>
                <w:szCs w:val="19"/>
              </w:rPr>
              <w:t>0.</w:t>
            </w:r>
            <w:r w:rsidR="008F792E">
              <w:rPr>
                <w:rFonts w:ascii="Verdana" w:hAnsi="Verdana"/>
                <w:color w:val="333333"/>
                <w:sz w:val="19"/>
                <w:szCs w:val="19"/>
              </w:rPr>
              <w:t>1</w:t>
            </w:r>
          </w:p>
        </w:tc>
        <w:tc>
          <w:tcPr>
            <w:tcW w:w="1266" w:type="dxa"/>
          </w:tcPr>
          <w:p w:rsidR="00594756" w:rsidP="000E0F4E">
            <w:pPr>
              <w:rPr>
                <w:rFonts w:ascii="Verdana" w:hAnsi="Verdana"/>
                <w:color w:val="333333"/>
                <w:sz w:val="19"/>
                <w:szCs w:val="19"/>
              </w:rPr>
            </w:pPr>
            <w:r>
              <w:rPr>
                <w:rFonts w:ascii="Verdana" w:hAnsi="Verdana"/>
                <w:color w:val="333333"/>
                <w:sz w:val="19"/>
                <w:szCs w:val="19"/>
              </w:rPr>
              <w:t>-</w:t>
            </w:r>
            <w:r w:rsidR="001A05FB">
              <w:rPr>
                <w:rFonts w:ascii="Verdana" w:hAnsi="Verdana"/>
                <w:color w:val="333333"/>
                <w:sz w:val="19"/>
                <w:szCs w:val="19"/>
              </w:rPr>
              <w:t>2</w:t>
            </w:r>
            <w:r w:rsidR="003844D6">
              <w:rPr>
                <w:rFonts w:ascii="Verdana" w:hAnsi="Verdana"/>
                <w:color w:val="333333"/>
                <w:sz w:val="19"/>
                <w:szCs w:val="19"/>
              </w:rPr>
              <w:t>%</w:t>
            </w:r>
          </w:p>
        </w:tc>
        <w:tc>
          <w:tcPr>
            <w:tcW w:w="1465" w:type="dxa"/>
          </w:tcPr>
          <w:p w:rsidR="00594756" w:rsidP="000E0F4E">
            <w:pPr>
              <w:rPr>
                <w:rFonts w:ascii="Verdana" w:hAnsi="Verdana"/>
                <w:color w:val="333333"/>
                <w:sz w:val="19"/>
                <w:szCs w:val="19"/>
              </w:rPr>
            </w:pPr>
            <w:r>
              <w:rPr>
                <w:rFonts w:ascii="Verdana" w:hAnsi="Verdana"/>
                <w:color w:val="333333"/>
                <w:sz w:val="19"/>
                <w:szCs w:val="19"/>
              </w:rPr>
              <w:t>0</w:t>
            </w:r>
            <w:r w:rsidR="003844D6">
              <w:rPr>
                <w:rFonts w:ascii="Verdana" w:hAnsi="Verdana"/>
                <w:color w:val="333333"/>
                <w:sz w:val="19"/>
                <w:szCs w:val="19"/>
              </w:rPr>
              <w:t>.1</w:t>
            </w:r>
          </w:p>
        </w:tc>
        <w:tc>
          <w:tcPr>
            <w:tcW w:w="1265" w:type="dxa"/>
          </w:tcPr>
          <w:p w:rsidR="00594756" w:rsidP="000E0F4E">
            <w:pPr>
              <w:rPr>
                <w:rFonts w:ascii="Verdana" w:hAnsi="Verdana"/>
                <w:color w:val="333333"/>
                <w:sz w:val="19"/>
                <w:szCs w:val="19"/>
              </w:rPr>
            </w:pPr>
            <w:r>
              <w:rPr>
                <w:rFonts w:ascii="Verdana" w:hAnsi="Verdana"/>
                <w:color w:val="333333"/>
                <w:sz w:val="19"/>
                <w:szCs w:val="19"/>
              </w:rPr>
              <w:t>2</w:t>
            </w:r>
            <w:r w:rsidR="003844D6">
              <w:rPr>
                <w:rFonts w:ascii="Verdana" w:hAnsi="Verdana"/>
                <w:color w:val="333333"/>
                <w:sz w:val="19"/>
                <w:szCs w:val="19"/>
              </w:rPr>
              <w:t>%</w:t>
            </w:r>
          </w:p>
        </w:tc>
      </w:tr>
    </w:tbl>
    <w:p w:rsidR="00594756" w:rsidP="00EF63D2">
      <w:pPr>
        <w:rPr>
          <w:lang w:eastAsia="en-GB"/>
        </w:rPr>
      </w:pPr>
    </w:p>
    <w:p w:rsidR="00F96072" w:rsidRPr="00F96072" w:rsidP="00F96072">
      <w:pPr>
        <w:autoSpaceDE w:val="0"/>
        <w:autoSpaceDN w:val="0"/>
        <w:adjustRightInd w:val="0"/>
        <w:spacing w:after="0" w:line="240" w:lineRule="auto"/>
        <w:jc w:val="both"/>
      </w:pPr>
      <w:r w:rsidRPr="00F96072">
        <w:t xml:space="preserve">The </w:t>
      </w:r>
      <w:r>
        <w:t xml:space="preserve">Office </w:t>
      </w:r>
      <w:r w:rsidRPr="00F96072">
        <w:t xml:space="preserve">is fully committed to sharing services and expertise with the other Territorial Offices and Government Departments wherever possible with a view to exploiting all available opportunities to secure efficiencies and strengthen our resilience.  To date a shared parliamentary unit has been established with the other Territorial Offices and a shared freedom of information requests (FOI) service with the Northern Ireland Office.  The Office continues to use Ministry of Justice shared services in respect of accommodation, information technology, procurement, finance and Human Resources e.g. recruitment of staff. </w:t>
      </w:r>
    </w:p>
    <w:p w:rsidR="00F96072" w:rsidRPr="00F96072" w:rsidP="00F96072">
      <w:pPr>
        <w:tabs>
          <w:tab w:val="num" w:pos="720"/>
        </w:tabs>
        <w:spacing w:after="0" w:line="240" w:lineRule="auto"/>
        <w:jc w:val="both"/>
      </w:pPr>
    </w:p>
    <w:p w:rsidR="00F96072" w:rsidRPr="00F96072" w:rsidP="00F96072">
      <w:pPr>
        <w:spacing w:after="0" w:line="240" w:lineRule="auto"/>
        <w:jc w:val="both"/>
      </w:pPr>
      <w:r w:rsidRPr="00F96072">
        <w:t xml:space="preserve">In respect of accommodation, the Department has tenants (the Greater London Lord Lieutenancy and Independent Commission for Aid Impact) in the London Office </w:t>
      </w:r>
      <w:r>
        <w:t xml:space="preserve">and the Cabinet Office in Cardiff.  The tenants will </w:t>
      </w:r>
      <w:r w:rsidRPr="00F96072">
        <w:t>generate rental income in 201</w:t>
      </w:r>
      <w:r>
        <w:t>9</w:t>
      </w:r>
      <w:r w:rsidRPr="00F96072">
        <w:t>-</w:t>
      </w:r>
      <w:r>
        <w:t>20</w:t>
      </w:r>
      <w:r w:rsidRPr="00F96072">
        <w:t xml:space="preserve"> of £</w:t>
      </w:r>
      <w:r>
        <w:t>0.11</w:t>
      </w:r>
      <w:r w:rsidR="003844D6">
        <w:t>5</w:t>
      </w:r>
      <w:r>
        <w:t>m</w:t>
      </w:r>
      <w:r w:rsidRPr="00F96072">
        <w:t xml:space="preserve"> for the Office and improves the utilisation of our accommodation.  We are also in regular discussions with the Government Property Unit (GPU) over its Hubs programme and the implications for Government buildings in South Wales.  The Hubs Programme seeks to use rationalised estates and land release to reduce overall running costs and wherever possible locate departments together in hubs around the country.</w:t>
      </w:r>
    </w:p>
    <w:p w:rsidR="00D71E00" w:rsidP="00D71E00">
      <w:pPr>
        <w:pStyle w:val="Heading1"/>
      </w:pPr>
      <w:r>
        <w:t>3</w:t>
      </w:r>
      <w:r>
        <w:tab/>
        <w:t xml:space="preserve">Payments to </w:t>
      </w:r>
      <w:r w:rsidR="006828EE">
        <w:t>the Welsh C</w:t>
      </w:r>
      <w:r>
        <w:t xml:space="preserve">onsolidated </w:t>
      </w:r>
      <w:r w:rsidR="001E0FA1">
        <w:t>F</w:t>
      </w:r>
      <w:r>
        <w:t>und</w:t>
      </w:r>
    </w:p>
    <w:p w:rsidR="00D71E00" w:rsidP="00D71E00">
      <w:pPr>
        <w:pStyle w:val="Heading2"/>
      </w:pPr>
      <w:r>
        <w:t>3.1</w:t>
      </w:r>
      <w:r>
        <w:tab/>
        <w:t xml:space="preserve">Comparison of </w:t>
      </w:r>
      <w:r w:rsidR="001550F7">
        <w:t>cash to be paid over</w:t>
      </w:r>
      <w:r>
        <w:t xml:space="preserve"> </w:t>
      </w:r>
    </w:p>
    <w:p w:rsidR="001E0FA1" w:rsidP="001E0FA1">
      <w:pPr>
        <w:shd w:val="clear" w:color="auto" w:fill="FFFFFF"/>
        <w:spacing w:after="180" w:line="288" w:lineRule="auto"/>
        <w:rPr>
          <w:noProof/>
        </w:rPr>
      </w:pPr>
      <w:r>
        <w:rPr>
          <w:noProof/>
        </w:rPr>
        <w:t xml:space="preserve">The table and graphic below show how the cash funding provided for the </w:t>
      </w:r>
      <w:r w:rsidR="004F790C">
        <w:rPr>
          <w:noProof/>
        </w:rPr>
        <w:t>Welsh</w:t>
      </w:r>
      <w:r>
        <w:rPr>
          <w:noProof/>
        </w:rPr>
        <w:t xml:space="preserve"> Consolidated Fund compares with last year:</w:t>
      </w:r>
    </w:p>
    <w:p w:rsidR="00D71E00" w:rsidRPr="00D71E00" w:rsidP="00D71E0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2"/>
        <w:gridCol w:w="1194"/>
        <w:gridCol w:w="1470"/>
        <w:gridCol w:w="1303"/>
        <w:gridCol w:w="1487"/>
        <w:gridCol w:w="1256"/>
      </w:tblGrid>
      <w:tr w:rsidTr="006828E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86" w:type="dxa"/>
            <w:gridSpan w:val="2"/>
            <w:vMerge w:val="restart"/>
          </w:tcPr>
          <w:p w:rsidR="00BD0F58" w:rsidRPr="00E60D27" w:rsidP="00BD0F58">
            <w:pPr>
              <w:rPr>
                <w:rFonts w:ascii="Verdana" w:hAnsi="Verdana"/>
                <w:b/>
                <w:color w:val="333333"/>
                <w:sz w:val="19"/>
                <w:szCs w:val="19"/>
              </w:rPr>
            </w:pPr>
            <w:r w:rsidRPr="00E60D27">
              <w:rPr>
                <w:rFonts w:ascii="Verdana" w:hAnsi="Verdana"/>
                <w:b/>
                <w:color w:val="333333"/>
                <w:sz w:val="19"/>
                <w:szCs w:val="19"/>
              </w:rPr>
              <w:t>Spending total</w:t>
            </w:r>
          </w:p>
          <w:p w:rsidR="00BD0F58" w:rsidRPr="00E60D27" w:rsidP="00BD0F58">
            <w:pPr>
              <w:rPr>
                <w:rFonts w:ascii="Verdana" w:hAnsi="Verdana"/>
                <w:b/>
                <w:color w:val="333333"/>
                <w:sz w:val="19"/>
                <w:szCs w:val="19"/>
              </w:rPr>
            </w:pPr>
            <w:r w:rsidRPr="00E60D27">
              <w:rPr>
                <w:rFonts w:ascii="Verdana" w:hAnsi="Verdana"/>
                <w:b/>
                <w:color w:val="333333"/>
                <w:sz w:val="19"/>
                <w:szCs w:val="19"/>
              </w:rPr>
              <w:t>Amount</w:t>
            </w:r>
            <w:r>
              <w:rPr>
                <w:rFonts w:ascii="Verdana" w:hAnsi="Verdana"/>
                <w:b/>
                <w:color w:val="333333"/>
                <w:sz w:val="19"/>
                <w:szCs w:val="19"/>
              </w:rPr>
              <w:t>s</w:t>
            </w:r>
            <w:r w:rsidRPr="00E60D27">
              <w:rPr>
                <w:rFonts w:ascii="Verdana" w:hAnsi="Verdana"/>
                <w:b/>
                <w:color w:val="333333"/>
                <w:sz w:val="19"/>
                <w:szCs w:val="19"/>
              </w:rPr>
              <w:t xml:space="preserve"> sought</w:t>
            </w:r>
            <w:r>
              <w:rPr>
                <w:rFonts w:ascii="Verdana" w:hAnsi="Verdana"/>
                <w:b/>
                <w:color w:val="333333"/>
                <w:sz w:val="19"/>
                <w:szCs w:val="19"/>
              </w:rPr>
              <w:t xml:space="preserve"> this year (Supplementary Estimates)</w:t>
            </w:r>
          </w:p>
        </w:tc>
        <w:tc>
          <w:tcPr>
            <w:tcW w:w="2773" w:type="dxa"/>
            <w:gridSpan w:val="2"/>
          </w:tcPr>
          <w:p w:rsidR="00BD0F58" w:rsidRPr="00E60D27" w:rsidP="00BD0F58">
            <w:pPr>
              <w:rPr>
                <w:rFonts w:ascii="Verdana" w:hAnsi="Verdana"/>
                <w:b/>
                <w:color w:val="333333"/>
                <w:sz w:val="19"/>
                <w:szCs w:val="19"/>
              </w:rPr>
            </w:pPr>
            <w:r w:rsidRPr="00E60D27">
              <w:rPr>
                <w:rFonts w:ascii="Verdana" w:hAnsi="Verdana"/>
                <w:b/>
                <w:color w:val="333333"/>
                <w:sz w:val="19"/>
                <w:szCs w:val="19"/>
              </w:rPr>
              <w:t xml:space="preserve">Compared to </w:t>
            </w:r>
            <w:r>
              <w:rPr>
                <w:rFonts w:ascii="Verdana" w:hAnsi="Verdana"/>
                <w:b/>
                <w:color w:val="333333"/>
                <w:sz w:val="19"/>
                <w:szCs w:val="19"/>
              </w:rPr>
              <w:t xml:space="preserve">final budget last year (Supplementary Estimates) </w:t>
            </w:r>
          </w:p>
        </w:tc>
        <w:tc>
          <w:tcPr>
            <w:tcW w:w="2743" w:type="dxa"/>
            <w:gridSpan w:val="2"/>
          </w:tcPr>
          <w:p w:rsidR="00BD0F58" w:rsidRPr="00E60D27" w:rsidP="00BD0F58">
            <w:pPr>
              <w:rPr>
                <w:rFonts w:ascii="Verdana" w:hAnsi="Verdana"/>
                <w:b/>
                <w:color w:val="333333"/>
                <w:sz w:val="19"/>
                <w:szCs w:val="19"/>
              </w:rPr>
            </w:pPr>
            <w:r w:rsidRPr="00E60D27">
              <w:rPr>
                <w:rFonts w:ascii="Verdana" w:hAnsi="Verdana"/>
                <w:b/>
                <w:color w:val="333333"/>
                <w:sz w:val="19"/>
                <w:szCs w:val="19"/>
              </w:rPr>
              <w:t xml:space="preserve">Compared to </w:t>
            </w:r>
            <w:r>
              <w:rPr>
                <w:rFonts w:ascii="Verdana" w:hAnsi="Verdana"/>
                <w:b/>
                <w:color w:val="333333"/>
                <w:sz w:val="19"/>
                <w:szCs w:val="19"/>
              </w:rPr>
              <w:t xml:space="preserve">original budget last year (Main Estimates) </w:t>
            </w:r>
          </w:p>
        </w:tc>
      </w:tr>
      <w:tr w:rsidTr="006828EE">
        <w:tblPrEx>
          <w:tblW w:w="0" w:type="auto"/>
          <w:tblLook w:val="04A0"/>
        </w:tblPrEx>
        <w:tc>
          <w:tcPr>
            <w:tcW w:w="2786" w:type="dxa"/>
            <w:gridSpan w:val="2"/>
            <w:vMerge/>
          </w:tcPr>
          <w:p w:rsidR="00BD0F58" w:rsidP="00BD0F58">
            <w:pPr>
              <w:rPr>
                <w:rFonts w:ascii="Verdana" w:hAnsi="Verdana"/>
                <w:color w:val="333333"/>
                <w:sz w:val="19"/>
                <w:szCs w:val="19"/>
              </w:rPr>
            </w:pPr>
          </w:p>
        </w:tc>
        <w:tc>
          <w:tcPr>
            <w:tcW w:w="1470" w:type="dxa"/>
          </w:tcPr>
          <w:p w:rsidR="00BD0F58" w:rsidP="00BD0F58">
            <w:pPr>
              <w:rPr>
                <w:rFonts w:ascii="Verdana" w:hAnsi="Verdana"/>
                <w:color w:val="333333"/>
                <w:sz w:val="19"/>
                <w:szCs w:val="19"/>
              </w:rPr>
            </w:pPr>
            <w:r w:rsidRPr="00E60D27">
              <w:rPr>
                <w:rFonts w:ascii="Verdana" w:hAnsi="Verdana"/>
                <w:b/>
                <w:color w:val="333333"/>
                <w:sz w:val="19"/>
                <w:szCs w:val="19"/>
              </w:rPr>
              <w:t>£ m</w:t>
            </w:r>
          </w:p>
        </w:tc>
        <w:tc>
          <w:tcPr>
            <w:tcW w:w="1303" w:type="dxa"/>
          </w:tcPr>
          <w:p w:rsidR="00BD0F58" w:rsidP="00BD0F58">
            <w:pPr>
              <w:rPr>
                <w:rFonts w:ascii="Verdana" w:hAnsi="Verdana"/>
                <w:color w:val="333333"/>
                <w:sz w:val="19"/>
                <w:szCs w:val="19"/>
              </w:rPr>
            </w:pPr>
            <w:r w:rsidRPr="00E60D27">
              <w:rPr>
                <w:rFonts w:ascii="Verdana" w:hAnsi="Verdana"/>
                <w:b/>
                <w:color w:val="333333"/>
                <w:sz w:val="19"/>
                <w:szCs w:val="19"/>
              </w:rPr>
              <w:t>%</w:t>
            </w:r>
          </w:p>
        </w:tc>
        <w:tc>
          <w:tcPr>
            <w:tcW w:w="1487" w:type="dxa"/>
          </w:tcPr>
          <w:p w:rsidR="00BD0F58" w:rsidP="00BD0F58">
            <w:pPr>
              <w:rPr>
                <w:rFonts w:ascii="Verdana" w:hAnsi="Verdana"/>
                <w:color w:val="333333"/>
                <w:sz w:val="19"/>
                <w:szCs w:val="19"/>
              </w:rPr>
            </w:pPr>
            <w:r w:rsidRPr="00E60D27">
              <w:rPr>
                <w:rFonts w:ascii="Verdana" w:hAnsi="Verdana"/>
                <w:b/>
                <w:color w:val="333333"/>
                <w:sz w:val="19"/>
                <w:szCs w:val="19"/>
              </w:rPr>
              <w:t>£m</w:t>
            </w:r>
          </w:p>
        </w:tc>
        <w:tc>
          <w:tcPr>
            <w:tcW w:w="1256" w:type="dxa"/>
          </w:tcPr>
          <w:p w:rsidR="00BD0F58" w:rsidP="00BD0F58">
            <w:pPr>
              <w:rPr>
                <w:rFonts w:ascii="Verdana" w:hAnsi="Verdana"/>
                <w:color w:val="333333"/>
                <w:sz w:val="19"/>
                <w:szCs w:val="19"/>
              </w:rPr>
            </w:pPr>
            <w:r w:rsidRPr="00E60D27">
              <w:rPr>
                <w:rFonts w:ascii="Verdana" w:hAnsi="Verdana"/>
                <w:b/>
                <w:color w:val="333333"/>
                <w:sz w:val="19"/>
                <w:szCs w:val="19"/>
              </w:rPr>
              <w:t>%</w:t>
            </w:r>
          </w:p>
        </w:tc>
      </w:tr>
      <w:tr w:rsidTr="006828EE">
        <w:tblPrEx>
          <w:tblW w:w="0" w:type="auto"/>
          <w:tblLook w:val="04A0"/>
        </w:tblPrEx>
        <w:tc>
          <w:tcPr>
            <w:tcW w:w="1592" w:type="dxa"/>
          </w:tcPr>
          <w:p w:rsidR="00BD0F58" w:rsidP="00BD0F58">
            <w:pPr>
              <w:rPr>
                <w:rFonts w:ascii="Verdana" w:hAnsi="Verdana"/>
                <w:color w:val="333333"/>
                <w:sz w:val="19"/>
                <w:szCs w:val="19"/>
              </w:rPr>
            </w:pPr>
            <w:r>
              <w:rPr>
                <w:rFonts w:ascii="Verdana" w:hAnsi="Verdana"/>
                <w:color w:val="333333"/>
                <w:sz w:val="19"/>
                <w:szCs w:val="19"/>
              </w:rPr>
              <w:t>Welsh Consolidated Fund: Non-budget expenditure</w:t>
            </w:r>
          </w:p>
        </w:tc>
        <w:tc>
          <w:tcPr>
            <w:tcW w:w="1194" w:type="dxa"/>
          </w:tcPr>
          <w:p w:rsidR="00BD0F58" w:rsidP="00BD0F58">
            <w:pPr>
              <w:rPr>
                <w:rFonts w:ascii="Verdana" w:hAnsi="Verdana"/>
                <w:color w:val="333333"/>
                <w:sz w:val="19"/>
                <w:szCs w:val="19"/>
              </w:rPr>
            </w:pPr>
            <w:r w:rsidRPr="00AC171C">
              <w:t>13,848.6</w:t>
            </w:r>
          </w:p>
        </w:tc>
        <w:tc>
          <w:tcPr>
            <w:tcW w:w="1470" w:type="dxa"/>
          </w:tcPr>
          <w:p w:rsidR="00BD0F58" w:rsidP="00BD0F58">
            <w:pPr>
              <w:rPr>
                <w:rFonts w:ascii="Verdana" w:hAnsi="Verdana"/>
                <w:color w:val="333333"/>
                <w:sz w:val="19"/>
                <w:szCs w:val="19"/>
              </w:rPr>
            </w:pPr>
            <w:r>
              <w:t>-</w:t>
            </w:r>
            <w:r>
              <w:t>1,312.8</w:t>
            </w:r>
          </w:p>
        </w:tc>
        <w:tc>
          <w:tcPr>
            <w:tcW w:w="1303" w:type="dxa"/>
          </w:tcPr>
          <w:p w:rsidR="00BD0F58" w:rsidP="00BD0F58">
            <w:pPr>
              <w:rPr>
                <w:rFonts w:ascii="Verdana" w:hAnsi="Verdana"/>
                <w:color w:val="333333"/>
                <w:sz w:val="19"/>
                <w:szCs w:val="19"/>
              </w:rPr>
            </w:pPr>
            <w:r>
              <w:t>-9</w:t>
            </w:r>
            <w:r w:rsidRPr="00501CEC">
              <w:t>%</w:t>
            </w:r>
          </w:p>
        </w:tc>
        <w:tc>
          <w:tcPr>
            <w:tcW w:w="1487" w:type="dxa"/>
          </w:tcPr>
          <w:p w:rsidR="00BD0F58" w:rsidP="00BD0F58">
            <w:pPr>
              <w:rPr>
                <w:rFonts w:ascii="Verdana" w:hAnsi="Verdana"/>
                <w:color w:val="333333"/>
                <w:sz w:val="19"/>
                <w:szCs w:val="19"/>
              </w:rPr>
            </w:pPr>
            <w:r>
              <w:t>-705.5</w:t>
            </w:r>
          </w:p>
        </w:tc>
        <w:tc>
          <w:tcPr>
            <w:tcW w:w="1256" w:type="dxa"/>
          </w:tcPr>
          <w:p w:rsidR="00BD0F58" w:rsidP="00BD0F58">
            <w:pPr>
              <w:rPr>
                <w:rFonts w:ascii="Verdana" w:hAnsi="Verdana"/>
                <w:color w:val="333333"/>
                <w:sz w:val="19"/>
                <w:szCs w:val="19"/>
              </w:rPr>
            </w:pPr>
            <w:r w:rsidRPr="00501CEC">
              <w:t>-</w:t>
            </w:r>
            <w:r>
              <w:t>5</w:t>
            </w:r>
            <w:r w:rsidRPr="00501CEC">
              <w:t>%</w:t>
            </w:r>
          </w:p>
        </w:tc>
      </w:tr>
    </w:tbl>
    <w:p w:rsidR="00464D21" w:rsidP="00EF63D2">
      <w:pPr>
        <w:rPr>
          <w:lang w:eastAsia="en-GB"/>
        </w:rPr>
      </w:pPr>
    </w:p>
    <w:p w:rsidR="00E03682" w:rsidP="00EF63D2">
      <w:pPr>
        <w:pStyle w:val="Heading2"/>
      </w:pPr>
      <w:bookmarkStart w:id="1" w:name="_Hlk32249943"/>
      <w:r>
        <w:t xml:space="preserve">3.2 </w:t>
      </w:r>
      <w:r>
        <w:tab/>
      </w:r>
      <w:r>
        <w:t>Key drivers of changes</w:t>
      </w:r>
      <w:r w:rsidR="00B87F80">
        <w:t xml:space="preserve"> in </w:t>
      </w:r>
      <w:r w:rsidR="001550F7">
        <w:t>l</w:t>
      </w:r>
      <w:r w:rsidR="00B87F80">
        <w:t xml:space="preserve">evels </w:t>
      </w:r>
      <w:r w:rsidR="001550F7">
        <w:t xml:space="preserve">of cash to be paid over </w:t>
      </w:r>
      <w:r w:rsidR="00B87F80">
        <w:t>since last year</w:t>
      </w:r>
    </w:p>
    <w:p w:rsidR="00F96072" w:rsidP="00E03682">
      <w:pPr>
        <w:rPr>
          <w:lang w:eastAsia="en-GB"/>
        </w:rPr>
      </w:pPr>
      <w:bookmarkEnd w:id="1"/>
    </w:p>
    <w:p w:rsidR="006828EE" w:rsidP="00814284">
      <w:pPr>
        <w:rPr>
          <w:lang w:eastAsia="en-GB"/>
        </w:rPr>
      </w:pPr>
      <w:bookmarkStart w:id="2" w:name="_Hlk32249831"/>
      <w:r>
        <w:rPr>
          <w:lang w:eastAsia="en-GB"/>
        </w:rPr>
        <w:t xml:space="preserve">The level of </w:t>
      </w:r>
      <w:r w:rsidR="00E03682">
        <w:rPr>
          <w:lang w:eastAsia="en-GB"/>
        </w:rPr>
        <w:t>UK centrally provided fund</w:t>
      </w:r>
      <w:r w:rsidR="00E74C92">
        <w:rPr>
          <w:lang w:eastAsia="en-GB"/>
        </w:rPr>
        <w:t>ing</w:t>
      </w:r>
      <w:r w:rsidR="00814284">
        <w:rPr>
          <w:lang w:eastAsia="en-GB"/>
        </w:rPr>
        <w:t xml:space="preserve"> has been reduced due to devolution of certain tax raising powers to the Welsh Government.   The </w:t>
      </w:r>
      <w:r w:rsidRPr="00961F9F" w:rsidR="0016027C">
        <w:rPr>
          <w:lang w:eastAsia="en-GB"/>
        </w:rPr>
        <w:t xml:space="preserve">devolved </w:t>
      </w:r>
      <w:r w:rsidR="0016027C">
        <w:rPr>
          <w:lang w:eastAsia="en-GB"/>
        </w:rPr>
        <w:t>taxes</w:t>
      </w:r>
      <w:r w:rsidR="00814284">
        <w:rPr>
          <w:lang w:eastAsia="en-GB"/>
        </w:rPr>
        <w:t xml:space="preserve"> are </w:t>
      </w:r>
      <w:r w:rsidR="0016027C">
        <w:rPr>
          <w:lang w:eastAsia="en-GB"/>
        </w:rPr>
        <w:t xml:space="preserve">the Welsh </w:t>
      </w:r>
      <w:r w:rsidR="001C4678">
        <w:rPr>
          <w:lang w:eastAsia="en-GB"/>
        </w:rPr>
        <w:t xml:space="preserve">Government </w:t>
      </w:r>
      <w:r w:rsidR="0016027C">
        <w:rPr>
          <w:lang w:eastAsia="en-GB"/>
        </w:rPr>
        <w:t xml:space="preserve">replacements for </w:t>
      </w:r>
      <w:r w:rsidR="00814284">
        <w:rPr>
          <w:lang w:eastAsia="en-GB"/>
        </w:rPr>
        <w:t xml:space="preserve">Stamp Duty Land Tax </w:t>
      </w:r>
      <w:r w:rsidR="0016027C">
        <w:rPr>
          <w:lang w:eastAsia="en-GB"/>
        </w:rPr>
        <w:t xml:space="preserve">and </w:t>
      </w:r>
      <w:r w:rsidR="00814284">
        <w:rPr>
          <w:lang w:eastAsia="en-GB"/>
        </w:rPr>
        <w:t xml:space="preserve">Landfill Tax </w:t>
      </w:r>
      <w:r w:rsidR="0016027C">
        <w:rPr>
          <w:lang w:eastAsia="en-GB"/>
        </w:rPr>
        <w:t>(</w:t>
      </w:r>
      <w:r w:rsidR="00607B34">
        <w:rPr>
          <w:lang w:eastAsia="en-GB"/>
        </w:rPr>
        <w:t>the Land Transaction Tax and Landfill Disposal Tax respectively). An element of</w:t>
      </w:r>
      <w:r w:rsidR="00814284">
        <w:rPr>
          <w:lang w:eastAsia="en-GB"/>
        </w:rPr>
        <w:t xml:space="preserve"> Income Tax</w:t>
      </w:r>
      <w:r w:rsidR="00607B34">
        <w:rPr>
          <w:lang w:eastAsia="en-GB"/>
        </w:rPr>
        <w:t xml:space="preserve"> is also devolved and the Welsh Rates of Income Tax were introduced in April 2019</w:t>
      </w:r>
      <w:r w:rsidR="00814284">
        <w:rPr>
          <w:lang w:eastAsia="en-GB"/>
        </w:rPr>
        <w:t>.</w:t>
      </w:r>
      <w:r w:rsidR="002E6993">
        <w:rPr>
          <w:lang w:eastAsia="en-GB"/>
        </w:rPr>
        <w:t xml:space="preserve"> As agreed in the Welsh Government’s fiscal framework, the Welsh Government block grant has therefore been reduced by £2</w:t>
      </w:r>
      <w:r w:rsidR="00F05DC9">
        <w:rPr>
          <w:lang w:eastAsia="en-GB"/>
        </w:rPr>
        <w:t>.059</w:t>
      </w:r>
      <w:r w:rsidR="002E6993">
        <w:rPr>
          <w:lang w:eastAsia="en-GB"/>
        </w:rPr>
        <w:t xml:space="preserve"> billion in 2019-20 </w:t>
      </w:r>
      <w:r w:rsidR="000C0489">
        <w:rPr>
          <w:lang w:eastAsia="en-GB"/>
        </w:rPr>
        <w:t xml:space="preserve">to </w:t>
      </w:r>
      <w:r w:rsidRPr="000C0489" w:rsidR="000C0489">
        <w:rPr>
          <w:lang w:eastAsia="en-GB"/>
        </w:rPr>
        <w:t>offset the forecast £2.059bn in income tax receipts in 2019-20. Beyond 2019-20, the Welsh Government will continue to retain all revenues from the Welsh Rates of Income Tax and the reduction in the block grant will be linked to changes in corresponding UK Government revenues as set out in the fiscal framework.</w:t>
      </w:r>
      <w:r w:rsidR="000C0489">
        <w:rPr>
          <w:lang w:eastAsia="en-GB"/>
        </w:rPr>
        <w:t xml:space="preserve"> </w:t>
      </w:r>
    </w:p>
    <w:p w:rsidR="002E6993" w:rsidP="00814284">
      <w:pPr>
        <w:rPr>
          <w:lang w:eastAsia="en-GB"/>
        </w:rPr>
      </w:pPr>
      <w:r w:rsidRPr="00F92BA7">
        <w:rPr>
          <w:lang w:eastAsia="en-GB"/>
        </w:rPr>
        <w:t>The</w:t>
      </w:r>
      <w:r>
        <w:rPr>
          <w:lang w:eastAsia="en-GB"/>
        </w:rPr>
        <w:t xml:space="preserve"> other</w:t>
      </w:r>
      <w:r w:rsidRPr="00F92BA7">
        <w:rPr>
          <w:lang w:eastAsia="en-GB"/>
        </w:rPr>
        <w:t xml:space="preserve"> main driver in changes to the </w:t>
      </w:r>
      <w:r>
        <w:rPr>
          <w:lang w:eastAsia="en-GB"/>
        </w:rPr>
        <w:t>Welsh</w:t>
      </w:r>
      <w:r w:rsidRPr="00F92BA7">
        <w:rPr>
          <w:lang w:eastAsia="en-GB"/>
        </w:rPr>
        <w:t xml:space="preserve"> Government funding from 2018-19 to 2019-20 </w:t>
      </w:r>
      <w:r>
        <w:rPr>
          <w:lang w:eastAsia="en-GB"/>
        </w:rPr>
        <w:t>is</w:t>
      </w:r>
      <w:r w:rsidR="00EB094E">
        <w:rPr>
          <w:lang w:eastAsia="en-GB"/>
        </w:rPr>
        <w:t xml:space="preserve"> additional</w:t>
      </w:r>
      <w:r>
        <w:rPr>
          <w:lang w:eastAsia="en-GB"/>
        </w:rPr>
        <w:t xml:space="preserve"> </w:t>
      </w:r>
      <w:r w:rsidRPr="00F92BA7">
        <w:rPr>
          <w:lang w:eastAsia="en-GB"/>
        </w:rPr>
        <w:t xml:space="preserve">Barnett </w:t>
      </w:r>
      <w:r w:rsidRPr="00F92BA7">
        <w:rPr>
          <w:lang w:eastAsia="en-GB"/>
        </w:rPr>
        <w:t>Consequentials</w:t>
      </w:r>
      <w:r w:rsidRPr="00F92BA7">
        <w:rPr>
          <w:lang w:eastAsia="en-GB"/>
        </w:rPr>
        <w:t xml:space="preserve"> from UK Government decisions, with over £</w:t>
      </w:r>
      <w:r>
        <w:rPr>
          <w:lang w:eastAsia="en-GB"/>
        </w:rPr>
        <w:t>4</w:t>
      </w:r>
      <w:r w:rsidR="003A6CEA">
        <w:rPr>
          <w:lang w:eastAsia="en-GB"/>
        </w:rPr>
        <w:t>0</w:t>
      </w:r>
      <w:r>
        <w:rPr>
          <w:lang w:eastAsia="en-GB"/>
        </w:rPr>
        <w:t>0</w:t>
      </w:r>
      <w:r w:rsidRPr="003A6CEA">
        <w:rPr>
          <w:lang w:eastAsia="en-GB"/>
        </w:rPr>
        <w:t>m</w:t>
      </w:r>
      <w:r w:rsidRPr="00F92BA7">
        <w:rPr>
          <w:lang w:eastAsia="en-GB"/>
        </w:rPr>
        <w:t xml:space="preserve"> from Autumn Budget 2018</w:t>
      </w:r>
      <w:r>
        <w:rPr>
          <w:lang w:eastAsia="en-GB"/>
        </w:rPr>
        <w:t xml:space="preserve">. </w:t>
      </w:r>
    </w:p>
    <w:p w:rsidR="00514129" w:rsidP="00814284">
      <w:pPr>
        <w:rPr>
          <w:lang w:eastAsia="en-GB"/>
        </w:rPr>
      </w:pPr>
    </w:p>
    <w:p w:rsidR="00514129" w:rsidP="00814284">
      <w:pPr>
        <w:rPr>
          <w:lang w:eastAsia="en-GB"/>
        </w:rPr>
      </w:pPr>
    </w:p>
    <w:p w:rsidR="00514129" w:rsidP="00814284">
      <w:pPr>
        <w:rPr>
          <w:lang w:eastAsia="en-GB"/>
        </w:rPr>
      </w:pPr>
    </w:p>
    <w:p w:rsidR="00514129" w:rsidP="00814284">
      <w:pPr>
        <w:rPr>
          <w:lang w:eastAsia="en-GB"/>
        </w:rPr>
      </w:pPr>
    </w:p>
    <w:p w:rsidR="00514129" w:rsidP="00814284">
      <w:pPr>
        <w:rPr>
          <w:lang w:eastAsia="en-GB"/>
        </w:rPr>
      </w:pPr>
    </w:p>
    <w:p w:rsidR="00514129" w:rsidP="00814284">
      <w:pPr>
        <w:rPr>
          <w:lang w:eastAsia="en-GB"/>
        </w:rPr>
      </w:pPr>
    </w:p>
    <w:p w:rsidR="00514129" w:rsidP="00814284">
      <w:pPr>
        <w:rPr>
          <w:lang w:eastAsia="en-GB"/>
        </w:rPr>
      </w:pPr>
    </w:p>
    <w:p w:rsidR="00F51346" w:rsidP="001E0FA1">
      <w:pPr>
        <w:pStyle w:val="Heading2"/>
      </w:pPr>
      <w:bookmarkEnd w:id="2"/>
      <w:r>
        <w:t>3.</w:t>
      </w:r>
      <w:r w:rsidR="00EC1ABA">
        <w:t>3</w:t>
      </w:r>
      <w:r w:rsidR="00F00274">
        <w:t xml:space="preserve"> </w:t>
      </w:r>
      <w:r w:rsidR="001E0FA1">
        <w:tab/>
      </w:r>
      <w:r w:rsidR="00B302AE">
        <w:t xml:space="preserve">Cash </w:t>
      </w:r>
      <w:r w:rsidR="00F32426">
        <w:t xml:space="preserve">grant payable </w:t>
      </w:r>
      <w:r w:rsidR="00B302AE">
        <w:t xml:space="preserve">to </w:t>
      </w:r>
      <w:r w:rsidR="006828EE">
        <w:t xml:space="preserve">the Welsh </w:t>
      </w:r>
      <w:r w:rsidR="00B302AE">
        <w:t>Consolidated Fund</w:t>
      </w:r>
    </w:p>
    <w:p w:rsidR="00B94F97" w:rsidP="00B94F97"/>
    <w:p w:rsidR="00E914D4" w:rsidP="00C70198">
      <w:pPr>
        <w:jc w:val="both"/>
        <w:rPr>
          <w:lang w:eastAsia="en-GB"/>
        </w:rPr>
      </w:pPr>
      <w:r w:rsidRPr="0074085B">
        <w:rPr>
          <w:lang w:eastAsia="en-GB"/>
        </w:rPr>
        <w:t xml:space="preserve">The </w:t>
      </w:r>
      <w:r w:rsidR="006828EE">
        <w:rPr>
          <w:lang w:eastAsia="en-GB"/>
        </w:rPr>
        <w:t>Wales</w:t>
      </w:r>
      <w:r>
        <w:rPr>
          <w:lang w:eastAsia="en-GB"/>
        </w:rPr>
        <w:t xml:space="preserve"> Office </w:t>
      </w:r>
      <w:r w:rsidRPr="0074085B">
        <w:rPr>
          <w:lang w:eastAsia="en-GB"/>
        </w:rPr>
        <w:t xml:space="preserve">Estimate allows for the payment of a cash grant to the </w:t>
      </w:r>
      <w:r w:rsidR="006828EE">
        <w:rPr>
          <w:lang w:eastAsia="en-GB"/>
        </w:rPr>
        <w:t xml:space="preserve">Welsh </w:t>
      </w:r>
      <w:r w:rsidRPr="0074085B">
        <w:rPr>
          <w:lang w:eastAsia="en-GB"/>
        </w:rPr>
        <w:t xml:space="preserve">Consolidated Fund. </w:t>
      </w:r>
      <w:r w:rsidRPr="0074085B">
        <w:rPr>
          <w:lang w:eastAsia="en-GB"/>
        </w:rPr>
        <w:t xml:space="preserve">This expenditure is shown in Section </w:t>
      </w:r>
      <w:r w:rsidR="006A04DF">
        <w:rPr>
          <w:lang w:eastAsia="en-GB"/>
        </w:rPr>
        <w:t>C</w:t>
      </w:r>
      <w:r w:rsidRPr="0074085B">
        <w:rPr>
          <w:lang w:eastAsia="en-GB"/>
        </w:rPr>
        <w:t xml:space="preserve"> of the of </w:t>
      </w:r>
      <w:r w:rsidR="006828EE">
        <w:rPr>
          <w:lang w:eastAsia="en-GB"/>
        </w:rPr>
        <w:t xml:space="preserve">the Wales Office </w:t>
      </w:r>
      <w:r w:rsidRPr="0074085B">
        <w:rPr>
          <w:lang w:eastAsia="en-GB"/>
        </w:rPr>
        <w:t>Estimate</w:t>
      </w:r>
      <w:r>
        <w:rPr>
          <w:lang w:eastAsia="en-GB"/>
        </w:rPr>
        <w:t xml:space="preserve"> under the heading “</w:t>
      </w:r>
      <w:r w:rsidR="004719D4">
        <w:rPr>
          <w:lang w:eastAsia="en-GB"/>
        </w:rPr>
        <w:t>non- budget</w:t>
      </w:r>
      <w:r>
        <w:rPr>
          <w:lang w:eastAsia="en-GB"/>
        </w:rPr>
        <w:t xml:space="preserve"> expenditure”</w:t>
      </w:r>
      <w:r w:rsidRPr="0074085B">
        <w:rPr>
          <w:lang w:eastAsia="en-GB"/>
        </w:rPr>
        <w:t xml:space="preserve">. </w:t>
      </w:r>
      <w:r w:rsidRPr="0074085B">
        <w:rPr>
          <w:lang w:eastAsia="en-GB"/>
        </w:rPr>
        <w:t xml:space="preserve"> All expenditure by the </w:t>
      </w:r>
      <w:r w:rsidR="006828EE">
        <w:rPr>
          <w:lang w:eastAsia="en-GB"/>
        </w:rPr>
        <w:t xml:space="preserve">Welsh </w:t>
      </w:r>
      <w:r w:rsidRPr="0074085B">
        <w:rPr>
          <w:lang w:eastAsia="en-GB"/>
        </w:rPr>
        <w:t xml:space="preserve">Government is charged to the </w:t>
      </w:r>
      <w:r w:rsidR="006828EE">
        <w:rPr>
          <w:lang w:eastAsia="en-GB"/>
        </w:rPr>
        <w:t>Welsh C</w:t>
      </w:r>
      <w:r w:rsidRPr="0074085B">
        <w:rPr>
          <w:lang w:eastAsia="en-GB"/>
        </w:rPr>
        <w:t>onsolidated Fund.</w:t>
      </w:r>
    </w:p>
    <w:p w:rsidR="00E914D4" w:rsidP="00C70198">
      <w:pPr>
        <w:jc w:val="both"/>
        <w:rPr>
          <w:lang w:eastAsia="en-GB"/>
        </w:rPr>
      </w:pPr>
      <w:r w:rsidRPr="0074085B">
        <w:rPr>
          <w:lang w:eastAsia="en-GB"/>
        </w:rPr>
        <w:t xml:space="preserve">The </w:t>
      </w:r>
      <w:r>
        <w:rPr>
          <w:lang w:eastAsia="en-GB"/>
        </w:rPr>
        <w:t xml:space="preserve">amount of cash which the </w:t>
      </w:r>
      <w:r w:rsidR="006828EE">
        <w:rPr>
          <w:lang w:eastAsia="en-GB"/>
        </w:rPr>
        <w:t xml:space="preserve">Welsh </w:t>
      </w:r>
      <w:r>
        <w:rPr>
          <w:lang w:eastAsia="en-GB"/>
        </w:rPr>
        <w:t>government receives</w:t>
      </w:r>
      <w:r w:rsidR="006A04DF">
        <w:rPr>
          <w:lang w:eastAsia="en-GB"/>
        </w:rPr>
        <w:t xml:space="preserve"> via this route</w:t>
      </w:r>
      <w:r>
        <w:rPr>
          <w:lang w:eastAsia="en-GB"/>
        </w:rPr>
        <w:t>, and which is sought under this Estimate</w:t>
      </w:r>
      <w:r w:rsidR="006A04DF">
        <w:rPr>
          <w:lang w:eastAsia="en-GB"/>
        </w:rPr>
        <w:t>,</w:t>
      </w:r>
      <w:r>
        <w:rPr>
          <w:lang w:eastAsia="en-GB"/>
        </w:rPr>
        <w:t xml:space="preserve"> is a result of a calculation.  The starting point to that calculation is the amount of DEL budget (block grant) and Annually Managed Expenditure which the UK government is prepared to provide</w:t>
      </w:r>
      <w:r w:rsidR="006A04DF">
        <w:rPr>
          <w:lang w:eastAsia="en-GB"/>
        </w:rPr>
        <w:t>.</w:t>
      </w:r>
      <w:r>
        <w:rPr>
          <w:lang w:eastAsia="en-GB"/>
        </w:rPr>
        <w:t xml:space="preserve"> </w:t>
      </w:r>
    </w:p>
    <w:p w:rsidR="00C70198" w:rsidP="00C70198">
      <w:pPr>
        <w:jc w:val="both"/>
        <w:rPr>
          <w:lang w:eastAsia="en-GB"/>
        </w:rPr>
      </w:pPr>
      <w:r>
        <w:rPr>
          <w:lang w:eastAsia="en-GB"/>
        </w:rPr>
        <w:t xml:space="preserve">The </w:t>
      </w:r>
      <w:r w:rsidRPr="0074085B">
        <w:rPr>
          <w:lang w:eastAsia="en-GB"/>
        </w:rPr>
        <w:t xml:space="preserve">table below </w:t>
      </w:r>
      <w:r>
        <w:rPr>
          <w:lang w:eastAsia="en-GB"/>
        </w:rPr>
        <w:t xml:space="preserve">shows the stages in the calculation. </w:t>
      </w:r>
    </w:p>
    <w:p w:rsidR="006C646E" w:rsidP="00C70198">
      <w:pPr>
        <w:jc w:val="both"/>
        <w:rPr>
          <w:lang w:eastAsia="en-GB"/>
        </w:rPr>
      </w:pPr>
    </w:p>
    <w:p w:rsidR="006C646E" w:rsidP="00C70198">
      <w:pPr>
        <w:jc w:val="both"/>
        <w:rPr>
          <w:lang w:eastAsia="en-GB"/>
        </w:rPr>
      </w:pPr>
    </w:p>
    <w:p w:rsidR="006C646E" w:rsidP="00C70198">
      <w:pPr>
        <w:jc w:val="both"/>
        <w:rPr>
          <w:lang w:eastAsia="en-GB"/>
        </w:rPr>
      </w:pPr>
    </w:p>
    <w:p w:rsidR="006C646E" w:rsidP="00C70198">
      <w:pPr>
        <w:jc w:val="both"/>
        <w:rPr>
          <w:lang w:eastAsia="en-GB"/>
        </w:rPr>
      </w:pPr>
    </w:p>
    <w:p w:rsidR="006C646E" w:rsidP="00C70198">
      <w:pPr>
        <w:jc w:val="both"/>
        <w:rPr>
          <w:lang w:eastAsia="en-GB"/>
        </w:rPr>
      </w:pPr>
    </w:p>
    <w:p w:rsidR="006C646E" w:rsidP="00C70198">
      <w:pPr>
        <w:jc w:val="both"/>
        <w:rPr>
          <w:lang w:eastAsia="en-GB"/>
        </w:rPr>
      </w:pPr>
    </w:p>
    <w:p w:rsidR="006C646E" w:rsidP="00C70198">
      <w:pPr>
        <w:jc w:val="both"/>
        <w:rPr>
          <w:lang w:eastAsia="en-GB"/>
        </w:rPr>
      </w:pPr>
    </w:p>
    <w:p w:rsidR="006C646E" w:rsidP="00C70198">
      <w:pPr>
        <w:jc w:val="both"/>
        <w:rPr>
          <w:lang w:eastAsia="en-GB"/>
        </w:rPr>
      </w:pPr>
    </w:p>
    <w:p w:rsidR="006C646E" w:rsidP="00C70198">
      <w:pPr>
        <w:jc w:val="both"/>
        <w:rPr>
          <w:lang w:eastAsia="en-GB"/>
        </w:rPr>
      </w:pPr>
    </w:p>
    <w:p w:rsidR="006C646E" w:rsidP="00C70198">
      <w:pPr>
        <w:jc w:val="both"/>
        <w:rPr>
          <w:lang w:eastAsia="en-GB"/>
        </w:rPr>
      </w:pPr>
    </w:p>
    <w:p w:rsidR="006C646E" w:rsidP="00C70198">
      <w:pPr>
        <w:jc w:val="both"/>
        <w:rPr>
          <w:lang w:eastAsia="en-GB"/>
        </w:rPr>
      </w:pPr>
    </w:p>
    <w:p w:rsidR="006C646E" w:rsidP="00C70198">
      <w:pPr>
        <w:jc w:val="both"/>
        <w:rPr>
          <w:lang w:eastAsia="en-GB"/>
        </w:rPr>
      </w:pPr>
    </w:p>
    <w:p w:rsidR="006C646E" w:rsidP="00C70198">
      <w:pPr>
        <w:jc w:val="both"/>
        <w:rPr>
          <w:lang w:eastAsia="en-GB"/>
        </w:rPr>
      </w:pPr>
    </w:p>
    <w:p w:rsidR="006C646E" w:rsidP="00C70198">
      <w:pPr>
        <w:jc w:val="both"/>
        <w:rPr>
          <w:lang w:eastAsia="en-GB"/>
        </w:rPr>
      </w:pPr>
    </w:p>
    <w:p w:rsidR="006C646E" w:rsidP="00C70198">
      <w:pPr>
        <w:jc w:val="both"/>
        <w:rPr>
          <w:lang w:eastAsia="en-GB"/>
        </w:rPr>
      </w:pPr>
    </w:p>
    <w:p w:rsidR="006C646E" w:rsidP="00C70198">
      <w:pPr>
        <w:jc w:val="both"/>
        <w:rPr>
          <w:lang w:eastAsia="en-GB"/>
        </w:rPr>
      </w:pPr>
    </w:p>
    <w:p w:rsidR="006C646E" w:rsidP="00C70198">
      <w:pPr>
        <w:jc w:val="both"/>
        <w:rPr>
          <w:lang w:eastAsia="en-GB"/>
        </w:rPr>
      </w:pPr>
    </w:p>
    <w:p w:rsidR="006C646E" w:rsidP="00C70198">
      <w:pPr>
        <w:jc w:val="both"/>
        <w:rPr>
          <w:lang w:eastAsia="en-GB"/>
        </w:rPr>
      </w:pPr>
    </w:p>
    <w:p w:rsidR="006C646E" w:rsidP="00C70198">
      <w:pPr>
        <w:jc w:val="both"/>
        <w:rPr>
          <w:lang w:eastAsia="en-GB"/>
        </w:rPr>
      </w:pPr>
    </w:p>
    <w:p w:rsidR="006C646E" w:rsidP="00C70198">
      <w:pPr>
        <w:jc w:val="both"/>
        <w:rPr>
          <w:lang w:eastAsia="en-GB"/>
        </w:rPr>
      </w:pPr>
    </w:p>
    <w:p w:rsidR="006C646E" w:rsidP="00C70198">
      <w:pPr>
        <w:jc w:val="both"/>
        <w:rPr>
          <w:lang w:eastAsia="en-GB"/>
        </w:rPr>
      </w:pPr>
    </w:p>
    <w:p w:rsidR="006C646E" w:rsidP="00C70198">
      <w:pPr>
        <w:jc w:val="both"/>
        <w:rPr>
          <w:lang w:eastAsia="en-GB"/>
        </w:rPr>
      </w:pPr>
    </w:p>
    <w:p w:rsidR="006C646E" w:rsidP="00C70198">
      <w:pPr>
        <w:jc w:val="both"/>
        <w:rPr>
          <w:lang w:eastAsia="en-GB"/>
        </w:rPr>
      </w:pPr>
    </w:p>
    <w:p w:rsidR="006C646E" w:rsidRPr="0074085B" w:rsidP="00C70198">
      <w:pPr>
        <w:jc w:val="both"/>
        <w:rPr>
          <w:lang w:eastAsia="en-GB"/>
        </w:rPr>
      </w:pPr>
    </w:p>
    <w:tbl>
      <w:tblPr>
        <w:tblW w:w="5202" w:type="pct"/>
        <w:tblLayout w:type="fixed"/>
        <w:tblLook w:val="04A0"/>
      </w:tblPr>
      <w:tblGrid>
        <w:gridCol w:w="764"/>
        <w:gridCol w:w="3537"/>
        <w:gridCol w:w="1199"/>
        <w:gridCol w:w="138"/>
        <w:gridCol w:w="1337"/>
        <w:gridCol w:w="256"/>
        <w:gridCol w:w="1081"/>
        <w:gridCol w:w="336"/>
      </w:tblGrid>
      <w:tr w:rsidTr="00B4473A">
        <w:tblPrEx>
          <w:tblW w:w="5202" w:type="pct"/>
          <w:tblLayout w:type="fixed"/>
          <w:tblLook w:val="04A0"/>
        </w:tblPrEx>
        <w:trPr>
          <w:gridAfter w:val="1"/>
          <w:wAfter w:w="194" w:type="dxa"/>
          <w:trHeight w:val="310"/>
        </w:trPr>
        <w:tc>
          <w:tcPr>
            <w:tcW w:w="4806" w:type="pct"/>
            <w:gridSpan w:val="7"/>
            <w:tcBorders>
              <w:top w:val="nil"/>
              <w:left w:val="nil"/>
              <w:bottom w:val="nil"/>
              <w:right w:val="nil"/>
            </w:tcBorders>
            <w:shd w:val="clear" w:color="auto" w:fill="auto"/>
            <w:vAlign w:val="bottom"/>
            <w:hideMark/>
          </w:tcPr>
          <w:p w:rsidR="006C646E" w:rsidRPr="000230DA" w:rsidP="006C646E">
            <w:pPr>
              <w:spacing w:after="0" w:line="240" w:lineRule="auto"/>
              <w:jc w:val="center"/>
              <w:rPr>
                <w:rFonts w:ascii="Times New Roman" w:eastAsia="Times New Roman" w:hAnsi="Times New Roman" w:cs="Times New Roman"/>
                <w:sz w:val="20"/>
                <w:szCs w:val="20"/>
                <w:lang w:eastAsia="en-GB"/>
              </w:rPr>
            </w:pPr>
            <w:r w:rsidRPr="000230DA">
              <w:rPr>
                <w:rFonts w:ascii="Arial" w:eastAsia="Times New Roman" w:hAnsi="Arial" w:cs="Arial"/>
                <w:b/>
                <w:bCs/>
                <w:sz w:val="24"/>
                <w:szCs w:val="24"/>
                <w:lang w:eastAsia="en-GB"/>
              </w:rPr>
              <w:t>3.3 Calculation of Cash Grant Payable to Welsh Consolidated Fund 2019-20</w:t>
            </w:r>
          </w:p>
        </w:tc>
      </w:tr>
      <w:tr w:rsidTr="00B4473A">
        <w:tblPrEx>
          <w:tblW w:w="5202" w:type="pct"/>
          <w:tblLayout w:type="fixed"/>
          <w:tblLook w:val="04A0"/>
        </w:tblPrEx>
        <w:trPr>
          <w:gridAfter w:val="1"/>
          <w:wAfter w:w="194" w:type="dxa"/>
          <w:trHeight w:val="31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693"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1001" w:type="pct"/>
            <w:gridSpan w:val="3"/>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62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r>
      <w:tr w:rsidTr="00B4473A">
        <w:tblPrEx>
          <w:tblW w:w="5202" w:type="pct"/>
          <w:tblLayout w:type="fixed"/>
          <w:tblLook w:val="04A0"/>
        </w:tblPrEx>
        <w:trPr>
          <w:trHeight w:val="310"/>
        </w:trPr>
        <w:tc>
          <w:tcPr>
            <w:tcW w:w="442" w:type="pct"/>
            <w:tcBorders>
              <w:top w:val="nil"/>
              <w:left w:val="nil"/>
              <w:bottom w:val="nil"/>
              <w:right w:val="nil"/>
            </w:tcBorders>
            <w:shd w:val="clear" w:color="auto" w:fill="auto"/>
            <w:noWrap/>
            <w:vAlign w:val="center"/>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2045" w:type="pct"/>
            <w:tcBorders>
              <w:top w:val="nil"/>
              <w:left w:val="nil"/>
              <w:bottom w:val="nil"/>
              <w:right w:val="nil"/>
            </w:tcBorders>
            <w:shd w:val="clear" w:color="auto" w:fill="auto"/>
            <w:noWrap/>
            <w:vAlign w:val="center"/>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vAlign w:val="center"/>
            <w:hideMark/>
          </w:tcPr>
          <w:p w:rsidR="006C646E" w:rsidRPr="000230DA" w:rsidP="006A5220">
            <w:pPr>
              <w:spacing w:after="0" w:line="240" w:lineRule="auto"/>
              <w:jc w:val="center"/>
              <w:rPr>
                <w:rFonts w:ascii="Calibri" w:eastAsia="Times New Roman" w:hAnsi="Calibri" w:cs="Calibri"/>
                <w:b/>
                <w:bCs/>
                <w:lang w:eastAsia="en-GB"/>
              </w:rPr>
            </w:pPr>
            <w:r w:rsidRPr="000230DA">
              <w:rPr>
                <w:rFonts w:ascii="Calibri" w:eastAsia="Times New Roman" w:hAnsi="Calibri" w:cs="Calibri"/>
                <w:b/>
                <w:bCs/>
                <w:lang w:eastAsia="en-GB"/>
              </w:rPr>
              <w:t>2019-20</w:t>
            </w:r>
          </w:p>
        </w:tc>
        <w:tc>
          <w:tcPr>
            <w:tcW w:w="773" w:type="pct"/>
            <w:tcBorders>
              <w:top w:val="nil"/>
              <w:left w:val="nil"/>
              <w:bottom w:val="nil"/>
              <w:right w:val="nil"/>
            </w:tcBorders>
            <w:shd w:val="clear" w:color="auto" w:fill="auto"/>
            <w:vAlign w:val="center"/>
            <w:hideMark/>
          </w:tcPr>
          <w:p w:rsidR="006C646E" w:rsidRPr="000230DA" w:rsidP="006A5220">
            <w:pPr>
              <w:spacing w:after="0" w:line="240" w:lineRule="auto"/>
              <w:jc w:val="center"/>
              <w:rPr>
                <w:rFonts w:ascii="Calibri" w:eastAsia="Times New Roman" w:hAnsi="Calibri" w:cs="Calibri"/>
                <w:b/>
                <w:bCs/>
                <w:lang w:eastAsia="en-GB"/>
              </w:rPr>
            </w:pPr>
            <w:r w:rsidRPr="000230DA">
              <w:rPr>
                <w:rFonts w:ascii="Calibri" w:eastAsia="Times New Roman" w:hAnsi="Calibri" w:cs="Calibri"/>
                <w:b/>
                <w:bCs/>
                <w:lang w:eastAsia="en-GB"/>
              </w:rPr>
              <w:t>2019-20</w:t>
            </w:r>
          </w:p>
        </w:tc>
        <w:tc>
          <w:tcPr>
            <w:tcW w:w="967" w:type="pct"/>
            <w:gridSpan w:val="3"/>
            <w:tcBorders>
              <w:top w:val="nil"/>
              <w:left w:val="nil"/>
              <w:bottom w:val="nil"/>
              <w:right w:val="nil"/>
            </w:tcBorders>
            <w:shd w:val="clear" w:color="auto" w:fill="auto"/>
            <w:vAlign w:val="center"/>
            <w:hideMark/>
          </w:tcPr>
          <w:p w:rsidR="006C646E" w:rsidRPr="000230DA" w:rsidP="006A5220">
            <w:pPr>
              <w:spacing w:after="0" w:line="240" w:lineRule="auto"/>
              <w:jc w:val="center"/>
              <w:rPr>
                <w:rFonts w:ascii="Calibri" w:eastAsia="Times New Roman" w:hAnsi="Calibri" w:cs="Calibri"/>
                <w:b/>
                <w:bCs/>
                <w:lang w:eastAsia="en-GB"/>
              </w:rPr>
            </w:pPr>
            <w:r w:rsidRPr="000230DA">
              <w:rPr>
                <w:rFonts w:ascii="Calibri" w:eastAsia="Times New Roman" w:hAnsi="Calibri" w:cs="Calibri"/>
                <w:b/>
                <w:bCs/>
                <w:lang w:eastAsia="en-GB"/>
              </w:rPr>
              <w:t>2019-20</w:t>
            </w:r>
          </w:p>
        </w:tc>
      </w:tr>
      <w:tr w:rsidTr="00B4473A">
        <w:tblPrEx>
          <w:tblW w:w="5202" w:type="pct"/>
          <w:tblLayout w:type="fixed"/>
          <w:tblLook w:val="04A0"/>
        </w:tblPrEx>
        <w:trPr>
          <w:trHeight w:val="310"/>
        </w:trPr>
        <w:tc>
          <w:tcPr>
            <w:tcW w:w="2487" w:type="pct"/>
            <w:gridSpan w:val="2"/>
            <w:tcBorders>
              <w:top w:val="nil"/>
              <w:left w:val="nil"/>
              <w:bottom w:val="nil"/>
              <w:right w:val="nil"/>
            </w:tcBorders>
            <w:shd w:val="clear" w:color="auto" w:fill="auto"/>
            <w:noWrap/>
            <w:vAlign w:val="center"/>
            <w:hideMark/>
          </w:tcPr>
          <w:p w:rsidR="006C646E" w:rsidRPr="000230DA" w:rsidP="006A5220">
            <w:pPr>
              <w:spacing w:after="0" w:line="240" w:lineRule="auto"/>
              <w:jc w:val="center"/>
              <w:rPr>
                <w:rFonts w:ascii="Calibri" w:eastAsia="Times New Roman" w:hAnsi="Calibri" w:cs="Calibri"/>
                <w:b/>
                <w:bCs/>
                <w:lang w:eastAsia="en-GB"/>
              </w:rPr>
            </w:pPr>
          </w:p>
        </w:tc>
        <w:tc>
          <w:tcPr>
            <w:tcW w:w="773" w:type="pct"/>
            <w:gridSpan w:val="2"/>
            <w:tcBorders>
              <w:top w:val="nil"/>
              <w:left w:val="nil"/>
              <w:bottom w:val="nil"/>
              <w:right w:val="nil"/>
            </w:tcBorders>
            <w:shd w:val="clear" w:color="auto" w:fill="auto"/>
            <w:vAlign w:val="bottom"/>
            <w:hideMark/>
          </w:tcPr>
          <w:p w:rsidR="006C646E" w:rsidRPr="000230DA" w:rsidP="002F6BB1">
            <w:pPr>
              <w:spacing w:after="0" w:line="240" w:lineRule="auto"/>
              <w:jc w:val="right"/>
              <w:rPr>
                <w:rFonts w:ascii="Calibri" w:eastAsia="Times New Roman" w:hAnsi="Calibri" w:cs="Calibri"/>
                <w:b/>
                <w:bCs/>
                <w:lang w:eastAsia="en-GB"/>
              </w:rPr>
            </w:pPr>
            <w:r w:rsidRPr="000230DA">
              <w:rPr>
                <w:rFonts w:ascii="Calibri" w:eastAsia="Times New Roman" w:hAnsi="Calibri" w:cs="Calibri"/>
                <w:b/>
                <w:bCs/>
                <w:lang w:eastAsia="en-GB"/>
              </w:rPr>
              <w:t>Main Estimate</w:t>
            </w:r>
          </w:p>
        </w:tc>
        <w:tc>
          <w:tcPr>
            <w:tcW w:w="773" w:type="pct"/>
            <w:tcBorders>
              <w:top w:val="nil"/>
              <w:left w:val="nil"/>
              <w:bottom w:val="nil"/>
              <w:right w:val="nil"/>
            </w:tcBorders>
            <w:shd w:val="clear" w:color="auto" w:fill="auto"/>
            <w:vAlign w:val="bottom"/>
            <w:hideMark/>
          </w:tcPr>
          <w:p w:rsidR="006C646E" w:rsidRPr="000230DA" w:rsidP="002F6BB1">
            <w:pPr>
              <w:spacing w:after="0" w:line="240" w:lineRule="auto"/>
              <w:jc w:val="right"/>
              <w:rPr>
                <w:rFonts w:ascii="Calibri" w:eastAsia="Times New Roman" w:hAnsi="Calibri" w:cs="Calibri"/>
                <w:b/>
                <w:bCs/>
                <w:lang w:eastAsia="en-GB"/>
              </w:rPr>
            </w:pPr>
            <w:r w:rsidRPr="000230DA">
              <w:rPr>
                <w:rFonts w:ascii="Calibri" w:eastAsia="Times New Roman" w:hAnsi="Calibri" w:cs="Calibri"/>
                <w:b/>
                <w:bCs/>
                <w:lang w:eastAsia="en-GB"/>
              </w:rPr>
              <w:t>Changes</w:t>
            </w:r>
          </w:p>
        </w:tc>
        <w:tc>
          <w:tcPr>
            <w:tcW w:w="967" w:type="pct"/>
            <w:gridSpan w:val="3"/>
            <w:tcBorders>
              <w:top w:val="nil"/>
              <w:left w:val="nil"/>
              <w:bottom w:val="nil"/>
              <w:right w:val="nil"/>
            </w:tcBorders>
            <w:shd w:val="clear" w:color="auto" w:fill="auto"/>
            <w:vAlign w:val="bottom"/>
            <w:hideMark/>
          </w:tcPr>
          <w:p w:rsidR="006C646E" w:rsidRPr="000230DA" w:rsidP="002F6BB1">
            <w:pPr>
              <w:spacing w:after="0" w:line="240" w:lineRule="auto"/>
              <w:jc w:val="center"/>
              <w:rPr>
                <w:rFonts w:ascii="Calibri" w:eastAsia="Times New Roman" w:hAnsi="Calibri" w:cs="Calibri"/>
                <w:b/>
                <w:bCs/>
                <w:lang w:eastAsia="en-GB"/>
              </w:rPr>
            </w:pPr>
            <w:r>
              <w:rPr>
                <w:rFonts w:ascii="Calibri" w:eastAsia="Times New Roman" w:hAnsi="Calibri" w:cs="Calibri"/>
                <w:b/>
                <w:bCs/>
                <w:lang w:eastAsia="en-GB"/>
              </w:rPr>
              <w:t xml:space="preserve">Supplementary </w:t>
            </w:r>
            <w:r w:rsidRPr="000230DA">
              <w:rPr>
                <w:rFonts w:ascii="Calibri" w:eastAsia="Times New Roman" w:hAnsi="Calibri" w:cs="Calibri"/>
                <w:b/>
                <w:bCs/>
                <w:lang w:eastAsia="en-GB"/>
              </w:rPr>
              <w:t>Estimate</w:t>
            </w:r>
          </w:p>
        </w:tc>
      </w:tr>
      <w:tr w:rsidTr="00B4473A">
        <w:tblPrEx>
          <w:tblW w:w="5202" w:type="pct"/>
          <w:tblLayout w:type="fixed"/>
          <w:tblLook w:val="04A0"/>
        </w:tblPrEx>
        <w:trPr>
          <w:trHeight w:val="310"/>
        </w:trPr>
        <w:tc>
          <w:tcPr>
            <w:tcW w:w="442" w:type="pct"/>
            <w:tcBorders>
              <w:top w:val="nil"/>
              <w:left w:val="nil"/>
              <w:bottom w:val="nil"/>
              <w:right w:val="nil"/>
            </w:tcBorders>
            <w:shd w:val="clear" w:color="auto" w:fill="auto"/>
            <w:noWrap/>
            <w:vAlign w:val="center"/>
            <w:hideMark/>
          </w:tcPr>
          <w:p w:rsidR="006C646E" w:rsidRPr="000230DA" w:rsidP="006A5220">
            <w:pPr>
              <w:spacing w:after="0" w:line="240" w:lineRule="auto"/>
              <w:jc w:val="center"/>
              <w:rPr>
                <w:rFonts w:ascii="Calibri" w:eastAsia="Times New Roman" w:hAnsi="Calibri" w:cs="Calibri"/>
                <w:b/>
                <w:bCs/>
                <w:lang w:eastAsia="en-GB"/>
              </w:rPr>
            </w:pPr>
          </w:p>
        </w:tc>
        <w:tc>
          <w:tcPr>
            <w:tcW w:w="2045" w:type="pct"/>
            <w:tcBorders>
              <w:top w:val="nil"/>
              <w:left w:val="nil"/>
              <w:bottom w:val="nil"/>
              <w:right w:val="nil"/>
            </w:tcBorders>
            <w:shd w:val="clear" w:color="auto" w:fill="auto"/>
            <w:noWrap/>
            <w:vAlign w:val="center"/>
            <w:hideMark/>
          </w:tcPr>
          <w:p w:rsidR="006C646E" w:rsidRPr="000230DA" w:rsidP="006A5220">
            <w:pPr>
              <w:spacing w:after="0" w:line="240" w:lineRule="auto"/>
              <w:jc w:val="center"/>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center"/>
            <w:hideMark/>
          </w:tcPr>
          <w:p w:rsidR="006C646E" w:rsidRPr="00E16443" w:rsidP="002F6BB1">
            <w:pPr>
              <w:spacing w:after="0" w:line="240" w:lineRule="auto"/>
              <w:jc w:val="right"/>
              <w:rPr>
                <w:rFonts w:eastAsia="Times New Roman" w:cstheme="minorHAnsi"/>
                <w:lang w:eastAsia="en-GB"/>
              </w:rPr>
            </w:pPr>
            <w:r w:rsidRPr="00E16443">
              <w:rPr>
                <w:rFonts w:eastAsia="Times New Roman" w:cstheme="minorHAnsi"/>
                <w:lang w:eastAsia="en-GB"/>
              </w:rPr>
              <w:t>£,000</w:t>
            </w:r>
          </w:p>
        </w:tc>
        <w:tc>
          <w:tcPr>
            <w:tcW w:w="773" w:type="pct"/>
            <w:tcBorders>
              <w:top w:val="nil"/>
              <w:left w:val="nil"/>
              <w:bottom w:val="nil"/>
              <w:right w:val="nil"/>
            </w:tcBorders>
            <w:shd w:val="clear" w:color="auto" w:fill="auto"/>
            <w:noWrap/>
            <w:vAlign w:val="center"/>
            <w:hideMark/>
          </w:tcPr>
          <w:p w:rsidR="006C646E" w:rsidRPr="00E16443" w:rsidP="002F6BB1">
            <w:pPr>
              <w:spacing w:after="0" w:line="240" w:lineRule="auto"/>
              <w:jc w:val="right"/>
              <w:rPr>
                <w:rFonts w:eastAsia="Times New Roman" w:cstheme="minorHAnsi"/>
                <w:lang w:eastAsia="en-GB"/>
              </w:rPr>
            </w:pPr>
            <w:r w:rsidRPr="00E16443">
              <w:rPr>
                <w:rFonts w:eastAsia="Times New Roman" w:cstheme="minorHAnsi"/>
                <w:lang w:eastAsia="en-GB"/>
              </w:rPr>
              <w:t>£,000</w:t>
            </w:r>
          </w:p>
        </w:tc>
        <w:tc>
          <w:tcPr>
            <w:tcW w:w="967" w:type="pct"/>
            <w:gridSpan w:val="3"/>
            <w:tcBorders>
              <w:top w:val="nil"/>
              <w:left w:val="nil"/>
              <w:bottom w:val="nil"/>
              <w:right w:val="nil"/>
            </w:tcBorders>
            <w:shd w:val="clear" w:color="auto" w:fill="auto"/>
            <w:noWrap/>
            <w:vAlign w:val="center"/>
            <w:hideMark/>
          </w:tcPr>
          <w:p w:rsidR="006C646E" w:rsidRPr="00E16443" w:rsidP="002F6BB1">
            <w:pPr>
              <w:spacing w:after="0" w:line="240" w:lineRule="auto"/>
              <w:jc w:val="center"/>
              <w:rPr>
                <w:rFonts w:eastAsia="Times New Roman" w:cstheme="minorHAnsi"/>
                <w:lang w:eastAsia="en-GB"/>
              </w:rPr>
            </w:pPr>
            <w:r w:rsidRPr="00E16443">
              <w:rPr>
                <w:rFonts w:eastAsia="Times New Roman" w:cstheme="minorHAnsi"/>
                <w:lang w:eastAsia="en-GB"/>
              </w:rPr>
              <w:t>£,000</w:t>
            </w:r>
          </w:p>
        </w:tc>
      </w:tr>
      <w:tr w:rsidTr="00B4473A">
        <w:tblPrEx>
          <w:tblW w:w="5202" w:type="pct"/>
          <w:tblLayout w:type="fixed"/>
          <w:tblLook w:val="04A0"/>
        </w:tblPrEx>
        <w:trPr>
          <w:trHeight w:val="290"/>
        </w:trPr>
        <w:tc>
          <w:tcPr>
            <w:tcW w:w="2487" w:type="pct"/>
            <w:gridSpan w:val="2"/>
            <w:tcBorders>
              <w:top w:val="nil"/>
              <w:left w:val="nil"/>
              <w:bottom w:val="nil"/>
              <w:right w:val="nil"/>
            </w:tcBorders>
            <w:shd w:val="clear" w:color="auto" w:fill="auto"/>
            <w:noWrap/>
            <w:hideMark/>
          </w:tcPr>
          <w:p w:rsidR="00216E1B" w:rsidP="006A5220">
            <w:pPr>
              <w:spacing w:after="0" w:line="240" w:lineRule="auto"/>
              <w:rPr>
                <w:rFonts w:ascii="Calibri" w:eastAsia="Times New Roman" w:hAnsi="Calibri" w:cs="Calibri"/>
                <w:color w:val="000000"/>
                <w:lang w:eastAsia="en-GB"/>
              </w:rPr>
            </w:pPr>
          </w:p>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Revised Expenditure Classified as DEL</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14</w:t>
            </w:r>
            <w:r>
              <w:rPr>
                <w:rFonts w:ascii="Calibri" w:eastAsia="Times New Roman" w:hAnsi="Calibri" w:cs="Calibri"/>
                <w:color w:val="000000"/>
                <w:lang w:eastAsia="en-GB"/>
              </w:rPr>
              <w:t>,</w:t>
            </w:r>
            <w:r w:rsidRPr="000230DA">
              <w:rPr>
                <w:rFonts w:ascii="Calibri" w:eastAsia="Times New Roman" w:hAnsi="Calibri" w:cs="Calibri"/>
                <w:color w:val="000000"/>
                <w:lang w:eastAsia="en-GB"/>
              </w:rPr>
              <w:t>709.6</w:t>
            </w:r>
          </w:p>
        </w:tc>
        <w:tc>
          <w:tcPr>
            <w:tcW w:w="773" w:type="pct"/>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634.2</w:t>
            </w:r>
          </w:p>
        </w:tc>
        <w:tc>
          <w:tcPr>
            <w:tcW w:w="967" w:type="pct"/>
            <w:gridSpan w:val="3"/>
            <w:tcBorders>
              <w:top w:val="nil"/>
              <w:left w:val="nil"/>
              <w:bottom w:val="nil"/>
              <w:right w:val="nil"/>
            </w:tcBorders>
            <w:shd w:val="clear" w:color="auto" w:fill="auto"/>
            <w:noWrap/>
            <w:vAlign w:val="bottom"/>
            <w:hideMark/>
          </w:tcPr>
          <w:p w:rsidR="006C646E" w:rsidRPr="000230DA" w:rsidP="002F6BB1">
            <w:pPr>
              <w:spacing w:after="0" w:line="240" w:lineRule="auto"/>
              <w:jc w:val="center"/>
              <w:rPr>
                <w:rFonts w:ascii="Calibri" w:eastAsia="Times New Roman" w:hAnsi="Calibri" w:cs="Calibri"/>
                <w:color w:val="000000"/>
                <w:lang w:eastAsia="en-GB"/>
              </w:rPr>
            </w:pPr>
            <w:r w:rsidRPr="000230DA">
              <w:rPr>
                <w:rFonts w:ascii="Calibri" w:eastAsia="Times New Roman" w:hAnsi="Calibri" w:cs="Calibri"/>
                <w:color w:val="000000"/>
                <w:lang w:eastAsia="en-GB"/>
              </w:rPr>
              <w:t>15,343.8</w:t>
            </w:r>
          </w:p>
        </w:tc>
      </w:tr>
      <w:tr w:rsidTr="00B4473A">
        <w:tblPrEx>
          <w:tblW w:w="5202" w:type="pct"/>
          <w:tblLayout w:type="fixed"/>
          <w:tblLook w:val="04A0"/>
        </w:tblPrEx>
        <w:trPr>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Times New Roman" w:eastAsia="Times New Roman" w:hAnsi="Times New Roman" w:cs="Times New Roman"/>
                <w:sz w:val="20"/>
                <w:szCs w:val="20"/>
                <w:lang w:eastAsia="en-GB"/>
              </w:rPr>
            </w:pPr>
          </w:p>
        </w:tc>
        <w:tc>
          <w:tcPr>
            <w:tcW w:w="773" w:type="pct"/>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Times New Roman" w:eastAsia="Times New Roman" w:hAnsi="Times New Roman" w:cs="Times New Roman"/>
                <w:sz w:val="20"/>
                <w:szCs w:val="20"/>
                <w:lang w:eastAsia="en-GB"/>
              </w:rPr>
            </w:pPr>
          </w:p>
        </w:tc>
        <w:tc>
          <w:tcPr>
            <w:tcW w:w="967" w:type="pct"/>
            <w:gridSpan w:val="3"/>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p>
        </w:tc>
      </w:tr>
      <w:tr w:rsidTr="00B4473A">
        <w:tblPrEx>
          <w:tblW w:w="5202" w:type="pct"/>
          <w:tblLayout w:type="fixed"/>
          <w:tblLook w:val="04A0"/>
        </w:tblPrEx>
        <w:trPr>
          <w:trHeight w:val="290"/>
        </w:trPr>
        <w:tc>
          <w:tcPr>
            <w:tcW w:w="2487" w:type="pct"/>
            <w:gridSpan w:val="2"/>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Expenditure Classified as AME</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869.1</w:t>
            </w:r>
          </w:p>
        </w:tc>
        <w:tc>
          <w:tcPr>
            <w:tcW w:w="773" w:type="pct"/>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347.3</w:t>
            </w:r>
          </w:p>
        </w:tc>
        <w:tc>
          <w:tcPr>
            <w:tcW w:w="967" w:type="pct"/>
            <w:gridSpan w:val="3"/>
            <w:tcBorders>
              <w:top w:val="nil"/>
              <w:left w:val="nil"/>
              <w:bottom w:val="nil"/>
              <w:right w:val="nil"/>
            </w:tcBorders>
            <w:shd w:val="clear" w:color="auto" w:fill="auto"/>
            <w:noWrap/>
            <w:vAlign w:val="bottom"/>
            <w:hideMark/>
          </w:tcPr>
          <w:p w:rsidR="006C646E" w:rsidRPr="000230DA" w:rsidP="002F6BB1">
            <w:pPr>
              <w:spacing w:after="0" w:line="240" w:lineRule="auto"/>
              <w:jc w:val="center"/>
              <w:rPr>
                <w:rFonts w:ascii="Calibri" w:eastAsia="Times New Roman" w:hAnsi="Calibri" w:cs="Calibri"/>
                <w:color w:val="000000"/>
                <w:lang w:eastAsia="en-GB"/>
              </w:rPr>
            </w:pPr>
            <w:r w:rsidRPr="000230DA">
              <w:rPr>
                <w:rFonts w:ascii="Calibri" w:eastAsia="Times New Roman" w:hAnsi="Calibri" w:cs="Calibri"/>
                <w:color w:val="000000"/>
                <w:lang w:eastAsia="en-GB"/>
              </w:rPr>
              <w:t>1,216.4</w:t>
            </w:r>
          </w:p>
        </w:tc>
      </w:tr>
      <w:tr w:rsidTr="00B4473A">
        <w:tblPrEx>
          <w:tblW w:w="5202" w:type="pct"/>
          <w:tblLayout w:type="fixed"/>
          <w:tblLook w:val="04A0"/>
        </w:tblPrEx>
        <w:trPr>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Times New Roman" w:eastAsia="Times New Roman" w:hAnsi="Times New Roman" w:cs="Times New Roman"/>
                <w:sz w:val="20"/>
                <w:szCs w:val="20"/>
                <w:lang w:eastAsia="en-GB"/>
              </w:rPr>
            </w:pPr>
          </w:p>
        </w:tc>
        <w:tc>
          <w:tcPr>
            <w:tcW w:w="773" w:type="pct"/>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Times New Roman" w:eastAsia="Times New Roman" w:hAnsi="Times New Roman" w:cs="Times New Roman"/>
                <w:sz w:val="20"/>
                <w:szCs w:val="20"/>
                <w:lang w:eastAsia="en-GB"/>
              </w:rPr>
            </w:pPr>
          </w:p>
        </w:tc>
        <w:tc>
          <w:tcPr>
            <w:tcW w:w="967" w:type="pct"/>
            <w:gridSpan w:val="3"/>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p>
        </w:tc>
      </w:tr>
      <w:tr w:rsidTr="00B4473A">
        <w:tblPrEx>
          <w:tblW w:w="5202" w:type="pct"/>
          <w:tblLayout w:type="fixed"/>
          <w:tblLook w:val="04A0"/>
        </w:tblPrEx>
        <w:trPr>
          <w:trHeight w:val="290"/>
        </w:trPr>
        <w:tc>
          <w:tcPr>
            <w:tcW w:w="2487" w:type="pct"/>
            <w:gridSpan w:val="2"/>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Expenditure Financed by Welsh Taxes</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2</w:t>
            </w:r>
            <w:r>
              <w:rPr>
                <w:rFonts w:ascii="Calibri" w:eastAsia="Times New Roman" w:hAnsi="Calibri" w:cs="Calibri"/>
                <w:color w:val="000000"/>
                <w:lang w:eastAsia="en-GB"/>
              </w:rPr>
              <w:t>,</w:t>
            </w:r>
            <w:r w:rsidRPr="000230DA">
              <w:rPr>
                <w:rFonts w:ascii="Calibri" w:eastAsia="Times New Roman" w:hAnsi="Calibri" w:cs="Calibri"/>
                <w:color w:val="000000"/>
                <w:lang w:eastAsia="en-GB"/>
              </w:rPr>
              <w:t>358.0</w:t>
            </w:r>
          </w:p>
        </w:tc>
        <w:tc>
          <w:tcPr>
            <w:tcW w:w="773" w:type="pct"/>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-1.2</w:t>
            </w:r>
          </w:p>
        </w:tc>
        <w:tc>
          <w:tcPr>
            <w:tcW w:w="967" w:type="pct"/>
            <w:gridSpan w:val="3"/>
            <w:tcBorders>
              <w:top w:val="nil"/>
              <w:left w:val="nil"/>
              <w:bottom w:val="nil"/>
              <w:right w:val="nil"/>
            </w:tcBorders>
            <w:shd w:val="clear" w:color="auto" w:fill="auto"/>
            <w:noWrap/>
            <w:vAlign w:val="bottom"/>
            <w:hideMark/>
          </w:tcPr>
          <w:p w:rsidR="006C646E" w:rsidRPr="000230DA" w:rsidP="002F6BB1">
            <w:pPr>
              <w:spacing w:after="0" w:line="240" w:lineRule="auto"/>
              <w:jc w:val="center"/>
              <w:rPr>
                <w:rFonts w:ascii="Calibri" w:eastAsia="Times New Roman" w:hAnsi="Calibri" w:cs="Calibri"/>
                <w:color w:val="000000"/>
                <w:lang w:eastAsia="en-GB"/>
              </w:rPr>
            </w:pPr>
            <w:r w:rsidRPr="000230DA">
              <w:rPr>
                <w:rFonts w:ascii="Calibri" w:eastAsia="Times New Roman" w:hAnsi="Calibri" w:cs="Calibri"/>
                <w:color w:val="000000"/>
                <w:lang w:eastAsia="en-GB"/>
              </w:rPr>
              <w:t>2,356.8</w:t>
            </w:r>
          </w:p>
        </w:tc>
      </w:tr>
      <w:tr w:rsidTr="00B4473A">
        <w:tblPrEx>
          <w:tblW w:w="5202" w:type="pct"/>
          <w:tblLayout w:type="fixed"/>
          <w:tblLook w:val="04A0"/>
        </w:tblPrEx>
        <w:trPr>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Times New Roman" w:eastAsia="Times New Roman" w:hAnsi="Times New Roman" w:cs="Times New Roman"/>
                <w:sz w:val="20"/>
                <w:szCs w:val="20"/>
                <w:lang w:eastAsia="en-GB"/>
              </w:rPr>
            </w:pPr>
          </w:p>
        </w:tc>
        <w:tc>
          <w:tcPr>
            <w:tcW w:w="773" w:type="pct"/>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Times New Roman" w:eastAsia="Times New Roman" w:hAnsi="Times New Roman" w:cs="Times New Roman"/>
                <w:sz w:val="20"/>
                <w:szCs w:val="20"/>
                <w:lang w:eastAsia="en-GB"/>
              </w:rPr>
            </w:pPr>
          </w:p>
        </w:tc>
        <w:tc>
          <w:tcPr>
            <w:tcW w:w="967" w:type="pct"/>
            <w:gridSpan w:val="3"/>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Times New Roman" w:eastAsia="Times New Roman" w:hAnsi="Times New Roman" w:cs="Times New Roman"/>
                <w:sz w:val="20"/>
                <w:szCs w:val="20"/>
                <w:lang w:eastAsia="en-GB"/>
              </w:rPr>
            </w:pPr>
          </w:p>
        </w:tc>
      </w:tr>
      <w:tr w:rsidTr="00B4473A">
        <w:tblPrEx>
          <w:tblW w:w="5202" w:type="pct"/>
          <w:tblLayout w:type="fixed"/>
          <w:tblLook w:val="04A0"/>
        </w:tblPrEx>
        <w:trPr>
          <w:trHeight w:val="290"/>
        </w:trPr>
        <w:tc>
          <w:tcPr>
            <w:tcW w:w="2487" w:type="pct"/>
            <w:gridSpan w:val="2"/>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lang w:eastAsia="en-GB"/>
              </w:rPr>
            </w:pPr>
            <w:r w:rsidRPr="000230DA">
              <w:rPr>
                <w:rFonts w:ascii="Calibri" w:eastAsia="Times New Roman" w:hAnsi="Calibri" w:cs="Calibri"/>
                <w:lang w:eastAsia="en-GB"/>
              </w:rPr>
              <w:t>Expenditure Financed by Capital Borrowing</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125.0</w:t>
            </w:r>
          </w:p>
        </w:tc>
        <w:tc>
          <w:tcPr>
            <w:tcW w:w="773" w:type="pct"/>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-125.0</w:t>
            </w:r>
          </w:p>
        </w:tc>
        <w:tc>
          <w:tcPr>
            <w:tcW w:w="967" w:type="pct"/>
            <w:gridSpan w:val="3"/>
            <w:tcBorders>
              <w:top w:val="nil"/>
              <w:left w:val="nil"/>
              <w:bottom w:val="nil"/>
              <w:right w:val="nil"/>
            </w:tcBorders>
            <w:shd w:val="clear" w:color="auto" w:fill="auto"/>
            <w:noWrap/>
            <w:vAlign w:val="bottom"/>
            <w:hideMark/>
          </w:tcPr>
          <w:p w:rsidR="006C646E" w:rsidRPr="000230DA" w:rsidP="002F6BB1">
            <w:pPr>
              <w:spacing w:after="0" w:line="240" w:lineRule="auto"/>
              <w:jc w:val="center"/>
              <w:rPr>
                <w:rFonts w:ascii="Calibri" w:eastAsia="Times New Roman" w:hAnsi="Calibri" w:cs="Calibri"/>
                <w:color w:val="000000"/>
                <w:lang w:eastAsia="en-GB"/>
              </w:rPr>
            </w:pPr>
            <w:r w:rsidRPr="000230DA">
              <w:rPr>
                <w:rFonts w:ascii="Calibri" w:eastAsia="Times New Roman" w:hAnsi="Calibri" w:cs="Calibri"/>
                <w:color w:val="000000"/>
                <w:lang w:eastAsia="en-GB"/>
              </w:rPr>
              <w:t>0.0</w:t>
            </w:r>
          </w:p>
        </w:tc>
      </w:tr>
      <w:tr w:rsidTr="00B4473A">
        <w:tblPrEx>
          <w:tblW w:w="5202" w:type="pct"/>
          <w:tblLayout w:type="fixed"/>
          <w:tblLook w:val="04A0"/>
        </w:tblPrEx>
        <w:trPr>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Times New Roman" w:eastAsia="Times New Roman" w:hAnsi="Times New Roman" w:cs="Times New Roman"/>
                <w:sz w:val="20"/>
                <w:szCs w:val="20"/>
                <w:lang w:eastAsia="en-GB"/>
              </w:rPr>
            </w:pPr>
          </w:p>
        </w:tc>
        <w:tc>
          <w:tcPr>
            <w:tcW w:w="773" w:type="pct"/>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Times New Roman" w:eastAsia="Times New Roman" w:hAnsi="Times New Roman" w:cs="Times New Roman"/>
                <w:sz w:val="20"/>
                <w:szCs w:val="20"/>
                <w:lang w:eastAsia="en-GB"/>
              </w:rPr>
            </w:pPr>
          </w:p>
        </w:tc>
        <w:tc>
          <w:tcPr>
            <w:tcW w:w="967" w:type="pct"/>
            <w:gridSpan w:val="3"/>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Times New Roman" w:eastAsia="Times New Roman" w:hAnsi="Times New Roman" w:cs="Times New Roman"/>
                <w:sz w:val="20"/>
                <w:szCs w:val="20"/>
                <w:lang w:eastAsia="en-GB"/>
              </w:rPr>
            </w:pPr>
          </w:p>
        </w:tc>
      </w:tr>
      <w:tr w:rsidTr="00B4473A">
        <w:tblPrEx>
          <w:tblW w:w="5202" w:type="pct"/>
          <w:tblLayout w:type="fixed"/>
          <w:tblLook w:val="04A0"/>
        </w:tblPrEx>
        <w:trPr>
          <w:trHeight w:val="290"/>
        </w:trPr>
        <w:tc>
          <w:tcPr>
            <w:tcW w:w="2487" w:type="pct"/>
            <w:gridSpan w:val="2"/>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Non</w:t>
            </w:r>
            <w:r w:rsidR="0083575D">
              <w:rPr>
                <w:rFonts w:ascii="Calibri" w:eastAsia="Times New Roman" w:hAnsi="Calibri" w:cs="Calibri"/>
                <w:color w:val="000000"/>
                <w:lang w:eastAsia="en-GB"/>
              </w:rPr>
              <w:t>-</w:t>
            </w:r>
            <w:r w:rsidRPr="000230DA">
              <w:rPr>
                <w:rFonts w:ascii="Calibri" w:eastAsia="Times New Roman" w:hAnsi="Calibri" w:cs="Calibri"/>
                <w:color w:val="000000"/>
                <w:lang w:eastAsia="en-GB"/>
              </w:rPr>
              <w:t>Domestic Rates AME</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1</w:t>
            </w:r>
            <w:r>
              <w:rPr>
                <w:rFonts w:ascii="Calibri" w:eastAsia="Times New Roman" w:hAnsi="Calibri" w:cs="Calibri"/>
                <w:color w:val="000000"/>
                <w:lang w:eastAsia="en-GB"/>
              </w:rPr>
              <w:t>,</w:t>
            </w:r>
            <w:r w:rsidRPr="000230DA">
              <w:rPr>
                <w:rFonts w:ascii="Calibri" w:eastAsia="Times New Roman" w:hAnsi="Calibri" w:cs="Calibri"/>
                <w:color w:val="000000"/>
                <w:lang w:eastAsia="en-GB"/>
              </w:rPr>
              <w:t>061.0</w:t>
            </w:r>
          </w:p>
        </w:tc>
        <w:tc>
          <w:tcPr>
            <w:tcW w:w="773" w:type="pct"/>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0.0</w:t>
            </w:r>
          </w:p>
        </w:tc>
        <w:tc>
          <w:tcPr>
            <w:tcW w:w="967" w:type="pct"/>
            <w:gridSpan w:val="3"/>
            <w:tcBorders>
              <w:top w:val="nil"/>
              <w:left w:val="nil"/>
              <w:bottom w:val="nil"/>
              <w:right w:val="nil"/>
            </w:tcBorders>
            <w:shd w:val="clear" w:color="auto" w:fill="auto"/>
            <w:noWrap/>
            <w:vAlign w:val="bottom"/>
            <w:hideMark/>
          </w:tcPr>
          <w:p w:rsidR="006C646E" w:rsidRPr="000230DA" w:rsidP="002F6BB1">
            <w:pPr>
              <w:spacing w:after="0" w:line="240" w:lineRule="auto"/>
              <w:jc w:val="center"/>
              <w:rPr>
                <w:rFonts w:ascii="Calibri" w:eastAsia="Times New Roman" w:hAnsi="Calibri" w:cs="Calibri"/>
                <w:color w:val="000000"/>
                <w:lang w:eastAsia="en-GB"/>
              </w:rPr>
            </w:pPr>
            <w:r w:rsidRPr="000230DA">
              <w:rPr>
                <w:rFonts w:ascii="Calibri" w:eastAsia="Times New Roman" w:hAnsi="Calibri" w:cs="Calibri"/>
                <w:color w:val="000000"/>
                <w:lang w:eastAsia="en-GB"/>
              </w:rPr>
              <w:t>1,061.0</w:t>
            </w:r>
          </w:p>
        </w:tc>
      </w:tr>
      <w:tr w:rsidTr="00B4473A">
        <w:tblPrEx>
          <w:tblW w:w="5202" w:type="pct"/>
          <w:tblLayout w:type="fixed"/>
          <w:tblLook w:val="04A0"/>
        </w:tblPrEx>
        <w:trPr>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Times New Roman" w:eastAsia="Times New Roman" w:hAnsi="Times New Roman" w:cs="Times New Roman"/>
                <w:sz w:val="20"/>
                <w:szCs w:val="20"/>
                <w:lang w:eastAsia="en-GB"/>
              </w:rPr>
            </w:pPr>
          </w:p>
        </w:tc>
        <w:tc>
          <w:tcPr>
            <w:tcW w:w="773" w:type="pct"/>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Times New Roman" w:eastAsia="Times New Roman" w:hAnsi="Times New Roman" w:cs="Times New Roman"/>
                <w:sz w:val="20"/>
                <w:szCs w:val="20"/>
                <w:lang w:eastAsia="en-GB"/>
              </w:rPr>
            </w:pPr>
          </w:p>
        </w:tc>
        <w:tc>
          <w:tcPr>
            <w:tcW w:w="967" w:type="pct"/>
            <w:gridSpan w:val="3"/>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Times New Roman" w:eastAsia="Times New Roman" w:hAnsi="Times New Roman" w:cs="Times New Roman"/>
                <w:sz w:val="20"/>
                <w:szCs w:val="20"/>
                <w:lang w:eastAsia="en-GB"/>
              </w:rPr>
            </w:pPr>
          </w:p>
        </w:tc>
      </w:tr>
      <w:tr w:rsidTr="00B4473A">
        <w:tblPrEx>
          <w:tblW w:w="5202" w:type="pct"/>
          <w:tblLayout w:type="fixed"/>
          <w:tblLook w:val="04A0"/>
        </w:tblPrEx>
        <w:trPr>
          <w:trHeight w:val="290"/>
        </w:trPr>
        <w:tc>
          <w:tcPr>
            <w:tcW w:w="2487" w:type="pct"/>
            <w:gridSpan w:val="2"/>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b/>
                <w:bCs/>
                <w:lang w:eastAsia="en-GB"/>
              </w:rPr>
            </w:pPr>
            <w:r w:rsidRPr="000230DA">
              <w:rPr>
                <w:rFonts w:ascii="Calibri" w:eastAsia="Times New Roman" w:hAnsi="Calibri" w:cs="Calibri"/>
                <w:b/>
                <w:bCs/>
                <w:lang w:eastAsia="en-GB"/>
              </w:rPr>
              <w:t>TOTAL MANAGED EXPENDITURE</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b/>
                <w:bCs/>
                <w:color w:val="000000"/>
                <w:lang w:eastAsia="en-GB"/>
              </w:rPr>
            </w:pPr>
            <w:r w:rsidRPr="000230DA">
              <w:rPr>
                <w:rFonts w:ascii="Calibri" w:eastAsia="Times New Roman" w:hAnsi="Calibri" w:cs="Calibri"/>
                <w:b/>
                <w:bCs/>
                <w:color w:val="000000"/>
                <w:lang w:eastAsia="en-GB"/>
              </w:rPr>
              <w:t>19,122.7</w:t>
            </w:r>
          </w:p>
        </w:tc>
        <w:tc>
          <w:tcPr>
            <w:tcW w:w="773" w:type="pct"/>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b/>
                <w:bCs/>
                <w:color w:val="000000"/>
                <w:lang w:eastAsia="en-GB"/>
              </w:rPr>
            </w:pPr>
            <w:r w:rsidRPr="000230DA">
              <w:rPr>
                <w:rFonts w:ascii="Calibri" w:eastAsia="Times New Roman" w:hAnsi="Calibri" w:cs="Calibri"/>
                <w:b/>
                <w:bCs/>
                <w:color w:val="000000"/>
                <w:lang w:eastAsia="en-GB"/>
              </w:rPr>
              <w:t>855.3</w:t>
            </w:r>
          </w:p>
        </w:tc>
        <w:tc>
          <w:tcPr>
            <w:tcW w:w="967" w:type="pct"/>
            <w:gridSpan w:val="3"/>
            <w:tcBorders>
              <w:top w:val="nil"/>
              <w:left w:val="nil"/>
              <w:bottom w:val="nil"/>
              <w:right w:val="nil"/>
            </w:tcBorders>
            <w:shd w:val="clear" w:color="auto" w:fill="auto"/>
            <w:noWrap/>
            <w:vAlign w:val="bottom"/>
            <w:hideMark/>
          </w:tcPr>
          <w:p w:rsidR="006C646E" w:rsidRPr="000230DA" w:rsidP="002F6BB1">
            <w:pPr>
              <w:spacing w:after="0" w:line="240" w:lineRule="auto"/>
              <w:jc w:val="center"/>
              <w:rPr>
                <w:rFonts w:ascii="Calibri" w:eastAsia="Times New Roman" w:hAnsi="Calibri" w:cs="Calibri"/>
                <w:b/>
                <w:bCs/>
                <w:color w:val="000000"/>
                <w:lang w:eastAsia="en-GB"/>
              </w:rPr>
            </w:pPr>
            <w:r w:rsidRPr="000230DA">
              <w:rPr>
                <w:rFonts w:ascii="Calibri" w:eastAsia="Times New Roman" w:hAnsi="Calibri" w:cs="Calibri"/>
                <w:b/>
                <w:bCs/>
                <w:color w:val="000000"/>
                <w:lang w:eastAsia="en-GB"/>
              </w:rPr>
              <w:t>19,978.0</w:t>
            </w:r>
          </w:p>
        </w:tc>
      </w:tr>
      <w:tr w:rsidTr="00B4473A">
        <w:tblPrEx>
          <w:tblW w:w="5202" w:type="pct"/>
          <w:tblLayout w:type="fixed"/>
          <w:tblLook w:val="04A0"/>
        </w:tblPrEx>
        <w:trPr>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b/>
                <w:bCs/>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c>
          <w:tcPr>
            <w:tcW w:w="773" w:type="pct"/>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c>
          <w:tcPr>
            <w:tcW w:w="967" w:type="pct"/>
            <w:gridSpan w:val="3"/>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b/>
                <w:bCs/>
                <w:lang w:eastAsia="en-GB"/>
              </w:rPr>
            </w:pPr>
            <w:r w:rsidRPr="000230DA">
              <w:rPr>
                <w:rFonts w:ascii="Calibri" w:eastAsia="Times New Roman" w:hAnsi="Calibri" w:cs="Calibri"/>
                <w:b/>
                <w:bCs/>
                <w:lang w:eastAsia="en-GB"/>
              </w:rPr>
              <w:t>Less:</w:t>
            </w: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b/>
                <w:bCs/>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c>
          <w:tcPr>
            <w:tcW w:w="773" w:type="pct"/>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Non</w:t>
            </w:r>
            <w:r w:rsidR="0083575D">
              <w:rPr>
                <w:rFonts w:ascii="Calibri" w:eastAsia="Times New Roman" w:hAnsi="Calibri" w:cs="Calibri"/>
                <w:color w:val="000000"/>
                <w:lang w:eastAsia="en-GB"/>
              </w:rPr>
              <w:t>-</w:t>
            </w:r>
            <w:r w:rsidRPr="000230DA">
              <w:rPr>
                <w:rFonts w:ascii="Calibri" w:eastAsia="Times New Roman" w:hAnsi="Calibri" w:cs="Calibri"/>
                <w:color w:val="000000"/>
                <w:lang w:eastAsia="en-GB"/>
              </w:rPr>
              <w:t>Voted expenditure:</w:t>
            </w: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color w:val="000000"/>
                <w:lang w:eastAsia="en-GB"/>
              </w:rPr>
            </w:pPr>
          </w:p>
        </w:tc>
        <w:tc>
          <w:tcPr>
            <w:tcW w:w="773" w:type="pct"/>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LA Credit Approvals</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88.8</w:t>
            </w:r>
          </w:p>
        </w:tc>
        <w:tc>
          <w:tcPr>
            <w:tcW w:w="773" w:type="pct"/>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0.0</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88.8</w:t>
            </w: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Other Non-Voted</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6.1</w:t>
            </w:r>
          </w:p>
        </w:tc>
        <w:tc>
          <w:tcPr>
            <w:tcW w:w="773" w:type="pct"/>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0.0</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6.1</w:t>
            </w: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c>
          <w:tcPr>
            <w:tcW w:w="773" w:type="pct"/>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Wales Act 2014 Transactions:</w:t>
            </w: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color w:val="000000"/>
                <w:lang w:eastAsia="en-GB"/>
              </w:rPr>
            </w:pPr>
          </w:p>
        </w:tc>
        <w:tc>
          <w:tcPr>
            <w:tcW w:w="773" w:type="pct"/>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Income from Welsh taxes:</w:t>
            </w: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color w:val="000000"/>
                <w:lang w:eastAsia="en-GB"/>
              </w:rPr>
            </w:pPr>
          </w:p>
        </w:tc>
        <w:tc>
          <w:tcPr>
            <w:tcW w:w="773" w:type="pct"/>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 xml:space="preserve">   Income Tax</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2,059.0</w:t>
            </w:r>
          </w:p>
        </w:tc>
        <w:tc>
          <w:tcPr>
            <w:tcW w:w="773" w:type="pct"/>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0.0</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2,059.0</w:t>
            </w: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 xml:space="preserve">   Land Transaction Tax</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256.0</w:t>
            </w:r>
          </w:p>
        </w:tc>
        <w:tc>
          <w:tcPr>
            <w:tcW w:w="773" w:type="pct"/>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3.8</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259.8</w:t>
            </w: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 xml:space="preserve">   Landfill Disposal Tax</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43.0</w:t>
            </w:r>
          </w:p>
        </w:tc>
        <w:tc>
          <w:tcPr>
            <w:tcW w:w="773" w:type="pct"/>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-5.0</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38.0</w:t>
            </w: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Repayment of principle of loans</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-2.3</w:t>
            </w:r>
          </w:p>
        </w:tc>
        <w:tc>
          <w:tcPr>
            <w:tcW w:w="773" w:type="pct"/>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1.0</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-1.</w:t>
            </w:r>
            <w:r>
              <w:rPr>
                <w:rFonts w:ascii="Calibri" w:eastAsia="Times New Roman" w:hAnsi="Calibri" w:cs="Calibri"/>
                <w:color w:val="000000"/>
                <w:lang w:eastAsia="en-GB"/>
              </w:rPr>
              <w:t>3</w:t>
            </w: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Capital Borrowing</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125.0</w:t>
            </w:r>
          </w:p>
        </w:tc>
        <w:tc>
          <w:tcPr>
            <w:tcW w:w="773" w:type="pct"/>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-125.0</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0.0</w:t>
            </w: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c>
          <w:tcPr>
            <w:tcW w:w="773" w:type="pct"/>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Non</w:t>
            </w:r>
            <w:r w:rsidR="0083575D">
              <w:rPr>
                <w:rFonts w:ascii="Calibri" w:eastAsia="Times New Roman" w:hAnsi="Calibri" w:cs="Calibri"/>
                <w:color w:val="000000"/>
                <w:lang w:eastAsia="en-GB"/>
              </w:rPr>
              <w:t>-</w:t>
            </w:r>
            <w:r w:rsidRPr="000230DA">
              <w:rPr>
                <w:rFonts w:ascii="Calibri" w:eastAsia="Times New Roman" w:hAnsi="Calibri" w:cs="Calibri"/>
                <w:color w:val="000000"/>
                <w:lang w:eastAsia="en-GB"/>
              </w:rPr>
              <w:t>Cash:</w:t>
            </w: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color w:val="000000"/>
                <w:lang w:eastAsia="en-GB"/>
              </w:rPr>
            </w:pPr>
          </w:p>
        </w:tc>
        <w:tc>
          <w:tcPr>
            <w:tcW w:w="773" w:type="pct"/>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Resource Ringfenced Non</w:t>
            </w:r>
            <w:r w:rsidR="0083575D">
              <w:rPr>
                <w:rFonts w:ascii="Calibri" w:eastAsia="Times New Roman" w:hAnsi="Calibri" w:cs="Calibri"/>
                <w:color w:val="000000"/>
                <w:lang w:eastAsia="en-GB"/>
              </w:rPr>
              <w:t>-</w:t>
            </w:r>
            <w:r w:rsidRPr="000230DA">
              <w:rPr>
                <w:rFonts w:ascii="Calibri" w:eastAsia="Times New Roman" w:hAnsi="Calibri" w:cs="Calibri"/>
                <w:color w:val="000000"/>
                <w:lang w:eastAsia="en-GB"/>
              </w:rPr>
              <w:t>Cash</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690.1</w:t>
            </w:r>
          </w:p>
        </w:tc>
        <w:tc>
          <w:tcPr>
            <w:tcW w:w="773" w:type="pct"/>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285.1</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975.</w:t>
            </w:r>
            <w:r>
              <w:rPr>
                <w:rFonts w:ascii="Calibri" w:eastAsia="Times New Roman" w:hAnsi="Calibri" w:cs="Calibri"/>
                <w:color w:val="000000"/>
                <w:lang w:eastAsia="en-GB"/>
              </w:rPr>
              <w:t>2</w:t>
            </w: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AME Non-cash</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69.7</w:t>
            </w:r>
          </w:p>
        </w:tc>
        <w:tc>
          <w:tcPr>
            <w:tcW w:w="773" w:type="pct"/>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312.6</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382.3</w:t>
            </w: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Times New Roman" w:eastAsia="Times New Roman" w:hAnsi="Times New Roman" w:cs="Times New Roman"/>
                <w:sz w:val="20"/>
                <w:szCs w:val="20"/>
                <w:lang w:eastAsia="en-GB"/>
              </w:rPr>
            </w:pPr>
          </w:p>
        </w:tc>
        <w:tc>
          <w:tcPr>
            <w:tcW w:w="773" w:type="pct"/>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Times New Roman" w:eastAsia="Times New Roman" w:hAnsi="Times New Roman" w:cs="Times New Roman"/>
                <w:sz w:val="20"/>
                <w:szCs w:val="20"/>
                <w:lang w:eastAsia="en-GB"/>
              </w:rPr>
            </w:pPr>
          </w:p>
        </w:tc>
      </w:tr>
      <w:tr w:rsidTr="00B4473A">
        <w:tblPrEx>
          <w:tblW w:w="5202" w:type="pct"/>
          <w:tblLayout w:type="fixed"/>
          <w:tblLook w:val="04A0"/>
        </w:tblPrEx>
        <w:trPr>
          <w:gridAfter w:val="1"/>
          <w:wAfter w:w="194" w:type="dxa"/>
          <w:trHeight w:val="290"/>
        </w:trPr>
        <w:tc>
          <w:tcPr>
            <w:tcW w:w="2487" w:type="pct"/>
            <w:gridSpan w:val="2"/>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b/>
                <w:bCs/>
                <w:lang w:eastAsia="en-GB"/>
              </w:rPr>
            </w:pPr>
            <w:r w:rsidRPr="000230DA">
              <w:rPr>
                <w:rFonts w:ascii="Calibri" w:eastAsia="Times New Roman" w:hAnsi="Calibri" w:cs="Calibri"/>
                <w:b/>
                <w:bCs/>
                <w:lang w:eastAsia="en-GB"/>
              </w:rPr>
              <w:t>TOTAL NON</w:t>
            </w:r>
            <w:r w:rsidR="0083575D">
              <w:rPr>
                <w:rFonts w:ascii="Calibri" w:eastAsia="Times New Roman" w:hAnsi="Calibri" w:cs="Calibri"/>
                <w:b/>
                <w:bCs/>
                <w:lang w:eastAsia="en-GB"/>
              </w:rPr>
              <w:t>-</w:t>
            </w:r>
            <w:r w:rsidRPr="000230DA">
              <w:rPr>
                <w:rFonts w:ascii="Calibri" w:eastAsia="Times New Roman" w:hAnsi="Calibri" w:cs="Calibri"/>
                <w:b/>
                <w:bCs/>
                <w:lang w:eastAsia="en-GB"/>
              </w:rPr>
              <w:t>VOTED TME</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b/>
                <w:bCs/>
                <w:color w:val="000000"/>
                <w:lang w:eastAsia="en-GB"/>
              </w:rPr>
            </w:pPr>
            <w:r w:rsidRPr="000230DA">
              <w:rPr>
                <w:rFonts w:ascii="Calibri" w:eastAsia="Times New Roman" w:hAnsi="Calibri" w:cs="Calibri"/>
                <w:b/>
                <w:bCs/>
                <w:color w:val="000000"/>
                <w:lang w:eastAsia="en-GB"/>
              </w:rPr>
              <w:t>3,335.4</w:t>
            </w:r>
          </w:p>
        </w:tc>
        <w:tc>
          <w:tcPr>
            <w:tcW w:w="773" w:type="pct"/>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b/>
                <w:bCs/>
                <w:color w:val="000000"/>
                <w:lang w:eastAsia="en-GB"/>
              </w:rPr>
            </w:pPr>
            <w:r w:rsidRPr="000230DA">
              <w:rPr>
                <w:rFonts w:ascii="Calibri" w:eastAsia="Times New Roman" w:hAnsi="Calibri" w:cs="Calibri"/>
                <w:b/>
                <w:bCs/>
                <w:color w:val="000000"/>
                <w:lang w:eastAsia="en-GB"/>
              </w:rPr>
              <w:t>472.5</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b/>
                <w:bCs/>
                <w:color w:val="000000"/>
                <w:lang w:eastAsia="en-GB"/>
              </w:rPr>
            </w:pPr>
            <w:r w:rsidRPr="000230DA">
              <w:rPr>
                <w:rFonts w:ascii="Calibri" w:eastAsia="Times New Roman" w:hAnsi="Calibri" w:cs="Calibri"/>
                <w:b/>
                <w:bCs/>
                <w:color w:val="000000"/>
                <w:lang w:eastAsia="en-GB"/>
              </w:rPr>
              <w:t>3,807.9</w:t>
            </w: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b/>
                <w:bCs/>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Times New Roman" w:eastAsia="Times New Roman" w:hAnsi="Times New Roman" w:cs="Times New Roman"/>
                <w:sz w:val="20"/>
                <w:szCs w:val="20"/>
                <w:lang w:eastAsia="en-GB"/>
              </w:rPr>
            </w:pPr>
          </w:p>
        </w:tc>
        <w:tc>
          <w:tcPr>
            <w:tcW w:w="773" w:type="pct"/>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Times New Roman" w:eastAsia="Times New Roman" w:hAnsi="Times New Roman" w:cs="Times New Roman"/>
                <w:sz w:val="20"/>
                <w:szCs w:val="20"/>
                <w:lang w:eastAsia="en-GB"/>
              </w:rPr>
            </w:pPr>
          </w:p>
        </w:tc>
      </w:tr>
      <w:tr w:rsidTr="00B4473A">
        <w:tblPrEx>
          <w:tblW w:w="5202" w:type="pct"/>
          <w:tblLayout w:type="fixed"/>
          <w:tblLook w:val="04A0"/>
        </w:tblPrEx>
        <w:trPr>
          <w:gridAfter w:val="1"/>
          <w:wAfter w:w="194" w:type="dxa"/>
          <w:trHeight w:val="290"/>
        </w:trPr>
        <w:tc>
          <w:tcPr>
            <w:tcW w:w="2487" w:type="pct"/>
            <w:gridSpan w:val="2"/>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b/>
                <w:bCs/>
                <w:lang w:eastAsia="en-GB"/>
              </w:rPr>
            </w:pPr>
            <w:r w:rsidRPr="000230DA">
              <w:rPr>
                <w:rFonts w:ascii="Calibri" w:eastAsia="Times New Roman" w:hAnsi="Calibri" w:cs="Calibri"/>
                <w:b/>
                <w:bCs/>
                <w:lang w:eastAsia="en-GB"/>
              </w:rPr>
              <w:t>TOTAL VOTED TME</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b/>
                <w:bCs/>
                <w:color w:val="000000"/>
                <w:lang w:eastAsia="en-GB"/>
              </w:rPr>
            </w:pPr>
            <w:r w:rsidRPr="000230DA">
              <w:rPr>
                <w:rFonts w:ascii="Calibri" w:eastAsia="Times New Roman" w:hAnsi="Calibri" w:cs="Calibri"/>
                <w:b/>
                <w:bCs/>
                <w:color w:val="000000"/>
                <w:lang w:eastAsia="en-GB"/>
              </w:rPr>
              <w:t>15,787.</w:t>
            </w:r>
            <w:r>
              <w:rPr>
                <w:rFonts w:ascii="Calibri" w:eastAsia="Times New Roman" w:hAnsi="Calibri" w:cs="Calibri"/>
                <w:b/>
                <w:bCs/>
                <w:color w:val="000000"/>
                <w:lang w:eastAsia="en-GB"/>
              </w:rPr>
              <w:t>3</w:t>
            </w:r>
          </w:p>
        </w:tc>
        <w:tc>
          <w:tcPr>
            <w:tcW w:w="773" w:type="pct"/>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b/>
                <w:bCs/>
                <w:color w:val="000000"/>
                <w:lang w:eastAsia="en-GB"/>
              </w:rPr>
            </w:pPr>
            <w:r w:rsidRPr="000230DA">
              <w:rPr>
                <w:rFonts w:ascii="Calibri" w:eastAsia="Times New Roman" w:hAnsi="Calibri" w:cs="Calibri"/>
                <w:b/>
                <w:bCs/>
                <w:color w:val="000000"/>
                <w:lang w:eastAsia="en-GB"/>
              </w:rPr>
              <w:t>382.8</w:t>
            </w:r>
          </w:p>
        </w:tc>
        <w:tc>
          <w:tcPr>
            <w:tcW w:w="773" w:type="pct"/>
            <w:gridSpan w:val="2"/>
            <w:tcBorders>
              <w:top w:val="nil"/>
              <w:left w:val="nil"/>
              <w:bottom w:val="nil"/>
              <w:right w:val="nil"/>
            </w:tcBorders>
            <w:shd w:val="clear" w:color="auto" w:fill="auto"/>
            <w:noWrap/>
            <w:vAlign w:val="bottom"/>
            <w:hideMark/>
          </w:tcPr>
          <w:p w:rsidR="006C646E" w:rsidRPr="000230DA" w:rsidP="002F6BB1">
            <w:pPr>
              <w:spacing w:after="0" w:line="240" w:lineRule="auto"/>
              <w:jc w:val="right"/>
              <w:rPr>
                <w:rFonts w:ascii="Calibri" w:eastAsia="Times New Roman" w:hAnsi="Calibri" w:cs="Calibri"/>
                <w:b/>
                <w:bCs/>
                <w:color w:val="000000"/>
                <w:lang w:eastAsia="en-GB"/>
              </w:rPr>
            </w:pPr>
            <w:r w:rsidRPr="000230DA">
              <w:rPr>
                <w:rFonts w:ascii="Calibri" w:eastAsia="Times New Roman" w:hAnsi="Calibri" w:cs="Calibri"/>
                <w:b/>
                <w:bCs/>
                <w:color w:val="000000"/>
                <w:lang w:eastAsia="en-GB"/>
              </w:rPr>
              <w:t>16,170.</w:t>
            </w:r>
            <w:r>
              <w:rPr>
                <w:rFonts w:ascii="Calibri" w:eastAsia="Times New Roman" w:hAnsi="Calibri" w:cs="Calibri"/>
                <w:b/>
                <w:bCs/>
                <w:color w:val="000000"/>
                <w:lang w:eastAsia="en-GB"/>
              </w:rPr>
              <w:t>1</w:t>
            </w: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b/>
                <w:bCs/>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c>
          <w:tcPr>
            <w:tcW w:w="773" w:type="pct"/>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r>
      <w:tr w:rsidTr="00B4473A">
        <w:tblPrEx>
          <w:tblW w:w="5202" w:type="pct"/>
          <w:tblLayout w:type="fixed"/>
          <w:tblLook w:val="04A0"/>
        </w:tblPrEx>
        <w:trPr>
          <w:gridAfter w:val="1"/>
          <w:wAfter w:w="194" w:type="dxa"/>
          <w:trHeight w:val="290"/>
        </w:trPr>
        <w:tc>
          <w:tcPr>
            <w:tcW w:w="2487" w:type="pct"/>
            <w:gridSpan w:val="2"/>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b/>
                <w:bCs/>
                <w:lang w:eastAsia="en-GB"/>
              </w:rPr>
            </w:pPr>
            <w:r w:rsidRPr="000230DA">
              <w:rPr>
                <w:rFonts w:ascii="Calibri" w:eastAsia="Times New Roman" w:hAnsi="Calibri" w:cs="Calibri"/>
                <w:b/>
                <w:bCs/>
                <w:lang w:eastAsia="en-GB"/>
              </w:rPr>
              <w:t>Voted receipts:</w:t>
            </w: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b/>
                <w:bCs/>
                <w:lang w:eastAsia="en-GB"/>
              </w:rPr>
            </w:pPr>
          </w:p>
        </w:tc>
        <w:tc>
          <w:tcPr>
            <w:tcW w:w="773" w:type="pct"/>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Contributions from the National Insurance Fund</w:t>
            </w: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1,275.1</w:t>
            </w:r>
          </w:p>
        </w:tc>
        <w:tc>
          <w:tcPr>
            <w:tcW w:w="773" w:type="pct"/>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15.0</w:t>
            </w: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1,290.1</w:t>
            </w: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NDR Receipts</w:t>
            </w: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1,068.9</w:t>
            </w:r>
          </w:p>
        </w:tc>
        <w:tc>
          <w:tcPr>
            <w:tcW w:w="773" w:type="pct"/>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35.8</w:t>
            </w: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1,104.7</w:t>
            </w: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c>
          <w:tcPr>
            <w:tcW w:w="773" w:type="pct"/>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r>
      <w:tr w:rsidTr="00B4473A">
        <w:tblPrEx>
          <w:tblW w:w="5202" w:type="pct"/>
          <w:tblLayout w:type="fixed"/>
          <w:tblLook w:val="04A0"/>
        </w:tblPrEx>
        <w:trPr>
          <w:gridAfter w:val="1"/>
          <w:wAfter w:w="194" w:type="dxa"/>
          <w:trHeight w:val="290"/>
        </w:trPr>
        <w:tc>
          <w:tcPr>
            <w:tcW w:w="2487" w:type="pct"/>
            <w:gridSpan w:val="2"/>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b/>
                <w:bCs/>
                <w:color w:val="000000"/>
                <w:lang w:eastAsia="en-GB"/>
              </w:rPr>
            </w:pPr>
            <w:r w:rsidRPr="000230DA">
              <w:rPr>
                <w:rFonts w:ascii="Calibri" w:eastAsia="Times New Roman" w:hAnsi="Calibri" w:cs="Calibri"/>
                <w:b/>
                <w:bCs/>
                <w:color w:val="000000"/>
                <w:lang w:eastAsia="en-GB"/>
              </w:rPr>
              <w:t>Timing Adjustments:</w:t>
            </w: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b/>
                <w:bCs/>
                <w:color w:val="000000"/>
                <w:lang w:eastAsia="en-GB"/>
              </w:rPr>
            </w:pPr>
          </w:p>
        </w:tc>
        <w:tc>
          <w:tcPr>
            <w:tcW w:w="773" w:type="pct"/>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Increase / Decrease in Debtors &amp; Creditors</w:t>
            </w: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0.0</w:t>
            </w:r>
          </w:p>
        </w:tc>
        <w:tc>
          <w:tcPr>
            <w:tcW w:w="773" w:type="pct"/>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73.3</w:t>
            </w: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73.3</w:t>
            </w: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Use of Provisions</w:t>
            </w: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0.0</w:t>
            </w:r>
          </w:p>
        </w:tc>
        <w:tc>
          <w:tcPr>
            <w:tcW w:w="773" w:type="pct"/>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0.0</w:t>
            </w: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0.0</w:t>
            </w: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Devolved Taxes - time lag in collection of receipts in year 1</w:t>
            </w: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0.0</w:t>
            </w:r>
          </w:p>
        </w:tc>
        <w:tc>
          <w:tcPr>
            <w:tcW w:w="773" w:type="pct"/>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0.0</w:t>
            </w: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0.0</w:t>
            </w: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c>
          <w:tcPr>
            <w:tcW w:w="773" w:type="pct"/>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r>
      <w:tr w:rsidTr="00B4473A">
        <w:tblPrEx>
          <w:tblW w:w="5202" w:type="pct"/>
          <w:tblLayout w:type="fixed"/>
          <w:tblLook w:val="04A0"/>
        </w:tblPrEx>
        <w:trPr>
          <w:gridAfter w:val="1"/>
          <w:wAfter w:w="194" w:type="dxa"/>
          <w:trHeight w:val="290"/>
        </w:trPr>
        <w:tc>
          <w:tcPr>
            <w:tcW w:w="2487" w:type="pct"/>
            <w:gridSpan w:val="2"/>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b/>
                <w:bCs/>
                <w:lang w:eastAsia="en-GB"/>
              </w:rPr>
            </w:pPr>
            <w:r w:rsidRPr="000230DA">
              <w:rPr>
                <w:rFonts w:ascii="Calibri" w:eastAsia="Times New Roman" w:hAnsi="Calibri" w:cs="Calibri"/>
                <w:b/>
                <w:bCs/>
                <w:lang w:eastAsia="en-GB"/>
              </w:rPr>
              <w:t>Cash Grant payable to Welsh Consolidated Fund by Wales Office</w:t>
            </w: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b/>
                <w:bCs/>
                <w:color w:val="000000"/>
                <w:lang w:eastAsia="en-GB"/>
              </w:rPr>
            </w:pPr>
            <w:r w:rsidRPr="000230DA">
              <w:rPr>
                <w:rFonts w:ascii="Calibri" w:eastAsia="Times New Roman" w:hAnsi="Calibri" w:cs="Calibri"/>
                <w:b/>
                <w:bCs/>
                <w:color w:val="000000"/>
                <w:lang w:eastAsia="en-GB"/>
              </w:rPr>
              <w:t>13,443.3</w:t>
            </w:r>
          </w:p>
        </w:tc>
        <w:tc>
          <w:tcPr>
            <w:tcW w:w="773" w:type="pct"/>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b/>
                <w:bCs/>
                <w:color w:val="000000"/>
                <w:lang w:eastAsia="en-GB"/>
              </w:rPr>
            </w:pPr>
            <w:r w:rsidRPr="000230DA">
              <w:rPr>
                <w:rFonts w:ascii="Calibri" w:eastAsia="Times New Roman" w:hAnsi="Calibri" w:cs="Calibri"/>
                <w:b/>
                <w:bCs/>
                <w:color w:val="000000"/>
                <w:lang w:eastAsia="en-GB"/>
              </w:rPr>
              <w:t>405.3</w:t>
            </w: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b/>
                <w:bCs/>
                <w:color w:val="000000"/>
                <w:lang w:eastAsia="en-GB"/>
              </w:rPr>
            </w:pPr>
            <w:r w:rsidRPr="000230DA">
              <w:rPr>
                <w:rFonts w:ascii="Calibri" w:eastAsia="Times New Roman" w:hAnsi="Calibri" w:cs="Calibri"/>
                <w:b/>
                <w:bCs/>
                <w:color w:val="000000"/>
                <w:lang w:eastAsia="en-GB"/>
              </w:rPr>
              <w:t>13,848.6</w:t>
            </w: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b/>
                <w:bCs/>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c>
          <w:tcPr>
            <w:tcW w:w="773" w:type="pct"/>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 xml:space="preserve">   Welsh Rate of Income Tax</w:t>
            </w: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2,059.0</w:t>
            </w:r>
          </w:p>
        </w:tc>
        <w:tc>
          <w:tcPr>
            <w:tcW w:w="773" w:type="pct"/>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0.0</w:t>
            </w: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color w:val="000000"/>
                <w:lang w:eastAsia="en-GB"/>
              </w:rPr>
            </w:pPr>
            <w:r w:rsidRPr="000230DA">
              <w:rPr>
                <w:rFonts w:ascii="Calibri" w:eastAsia="Times New Roman" w:hAnsi="Calibri" w:cs="Calibri"/>
                <w:color w:val="000000"/>
                <w:lang w:eastAsia="en-GB"/>
              </w:rPr>
              <w:t>2,059.0</w:t>
            </w: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c>
          <w:tcPr>
            <w:tcW w:w="773" w:type="pct"/>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Times New Roman" w:eastAsia="Times New Roman" w:hAnsi="Times New Roman" w:cs="Times New Roman"/>
                <w:sz w:val="20"/>
                <w:szCs w:val="20"/>
                <w:lang w:eastAsia="en-GB"/>
              </w:rPr>
            </w:pPr>
          </w:p>
        </w:tc>
      </w:tr>
      <w:tr w:rsidTr="00B4473A">
        <w:tblPrEx>
          <w:tblW w:w="5202" w:type="pct"/>
          <w:tblLayout w:type="fixed"/>
          <w:tblLook w:val="04A0"/>
        </w:tblPrEx>
        <w:trPr>
          <w:gridAfter w:val="1"/>
          <w:wAfter w:w="194" w:type="dxa"/>
          <w:trHeight w:val="290"/>
        </w:trPr>
        <w:tc>
          <w:tcPr>
            <w:tcW w:w="2487" w:type="pct"/>
            <w:gridSpan w:val="2"/>
            <w:tcBorders>
              <w:top w:val="nil"/>
              <w:left w:val="nil"/>
              <w:bottom w:val="nil"/>
              <w:right w:val="nil"/>
            </w:tcBorders>
            <w:shd w:val="clear" w:color="auto" w:fill="auto"/>
            <w:noWrap/>
            <w:vAlign w:val="bottom"/>
            <w:hideMark/>
          </w:tcPr>
          <w:p w:rsidR="006C646E" w:rsidRPr="006C646E" w:rsidP="006A5220">
            <w:pPr>
              <w:spacing w:after="0" w:line="240" w:lineRule="auto"/>
              <w:rPr>
                <w:rFonts w:eastAsia="Times New Roman" w:cstheme="minorHAnsi"/>
                <w:b/>
                <w:bCs/>
                <w:i/>
                <w:iCs/>
                <w:color w:val="000000"/>
                <w:lang w:eastAsia="en-GB"/>
              </w:rPr>
            </w:pPr>
            <w:r w:rsidRPr="006C646E">
              <w:rPr>
                <w:rFonts w:eastAsia="Times New Roman" w:cstheme="minorHAnsi"/>
                <w:b/>
                <w:bCs/>
                <w:i/>
                <w:iCs/>
                <w:color w:val="000000"/>
                <w:lang w:eastAsia="en-GB"/>
              </w:rPr>
              <w:t>Total cash requirement including Welsh Rate of Income Tax</w:t>
            </w: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b/>
                <w:bCs/>
                <w:color w:val="000000"/>
                <w:lang w:eastAsia="en-GB"/>
              </w:rPr>
            </w:pPr>
            <w:r w:rsidRPr="000230DA">
              <w:rPr>
                <w:rFonts w:ascii="Calibri" w:eastAsia="Times New Roman" w:hAnsi="Calibri" w:cs="Calibri"/>
                <w:b/>
                <w:bCs/>
                <w:color w:val="000000"/>
                <w:lang w:eastAsia="en-GB"/>
              </w:rPr>
              <w:t>15,502.3</w:t>
            </w:r>
          </w:p>
        </w:tc>
        <w:tc>
          <w:tcPr>
            <w:tcW w:w="773" w:type="pct"/>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b/>
                <w:bCs/>
                <w:color w:val="000000"/>
                <w:lang w:eastAsia="en-GB"/>
              </w:rPr>
            </w:pPr>
            <w:r w:rsidRPr="000230DA">
              <w:rPr>
                <w:rFonts w:ascii="Calibri" w:eastAsia="Times New Roman" w:hAnsi="Calibri" w:cs="Calibri"/>
                <w:b/>
                <w:bCs/>
                <w:color w:val="000000"/>
                <w:lang w:eastAsia="en-GB"/>
              </w:rPr>
              <w:t>405.3</w:t>
            </w:r>
          </w:p>
        </w:tc>
        <w:tc>
          <w:tcPr>
            <w:tcW w:w="773" w:type="pct"/>
            <w:gridSpan w:val="2"/>
            <w:tcBorders>
              <w:top w:val="nil"/>
              <w:left w:val="nil"/>
              <w:bottom w:val="nil"/>
              <w:right w:val="nil"/>
            </w:tcBorders>
            <w:shd w:val="clear" w:color="auto" w:fill="auto"/>
            <w:noWrap/>
            <w:vAlign w:val="bottom"/>
            <w:hideMark/>
          </w:tcPr>
          <w:p w:rsidR="006C646E" w:rsidRPr="000230DA" w:rsidP="00B4473A">
            <w:pPr>
              <w:spacing w:after="0" w:line="240" w:lineRule="auto"/>
              <w:jc w:val="right"/>
              <w:rPr>
                <w:rFonts w:ascii="Calibri" w:eastAsia="Times New Roman" w:hAnsi="Calibri" w:cs="Calibri"/>
                <w:b/>
                <w:bCs/>
                <w:color w:val="000000"/>
                <w:lang w:eastAsia="en-GB"/>
              </w:rPr>
            </w:pPr>
            <w:r w:rsidRPr="000230DA">
              <w:rPr>
                <w:rFonts w:ascii="Calibri" w:eastAsia="Times New Roman" w:hAnsi="Calibri" w:cs="Calibri"/>
                <w:b/>
                <w:bCs/>
                <w:color w:val="000000"/>
                <w:lang w:eastAsia="en-GB"/>
              </w:rPr>
              <w:t>15,907.6</w:t>
            </w: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bottom"/>
            <w:hideMark/>
          </w:tcPr>
          <w:p w:rsidR="006C646E" w:rsidRPr="000230DA" w:rsidP="006A5220">
            <w:pPr>
              <w:spacing w:after="0" w:line="240" w:lineRule="auto"/>
              <w:jc w:val="right"/>
              <w:rPr>
                <w:rFonts w:ascii="Calibri" w:eastAsia="Times New Roman" w:hAnsi="Calibri" w:cs="Calibri"/>
                <w:b/>
                <w:bCs/>
                <w:color w:val="000000"/>
                <w:lang w:eastAsia="en-GB"/>
              </w:rPr>
            </w:pPr>
          </w:p>
        </w:tc>
        <w:tc>
          <w:tcPr>
            <w:tcW w:w="204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693" w:type="pct"/>
            <w:tcBorders>
              <w:top w:val="nil"/>
              <w:left w:val="nil"/>
              <w:bottom w:val="nil"/>
              <w:right w:val="nil"/>
            </w:tcBorders>
            <w:shd w:val="clear" w:color="auto" w:fill="auto"/>
            <w:noWrap/>
            <w:vAlign w:val="bottom"/>
            <w:hideMark/>
          </w:tcPr>
          <w:p w:rsidR="006C646E" w:rsidRPr="000230DA" w:rsidP="00B4473A">
            <w:pPr>
              <w:spacing w:after="0" w:line="240" w:lineRule="auto"/>
              <w:rPr>
                <w:rFonts w:ascii="Times New Roman" w:eastAsia="Times New Roman" w:hAnsi="Times New Roman" w:cs="Times New Roman"/>
                <w:sz w:val="20"/>
                <w:szCs w:val="20"/>
                <w:lang w:eastAsia="en-GB"/>
              </w:rPr>
            </w:pPr>
          </w:p>
        </w:tc>
        <w:tc>
          <w:tcPr>
            <w:tcW w:w="1001" w:type="pct"/>
            <w:gridSpan w:val="3"/>
            <w:tcBorders>
              <w:top w:val="nil"/>
              <w:left w:val="nil"/>
              <w:bottom w:val="nil"/>
              <w:right w:val="nil"/>
            </w:tcBorders>
            <w:shd w:val="clear" w:color="auto" w:fill="auto"/>
            <w:noWrap/>
            <w:vAlign w:val="bottom"/>
            <w:hideMark/>
          </w:tcPr>
          <w:p w:rsidR="006C646E" w:rsidRPr="000230DA" w:rsidP="00B4473A">
            <w:pPr>
              <w:spacing w:after="0" w:line="240" w:lineRule="auto"/>
              <w:rPr>
                <w:rFonts w:ascii="Times New Roman" w:eastAsia="Times New Roman" w:hAnsi="Times New Roman" w:cs="Times New Roman"/>
                <w:sz w:val="20"/>
                <w:szCs w:val="20"/>
                <w:lang w:eastAsia="en-GB"/>
              </w:rPr>
            </w:pPr>
          </w:p>
        </w:tc>
        <w:tc>
          <w:tcPr>
            <w:tcW w:w="625" w:type="pct"/>
            <w:tcBorders>
              <w:top w:val="nil"/>
              <w:left w:val="nil"/>
              <w:bottom w:val="nil"/>
              <w:right w:val="nil"/>
            </w:tcBorders>
            <w:shd w:val="clear" w:color="auto" w:fill="auto"/>
            <w:noWrap/>
            <w:vAlign w:val="bottom"/>
            <w:hideMark/>
          </w:tcPr>
          <w:p w:rsidR="006C646E" w:rsidRPr="000230DA" w:rsidP="00B4473A">
            <w:pPr>
              <w:spacing w:after="0" w:line="240" w:lineRule="auto"/>
              <w:rPr>
                <w:rFonts w:ascii="Times New Roman" w:eastAsia="Times New Roman" w:hAnsi="Times New Roman" w:cs="Times New Roman"/>
                <w:sz w:val="20"/>
                <w:szCs w:val="20"/>
                <w:lang w:eastAsia="en-GB"/>
              </w:rPr>
            </w:pPr>
          </w:p>
        </w:tc>
      </w:tr>
      <w:tr w:rsidTr="00B4473A">
        <w:tblPrEx>
          <w:tblW w:w="5202" w:type="pct"/>
          <w:tblLayout w:type="fixed"/>
          <w:tblLook w:val="04A0"/>
        </w:tblPrEx>
        <w:trPr>
          <w:gridAfter w:val="1"/>
          <w:wAfter w:w="194" w:type="dxa"/>
          <w:trHeight w:val="290"/>
        </w:trPr>
        <w:tc>
          <w:tcPr>
            <w:tcW w:w="442" w:type="pct"/>
            <w:tcBorders>
              <w:top w:val="nil"/>
              <w:left w:val="nil"/>
              <w:bottom w:val="nil"/>
              <w:right w:val="nil"/>
            </w:tcBorders>
            <w:shd w:val="clear" w:color="auto" w:fill="auto"/>
            <w:noWrap/>
            <w:vAlign w:val="center"/>
            <w:hideMark/>
          </w:tcPr>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Note</w:t>
            </w:r>
          </w:p>
        </w:tc>
        <w:tc>
          <w:tcPr>
            <w:tcW w:w="2045" w:type="pct"/>
            <w:tcBorders>
              <w:top w:val="nil"/>
              <w:left w:val="nil"/>
              <w:bottom w:val="nil"/>
              <w:right w:val="nil"/>
            </w:tcBorders>
            <w:shd w:val="clear" w:color="auto" w:fill="auto"/>
            <w:noWrap/>
            <w:vAlign w:val="center"/>
            <w:hideMark/>
          </w:tcPr>
          <w:p w:rsidR="006C646E" w:rsidRPr="000230DA" w:rsidP="006A5220">
            <w:pPr>
              <w:spacing w:after="0" w:line="240" w:lineRule="auto"/>
              <w:rPr>
                <w:rFonts w:ascii="Calibri" w:eastAsia="Times New Roman" w:hAnsi="Calibri" w:cs="Calibri"/>
                <w:color w:val="000000"/>
                <w:lang w:eastAsia="en-GB"/>
              </w:rPr>
            </w:pPr>
          </w:p>
        </w:tc>
        <w:tc>
          <w:tcPr>
            <w:tcW w:w="693"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1001" w:type="pct"/>
            <w:gridSpan w:val="3"/>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c>
          <w:tcPr>
            <w:tcW w:w="62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Times New Roman" w:eastAsia="Times New Roman" w:hAnsi="Times New Roman" w:cs="Times New Roman"/>
                <w:sz w:val="20"/>
                <w:szCs w:val="20"/>
                <w:lang w:eastAsia="en-GB"/>
              </w:rPr>
            </w:pPr>
          </w:p>
        </w:tc>
      </w:tr>
      <w:tr w:rsidTr="00B4473A">
        <w:tblPrEx>
          <w:tblW w:w="5202" w:type="pct"/>
          <w:tblLayout w:type="fixed"/>
          <w:tblLook w:val="04A0"/>
        </w:tblPrEx>
        <w:trPr>
          <w:gridAfter w:val="1"/>
          <w:wAfter w:w="194" w:type="dxa"/>
          <w:trHeight w:val="290"/>
        </w:trPr>
        <w:tc>
          <w:tcPr>
            <w:tcW w:w="4181" w:type="pct"/>
            <w:gridSpan w:val="6"/>
            <w:tcBorders>
              <w:top w:val="nil"/>
              <w:left w:val="nil"/>
              <w:bottom w:val="nil"/>
              <w:right w:val="nil"/>
            </w:tcBorders>
            <w:shd w:val="clear" w:color="auto" w:fill="auto"/>
            <w:noWrap/>
            <w:vAlign w:val="center"/>
            <w:hideMark/>
          </w:tcPr>
          <w:p w:rsidR="006C646E" w:rsidRPr="000230DA" w:rsidP="006A5220">
            <w:pPr>
              <w:spacing w:after="0" w:line="240" w:lineRule="auto"/>
              <w:rPr>
                <w:rFonts w:ascii="Calibri" w:eastAsia="Times New Roman" w:hAnsi="Calibri" w:cs="Calibri"/>
                <w:color w:val="000000"/>
                <w:lang w:eastAsia="en-GB"/>
              </w:rPr>
            </w:pPr>
            <w:r w:rsidRPr="000230DA">
              <w:rPr>
                <w:rFonts w:ascii="Calibri" w:eastAsia="Times New Roman" w:hAnsi="Calibri" w:cs="Calibri"/>
                <w:color w:val="000000"/>
                <w:lang w:eastAsia="en-GB"/>
              </w:rPr>
              <w:t>All items forming this calculation refer to expend</w:t>
            </w:r>
            <w:r>
              <w:rPr>
                <w:rFonts w:ascii="Calibri" w:eastAsia="Times New Roman" w:hAnsi="Calibri" w:cs="Calibri"/>
                <w:color w:val="000000"/>
                <w:lang w:eastAsia="en-GB"/>
              </w:rPr>
              <w:t>i</w:t>
            </w:r>
            <w:r w:rsidRPr="000230DA">
              <w:rPr>
                <w:rFonts w:ascii="Calibri" w:eastAsia="Times New Roman" w:hAnsi="Calibri" w:cs="Calibri"/>
                <w:color w:val="000000"/>
                <w:lang w:eastAsia="en-GB"/>
              </w:rPr>
              <w:t>ture incurred by/income received by the Welsh Government</w:t>
            </w:r>
          </w:p>
        </w:tc>
        <w:tc>
          <w:tcPr>
            <w:tcW w:w="625" w:type="pct"/>
            <w:tcBorders>
              <w:top w:val="nil"/>
              <w:left w:val="nil"/>
              <w:bottom w:val="nil"/>
              <w:right w:val="nil"/>
            </w:tcBorders>
            <w:shd w:val="clear" w:color="auto" w:fill="auto"/>
            <w:noWrap/>
            <w:vAlign w:val="bottom"/>
            <w:hideMark/>
          </w:tcPr>
          <w:p w:rsidR="006C646E" w:rsidRPr="000230DA" w:rsidP="006A5220">
            <w:pPr>
              <w:spacing w:after="0" w:line="240" w:lineRule="auto"/>
              <w:rPr>
                <w:rFonts w:ascii="Calibri" w:eastAsia="Times New Roman" w:hAnsi="Calibri" w:cs="Calibri"/>
                <w:color w:val="000000"/>
                <w:lang w:eastAsia="en-GB"/>
              </w:rPr>
            </w:pPr>
          </w:p>
        </w:tc>
      </w:tr>
    </w:tbl>
    <w:p w:rsidR="006C646E">
      <w:pPr>
        <w:rPr>
          <w:rFonts w:ascii="Arial" w:hAnsi="Arial"/>
          <w:sz w:val="24"/>
          <w:szCs w:val="24"/>
        </w:rPr>
      </w:pPr>
    </w:p>
    <w:p w:rsidR="00C70198" w:rsidRPr="0074085B" w:rsidP="00063F52">
      <w:pPr>
        <w:jc w:val="both"/>
        <w:rPr>
          <w:lang w:eastAsia="en-GB"/>
        </w:rPr>
      </w:pPr>
      <w:r w:rsidRPr="0074085B">
        <w:rPr>
          <w:lang w:eastAsia="en-GB"/>
        </w:rPr>
        <w:t xml:space="preserve">In addition, HMRC collects </w:t>
      </w:r>
      <w:r w:rsidR="00167089">
        <w:rPr>
          <w:lang w:eastAsia="en-GB"/>
        </w:rPr>
        <w:t xml:space="preserve">Welsh </w:t>
      </w:r>
      <w:r w:rsidRPr="0074085B">
        <w:rPr>
          <w:lang w:eastAsia="en-GB"/>
        </w:rPr>
        <w:t>Income Tax (</w:t>
      </w:r>
      <w:r w:rsidR="000733DF">
        <w:rPr>
          <w:lang w:eastAsia="en-GB"/>
        </w:rPr>
        <w:t>estimated at £</w:t>
      </w:r>
      <w:r w:rsidR="00167089">
        <w:rPr>
          <w:lang w:eastAsia="en-GB"/>
        </w:rPr>
        <w:t xml:space="preserve">2,059 </w:t>
      </w:r>
      <w:r w:rsidRPr="0074085B">
        <w:rPr>
          <w:lang w:eastAsia="en-GB"/>
        </w:rPr>
        <w:t>million in 201</w:t>
      </w:r>
      <w:r w:rsidR="00167089">
        <w:rPr>
          <w:lang w:eastAsia="en-GB"/>
        </w:rPr>
        <w:t>9-20</w:t>
      </w:r>
      <w:r w:rsidRPr="0074085B">
        <w:rPr>
          <w:lang w:eastAsia="en-GB"/>
        </w:rPr>
        <w:t xml:space="preserve">) </w:t>
      </w:r>
      <w:r w:rsidR="006A04DF">
        <w:rPr>
          <w:lang w:eastAsia="en-GB"/>
        </w:rPr>
        <w:t xml:space="preserve">on behalf of the </w:t>
      </w:r>
      <w:r w:rsidR="00167089">
        <w:rPr>
          <w:lang w:eastAsia="en-GB"/>
        </w:rPr>
        <w:t xml:space="preserve">Welsh </w:t>
      </w:r>
      <w:r w:rsidR="006A04DF">
        <w:rPr>
          <w:lang w:eastAsia="en-GB"/>
        </w:rPr>
        <w:t xml:space="preserve">Government </w:t>
      </w:r>
      <w:r w:rsidRPr="0074085B">
        <w:rPr>
          <w:lang w:eastAsia="en-GB"/>
        </w:rPr>
        <w:t xml:space="preserve">and this is </w:t>
      </w:r>
      <w:r w:rsidR="006A04DF">
        <w:rPr>
          <w:lang w:eastAsia="en-GB"/>
        </w:rPr>
        <w:t xml:space="preserve">also </w:t>
      </w:r>
      <w:r w:rsidRPr="0074085B">
        <w:rPr>
          <w:lang w:eastAsia="en-GB"/>
        </w:rPr>
        <w:t xml:space="preserve">paid over to the </w:t>
      </w:r>
      <w:r w:rsidR="00167089">
        <w:rPr>
          <w:lang w:eastAsia="en-GB"/>
        </w:rPr>
        <w:t xml:space="preserve">Welsh </w:t>
      </w:r>
      <w:r w:rsidRPr="0074085B">
        <w:rPr>
          <w:lang w:eastAsia="en-GB"/>
        </w:rPr>
        <w:t>Consolidated Fund</w:t>
      </w:r>
      <w:r w:rsidR="000733DF">
        <w:rPr>
          <w:lang w:eastAsia="en-GB"/>
        </w:rPr>
        <w:t xml:space="preserve"> in monthly </w:t>
      </w:r>
      <w:r w:rsidR="004719D4">
        <w:rPr>
          <w:lang w:eastAsia="en-GB"/>
        </w:rPr>
        <w:t xml:space="preserve">instalments </w:t>
      </w:r>
      <w:r w:rsidRPr="0074085B" w:rsidR="004719D4">
        <w:rPr>
          <w:lang w:eastAsia="en-GB"/>
        </w:rPr>
        <w:t>via</w:t>
      </w:r>
      <w:r w:rsidRPr="0074085B">
        <w:rPr>
          <w:lang w:eastAsia="en-GB"/>
        </w:rPr>
        <w:t xml:space="preserve"> the </w:t>
      </w:r>
      <w:r w:rsidR="00167089">
        <w:rPr>
          <w:lang w:eastAsia="en-GB"/>
        </w:rPr>
        <w:t xml:space="preserve">Wales </w:t>
      </w:r>
      <w:r w:rsidRPr="0074085B">
        <w:rPr>
          <w:lang w:eastAsia="en-GB"/>
        </w:rPr>
        <w:t>Office Supply Estimate</w:t>
      </w:r>
      <w:r w:rsidR="006A04DF">
        <w:rPr>
          <w:lang w:eastAsia="en-GB"/>
        </w:rPr>
        <w:t xml:space="preserve"> (subhead </w:t>
      </w:r>
      <w:r w:rsidR="00167089">
        <w:rPr>
          <w:lang w:eastAsia="en-GB"/>
        </w:rPr>
        <w:t>C</w:t>
      </w:r>
      <w:r w:rsidR="006A04DF">
        <w:rPr>
          <w:lang w:eastAsia="en-GB"/>
        </w:rPr>
        <w:t>)</w:t>
      </w:r>
      <w:r w:rsidRPr="0074085B">
        <w:rPr>
          <w:lang w:eastAsia="en-GB"/>
        </w:rPr>
        <w:t>.</w:t>
      </w:r>
    </w:p>
    <w:p w:rsidR="00C70198" w:rsidP="00C70198">
      <w:pPr>
        <w:rPr>
          <w:rFonts w:ascii="Arial" w:hAnsi="Arial"/>
          <w:sz w:val="24"/>
          <w:szCs w:val="24"/>
        </w:rPr>
      </w:pPr>
    </w:p>
    <w:p w:rsidR="006C646E" w:rsidP="00C70198">
      <w:pPr>
        <w:rPr>
          <w:rFonts w:ascii="Arial" w:hAnsi="Arial"/>
          <w:sz w:val="24"/>
          <w:szCs w:val="24"/>
        </w:rPr>
      </w:pPr>
    </w:p>
    <w:p w:rsidR="006C646E" w:rsidP="00C70198">
      <w:pPr>
        <w:rPr>
          <w:rFonts w:ascii="Arial" w:hAnsi="Arial"/>
          <w:sz w:val="24"/>
          <w:szCs w:val="24"/>
        </w:rPr>
      </w:pPr>
    </w:p>
    <w:p w:rsidR="006C646E" w:rsidP="00C70198">
      <w:pPr>
        <w:rPr>
          <w:rFonts w:ascii="Arial" w:hAnsi="Arial"/>
          <w:sz w:val="24"/>
          <w:szCs w:val="24"/>
        </w:rPr>
      </w:pPr>
    </w:p>
    <w:p w:rsidR="006C646E" w:rsidP="00C70198">
      <w:pPr>
        <w:rPr>
          <w:rFonts w:ascii="Arial" w:hAnsi="Arial"/>
          <w:sz w:val="24"/>
          <w:szCs w:val="24"/>
        </w:rPr>
      </w:pPr>
    </w:p>
    <w:p w:rsidR="006C646E" w:rsidP="00C70198">
      <w:pPr>
        <w:rPr>
          <w:rFonts w:ascii="Arial" w:hAnsi="Arial"/>
          <w:sz w:val="24"/>
          <w:szCs w:val="24"/>
        </w:rPr>
      </w:pPr>
    </w:p>
    <w:p w:rsidR="006C646E" w:rsidP="00C70198">
      <w:pPr>
        <w:rPr>
          <w:rFonts w:ascii="Arial" w:hAnsi="Arial"/>
          <w:sz w:val="24"/>
          <w:szCs w:val="24"/>
        </w:rPr>
      </w:pPr>
    </w:p>
    <w:p w:rsidR="006C646E" w:rsidP="00C70198">
      <w:pPr>
        <w:rPr>
          <w:rFonts w:ascii="Arial" w:hAnsi="Arial"/>
          <w:sz w:val="24"/>
          <w:szCs w:val="24"/>
        </w:rPr>
      </w:pPr>
    </w:p>
    <w:p w:rsidR="006C646E" w:rsidP="00C70198">
      <w:pPr>
        <w:rPr>
          <w:rFonts w:ascii="Arial" w:hAnsi="Arial"/>
          <w:sz w:val="24"/>
          <w:szCs w:val="24"/>
        </w:rPr>
      </w:pPr>
    </w:p>
    <w:p w:rsidR="006C646E" w:rsidP="00C70198">
      <w:pPr>
        <w:rPr>
          <w:rFonts w:ascii="Arial" w:hAnsi="Arial"/>
          <w:sz w:val="24"/>
          <w:szCs w:val="24"/>
        </w:rPr>
      </w:pPr>
    </w:p>
    <w:p w:rsidR="006C646E" w:rsidP="00C70198">
      <w:pPr>
        <w:rPr>
          <w:rFonts w:ascii="Arial" w:hAnsi="Arial"/>
          <w:sz w:val="24"/>
          <w:szCs w:val="24"/>
        </w:rPr>
      </w:pPr>
    </w:p>
    <w:p w:rsidR="006C646E" w:rsidP="00C70198">
      <w:pPr>
        <w:rPr>
          <w:rFonts w:ascii="Arial" w:hAnsi="Arial"/>
          <w:sz w:val="24"/>
          <w:szCs w:val="24"/>
        </w:rPr>
      </w:pPr>
    </w:p>
    <w:p w:rsidR="006C646E" w:rsidP="00C70198">
      <w:pPr>
        <w:rPr>
          <w:rFonts w:ascii="Arial" w:hAnsi="Arial"/>
          <w:sz w:val="24"/>
          <w:szCs w:val="24"/>
        </w:rPr>
      </w:pPr>
    </w:p>
    <w:p w:rsidR="006C646E" w:rsidP="00C70198">
      <w:pPr>
        <w:rPr>
          <w:rFonts w:ascii="Arial" w:hAnsi="Arial"/>
          <w:sz w:val="24"/>
          <w:szCs w:val="24"/>
        </w:rPr>
      </w:pPr>
    </w:p>
    <w:p w:rsidR="006C646E" w:rsidP="00C70198">
      <w:pPr>
        <w:rPr>
          <w:rFonts w:ascii="Arial" w:hAnsi="Arial"/>
          <w:sz w:val="24"/>
          <w:szCs w:val="24"/>
        </w:rPr>
      </w:pPr>
    </w:p>
    <w:p w:rsidR="006C646E" w:rsidP="00C70198">
      <w:pPr>
        <w:rPr>
          <w:rFonts w:ascii="Arial" w:hAnsi="Arial"/>
          <w:sz w:val="24"/>
          <w:szCs w:val="24"/>
        </w:rPr>
      </w:pPr>
    </w:p>
    <w:p w:rsidR="006C646E" w:rsidP="00C70198">
      <w:pPr>
        <w:rPr>
          <w:rFonts w:ascii="Arial" w:hAnsi="Arial"/>
          <w:sz w:val="24"/>
          <w:szCs w:val="24"/>
        </w:rPr>
      </w:pPr>
    </w:p>
    <w:p w:rsidR="006C646E" w:rsidP="00C70198">
      <w:pPr>
        <w:rPr>
          <w:rFonts w:ascii="Arial" w:hAnsi="Arial"/>
          <w:sz w:val="24"/>
          <w:szCs w:val="24"/>
        </w:rPr>
      </w:pPr>
    </w:p>
    <w:p w:rsidR="006C646E" w:rsidP="00C70198">
      <w:pPr>
        <w:rPr>
          <w:rFonts w:ascii="Arial" w:hAnsi="Arial"/>
          <w:sz w:val="24"/>
          <w:szCs w:val="24"/>
        </w:rPr>
      </w:pPr>
    </w:p>
    <w:p w:rsidR="00C70198" w:rsidP="00F32426">
      <w:pPr>
        <w:pStyle w:val="Heading2"/>
      </w:pPr>
      <w:r>
        <w:t>3.</w:t>
      </w:r>
      <w:r w:rsidR="00EC1ABA">
        <w:t>4</w:t>
      </w:r>
      <w:r>
        <w:t xml:space="preserve"> </w:t>
      </w:r>
      <w:r w:rsidRPr="005C66F8">
        <w:t xml:space="preserve">Barnett </w:t>
      </w:r>
      <w:r w:rsidRPr="005C66F8">
        <w:t>Consequentials</w:t>
      </w:r>
    </w:p>
    <w:p w:rsidR="00C70198" w:rsidP="00C70198">
      <w:pPr>
        <w:rPr>
          <w:rFonts w:ascii="Arial" w:hAnsi="Arial"/>
          <w:b/>
          <w:sz w:val="24"/>
          <w:szCs w:val="24"/>
        </w:rPr>
      </w:pPr>
    </w:p>
    <w:p w:rsidR="008E3C6B" w:rsidP="00063F52">
      <w:pPr>
        <w:jc w:val="both"/>
        <w:rPr>
          <w:lang w:eastAsia="en-GB"/>
        </w:rPr>
      </w:pPr>
      <w:r w:rsidRPr="0074085B">
        <w:rPr>
          <w:lang w:eastAsia="en-GB"/>
        </w:rPr>
        <w:t xml:space="preserve">From time to time, the Treasury will adjust the budgets of UK departments with the devolved administrations receiving </w:t>
      </w:r>
      <w:r w:rsidR="006A04DF">
        <w:rPr>
          <w:lang w:eastAsia="en-GB"/>
        </w:rPr>
        <w:t>“</w:t>
      </w:r>
      <w:r w:rsidRPr="0074085B">
        <w:rPr>
          <w:lang w:eastAsia="en-GB"/>
        </w:rPr>
        <w:t xml:space="preserve">Barnett </w:t>
      </w:r>
      <w:r w:rsidRPr="0074085B">
        <w:rPr>
          <w:lang w:eastAsia="en-GB"/>
        </w:rPr>
        <w:t>consequentials</w:t>
      </w:r>
      <w:r w:rsidR="006A04DF">
        <w:rPr>
          <w:lang w:eastAsia="en-GB"/>
        </w:rPr>
        <w:t>”</w:t>
      </w:r>
      <w:r w:rsidRPr="0074085B">
        <w:rPr>
          <w:lang w:eastAsia="en-GB"/>
        </w:rPr>
        <w:t xml:space="preserve"> </w:t>
      </w:r>
      <w:r>
        <w:rPr>
          <w:lang w:eastAsia="en-GB"/>
        </w:rPr>
        <w:t>(</w:t>
      </w:r>
      <w:r w:rsidR="006F6CCE">
        <w:rPr>
          <w:lang w:eastAsia="en-GB"/>
        </w:rPr>
        <w:t>Wales</w:t>
      </w:r>
      <w:r>
        <w:rPr>
          <w:lang w:eastAsia="en-GB"/>
        </w:rPr>
        <w:t xml:space="preserve">’s share) </w:t>
      </w:r>
      <w:r w:rsidRPr="0074085B">
        <w:rPr>
          <w:lang w:eastAsia="en-GB"/>
        </w:rPr>
        <w:t xml:space="preserve">of these adjustments. </w:t>
      </w:r>
    </w:p>
    <w:p w:rsidR="00C70198" w:rsidRPr="0074085B" w:rsidP="00063F52">
      <w:pPr>
        <w:jc w:val="both"/>
        <w:rPr>
          <w:lang w:eastAsia="en-GB"/>
        </w:rPr>
      </w:pPr>
      <w:r>
        <w:rPr>
          <w:lang w:eastAsia="en-GB"/>
        </w:rPr>
        <w:t xml:space="preserve"> </w:t>
      </w:r>
      <w:r w:rsidRPr="0074085B">
        <w:rPr>
          <w:lang w:eastAsia="en-GB"/>
        </w:rPr>
        <w:t>The majority of these budgetary adjustments take place at major fiscal events such as at Budget (and previously at Spring Budget and Autumn Statement).</w:t>
      </w:r>
    </w:p>
    <w:p w:rsidR="00C70198" w:rsidRPr="0074085B" w:rsidP="00063F52">
      <w:pPr>
        <w:jc w:val="both"/>
        <w:rPr>
          <w:lang w:eastAsia="en-GB"/>
        </w:rPr>
      </w:pPr>
      <w:r w:rsidRPr="0074085B">
        <w:rPr>
          <w:lang w:eastAsia="en-GB"/>
        </w:rPr>
        <w:t>At the end of 201</w:t>
      </w:r>
      <w:r w:rsidR="006F6CCE">
        <w:rPr>
          <w:lang w:eastAsia="en-GB"/>
        </w:rPr>
        <w:t>8</w:t>
      </w:r>
      <w:r w:rsidRPr="0074085B">
        <w:rPr>
          <w:lang w:eastAsia="en-GB"/>
        </w:rPr>
        <w:t>, the Treasury published its Block Grant Transparency document.</w:t>
      </w:r>
    </w:p>
    <w:p w:rsidR="006F6CCE" w:rsidP="00063F52">
      <w:pPr>
        <w:jc w:val="both"/>
        <w:rPr>
          <w:lang w:eastAsia="en-GB"/>
        </w:rPr>
      </w:pPr>
      <w:r>
        <w:fldChar w:fldCharType="begin"/>
      </w:r>
      <w:r>
        <w:instrText xml:space="preserve"> HYPERLINK "https://www.gov.uk/government/publications/block-grant-transparency-december-2018" </w:instrText>
      </w:r>
      <w:r>
        <w:fldChar w:fldCharType="separate"/>
      </w:r>
      <w:r w:rsidRPr="00592411">
        <w:rPr>
          <w:rStyle w:val="Hyperlink"/>
          <w:lang w:eastAsia="en-GB"/>
        </w:rPr>
        <w:t>https://www.gov.uk/government/publications/block-grant-transparency-december-2018</w:t>
      </w:r>
      <w:r>
        <w:fldChar w:fldCharType="end"/>
      </w:r>
      <w:r>
        <w:rPr>
          <w:lang w:eastAsia="en-GB"/>
        </w:rPr>
        <w:t>.</w:t>
      </w:r>
    </w:p>
    <w:p w:rsidR="00B4473A" w:rsidP="00063F52">
      <w:pPr>
        <w:jc w:val="both"/>
        <w:rPr>
          <w:lang w:eastAsia="en-GB"/>
        </w:rPr>
      </w:pPr>
    </w:p>
    <w:p w:rsidR="00C70198" w:rsidRPr="0074085B" w:rsidP="00063F52">
      <w:pPr>
        <w:jc w:val="both"/>
        <w:rPr>
          <w:lang w:eastAsia="en-GB"/>
        </w:rPr>
      </w:pPr>
      <w:r w:rsidRPr="0074085B">
        <w:rPr>
          <w:lang w:eastAsia="en-GB"/>
        </w:rPr>
        <w:t xml:space="preserve">This shows that since the 2015 Spending Review, the </w:t>
      </w:r>
      <w:r w:rsidR="006F6CCE">
        <w:rPr>
          <w:lang w:eastAsia="en-GB"/>
        </w:rPr>
        <w:t xml:space="preserve">Welsh </w:t>
      </w:r>
      <w:r w:rsidRPr="0074085B">
        <w:rPr>
          <w:lang w:eastAsia="en-GB"/>
        </w:rPr>
        <w:t>G</w:t>
      </w:r>
      <w:r w:rsidR="006F6CCE">
        <w:rPr>
          <w:lang w:eastAsia="en-GB"/>
        </w:rPr>
        <w:t>overnment have received £</w:t>
      </w:r>
      <w:r w:rsidR="00404DD8">
        <w:rPr>
          <w:lang w:eastAsia="en-GB"/>
        </w:rPr>
        <w:t>1,2</w:t>
      </w:r>
      <w:r w:rsidR="00CD322B">
        <w:rPr>
          <w:lang w:eastAsia="en-GB"/>
        </w:rPr>
        <w:t>89.945</w:t>
      </w:r>
      <w:r w:rsidRPr="0074085B">
        <w:rPr>
          <w:lang w:eastAsia="en-GB"/>
        </w:rPr>
        <w:t xml:space="preserve">m in Barnett </w:t>
      </w:r>
      <w:r w:rsidRPr="0074085B">
        <w:rPr>
          <w:lang w:eastAsia="en-GB"/>
        </w:rPr>
        <w:t>Consequentials</w:t>
      </w:r>
      <w:r w:rsidRPr="0074085B">
        <w:rPr>
          <w:lang w:eastAsia="en-GB"/>
        </w:rPr>
        <w:t xml:space="preserve"> for 201</w:t>
      </w:r>
      <w:r w:rsidR="006F6CCE">
        <w:rPr>
          <w:lang w:eastAsia="en-GB"/>
        </w:rPr>
        <w:t>9-20</w:t>
      </w:r>
      <w:r w:rsidRPr="0074085B">
        <w:rPr>
          <w:lang w:eastAsia="en-GB"/>
        </w:rPr>
        <w:t xml:space="preserve"> (£</w:t>
      </w:r>
      <w:r w:rsidR="00CD322B">
        <w:rPr>
          <w:lang w:eastAsia="en-GB"/>
        </w:rPr>
        <w:t>974.393</w:t>
      </w:r>
      <w:r w:rsidRPr="0074085B">
        <w:rPr>
          <w:lang w:eastAsia="en-GB"/>
        </w:rPr>
        <w:t xml:space="preserve">m RDEL, </w:t>
      </w:r>
      <w:r w:rsidR="00CD322B">
        <w:rPr>
          <w:lang w:eastAsia="en-GB"/>
        </w:rPr>
        <w:t>229.243</w:t>
      </w:r>
      <w:r w:rsidRPr="0074085B">
        <w:rPr>
          <w:lang w:eastAsia="en-GB"/>
        </w:rPr>
        <w:t xml:space="preserve">m </w:t>
      </w:r>
      <w:r w:rsidRPr="0074085B" w:rsidR="00566809">
        <w:rPr>
          <w:lang w:eastAsia="en-GB"/>
        </w:rPr>
        <w:t>CDEL,</w:t>
      </w:r>
      <w:r w:rsidR="00566809">
        <w:rPr>
          <w:lang w:eastAsia="en-GB"/>
        </w:rPr>
        <w:t xml:space="preserve"> and</w:t>
      </w:r>
      <w:r w:rsidR="00CD322B">
        <w:rPr>
          <w:lang w:eastAsia="en-GB"/>
        </w:rPr>
        <w:t xml:space="preserve"> £86.309m </w:t>
      </w:r>
      <w:r w:rsidRPr="0074085B">
        <w:rPr>
          <w:lang w:eastAsia="en-GB"/>
        </w:rPr>
        <w:t xml:space="preserve">Financial Transactions). </w:t>
      </w:r>
      <w:r w:rsidR="000733DF">
        <w:rPr>
          <w:lang w:eastAsia="en-GB"/>
        </w:rPr>
        <w:t>S</w:t>
      </w:r>
      <w:r w:rsidRPr="0074085B">
        <w:rPr>
          <w:lang w:eastAsia="en-GB"/>
        </w:rPr>
        <w:t>ince that publication</w:t>
      </w:r>
      <w:r w:rsidR="000733DF">
        <w:rPr>
          <w:lang w:eastAsia="en-GB"/>
        </w:rPr>
        <w:t>, t</w:t>
      </w:r>
      <w:r w:rsidRPr="000733DF" w:rsidR="000733DF">
        <w:rPr>
          <w:lang w:eastAsia="en-GB"/>
        </w:rPr>
        <w:t xml:space="preserve">here have been further Barnett </w:t>
      </w:r>
      <w:r w:rsidRPr="000733DF" w:rsidR="000733DF">
        <w:rPr>
          <w:lang w:eastAsia="en-GB"/>
        </w:rPr>
        <w:t>Consequentials</w:t>
      </w:r>
      <w:r w:rsidRPr="000733DF" w:rsidR="000733DF">
        <w:rPr>
          <w:lang w:eastAsia="en-GB"/>
        </w:rPr>
        <w:t xml:space="preserve"> added to the Welsh Government budget</w:t>
      </w:r>
      <w:r w:rsidRPr="0074085B">
        <w:rPr>
          <w:lang w:eastAsia="en-GB"/>
        </w:rPr>
        <w:t>.</w:t>
      </w:r>
      <w:r w:rsidR="000733DF">
        <w:rPr>
          <w:lang w:eastAsia="en-GB"/>
        </w:rPr>
        <w:t xml:space="preserve"> This represent the application of the Barnett formula to Reserve claims granted to UK Government Departments and are set out in the table below.</w:t>
      </w:r>
    </w:p>
    <w:p w:rsidR="00C70198" w:rsidRPr="0074085B" w:rsidP="00063F52">
      <w:pPr>
        <w:jc w:val="both"/>
        <w:rPr>
          <w:lang w:eastAsia="en-GB"/>
        </w:rPr>
        <w:sectPr w:rsidSect="00C70198">
          <w:headerReference w:type="even" r:id="rId8"/>
          <w:headerReference w:type="default" r:id="rId9"/>
          <w:footerReference w:type="even" r:id="rId10"/>
          <w:footerReference w:type="default" r:id="rId11"/>
          <w:headerReference w:type="first" r:id="rId12"/>
          <w:footerReference w:type="first" r:id="rId13"/>
          <w:pgSz w:w="11906" w:h="16838"/>
          <w:pgMar w:top="1134" w:right="1797" w:bottom="1134" w:left="1797" w:header="709" w:footer="709" w:gutter="0"/>
          <w:cols w:space="708"/>
          <w:docGrid w:linePitch="381"/>
        </w:sectPr>
      </w:pPr>
      <w:r w:rsidRPr="0074085B">
        <w:rPr>
          <w:lang w:eastAsia="en-GB"/>
        </w:rPr>
        <w:t xml:space="preserve">In order to assist </w:t>
      </w:r>
      <w:r w:rsidR="00C10078">
        <w:rPr>
          <w:lang w:eastAsia="en-GB"/>
        </w:rPr>
        <w:t>Members’</w:t>
      </w:r>
      <w:r w:rsidRPr="0074085B">
        <w:rPr>
          <w:lang w:eastAsia="en-GB"/>
        </w:rPr>
        <w:t xml:space="preserve"> understanding of how ‘Barnett </w:t>
      </w:r>
      <w:r w:rsidRPr="0074085B">
        <w:rPr>
          <w:lang w:eastAsia="en-GB"/>
        </w:rPr>
        <w:t>Consequentials</w:t>
      </w:r>
      <w:r w:rsidRPr="0074085B">
        <w:rPr>
          <w:lang w:eastAsia="en-GB"/>
        </w:rPr>
        <w:t xml:space="preserve">’ have impacted upon the </w:t>
      </w:r>
      <w:r w:rsidR="006F6CCE">
        <w:rPr>
          <w:lang w:eastAsia="en-GB"/>
        </w:rPr>
        <w:t xml:space="preserve">Welsh </w:t>
      </w:r>
      <w:r w:rsidRPr="0074085B">
        <w:rPr>
          <w:lang w:eastAsia="en-GB"/>
        </w:rPr>
        <w:t>Government’s budget for 201</w:t>
      </w:r>
      <w:r w:rsidR="006F6CCE">
        <w:rPr>
          <w:lang w:eastAsia="en-GB"/>
        </w:rPr>
        <w:t>9-20</w:t>
      </w:r>
      <w:r w:rsidRPr="0074085B">
        <w:rPr>
          <w:lang w:eastAsia="en-GB"/>
        </w:rPr>
        <w:t xml:space="preserve">, the table below details all </w:t>
      </w:r>
      <w:r w:rsidRPr="0074085B">
        <w:rPr>
          <w:lang w:eastAsia="en-GB"/>
        </w:rPr>
        <w:t>Consequentials</w:t>
      </w:r>
      <w:r w:rsidRPr="0074085B">
        <w:rPr>
          <w:lang w:eastAsia="en-GB"/>
        </w:rPr>
        <w:t xml:space="preserve"> made available to the </w:t>
      </w:r>
      <w:r w:rsidR="006F6CCE">
        <w:rPr>
          <w:lang w:eastAsia="en-GB"/>
        </w:rPr>
        <w:t xml:space="preserve">Welsh </w:t>
      </w:r>
      <w:r w:rsidRPr="0074085B">
        <w:rPr>
          <w:lang w:eastAsia="en-GB"/>
        </w:rPr>
        <w:t>Government.</w:t>
      </w:r>
    </w:p>
    <w:tbl>
      <w:tblPr>
        <w:tblW w:w="14773" w:type="dxa"/>
        <w:tblLook w:val="04A0"/>
      </w:tblPr>
      <w:tblGrid>
        <w:gridCol w:w="145"/>
        <w:gridCol w:w="4695"/>
        <w:gridCol w:w="25"/>
        <w:gridCol w:w="6640"/>
        <w:gridCol w:w="155"/>
        <w:gridCol w:w="1695"/>
        <w:gridCol w:w="305"/>
        <w:gridCol w:w="897"/>
        <w:gridCol w:w="216"/>
      </w:tblGrid>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BF7F45" w:rsidRPr="00BF7F45" w:rsidP="00BF7F45">
            <w:pPr>
              <w:rPr>
                <w:rFonts w:ascii="Calibri" w:hAnsi="Calibri" w:cs="Calibri"/>
                <w:b/>
                <w:bCs/>
                <w:color w:val="000000"/>
              </w:rPr>
            </w:pPr>
            <w:r w:rsidRPr="00BF7F45">
              <w:rPr>
                <w:rFonts w:ascii="Calibri" w:hAnsi="Calibri" w:cs="Calibri"/>
                <w:b/>
                <w:bCs/>
                <w:color w:val="000000"/>
              </w:rPr>
              <w:t xml:space="preserve">3.4 Barnett </w:t>
            </w:r>
            <w:r w:rsidRPr="00BF7F45">
              <w:rPr>
                <w:rFonts w:ascii="Calibri" w:hAnsi="Calibri" w:cs="Calibri"/>
                <w:b/>
                <w:bCs/>
                <w:color w:val="000000"/>
              </w:rPr>
              <w:t>Consequentials</w:t>
            </w:r>
            <w:r w:rsidRPr="00BF7F45">
              <w:rPr>
                <w:rFonts w:ascii="Calibri" w:hAnsi="Calibri" w:cs="Calibri"/>
                <w:b/>
                <w:bCs/>
                <w:color w:val="000000"/>
              </w:rPr>
              <w:t xml:space="preserve"> (since last SR)</w:t>
            </w:r>
          </w:p>
        </w:tc>
        <w:tc>
          <w:tcPr>
            <w:tcW w:w="6640" w:type="dxa"/>
            <w:tcBorders>
              <w:top w:val="nil"/>
              <w:left w:val="nil"/>
              <w:bottom w:val="nil"/>
              <w:right w:val="nil"/>
            </w:tcBorders>
            <w:shd w:val="clear" w:color="auto" w:fill="auto"/>
            <w:noWrap/>
            <w:vAlign w:val="center"/>
          </w:tcPr>
          <w:p w:rsidR="00BF7F45" w:rsidRPr="00BF7F45" w:rsidP="00BF7F45">
            <w:pPr>
              <w:rPr>
                <w:rFonts w:ascii="Calibri" w:hAnsi="Calibri" w:cs="Calibri"/>
                <w:b/>
                <w:bCs/>
                <w:color w:val="000000"/>
              </w:rPr>
            </w:pPr>
            <w:r w:rsidRPr="00BF7F45">
              <w:rPr>
                <w:rFonts w:ascii="Calibri" w:hAnsi="Calibri" w:cs="Calibri"/>
                <w:b/>
                <w:bCs/>
                <w:color w:val="000000"/>
              </w:rPr>
              <w:t> </w:t>
            </w:r>
          </w:p>
        </w:tc>
        <w:tc>
          <w:tcPr>
            <w:tcW w:w="1850" w:type="dxa"/>
            <w:gridSpan w:val="2"/>
            <w:tcBorders>
              <w:top w:val="nil"/>
              <w:left w:val="nil"/>
              <w:bottom w:val="nil"/>
              <w:right w:val="nil"/>
            </w:tcBorders>
            <w:shd w:val="clear" w:color="auto" w:fill="auto"/>
            <w:vAlign w:val="center"/>
          </w:tcPr>
          <w:p w:rsidR="00BF7F45" w:rsidRPr="00BF7F45" w:rsidP="00BF7F45">
            <w:pPr>
              <w:jc w:val="center"/>
              <w:rPr>
                <w:rFonts w:ascii="Arial" w:hAnsi="Arial"/>
                <w:b/>
                <w:bCs/>
                <w:color w:val="000000"/>
                <w:sz w:val="20"/>
                <w:szCs w:val="20"/>
              </w:rPr>
            </w:pPr>
            <w:r w:rsidRPr="00BF7F45">
              <w:rPr>
                <w:rFonts w:ascii="Arial" w:hAnsi="Arial"/>
                <w:b/>
                <w:bCs/>
                <w:color w:val="000000"/>
                <w:sz w:val="20"/>
                <w:szCs w:val="20"/>
              </w:rPr>
              <w:t> </w:t>
            </w:r>
          </w:p>
        </w:tc>
        <w:tc>
          <w:tcPr>
            <w:tcW w:w="1202" w:type="dxa"/>
            <w:gridSpan w:val="2"/>
            <w:tcBorders>
              <w:top w:val="nil"/>
              <w:left w:val="nil"/>
              <w:bottom w:val="nil"/>
              <w:right w:val="nil"/>
            </w:tcBorders>
            <w:shd w:val="clear" w:color="auto" w:fill="auto"/>
            <w:noWrap/>
            <w:vAlign w:val="center"/>
          </w:tcPr>
          <w:p w:rsidR="00BF7F45" w:rsidRPr="00BF7F45" w:rsidP="00BF7F45">
            <w:pPr>
              <w:jc w:val="center"/>
              <w:rPr>
                <w:rFonts w:ascii="Calibri" w:hAnsi="Calibri" w:cs="Calibri"/>
                <w:b/>
                <w:bCs/>
                <w:color w:val="000000"/>
              </w:rPr>
            </w:pPr>
            <w:r w:rsidRPr="00BF7F45">
              <w:rPr>
                <w:rFonts w:ascii="Calibri" w:hAnsi="Calibri" w:cs="Calibri"/>
                <w:b/>
                <w:bCs/>
                <w:color w:val="000000"/>
              </w:rPr>
              <w:t> </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BF7F45" w:rsidRPr="00BF7F45" w:rsidP="00BF7F45">
            <w:pPr>
              <w:rPr>
                <w:rFonts w:ascii="Calibri" w:hAnsi="Calibri" w:cs="Calibri"/>
                <w:b/>
                <w:bCs/>
                <w:color w:val="000000"/>
              </w:rPr>
            </w:pPr>
            <w:r w:rsidRPr="00BF7F45">
              <w:rPr>
                <w:rFonts w:ascii="Calibri" w:hAnsi="Calibri" w:cs="Calibri"/>
                <w:b/>
                <w:bCs/>
                <w:color w:val="000000"/>
              </w:rPr>
              <w:t> </w:t>
            </w:r>
          </w:p>
        </w:tc>
        <w:tc>
          <w:tcPr>
            <w:tcW w:w="6640" w:type="dxa"/>
            <w:tcBorders>
              <w:top w:val="nil"/>
              <w:left w:val="nil"/>
              <w:bottom w:val="nil"/>
              <w:right w:val="nil"/>
            </w:tcBorders>
            <w:shd w:val="clear" w:color="auto" w:fill="auto"/>
            <w:noWrap/>
            <w:vAlign w:val="center"/>
          </w:tcPr>
          <w:p w:rsidR="00BF7F45" w:rsidRPr="00BF7F45" w:rsidP="00BF7F45">
            <w:pPr>
              <w:rPr>
                <w:rFonts w:ascii="Calibri" w:hAnsi="Calibri" w:cs="Calibri"/>
                <w:b/>
                <w:bCs/>
                <w:color w:val="000000"/>
              </w:rPr>
            </w:pPr>
            <w:r w:rsidRPr="00BF7F45">
              <w:rPr>
                <w:rFonts w:ascii="Calibri" w:hAnsi="Calibri" w:cs="Calibri"/>
                <w:b/>
                <w:bCs/>
                <w:color w:val="000000"/>
              </w:rPr>
              <w:t> </w:t>
            </w:r>
          </w:p>
        </w:tc>
        <w:tc>
          <w:tcPr>
            <w:tcW w:w="1850" w:type="dxa"/>
            <w:gridSpan w:val="2"/>
            <w:tcBorders>
              <w:top w:val="nil"/>
              <w:left w:val="nil"/>
              <w:bottom w:val="nil"/>
              <w:right w:val="nil"/>
            </w:tcBorders>
            <w:shd w:val="clear" w:color="auto" w:fill="auto"/>
            <w:vAlign w:val="center"/>
          </w:tcPr>
          <w:p w:rsidR="00BF7F45" w:rsidRPr="00BF7F45" w:rsidP="00BF7F45">
            <w:pPr>
              <w:jc w:val="center"/>
              <w:rPr>
                <w:rFonts w:ascii="Arial" w:hAnsi="Arial"/>
                <w:b/>
                <w:bCs/>
                <w:color w:val="000000"/>
                <w:sz w:val="20"/>
                <w:szCs w:val="20"/>
              </w:rPr>
            </w:pPr>
            <w:r w:rsidRPr="00BF7F45">
              <w:rPr>
                <w:rFonts w:ascii="Arial" w:hAnsi="Arial"/>
                <w:b/>
                <w:bCs/>
                <w:color w:val="000000"/>
                <w:sz w:val="20"/>
                <w:szCs w:val="20"/>
              </w:rPr>
              <w:t> </w:t>
            </w:r>
          </w:p>
        </w:tc>
        <w:tc>
          <w:tcPr>
            <w:tcW w:w="1202" w:type="dxa"/>
            <w:gridSpan w:val="2"/>
            <w:tcBorders>
              <w:top w:val="nil"/>
              <w:left w:val="nil"/>
              <w:bottom w:val="nil"/>
              <w:right w:val="nil"/>
            </w:tcBorders>
            <w:shd w:val="clear" w:color="auto" w:fill="auto"/>
            <w:noWrap/>
            <w:vAlign w:val="center"/>
          </w:tcPr>
          <w:p w:rsidR="00BF7F45" w:rsidRPr="00BF7F45" w:rsidP="00BF7F45">
            <w:pPr>
              <w:jc w:val="center"/>
              <w:rPr>
                <w:rFonts w:ascii="Calibri" w:hAnsi="Calibri" w:cs="Calibri"/>
                <w:b/>
                <w:bCs/>
                <w:color w:val="000000"/>
              </w:rPr>
            </w:pPr>
            <w:r w:rsidRPr="00BF7F45">
              <w:rPr>
                <w:rFonts w:ascii="Calibri" w:hAnsi="Calibri" w:cs="Calibri"/>
                <w:b/>
                <w:bCs/>
                <w:color w:val="000000"/>
              </w:rPr>
              <w:t> </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BF7F45" w:rsidRPr="00BF7F45" w:rsidP="00BF7F45">
            <w:pPr>
              <w:rPr>
                <w:rFonts w:ascii="Calibri" w:hAnsi="Calibri" w:cs="Calibri"/>
                <w:b/>
                <w:bCs/>
                <w:color w:val="000000"/>
              </w:rPr>
            </w:pPr>
            <w:r w:rsidRPr="00BF7F45">
              <w:rPr>
                <w:rFonts w:ascii="Calibri" w:hAnsi="Calibri" w:cs="Calibri"/>
                <w:b/>
                <w:bCs/>
                <w:color w:val="000000"/>
              </w:rPr>
              <w:t>Department/Programme</w:t>
            </w:r>
          </w:p>
        </w:tc>
        <w:tc>
          <w:tcPr>
            <w:tcW w:w="6640" w:type="dxa"/>
            <w:tcBorders>
              <w:top w:val="nil"/>
              <w:left w:val="nil"/>
              <w:bottom w:val="nil"/>
              <w:right w:val="nil"/>
            </w:tcBorders>
            <w:shd w:val="clear" w:color="auto" w:fill="auto"/>
            <w:noWrap/>
            <w:vAlign w:val="center"/>
          </w:tcPr>
          <w:p w:rsidR="00BF7F45" w:rsidRPr="00BF7F45" w:rsidP="00BF7F45">
            <w:pPr>
              <w:rPr>
                <w:rFonts w:ascii="Calibri" w:hAnsi="Calibri" w:cs="Calibri"/>
                <w:b/>
                <w:bCs/>
                <w:color w:val="000000"/>
              </w:rPr>
            </w:pPr>
            <w:r w:rsidRPr="00BF7F45">
              <w:rPr>
                <w:rFonts w:ascii="Calibri" w:hAnsi="Calibri" w:cs="Calibri"/>
                <w:b/>
                <w:bCs/>
                <w:color w:val="000000"/>
              </w:rPr>
              <w:t>Measure</w:t>
            </w:r>
          </w:p>
        </w:tc>
        <w:tc>
          <w:tcPr>
            <w:tcW w:w="1850" w:type="dxa"/>
            <w:gridSpan w:val="2"/>
            <w:tcBorders>
              <w:top w:val="nil"/>
              <w:left w:val="nil"/>
              <w:bottom w:val="nil"/>
              <w:right w:val="nil"/>
            </w:tcBorders>
            <w:shd w:val="clear" w:color="auto" w:fill="auto"/>
            <w:vAlign w:val="center"/>
          </w:tcPr>
          <w:p w:rsidR="00BF7F45" w:rsidRPr="00BF7F45" w:rsidP="00BF7F45">
            <w:pPr>
              <w:jc w:val="center"/>
              <w:rPr>
                <w:rFonts w:ascii="Arial" w:hAnsi="Arial"/>
                <w:b/>
                <w:bCs/>
                <w:color w:val="000000"/>
                <w:sz w:val="20"/>
                <w:szCs w:val="20"/>
              </w:rPr>
            </w:pPr>
            <w:r w:rsidRPr="00BF7F45">
              <w:rPr>
                <w:rFonts w:ascii="Arial" w:hAnsi="Arial"/>
                <w:b/>
                <w:bCs/>
                <w:color w:val="000000"/>
                <w:sz w:val="20"/>
                <w:szCs w:val="20"/>
              </w:rPr>
              <w:t>RDEL/CDEL</w:t>
            </w:r>
          </w:p>
        </w:tc>
        <w:tc>
          <w:tcPr>
            <w:tcW w:w="1202" w:type="dxa"/>
            <w:gridSpan w:val="2"/>
            <w:tcBorders>
              <w:top w:val="nil"/>
              <w:left w:val="nil"/>
              <w:bottom w:val="nil"/>
              <w:right w:val="nil"/>
            </w:tcBorders>
            <w:shd w:val="clear" w:color="auto" w:fill="auto"/>
            <w:noWrap/>
            <w:vAlign w:val="center"/>
          </w:tcPr>
          <w:p w:rsidR="00BF7F45" w:rsidRPr="00BF7F45" w:rsidP="00BF7F45">
            <w:pPr>
              <w:jc w:val="center"/>
              <w:rPr>
                <w:rFonts w:ascii="Calibri" w:hAnsi="Calibri" w:cs="Calibri"/>
                <w:b/>
                <w:bCs/>
                <w:color w:val="000000"/>
              </w:rPr>
            </w:pPr>
            <w:r w:rsidRPr="00BF7F45">
              <w:rPr>
                <w:rFonts w:ascii="Calibri" w:hAnsi="Calibri" w:cs="Calibri"/>
                <w:b/>
                <w:bCs/>
                <w:color w:val="000000"/>
              </w:rPr>
              <w:t>2019-20</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BF7F45" w:rsidRPr="00BF7F45" w:rsidP="00BF7F45">
            <w:pPr>
              <w:rPr>
                <w:rFonts w:ascii="Calibri" w:hAnsi="Calibri" w:cs="Calibri"/>
                <w:b/>
                <w:bCs/>
                <w:color w:val="000000"/>
              </w:rPr>
            </w:pPr>
            <w:r w:rsidRPr="00BF7F45">
              <w:rPr>
                <w:rFonts w:ascii="Calibri" w:hAnsi="Calibri" w:cs="Calibri"/>
                <w:b/>
                <w:bCs/>
                <w:color w:val="000000"/>
              </w:rPr>
              <w:t> </w:t>
            </w:r>
          </w:p>
        </w:tc>
        <w:tc>
          <w:tcPr>
            <w:tcW w:w="6640" w:type="dxa"/>
            <w:tcBorders>
              <w:top w:val="nil"/>
              <w:left w:val="nil"/>
              <w:bottom w:val="nil"/>
              <w:right w:val="nil"/>
            </w:tcBorders>
            <w:shd w:val="clear" w:color="auto" w:fill="auto"/>
            <w:noWrap/>
            <w:vAlign w:val="center"/>
          </w:tcPr>
          <w:p w:rsidR="00BF7F45" w:rsidRPr="00BF7F45" w:rsidP="00BF7F45">
            <w:pPr>
              <w:rPr>
                <w:rFonts w:ascii="Calibri" w:hAnsi="Calibri" w:cs="Calibri"/>
                <w:b/>
                <w:bCs/>
                <w:color w:val="000000"/>
              </w:rPr>
            </w:pPr>
            <w:r w:rsidRPr="00BF7F45">
              <w:rPr>
                <w:rFonts w:ascii="Calibri" w:hAnsi="Calibri" w:cs="Calibri"/>
                <w:b/>
                <w:bCs/>
                <w:color w:val="000000"/>
              </w:rPr>
              <w:t> </w:t>
            </w:r>
          </w:p>
        </w:tc>
        <w:tc>
          <w:tcPr>
            <w:tcW w:w="1850" w:type="dxa"/>
            <w:gridSpan w:val="2"/>
            <w:tcBorders>
              <w:top w:val="nil"/>
              <w:left w:val="nil"/>
              <w:bottom w:val="nil"/>
              <w:right w:val="nil"/>
            </w:tcBorders>
            <w:shd w:val="clear" w:color="auto" w:fill="auto"/>
            <w:vAlign w:val="center"/>
          </w:tcPr>
          <w:p w:rsidR="00BF7F45" w:rsidRPr="00BF7F45" w:rsidP="00BF7F45">
            <w:pPr>
              <w:jc w:val="center"/>
              <w:rPr>
                <w:rFonts w:ascii="Arial" w:hAnsi="Arial"/>
                <w:b/>
                <w:bCs/>
                <w:color w:val="000000"/>
                <w:sz w:val="20"/>
                <w:szCs w:val="20"/>
              </w:rPr>
            </w:pPr>
            <w:r w:rsidRPr="00BF7F45">
              <w:rPr>
                <w:rFonts w:ascii="Arial" w:hAnsi="Arial"/>
                <w:b/>
                <w:bCs/>
                <w:color w:val="000000"/>
                <w:sz w:val="20"/>
                <w:szCs w:val="20"/>
              </w:rPr>
              <w:t> </w:t>
            </w:r>
          </w:p>
        </w:tc>
        <w:tc>
          <w:tcPr>
            <w:tcW w:w="1202" w:type="dxa"/>
            <w:gridSpan w:val="2"/>
            <w:tcBorders>
              <w:top w:val="nil"/>
              <w:left w:val="nil"/>
              <w:bottom w:val="nil"/>
              <w:right w:val="nil"/>
            </w:tcBorders>
            <w:shd w:val="clear" w:color="auto" w:fill="auto"/>
            <w:noWrap/>
            <w:vAlign w:val="center"/>
          </w:tcPr>
          <w:p w:rsidR="00BF7F45" w:rsidRPr="00BF7F45" w:rsidP="00BF7F45">
            <w:pPr>
              <w:jc w:val="center"/>
              <w:rPr>
                <w:rFonts w:ascii="Calibri" w:hAnsi="Calibri" w:cs="Calibri"/>
                <w:b/>
                <w:bCs/>
                <w:color w:val="000000"/>
              </w:rPr>
            </w:pPr>
            <w:r w:rsidRPr="00BF7F45">
              <w:rPr>
                <w:rFonts w:ascii="Calibri" w:hAnsi="Calibri" w:cs="Calibri"/>
                <w:b/>
                <w:bCs/>
                <w:color w:val="000000"/>
              </w:rPr>
              <w:t>£m</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BF7F45" w:rsidRPr="00BF7F45" w:rsidP="00BF7F45">
            <w:pPr>
              <w:rPr>
                <w:rFonts w:ascii="Calibri" w:hAnsi="Calibri" w:cs="Calibri"/>
                <w:b/>
                <w:bCs/>
                <w:color w:val="000000"/>
                <w:u w:val="single"/>
              </w:rPr>
            </w:pPr>
            <w:r w:rsidRPr="00BF7F45">
              <w:rPr>
                <w:rFonts w:ascii="Calibri" w:hAnsi="Calibri" w:cs="Calibri"/>
                <w:b/>
                <w:bCs/>
                <w:color w:val="000000"/>
                <w:u w:val="single"/>
              </w:rPr>
              <w:t>Budget 2016</w:t>
            </w:r>
          </w:p>
        </w:tc>
        <w:tc>
          <w:tcPr>
            <w:tcW w:w="6640" w:type="dxa"/>
            <w:tcBorders>
              <w:top w:val="nil"/>
              <w:left w:val="nil"/>
              <w:bottom w:val="nil"/>
              <w:right w:val="nil"/>
            </w:tcBorders>
            <w:shd w:val="clear" w:color="auto" w:fill="auto"/>
            <w:noWrap/>
            <w:vAlign w:val="center"/>
          </w:tcPr>
          <w:p w:rsidR="00BF7F45" w:rsidRPr="00BF7F45" w:rsidP="00BF7F45">
            <w:pPr>
              <w:rPr>
                <w:rFonts w:ascii="Calibri" w:hAnsi="Calibri" w:cs="Calibri"/>
                <w:b/>
                <w:bCs/>
                <w:color w:val="000000"/>
              </w:rPr>
            </w:pPr>
            <w:r w:rsidRPr="00BF7F45">
              <w:rPr>
                <w:rFonts w:ascii="Calibri" w:hAnsi="Calibri" w:cs="Calibri"/>
                <w:b/>
                <w:bCs/>
                <w:color w:val="000000"/>
              </w:rPr>
              <w:t> </w:t>
            </w:r>
          </w:p>
        </w:tc>
        <w:tc>
          <w:tcPr>
            <w:tcW w:w="1850" w:type="dxa"/>
            <w:gridSpan w:val="2"/>
            <w:tcBorders>
              <w:top w:val="nil"/>
              <w:left w:val="nil"/>
              <w:bottom w:val="nil"/>
              <w:right w:val="nil"/>
            </w:tcBorders>
            <w:shd w:val="clear" w:color="auto" w:fill="auto"/>
            <w:vAlign w:val="center"/>
          </w:tcPr>
          <w:p w:rsidR="00BF7F45" w:rsidRPr="00BF7F45" w:rsidP="00BF7F45">
            <w:pPr>
              <w:jc w:val="center"/>
              <w:rPr>
                <w:rFonts w:ascii="Arial" w:hAnsi="Arial"/>
                <w:b/>
                <w:bCs/>
                <w:color w:val="000000"/>
                <w:sz w:val="20"/>
                <w:szCs w:val="20"/>
              </w:rPr>
            </w:pPr>
            <w:r w:rsidRPr="00BF7F45">
              <w:rPr>
                <w:rFonts w:ascii="Arial" w:hAnsi="Arial"/>
                <w:b/>
                <w:bCs/>
                <w:color w:val="000000"/>
                <w:sz w:val="20"/>
                <w:szCs w:val="20"/>
              </w:rPr>
              <w:t> </w:t>
            </w:r>
          </w:p>
        </w:tc>
        <w:tc>
          <w:tcPr>
            <w:tcW w:w="1202" w:type="dxa"/>
            <w:gridSpan w:val="2"/>
            <w:tcBorders>
              <w:top w:val="nil"/>
              <w:left w:val="nil"/>
              <w:bottom w:val="nil"/>
              <w:right w:val="nil"/>
            </w:tcBorders>
            <w:shd w:val="clear" w:color="auto" w:fill="auto"/>
            <w:noWrap/>
            <w:vAlign w:val="center"/>
          </w:tcPr>
          <w:p w:rsidR="00BF7F45" w:rsidRPr="00BF7F45" w:rsidP="00BF7F45">
            <w:pPr>
              <w:jc w:val="center"/>
              <w:rPr>
                <w:rFonts w:ascii="Calibri" w:hAnsi="Calibri" w:cs="Calibri"/>
                <w:b/>
                <w:bCs/>
                <w:color w:val="000000"/>
              </w:rPr>
            </w:pPr>
            <w:r w:rsidRPr="00BF7F45">
              <w:rPr>
                <w:rFonts w:ascii="Calibri" w:hAnsi="Calibri" w:cs="Calibri"/>
                <w:b/>
                <w:bCs/>
                <w:color w:val="000000"/>
              </w:rPr>
              <w:t> </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Business, Innovation and Skills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Royal College of Arts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0.683</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Business Rates </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Permanently double SBRR from 2017-18</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37.668</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Business Rates </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Increasing the Small Business Rate Relief thresholds from 2017-18</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42.163</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Business Rates </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Increasing the standard multiplier threshold from 2017-18</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6.202</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Education</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Making all schools academies by 2022</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2.447</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Education</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National Funding Formula</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2.902</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Education</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Northern Powerhouse</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1.053</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Education</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Mentoring for 25,000 disadvantaged students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0.171</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Education</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Longer school day</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16.217</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Education</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Expanding breakfast clubs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0.569</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Education</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Doubling the primary school sports premium</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9.104</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Environment, Food and Rural Affairs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Flood package: </w:t>
            </w:r>
            <w:r w:rsidRPr="009554F6" w:rsidR="00566809">
              <w:rPr>
                <w:rFonts w:ascii="Calibri" w:hAnsi="Calibri" w:cs="Calibri"/>
                <w:bCs/>
                <w:color w:val="000000"/>
              </w:rPr>
              <w:t>maintenance</w:t>
            </w:r>
            <w:r w:rsidRPr="009554F6">
              <w:rPr>
                <w:rFonts w:ascii="Calibri" w:hAnsi="Calibri" w:cs="Calibri"/>
                <w:bCs/>
                <w:color w:val="000000"/>
              </w:rPr>
              <w:t xml:space="preserve"> funding </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2.276</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Environment, Food and Rural Affairs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Floods: Partnership Support Fund</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1.423</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Environment, Food and Rural Affairs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Floods: </w:t>
            </w:r>
            <w:r w:rsidRPr="009554F6" w:rsidR="00566809">
              <w:rPr>
                <w:rFonts w:ascii="Calibri" w:hAnsi="Calibri" w:cs="Calibri"/>
                <w:bCs/>
                <w:color w:val="000000"/>
              </w:rPr>
              <w:t>Six-year</w:t>
            </w:r>
            <w:r w:rsidRPr="009554F6">
              <w:rPr>
                <w:rFonts w:ascii="Calibri" w:hAnsi="Calibri" w:cs="Calibri"/>
                <w:bCs/>
                <w:color w:val="000000"/>
              </w:rPr>
              <w:t xml:space="preserve"> programme top-up</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1.252</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Transport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M62 smart motorway</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5.462</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 </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 </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w:t>
            </w:r>
          </w:p>
        </w:tc>
        <w:tc>
          <w:tcPr>
            <w:tcW w:w="6640" w:type="dxa"/>
            <w:tcBorders>
              <w:top w:val="nil"/>
              <w:left w:val="nil"/>
              <w:bottom w:val="nil"/>
              <w:right w:val="nil"/>
            </w:tcBorders>
            <w:shd w:val="clear" w:color="auto" w:fill="auto"/>
            <w:noWrap/>
            <w:vAlign w:val="center"/>
          </w:tcPr>
          <w:p w:rsidR="009554F6" w:rsidRPr="00C96B67" w:rsidP="009554F6">
            <w:pPr>
              <w:rPr>
                <w:rFonts w:ascii="Calibri" w:hAnsi="Calibri" w:cs="Calibri"/>
                <w:bCs/>
                <w:i/>
                <w:color w:val="000000"/>
              </w:rPr>
            </w:pPr>
            <w:r w:rsidRPr="00C96B67">
              <w:rPr>
                <w:rFonts w:ascii="Calibri" w:hAnsi="Calibri" w:cs="Calibri"/>
                <w:bCs/>
                <w:i/>
                <w:color w:val="000000"/>
              </w:rPr>
              <w:t>Sub Total Resource</w:t>
            </w:r>
          </w:p>
        </w:tc>
        <w:tc>
          <w:tcPr>
            <w:tcW w:w="1850" w:type="dxa"/>
            <w:gridSpan w:val="2"/>
            <w:tcBorders>
              <w:top w:val="nil"/>
              <w:left w:val="nil"/>
              <w:bottom w:val="nil"/>
              <w:right w:val="nil"/>
            </w:tcBorders>
            <w:shd w:val="clear" w:color="auto" w:fill="auto"/>
            <w:vAlign w:val="center"/>
          </w:tcPr>
          <w:p w:rsidR="009554F6" w:rsidRPr="00C96B67" w:rsidP="009554F6">
            <w:pPr>
              <w:jc w:val="center"/>
              <w:rPr>
                <w:rFonts w:cstheme="minorHAnsi"/>
                <w:bCs/>
                <w:i/>
                <w:color w:val="000000"/>
              </w:rPr>
            </w:pPr>
            <w:r w:rsidRPr="00C96B67">
              <w:rPr>
                <w:rFonts w:cstheme="minorHAnsi"/>
                <w:bCs/>
                <w:i/>
                <w:color w:val="000000"/>
              </w:rPr>
              <w:t> </w:t>
            </w:r>
          </w:p>
        </w:tc>
        <w:tc>
          <w:tcPr>
            <w:tcW w:w="1202" w:type="dxa"/>
            <w:gridSpan w:val="2"/>
            <w:tcBorders>
              <w:top w:val="nil"/>
              <w:left w:val="nil"/>
              <w:bottom w:val="nil"/>
              <w:right w:val="nil"/>
            </w:tcBorders>
            <w:shd w:val="clear" w:color="auto" w:fill="auto"/>
            <w:noWrap/>
            <w:vAlign w:val="center"/>
          </w:tcPr>
          <w:p w:rsidR="009554F6" w:rsidRPr="00C96B67" w:rsidP="009554F6">
            <w:pPr>
              <w:jc w:val="center"/>
              <w:rPr>
                <w:rFonts w:ascii="Calibri" w:hAnsi="Calibri" w:cs="Calibri"/>
                <w:bCs/>
                <w:i/>
                <w:color w:val="000000"/>
              </w:rPr>
            </w:pPr>
            <w:r w:rsidRPr="00C96B67">
              <w:rPr>
                <w:rFonts w:ascii="Calibri" w:hAnsi="Calibri" w:cs="Calibri"/>
                <w:bCs/>
                <w:i/>
                <w:color w:val="000000"/>
              </w:rPr>
              <w:t>120.770</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w:t>
            </w:r>
          </w:p>
        </w:tc>
        <w:tc>
          <w:tcPr>
            <w:tcW w:w="6640" w:type="dxa"/>
            <w:tcBorders>
              <w:top w:val="nil"/>
              <w:left w:val="nil"/>
              <w:bottom w:val="nil"/>
              <w:right w:val="nil"/>
            </w:tcBorders>
            <w:shd w:val="clear" w:color="auto" w:fill="auto"/>
            <w:noWrap/>
            <w:vAlign w:val="center"/>
          </w:tcPr>
          <w:p w:rsidR="009554F6" w:rsidRPr="00C96B67" w:rsidP="009554F6">
            <w:pPr>
              <w:rPr>
                <w:rFonts w:ascii="Calibri" w:hAnsi="Calibri" w:cs="Calibri"/>
                <w:bCs/>
                <w:i/>
                <w:color w:val="000000"/>
              </w:rPr>
            </w:pPr>
            <w:r w:rsidRPr="00C96B67">
              <w:rPr>
                <w:rFonts w:ascii="Calibri" w:hAnsi="Calibri" w:cs="Calibri"/>
                <w:bCs/>
                <w:i/>
                <w:color w:val="000000"/>
              </w:rPr>
              <w:t>Sub Total Capital</w:t>
            </w:r>
          </w:p>
        </w:tc>
        <w:tc>
          <w:tcPr>
            <w:tcW w:w="1850" w:type="dxa"/>
            <w:gridSpan w:val="2"/>
            <w:tcBorders>
              <w:top w:val="nil"/>
              <w:left w:val="nil"/>
              <w:bottom w:val="nil"/>
              <w:right w:val="nil"/>
            </w:tcBorders>
            <w:shd w:val="clear" w:color="auto" w:fill="auto"/>
            <w:vAlign w:val="center"/>
          </w:tcPr>
          <w:p w:rsidR="009554F6" w:rsidRPr="00C96B67" w:rsidP="009554F6">
            <w:pPr>
              <w:jc w:val="center"/>
              <w:rPr>
                <w:rFonts w:cstheme="minorHAnsi"/>
                <w:bCs/>
                <w:i/>
                <w:color w:val="000000"/>
              </w:rPr>
            </w:pPr>
            <w:r w:rsidRPr="00C96B67">
              <w:rPr>
                <w:rFonts w:cstheme="minorHAnsi"/>
                <w:bCs/>
                <w:i/>
                <w:color w:val="000000"/>
              </w:rPr>
              <w:t> </w:t>
            </w:r>
          </w:p>
        </w:tc>
        <w:tc>
          <w:tcPr>
            <w:tcW w:w="1202" w:type="dxa"/>
            <w:gridSpan w:val="2"/>
            <w:tcBorders>
              <w:top w:val="nil"/>
              <w:left w:val="nil"/>
              <w:bottom w:val="nil"/>
              <w:right w:val="nil"/>
            </w:tcBorders>
            <w:shd w:val="clear" w:color="auto" w:fill="auto"/>
            <w:noWrap/>
            <w:vAlign w:val="center"/>
          </w:tcPr>
          <w:p w:rsidR="009554F6" w:rsidRPr="00C96B67" w:rsidP="009554F6">
            <w:pPr>
              <w:jc w:val="center"/>
              <w:rPr>
                <w:rFonts w:ascii="Calibri" w:hAnsi="Calibri" w:cs="Calibri"/>
                <w:bCs/>
                <w:i/>
                <w:color w:val="000000"/>
              </w:rPr>
            </w:pPr>
            <w:r w:rsidRPr="00C96B67">
              <w:rPr>
                <w:rFonts w:ascii="Calibri" w:hAnsi="Calibri" w:cs="Calibri"/>
                <w:bCs/>
                <w:i/>
                <w:color w:val="000000"/>
              </w:rPr>
              <w:t>8.820</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C96B67" w:rsidP="009554F6">
            <w:pPr>
              <w:rPr>
                <w:rFonts w:ascii="Calibri" w:hAnsi="Calibri" w:cs="Calibri"/>
                <w:b/>
                <w:bCs/>
                <w:color w:val="000000"/>
              </w:rPr>
            </w:pPr>
            <w:r w:rsidRPr="00C96B67">
              <w:rPr>
                <w:rFonts w:ascii="Calibri" w:hAnsi="Calibri" w:cs="Calibri"/>
                <w:b/>
                <w:bCs/>
                <w:color w:val="000000"/>
              </w:rPr>
              <w:t>Autumn Statement 2016</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Business, Energy and Industrial Strategy</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Northern Power House: Investment Fund</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Financial Transactions</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0.226</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Business, Energy and Industrial Strategy</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Midlands Engine: Investment Fund</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Financial Transactions</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0.967</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Business, Energy and Industrial Strategy</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Mayfield Review of Management </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0.170</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Business, Energy and Industrial Strategy</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Invest in University Tech Transfers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1.415</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Business, Energy and Industrial Strategy</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QR funding</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4.051</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Business Rates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Rural Rate Relief</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0.283</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Business Rates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Fibre relief</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0.566</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Communities &amp; Local Government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Accelerated build-out</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31.696</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Communities &amp; Local Government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Affordable housing grants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20.489</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Communities &amp; Local Government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“Help-to-Build”, including “Roads for Homes”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45.280</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Culture, Media &amp; Sport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Royal </w:t>
            </w:r>
            <w:r w:rsidRPr="009554F6" w:rsidR="00566809">
              <w:rPr>
                <w:rFonts w:ascii="Calibri" w:hAnsi="Calibri" w:cs="Calibri"/>
                <w:bCs/>
                <w:color w:val="000000"/>
              </w:rPr>
              <w:t>Society</w:t>
            </w:r>
            <w:r w:rsidRPr="009554F6">
              <w:rPr>
                <w:rFonts w:ascii="Calibri" w:hAnsi="Calibri" w:cs="Calibri"/>
                <w:bCs/>
                <w:color w:val="000000"/>
              </w:rPr>
              <w:t xml:space="preserve"> of Arts School Pilots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0.006</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Culture, Media &amp; Sport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Rugby League World Cup 2021</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0.142</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Culture, Media &amp; Sport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Rugby League World Cup 2021</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0.226</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Culture, Media &amp; Sport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World Road Cycling</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0.283</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Culture, Media &amp; Sport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World Road Cycling</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0.057</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Education</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Grammar Schools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2.830</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Transport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Strategic roads – </w:t>
            </w:r>
            <w:r w:rsidRPr="009554F6" w:rsidR="00566809">
              <w:rPr>
                <w:rFonts w:ascii="Calibri" w:hAnsi="Calibri" w:cs="Calibri"/>
                <w:bCs/>
                <w:color w:val="000000"/>
              </w:rPr>
              <w:t>pinch points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2.547</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Transport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Local roads and local transport</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17.829</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 </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 </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9554F6" w:rsidRPr="00C96B67" w:rsidP="009554F6">
            <w:pPr>
              <w:rPr>
                <w:rFonts w:ascii="Calibri" w:hAnsi="Calibri" w:cs="Calibri"/>
                <w:bCs/>
                <w:i/>
                <w:color w:val="000000"/>
              </w:rPr>
            </w:pPr>
            <w:r w:rsidRPr="00C96B67">
              <w:rPr>
                <w:rFonts w:ascii="Calibri" w:hAnsi="Calibri" w:cs="Calibri"/>
                <w:bCs/>
                <w:i/>
                <w:color w:val="000000"/>
              </w:rPr>
              <w:t>Sub Total Resource</w:t>
            </w:r>
          </w:p>
        </w:tc>
        <w:tc>
          <w:tcPr>
            <w:tcW w:w="1850" w:type="dxa"/>
            <w:gridSpan w:val="2"/>
            <w:tcBorders>
              <w:top w:val="nil"/>
              <w:left w:val="nil"/>
              <w:bottom w:val="nil"/>
              <w:right w:val="nil"/>
            </w:tcBorders>
            <w:shd w:val="clear" w:color="auto" w:fill="auto"/>
            <w:vAlign w:val="center"/>
          </w:tcPr>
          <w:p w:rsidR="009554F6" w:rsidRPr="00C96B67" w:rsidP="009554F6">
            <w:pPr>
              <w:jc w:val="center"/>
              <w:rPr>
                <w:rFonts w:cstheme="minorHAnsi"/>
                <w:bCs/>
                <w:i/>
                <w:color w:val="000000"/>
              </w:rPr>
            </w:pPr>
          </w:p>
        </w:tc>
        <w:tc>
          <w:tcPr>
            <w:tcW w:w="1202" w:type="dxa"/>
            <w:gridSpan w:val="2"/>
            <w:tcBorders>
              <w:top w:val="nil"/>
              <w:left w:val="nil"/>
              <w:bottom w:val="nil"/>
              <w:right w:val="nil"/>
            </w:tcBorders>
            <w:shd w:val="clear" w:color="auto" w:fill="auto"/>
            <w:noWrap/>
            <w:vAlign w:val="center"/>
          </w:tcPr>
          <w:p w:rsidR="009554F6" w:rsidRPr="00C96B67" w:rsidP="009554F6">
            <w:pPr>
              <w:jc w:val="center"/>
              <w:rPr>
                <w:rFonts w:ascii="Calibri" w:hAnsi="Calibri" w:cs="Calibri"/>
                <w:bCs/>
                <w:i/>
                <w:color w:val="000000"/>
              </w:rPr>
            </w:pPr>
            <w:r w:rsidRPr="00C96B67">
              <w:rPr>
                <w:rFonts w:ascii="Calibri" w:hAnsi="Calibri" w:cs="Calibri"/>
                <w:bCs/>
                <w:i/>
                <w:color w:val="000000"/>
              </w:rPr>
              <w:t>1.307</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9554F6" w:rsidRPr="00C96B67" w:rsidP="009554F6">
            <w:pPr>
              <w:rPr>
                <w:rFonts w:ascii="Calibri" w:hAnsi="Calibri" w:cs="Calibri"/>
                <w:bCs/>
                <w:i/>
                <w:color w:val="000000"/>
              </w:rPr>
            </w:pPr>
            <w:r w:rsidRPr="00C96B67">
              <w:rPr>
                <w:rFonts w:ascii="Calibri" w:hAnsi="Calibri" w:cs="Calibri"/>
                <w:bCs/>
                <w:i/>
                <w:color w:val="000000"/>
              </w:rPr>
              <w:t>Sub Total Capital</w:t>
            </w:r>
          </w:p>
        </w:tc>
        <w:tc>
          <w:tcPr>
            <w:tcW w:w="1850" w:type="dxa"/>
            <w:gridSpan w:val="2"/>
            <w:tcBorders>
              <w:top w:val="nil"/>
              <w:left w:val="nil"/>
              <w:bottom w:val="nil"/>
              <w:right w:val="nil"/>
            </w:tcBorders>
            <w:shd w:val="clear" w:color="auto" w:fill="auto"/>
            <w:vAlign w:val="center"/>
          </w:tcPr>
          <w:p w:rsidR="009554F6" w:rsidRPr="00C96B67" w:rsidP="009554F6">
            <w:pPr>
              <w:jc w:val="center"/>
              <w:rPr>
                <w:rFonts w:cstheme="minorHAnsi"/>
                <w:bCs/>
                <w:i/>
                <w:color w:val="000000"/>
              </w:rPr>
            </w:pPr>
          </w:p>
        </w:tc>
        <w:tc>
          <w:tcPr>
            <w:tcW w:w="1202" w:type="dxa"/>
            <w:gridSpan w:val="2"/>
            <w:tcBorders>
              <w:top w:val="nil"/>
              <w:left w:val="nil"/>
              <w:bottom w:val="nil"/>
              <w:right w:val="nil"/>
            </w:tcBorders>
            <w:shd w:val="clear" w:color="auto" w:fill="auto"/>
            <w:noWrap/>
            <w:vAlign w:val="center"/>
          </w:tcPr>
          <w:p w:rsidR="009554F6" w:rsidRPr="00C96B67" w:rsidP="009554F6">
            <w:pPr>
              <w:jc w:val="center"/>
              <w:rPr>
                <w:rFonts w:ascii="Calibri" w:hAnsi="Calibri" w:cs="Calibri"/>
                <w:bCs/>
                <w:i/>
                <w:color w:val="000000"/>
              </w:rPr>
            </w:pPr>
            <w:r w:rsidRPr="00C96B67">
              <w:rPr>
                <w:rFonts w:ascii="Calibri" w:hAnsi="Calibri" w:cs="Calibri"/>
                <w:bCs/>
                <w:i/>
                <w:color w:val="000000"/>
              </w:rPr>
              <w:t>126.561</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9554F6" w:rsidRPr="00C96B67" w:rsidP="009554F6">
            <w:pPr>
              <w:rPr>
                <w:rFonts w:ascii="Calibri" w:hAnsi="Calibri" w:cs="Calibri"/>
                <w:bCs/>
                <w:i/>
                <w:color w:val="000000"/>
              </w:rPr>
            </w:pPr>
            <w:r w:rsidRPr="00C96B67">
              <w:rPr>
                <w:rFonts w:ascii="Calibri" w:hAnsi="Calibri" w:cs="Calibri"/>
                <w:bCs/>
                <w:i/>
                <w:color w:val="000000"/>
              </w:rPr>
              <w:t>Sub Total Financial Transactions</w:t>
            </w:r>
          </w:p>
        </w:tc>
        <w:tc>
          <w:tcPr>
            <w:tcW w:w="1850" w:type="dxa"/>
            <w:gridSpan w:val="2"/>
            <w:tcBorders>
              <w:top w:val="nil"/>
              <w:left w:val="nil"/>
              <w:bottom w:val="nil"/>
              <w:right w:val="nil"/>
            </w:tcBorders>
            <w:shd w:val="clear" w:color="auto" w:fill="auto"/>
            <w:vAlign w:val="center"/>
          </w:tcPr>
          <w:p w:rsidR="009554F6" w:rsidRPr="00C96B67" w:rsidP="009554F6">
            <w:pPr>
              <w:jc w:val="center"/>
              <w:rPr>
                <w:rFonts w:cstheme="minorHAnsi"/>
                <w:bCs/>
                <w:i/>
                <w:color w:val="000000"/>
              </w:rPr>
            </w:pPr>
          </w:p>
        </w:tc>
        <w:tc>
          <w:tcPr>
            <w:tcW w:w="1202" w:type="dxa"/>
            <w:gridSpan w:val="2"/>
            <w:tcBorders>
              <w:top w:val="nil"/>
              <w:left w:val="nil"/>
              <w:bottom w:val="nil"/>
              <w:right w:val="nil"/>
            </w:tcBorders>
            <w:shd w:val="clear" w:color="auto" w:fill="auto"/>
            <w:noWrap/>
            <w:vAlign w:val="center"/>
          </w:tcPr>
          <w:p w:rsidR="009554F6" w:rsidRPr="00C96B67" w:rsidP="009554F6">
            <w:pPr>
              <w:jc w:val="center"/>
              <w:rPr>
                <w:rFonts w:ascii="Calibri" w:hAnsi="Calibri" w:cs="Calibri"/>
                <w:bCs/>
                <w:i/>
                <w:color w:val="000000"/>
              </w:rPr>
            </w:pPr>
            <w:r w:rsidRPr="00C96B67">
              <w:rPr>
                <w:rFonts w:ascii="Calibri" w:hAnsi="Calibri" w:cs="Calibri"/>
                <w:bCs/>
                <w:i/>
                <w:color w:val="000000"/>
              </w:rPr>
              <w:t>1.193</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C96B67" w:rsidP="009554F6">
            <w:pPr>
              <w:rPr>
                <w:rFonts w:ascii="Calibri" w:hAnsi="Calibri" w:cs="Calibri"/>
                <w:bCs/>
                <w:color w:val="000000"/>
                <w:u w:val="single"/>
              </w:rPr>
            </w:pPr>
            <w:r w:rsidRPr="00C96B67">
              <w:rPr>
                <w:rFonts w:ascii="Calibri" w:hAnsi="Calibri" w:cs="Calibri"/>
                <w:bCs/>
                <w:color w:val="000000"/>
                <w:u w:val="single"/>
              </w:rPr>
              <w:t>Spring Budget 2017</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Business Rates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Business Rates - Mitigating Impact of SBRR</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1.189</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Business Rates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Business Rates - Discretionary Relief Fund</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1.981</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Education</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16-19 Education: Sainsbury Review</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5.445</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Education</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110 Free Schools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1.019</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Education</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110 Free Schools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1.472</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Education</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Schools Maintenance</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6.113</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Education</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School Buses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0.187</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Health</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Social Care</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19.063</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Health</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Social Transformation Programme Funding</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6.195</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Health</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Employee Mental Health</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0.198</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9554F6" w:rsidRPr="00C96B67" w:rsidP="009554F6">
            <w:pPr>
              <w:rPr>
                <w:rFonts w:ascii="Calibri" w:hAnsi="Calibri" w:cs="Calibri"/>
                <w:bCs/>
                <w:i/>
                <w:color w:val="000000"/>
              </w:rPr>
            </w:pPr>
            <w:r w:rsidRPr="00C96B67">
              <w:rPr>
                <w:rFonts w:ascii="Calibri" w:hAnsi="Calibri" w:cs="Calibri"/>
                <w:bCs/>
                <w:i/>
                <w:color w:val="000000"/>
              </w:rPr>
              <w:t>Sub Total Resource</w:t>
            </w:r>
          </w:p>
        </w:tc>
        <w:tc>
          <w:tcPr>
            <w:tcW w:w="1850" w:type="dxa"/>
            <w:gridSpan w:val="2"/>
            <w:tcBorders>
              <w:top w:val="nil"/>
              <w:left w:val="nil"/>
              <w:bottom w:val="nil"/>
              <w:right w:val="nil"/>
            </w:tcBorders>
            <w:shd w:val="clear" w:color="auto" w:fill="auto"/>
            <w:vAlign w:val="center"/>
          </w:tcPr>
          <w:p w:rsidR="009554F6" w:rsidRPr="00C96B67" w:rsidP="009554F6">
            <w:pPr>
              <w:jc w:val="center"/>
              <w:rPr>
                <w:rFonts w:cstheme="minorHAnsi"/>
                <w:bCs/>
                <w:i/>
                <w:color w:val="000000"/>
              </w:rPr>
            </w:pPr>
          </w:p>
        </w:tc>
        <w:tc>
          <w:tcPr>
            <w:tcW w:w="1202" w:type="dxa"/>
            <w:gridSpan w:val="2"/>
            <w:tcBorders>
              <w:top w:val="nil"/>
              <w:left w:val="nil"/>
              <w:bottom w:val="nil"/>
              <w:right w:val="nil"/>
            </w:tcBorders>
            <w:shd w:val="clear" w:color="auto" w:fill="auto"/>
            <w:noWrap/>
            <w:vAlign w:val="center"/>
          </w:tcPr>
          <w:p w:rsidR="009554F6" w:rsidRPr="00C96B67" w:rsidP="009554F6">
            <w:pPr>
              <w:jc w:val="center"/>
              <w:rPr>
                <w:rFonts w:ascii="Calibri" w:hAnsi="Calibri" w:cs="Calibri"/>
                <w:bCs/>
                <w:i/>
                <w:color w:val="000000"/>
              </w:rPr>
            </w:pPr>
            <w:r w:rsidRPr="00C96B67">
              <w:rPr>
                <w:rFonts w:ascii="Calibri" w:hAnsi="Calibri" w:cs="Calibri"/>
                <w:bCs/>
                <w:i/>
                <w:color w:val="000000"/>
              </w:rPr>
              <w:t>29.081</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9554F6" w:rsidRPr="00C96B67" w:rsidP="009554F6">
            <w:pPr>
              <w:rPr>
                <w:rFonts w:ascii="Calibri" w:hAnsi="Calibri" w:cs="Calibri"/>
                <w:bCs/>
                <w:i/>
                <w:color w:val="000000"/>
              </w:rPr>
            </w:pPr>
            <w:r w:rsidRPr="00C96B67">
              <w:rPr>
                <w:rFonts w:ascii="Calibri" w:hAnsi="Calibri" w:cs="Calibri"/>
                <w:bCs/>
                <w:i/>
                <w:color w:val="000000"/>
              </w:rPr>
              <w:t>Sub Total Capital</w:t>
            </w:r>
          </w:p>
        </w:tc>
        <w:tc>
          <w:tcPr>
            <w:tcW w:w="1850" w:type="dxa"/>
            <w:gridSpan w:val="2"/>
            <w:tcBorders>
              <w:top w:val="nil"/>
              <w:left w:val="nil"/>
              <w:bottom w:val="nil"/>
              <w:right w:val="nil"/>
            </w:tcBorders>
            <w:shd w:val="clear" w:color="auto" w:fill="auto"/>
            <w:vAlign w:val="center"/>
          </w:tcPr>
          <w:p w:rsidR="009554F6" w:rsidRPr="00C96B67" w:rsidP="009554F6">
            <w:pPr>
              <w:jc w:val="center"/>
              <w:rPr>
                <w:rFonts w:cstheme="minorHAnsi"/>
                <w:bCs/>
                <w:i/>
                <w:color w:val="000000"/>
              </w:rPr>
            </w:pPr>
          </w:p>
        </w:tc>
        <w:tc>
          <w:tcPr>
            <w:tcW w:w="1202" w:type="dxa"/>
            <w:gridSpan w:val="2"/>
            <w:tcBorders>
              <w:top w:val="nil"/>
              <w:left w:val="nil"/>
              <w:bottom w:val="nil"/>
              <w:right w:val="nil"/>
            </w:tcBorders>
            <w:shd w:val="clear" w:color="auto" w:fill="auto"/>
            <w:noWrap/>
            <w:vAlign w:val="center"/>
          </w:tcPr>
          <w:p w:rsidR="009554F6" w:rsidRPr="00C96B67" w:rsidP="009554F6">
            <w:pPr>
              <w:jc w:val="center"/>
              <w:rPr>
                <w:rFonts w:ascii="Calibri" w:hAnsi="Calibri" w:cs="Calibri"/>
                <w:bCs/>
                <w:i/>
                <w:color w:val="000000"/>
              </w:rPr>
            </w:pPr>
            <w:r w:rsidRPr="00C96B67">
              <w:rPr>
                <w:rFonts w:ascii="Calibri" w:hAnsi="Calibri" w:cs="Calibri"/>
                <w:bCs/>
                <w:i/>
                <w:color w:val="000000"/>
              </w:rPr>
              <w:t>13.780</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C96B67" w:rsidP="009554F6">
            <w:pPr>
              <w:rPr>
                <w:rFonts w:ascii="Calibri" w:hAnsi="Calibri" w:cs="Calibri"/>
                <w:bCs/>
                <w:color w:val="000000"/>
                <w:u w:val="single"/>
              </w:rPr>
            </w:pPr>
            <w:r w:rsidRPr="00C96B67">
              <w:rPr>
                <w:rFonts w:ascii="Calibri" w:hAnsi="Calibri" w:cs="Calibri"/>
                <w:bCs/>
                <w:color w:val="000000"/>
                <w:u w:val="single"/>
              </w:rPr>
              <w:t>Autumn Budget 2017</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Business Rates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Move from RPI to CPI in 2018-19</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29.400</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Business, Energy and Industrial Strategy</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Growth Hubs and Diffusion Pilot</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0.946</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Communities &amp; Local Government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Help to Buy Equity Loan</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Financial Transactions</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157.809</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Communities &amp; Local Government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Home Building Fund for SMEs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Financial Transactions</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29.389</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Communities &amp; Local Government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Estate Regen</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Financial Transactions</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3.941</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Communities &amp; Local Government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National Housing Fund (Strategic Infrastructure </w:t>
            </w:r>
            <w:r w:rsidRPr="009554F6" w:rsidR="00566809">
              <w:rPr>
                <w:rFonts w:ascii="Calibri" w:hAnsi="Calibri" w:cs="Calibri"/>
                <w:bCs/>
                <w:color w:val="000000"/>
              </w:rPr>
              <w:t>Inc.</w:t>
            </w:r>
            <w:r w:rsidRPr="009554F6">
              <w:rPr>
                <w:rFonts w:ascii="Calibri" w:hAnsi="Calibri" w:cs="Calibri"/>
                <w:bCs/>
                <w:color w:val="000000"/>
              </w:rPr>
              <w:t xml:space="preserve"> Remediation)</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10.134</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Communities &amp; Local Government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National Housing Fund (Small/Stuck Sites infra and remediation)</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16.890</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Communities &amp; Local Government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National Housing Fund (HCA Land Assembly)</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10.416</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Communities &amp; Local Government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Voluntary Right to Buy Pilot</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3.941</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Communities &amp; Local Government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Private Rented Access Scheme </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0.563</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Communities &amp; Local Government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Office for Data Analytics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0.020</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Culture, Media &amp; Sport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DCMS: Jodrell Bank Observatory </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0.113</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Culture, Media &amp; Sport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Efficiency Savings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-3.997</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Education</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Industrial Strategy - Skills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4.189</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Education</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Teacher Development Premium</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0.788</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Education</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Efficiency Savings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-2.421</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Environment, Food and Rural Affairs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Compliance Funding</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0.732</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Environment, Food and Rural Affairs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Clean Air Fund</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3.097</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Environment, Food and Rural Affairs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Waste Crime Enforcement</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0.282</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Health</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Health Resource</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50.726</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Health</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Health Capital</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39.860</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Transport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Clean Air Fund</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3.097</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Transport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Compliance Funding</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3.378</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Transport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Nexus Rolling Stock Replacement (from NPIF)</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1.216</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Transport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Midlands Connect: Motorway Hub</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0.056</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Transport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Regional Transport Infrastructure Fund (from NPIF)</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10.134</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Work &amp; Pensions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Relationship Support</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0.372</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9554F6" w:rsidRPr="00C96B67" w:rsidP="009554F6">
            <w:pPr>
              <w:rPr>
                <w:rFonts w:ascii="Calibri" w:hAnsi="Calibri" w:cs="Calibri"/>
                <w:bCs/>
                <w:i/>
                <w:color w:val="000000"/>
              </w:rPr>
            </w:pPr>
            <w:r w:rsidRPr="00C96B67">
              <w:rPr>
                <w:rFonts w:ascii="Calibri" w:hAnsi="Calibri" w:cs="Calibri"/>
                <w:bCs/>
                <w:i/>
                <w:color w:val="000000"/>
              </w:rPr>
              <w:t>Sub Total Resource</w:t>
            </w:r>
          </w:p>
        </w:tc>
        <w:tc>
          <w:tcPr>
            <w:tcW w:w="1850" w:type="dxa"/>
            <w:gridSpan w:val="2"/>
            <w:tcBorders>
              <w:top w:val="nil"/>
              <w:left w:val="nil"/>
              <w:bottom w:val="nil"/>
              <w:right w:val="nil"/>
            </w:tcBorders>
            <w:shd w:val="clear" w:color="auto" w:fill="auto"/>
            <w:vAlign w:val="center"/>
          </w:tcPr>
          <w:p w:rsidR="009554F6" w:rsidRPr="00C96B67" w:rsidP="009554F6">
            <w:pPr>
              <w:jc w:val="center"/>
              <w:rPr>
                <w:rFonts w:cstheme="minorHAnsi"/>
                <w:bCs/>
                <w:i/>
                <w:color w:val="000000"/>
              </w:rPr>
            </w:pPr>
          </w:p>
        </w:tc>
        <w:tc>
          <w:tcPr>
            <w:tcW w:w="1202" w:type="dxa"/>
            <w:gridSpan w:val="2"/>
            <w:tcBorders>
              <w:top w:val="nil"/>
              <w:left w:val="nil"/>
              <w:bottom w:val="nil"/>
              <w:right w:val="nil"/>
            </w:tcBorders>
            <w:shd w:val="clear" w:color="auto" w:fill="auto"/>
            <w:noWrap/>
            <w:vAlign w:val="center"/>
          </w:tcPr>
          <w:p w:rsidR="009554F6" w:rsidRPr="00C96B67" w:rsidP="009554F6">
            <w:pPr>
              <w:jc w:val="center"/>
              <w:rPr>
                <w:rFonts w:ascii="Calibri" w:hAnsi="Calibri" w:cs="Calibri"/>
                <w:bCs/>
                <w:i/>
                <w:color w:val="000000"/>
              </w:rPr>
            </w:pPr>
            <w:r w:rsidRPr="00C96B67">
              <w:rPr>
                <w:rFonts w:ascii="Calibri" w:hAnsi="Calibri" w:cs="Calibri"/>
                <w:bCs/>
                <w:i/>
                <w:color w:val="000000"/>
              </w:rPr>
              <w:t>88.636</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9554F6" w:rsidRPr="00C96B67" w:rsidP="009554F6">
            <w:pPr>
              <w:rPr>
                <w:rFonts w:ascii="Calibri" w:hAnsi="Calibri" w:cs="Calibri"/>
                <w:bCs/>
                <w:i/>
                <w:color w:val="000000"/>
              </w:rPr>
            </w:pPr>
            <w:r w:rsidRPr="00C96B67">
              <w:rPr>
                <w:rFonts w:ascii="Calibri" w:hAnsi="Calibri" w:cs="Calibri"/>
                <w:bCs/>
                <w:i/>
                <w:color w:val="000000"/>
              </w:rPr>
              <w:t>Sub Total Capital</w:t>
            </w:r>
          </w:p>
        </w:tc>
        <w:tc>
          <w:tcPr>
            <w:tcW w:w="1850" w:type="dxa"/>
            <w:gridSpan w:val="2"/>
            <w:tcBorders>
              <w:top w:val="nil"/>
              <w:left w:val="nil"/>
              <w:bottom w:val="nil"/>
              <w:right w:val="nil"/>
            </w:tcBorders>
            <w:shd w:val="clear" w:color="auto" w:fill="auto"/>
            <w:vAlign w:val="center"/>
          </w:tcPr>
          <w:p w:rsidR="009554F6" w:rsidRPr="00C96B67" w:rsidP="009554F6">
            <w:pPr>
              <w:jc w:val="center"/>
              <w:rPr>
                <w:rFonts w:cstheme="minorHAnsi"/>
                <w:bCs/>
                <w:i/>
                <w:color w:val="000000"/>
              </w:rPr>
            </w:pPr>
          </w:p>
        </w:tc>
        <w:tc>
          <w:tcPr>
            <w:tcW w:w="1202" w:type="dxa"/>
            <w:gridSpan w:val="2"/>
            <w:tcBorders>
              <w:top w:val="nil"/>
              <w:left w:val="nil"/>
              <w:bottom w:val="nil"/>
              <w:right w:val="nil"/>
            </w:tcBorders>
            <w:shd w:val="clear" w:color="auto" w:fill="auto"/>
            <w:noWrap/>
            <w:vAlign w:val="center"/>
          </w:tcPr>
          <w:p w:rsidR="009554F6" w:rsidRPr="00C96B67" w:rsidP="009554F6">
            <w:pPr>
              <w:jc w:val="center"/>
              <w:rPr>
                <w:rFonts w:ascii="Calibri" w:hAnsi="Calibri" w:cs="Calibri"/>
                <w:bCs/>
                <w:i/>
                <w:color w:val="000000"/>
              </w:rPr>
            </w:pPr>
            <w:r w:rsidRPr="00C96B67">
              <w:rPr>
                <w:rFonts w:ascii="Calibri" w:hAnsi="Calibri" w:cs="Calibri"/>
                <w:bCs/>
                <w:i/>
                <w:color w:val="000000"/>
              </w:rPr>
              <w:t>95.293</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9554F6" w:rsidRPr="00C96B67" w:rsidP="009554F6">
            <w:pPr>
              <w:rPr>
                <w:rFonts w:ascii="Calibri" w:hAnsi="Calibri" w:cs="Calibri"/>
                <w:bCs/>
                <w:i/>
                <w:color w:val="000000"/>
              </w:rPr>
            </w:pPr>
            <w:r w:rsidRPr="00C96B67">
              <w:rPr>
                <w:rFonts w:ascii="Calibri" w:hAnsi="Calibri" w:cs="Calibri"/>
                <w:bCs/>
                <w:i/>
                <w:color w:val="000000"/>
              </w:rPr>
              <w:t>Sub Total Financial Transactions</w:t>
            </w:r>
          </w:p>
        </w:tc>
        <w:tc>
          <w:tcPr>
            <w:tcW w:w="1850" w:type="dxa"/>
            <w:gridSpan w:val="2"/>
            <w:tcBorders>
              <w:top w:val="nil"/>
              <w:left w:val="nil"/>
              <w:bottom w:val="nil"/>
              <w:right w:val="nil"/>
            </w:tcBorders>
            <w:shd w:val="clear" w:color="auto" w:fill="auto"/>
            <w:vAlign w:val="center"/>
          </w:tcPr>
          <w:p w:rsidR="009554F6" w:rsidRPr="00C96B67" w:rsidP="009554F6">
            <w:pPr>
              <w:jc w:val="center"/>
              <w:rPr>
                <w:rFonts w:cstheme="minorHAnsi"/>
                <w:bCs/>
                <w:i/>
                <w:color w:val="000000"/>
              </w:rPr>
            </w:pPr>
          </w:p>
        </w:tc>
        <w:tc>
          <w:tcPr>
            <w:tcW w:w="1202" w:type="dxa"/>
            <w:gridSpan w:val="2"/>
            <w:tcBorders>
              <w:top w:val="nil"/>
              <w:left w:val="nil"/>
              <w:bottom w:val="nil"/>
              <w:right w:val="nil"/>
            </w:tcBorders>
            <w:shd w:val="clear" w:color="auto" w:fill="auto"/>
            <w:noWrap/>
            <w:vAlign w:val="center"/>
          </w:tcPr>
          <w:p w:rsidR="009554F6" w:rsidRPr="00C96B67" w:rsidP="009554F6">
            <w:pPr>
              <w:jc w:val="center"/>
              <w:rPr>
                <w:rFonts w:ascii="Calibri" w:hAnsi="Calibri" w:cs="Calibri"/>
                <w:bCs/>
                <w:i/>
                <w:color w:val="000000"/>
              </w:rPr>
            </w:pPr>
            <w:r w:rsidRPr="00C96B67">
              <w:rPr>
                <w:rFonts w:ascii="Calibri" w:hAnsi="Calibri" w:cs="Calibri"/>
                <w:bCs/>
                <w:i/>
                <w:color w:val="000000"/>
              </w:rPr>
              <w:t>191.139</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C96B67" w:rsidP="009554F6">
            <w:pPr>
              <w:rPr>
                <w:rFonts w:ascii="Calibri" w:hAnsi="Calibri" w:cs="Calibri"/>
                <w:bCs/>
                <w:color w:val="000000"/>
                <w:u w:val="single"/>
              </w:rPr>
            </w:pPr>
            <w:r w:rsidRPr="00C96B67">
              <w:rPr>
                <w:rFonts w:ascii="Calibri" w:hAnsi="Calibri" w:cs="Calibri"/>
                <w:bCs/>
                <w:color w:val="000000"/>
                <w:u w:val="single"/>
              </w:rPr>
              <w:t>Budget 2018</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Business Rates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Retail Discount</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25.964</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Business Rates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Revision to AB 17 package</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9.832</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Business, Energy and Industrial Strategy</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Improving management by supporting peer to peer networks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1.180</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Business, Energy and Industrial Strategy</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Knowledge Transfer Partnerships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0.059</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Business, Energy and Industrial Strategy</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Small Business Leadership Programme - Conf Enterprise Package</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0.649</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Culture, Media &amp; Sport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Coventry City of Culture</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0.502</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Culture, Media &amp; Sport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Digital Skills Bootcamps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0.177</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Environment, Food and Rural Affairs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Air Quality - Implementation Fund</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0.266</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Environment, Food and Rural Affairs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Food Waste Fund </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0.885</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Environment, Food and Rural Affairs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Landfill Site Clearance</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0.295</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Environment, Food and Rural Affairs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Urban Tree Planting</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0.041</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Environment, Food and Rural Affairs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Urban Tree Planting</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0.171</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Environment, Food and Rural Affairs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Plastics and Waste Innovation Funding</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0.590</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Education</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Apprenticeships - Reducing co-investment charge for SMEs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1.180</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Education</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Children’s</w:t>
            </w:r>
            <w:r w:rsidRPr="009554F6">
              <w:rPr>
                <w:rFonts w:ascii="Calibri" w:hAnsi="Calibri" w:cs="Calibri"/>
                <w:bCs/>
                <w:color w:val="000000"/>
              </w:rPr>
              <w:t>' Social Care</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2.343</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Education</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Regional pilot of on-the-job training for young people</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0.207</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Education</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National Retraining Scheme </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0.236</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Education</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National Retraining Scheme </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0.354</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Education</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Regional Skills for the Self-Employed</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0.295</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Transport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Air Quality - Implementation Fund</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0.384</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Transport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Birmingham Future Mobility City</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0.118</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Transport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Birmingham Future Mobility City</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0.295</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Health &amp; Social care</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NHS Settlement</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332.875</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Housing, Communities &amp; Local Government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Development Corporations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0.118</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Housing, Communities &amp; Local Government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High Streets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0.030</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Housing, Communities &amp; Local Government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High Streets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0.797</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Housing, Communities &amp; Local Government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Strategic Housing</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0.236</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Housing, Communities &amp; Local Government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Neighbourhood forums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0.165</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Housing, Communities &amp; Local Government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Social Care (2019-20)</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38.357</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Housing, Communities &amp; Local Government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Heritage High Streets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0.207</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Housing, Communities &amp; Local Government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Heritage High Streets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0.089</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9554F6" w:rsidRPr="00C96B67" w:rsidP="009554F6">
            <w:pPr>
              <w:rPr>
                <w:rFonts w:ascii="Calibri" w:hAnsi="Calibri" w:cs="Calibri"/>
                <w:bCs/>
                <w:i/>
                <w:color w:val="000000"/>
              </w:rPr>
            </w:pPr>
            <w:r w:rsidRPr="00C96B67">
              <w:rPr>
                <w:rFonts w:ascii="Calibri" w:hAnsi="Calibri" w:cs="Calibri"/>
                <w:bCs/>
                <w:i/>
                <w:color w:val="000000"/>
              </w:rPr>
              <w:t>Sub Total Resource</w:t>
            </w:r>
          </w:p>
        </w:tc>
        <w:tc>
          <w:tcPr>
            <w:tcW w:w="1850" w:type="dxa"/>
            <w:gridSpan w:val="2"/>
            <w:tcBorders>
              <w:top w:val="nil"/>
              <w:left w:val="nil"/>
              <w:bottom w:val="nil"/>
              <w:right w:val="nil"/>
            </w:tcBorders>
            <w:shd w:val="clear" w:color="auto" w:fill="auto"/>
            <w:vAlign w:val="center"/>
          </w:tcPr>
          <w:p w:rsidR="009554F6" w:rsidRPr="00C96B67" w:rsidP="009554F6">
            <w:pPr>
              <w:jc w:val="center"/>
              <w:rPr>
                <w:rFonts w:cstheme="minorHAnsi"/>
                <w:bCs/>
                <w:i/>
                <w:color w:val="000000"/>
              </w:rPr>
            </w:pPr>
          </w:p>
        </w:tc>
        <w:tc>
          <w:tcPr>
            <w:tcW w:w="1202" w:type="dxa"/>
            <w:gridSpan w:val="2"/>
            <w:tcBorders>
              <w:top w:val="nil"/>
              <w:left w:val="nil"/>
              <w:bottom w:val="nil"/>
              <w:right w:val="nil"/>
            </w:tcBorders>
            <w:shd w:val="clear" w:color="auto" w:fill="auto"/>
            <w:noWrap/>
            <w:vAlign w:val="center"/>
          </w:tcPr>
          <w:p w:rsidR="009554F6" w:rsidRPr="00C96B67" w:rsidP="009554F6">
            <w:pPr>
              <w:jc w:val="center"/>
              <w:rPr>
                <w:rFonts w:ascii="Calibri" w:hAnsi="Calibri" w:cs="Calibri"/>
                <w:bCs/>
                <w:i/>
                <w:color w:val="000000"/>
              </w:rPr>
            </w:pPr>
            <w:r w:rsidRPr="00C96B67">
              <w:rPr>
                <w:rFonts w:ascii="Calibri" w:hAnsi="Calibri" w:cs="Calibri"/>
                <w:bCs/>
                <w:i/>
                <w:color w:val="000000"/>
              </w:rPr>
              <w:t>416.304</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9554F6" w:rsidRPr="00C96B67" w:rsidP="009554F6">
            <w:pPr>
              <w:rPr>
                <w:rFonts w:ascii="Calibri" w:hAnsi="Calibri" w:cs="Calibri"/>
                <w:bCs/>
                <w:i/>
                <w:color w:val="000000"/>
              </w:rPr>
            </w:pPr>
            <w:r w:rsidRPr="00C96B67">
              <w:rPr>
                <w:rFonts w:ascii="Calibri" w:hAnsi="Calibri" w:cs="Calibri"/>
                <w:bCs/>
                <w:i/>
                <w:color w:val="000000"/>
              </w:rPr>
              <w:t>Sub Total Capital</w:t>
            </w:r>
          </w:p>
        </w:tc>
        <w:tc>
          <w:tcPr>
            <w:tcW w:w="1850" w:type="dxa"/>
            <w:gridSpan w:val="2"/>
            <w:tcBorders>
              <w:top w:val="nil"/>
              <w:left w:val="nil"/>
              <w:bottom w:val="nil"/>
              <w:right w:val="nil"/>
            </w:tcBorders>
            <w:shd w:val="clear" w:color="auto" w:fill="auto"/>
            <w:vAlign w:val="center"/>
          </w:tcPr>
          <w:p w:rsidR="009554F6" w:rsidRPr="00C96B67" w:rsidP="009554F6">
            <w:pPr>
              <w:jc w:val="center"/>
              <w:rPr>
                <w:rFonts w:cstheme="minorHAnsi"/>
                <w:bCs/>
                <w:i/>
                <w:color w:val="000000"/>
              </w:rPr>
            </w:pPr>
          </w:p>
        </w:tc>
        <w:tc>
          <w:tcPr>
            <w:tcW w:w="1202" w:type="dxa"/>
            <w:gridSpan w:val="2"/>
            <w:tcBorders>
              <w:top w:val="nil"/>
              <w:left w:val="nil"/>
              <w:bottom w:val="nil"/>
              <w:right w:val="nil"/>
            </w:tcBorders>
            <w:shd w:val="clear" w:color="auto" w:fill="auto"/>
            <w:noWrap/>
            <w:vAlign w:val="center"/>
          </w:tcPr>
          <w:p w:rsidR="009554F6" w:rsidRPr="00C96B67" w:rsidP="009554F6">
            <w:pPr>
              <w:jc w:val="center"/>
              <w:rPr>
                <w:rFonts w:ascii="Calibri" w:hAnsi="Calibri" w:cs="Calibri"/>
                <w:bCs/>
                <w:i/>
                <w:color w:val="000000"/>
              </w:rPr>
            </w:pPr>
            <w:r w:rsidRPr="00C96B67">
              <w:rPr>
                <w:rFonts w:ascii="Calibri" w:hAnsi="Calibri" w:cs="Calibri"/>
                <w:bCs/>
                <w:i/>
                <w:color w:val="000000"/>
              </w:rPr>
              <w:t>2.591</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C96B67" w:rsidP="009554F6">
            <w:pPr>
              <w:rPr>
                <w:rFonts w:ascii="Calibri" w:hAnsi="Calibri" w:cs="Calibri"/>
                <w:bCs/>
                <w:color w:val="000000"/>
                <w:u w:val="single"/>
              </w:rPr>
            </w:pPr>
            <w:r w:rsidRPr="00C96B67">
              <w:rPr>
                <w:rFonts w:ascii="Calibri" w:hAnsi="Calibri" w:cs="Calibri"/>
                <w:bCs/>
                <w:color w:val="000000"/>
                <w:u w:val="single"/>
              </w:rPr>
              <w:t>Main Estimates 2019-20</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Business Rates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Changes to Forecast</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29.700</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DHSC</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NHS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2.301</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Various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Pensions Pressures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145.215</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9554F6" w:rsidRPr="00C96B67" w:rsidP="009554F6">
            <w:pPr>
              <w:rPr>
                <w:rFonts w:ascii="Calibri" w:hAnsi="Calibri" w:cs="Calibri"/>
                <w:bCs/>
                <w:i/>
                <w:color w:val="000000"/>
              </w:rPr>
            </w:pPr>
            <w:r w:rsidRPr="00C96B67">
              <w:rPr>
                <w:rFonts w:ascii="Calibri" w:hAnsi="Calibri" w:cs="Calibri"/>
                <w:bCs/>
                <w:i/>
                <w:color w:val="000000"/>
              </w:rPr>
              <w:t>Sub Total Resource</w:t>
            </w:r>
          </w:p>
        </w:tc>
        <w:tc>
          <w:tcPr>
            <w:tcW w:w="1850" w:type="dxa"/>
            <w:gridSpan w:val="2"/>
            <w:tcBorders>
              <w:top w:val="nil"/>
              <w:left w:val="nil"/>
              <w:bottom w:val="nil"/>
              <w:right w:val="nil"/>
            </w:tcBorders>
            <w:shd w:val="clear" w:color="auto" w:fill="auto"/>
            <w:vAlign w:val="center"/>
          </w:tcPr>
          <w:p w:rsidR="009554F6" w:rsidRPr="00C96B67" w:rsidP="009554F6">
            <w:pPr>
              <w:jc w:val="center"/>
              <w:rPr>
                <w:rFonts w:cstheme="minorHAnsi"/>
                <w:bCs/>
                <w:i/>
                <w:color w:val="000000"/>
              </w:rPr>
            </w:pPr>
          </w:p>
        </w:tc>
        <w:tc>
          <w:tcPr>
            <w:tcW w:w="1202" w:type="dxa"/>
            <w:gridSpan w:val="2"/>
            <w:tcBorders>
              <w:top w:val="nil"/>
              <w:left w:val="nil"/>
              <w:bottom w:val="nil"/>
              <w:right w:val="nil"/>
            </w:tcBorders>
            <w:shd w:val="clear" w:color="auto" w:fill="auto"/>
            <w:noWrap/>
            <w:vAlign w:val="center"/>
          </w:tcPr>
          <w:p w:rsidR="009554F6" w:rsidRPr="00C96B67" w:rsidP="009554F6">
            <w:pPr>
              <w:jc w:val="center"/>
              <w:rPr>
                <w:rFonts w:ascii="Calibri" w:hAnsi="Calibri" w:cs="Calibri"/>
                <w:bCs/>
                <w:i/>
                <w:color w:val="000000"/>
              </w:rPr>
            </w:pPr>
            <w:r w:rsidRPr="00C96B67">
              <w:rPr>
                <w:rFonts w:ascii="Calibri" w:hAnsi="Calibri" w:cs="Calibri"/>
                <w:bCs/>
                <w:i/>
                <w:color w:val="000000"/>
              </w:rPr>
              <w:t>177.216</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C96B67" w:rsidP="009554F6">
            <w:pPr>
              <w:rPr>
                <w:rFonts w:ascii="Calibri" w:hAnsi="Calibri" w:cs="Calibri"/>
                <w:bCs/>
                <w:color w:val="000000"/>
                <w:u w:val="single"/>
              </w:rPr>
            </w:pPr>
          </w:p>
          <w:p w:rsidR="00C96B67" w:rsidP="009554F6">
            <w:pPr>
              <w:rPr>
                <w:rFonts w:ascii="Calibri" w:hAnsi="Calibri" w:cs="Calibri"/>
                <w:bCs/>
                <w:color w:val="000000"/>
                <w:u w:val="single"/>
              </w:rPr>
            </w:pPr>
          </w:p>
          <w:p w:rsidR="009554F6" w:rsidRPr="00C96B67" w:rsidP="009554F6">
            <w:pPr>
              <w:rPr>
                <w:rFonts w:ascii="Calibri" w:hAnsi="Calibri" w:cs="Calibri"/>
                <w:bCs/>
                <w:color w:val="000000"/>
                <w:u w:val="single"/>
              </w:rPr>
            </w:pPr>
            <w:r w:rsidRPr="00C96B67">
              <w:rPr>
                <w:rFonts w:ascii="Calibri" w:hAnsi="Calibri" w:cs="Calibri"/>
                <w:bCs/>
                <w:color w:val="000000"/>
                <w:u w:val="single"/>
              </w:rPr>
              <w:t>Supplementary Estimates 2019-20</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Business Rates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2018-19 Business Rate </w:t>
            </w:r>
            <w:r w:rsidRPr="009554F6">
              <w:rPr>
                <w:rFonts w:ascii="Calibri" w:hAnsi="Calibri" w:cs="Calibri"/>
                <w:bCs/>
                <w:color w:val="000000"/>
              </w:rPr>
              <w:t>Consequentials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51.101</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MHCLG</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AB17 </w:t>
            </w:r>
            <w:r w:rsidRPr="009554F6">
              <w:rPr>
                <w:rFonts w:ascii="Calibri" w:hAnsi="Calibri" w:cs="Calibri"/>
                <w:bCs/>
                <w:color w:val="000000"/>
              </w:rPr>
              <w:t>Consequentials</w:t>
            </w:r>
            <w:r w:rsidRPr="009554F6">
              <w:rPr>
                <w:rFonts w:ascii="Calibri" w:hAnsi="Calibri" w:cs="Calibri"/>
                <w:bCs/>
                <w:color w:val="000000"/>
              </w:rPr>
              <w:t xml:space="preserve"> (Reserve): Grenfell Tower</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0.524</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DfE</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AB18 </w:t>
            </w:r>
            <w:r w:rsidRPr="009554F6">
              <w:rPr>
                <w:rFonts w:ascii="Calibri" w:hAnsi="Calibri" w:cs="Calibri"/>
                <w:bCs/>
                <w:color w:val="000000"/>
              </w:rPr>
              <w:t>Consequentials</w:t>
            </w:r>
            <w:r w:rsidRPr="009554F6">
              <w:rPr>
                <w:rFonts w:ascii="Calibri" w:hAnsi="Calibri" w:cs="Calibri"/>
                <w:bCs/>
                <w:color w:val="000000"/>
              </w:rPr>
              <w:t xml:space="preserve"> (Reserve): Apprenticeships - Capacity for IFA</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0.295</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DfE</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AB18 </w:t>
            </w:r>
            <w:r w:rsidRPr="009554F6">
              <w:rPr>
                <w:rFonts w:ascii="Calibri" w:hAnsi="Calibri" w:cs="Calibri"/>
                <w:bCs/>
                <w:color w:val="000000"/>
              </w:rPr>
              <w:t>Consequentials</w:t>
            </w:r>
            <w:r w:rsidRPr="009554F6">
              <w:rPr>
                <w:rFonts w:ascii="Calibri" w:hAnsi="Calibri" w:cs="Calibri"/>
                <w:bCs/>
                <w:color w:val="000000"/>
              </w:rPr>
              <w:t xml:space="preserve"> (Reserve): Apprenticeships - Supply Chain Flexibility</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5.311</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DfE</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AB18 </w:t>
            </w:r>
            <w:r w:rsidRPr="009554F6">
              <w:rPr>
                <w:rFonts w:ascii="Calibri" w:hAnsi="Calibri" w:cs="Calibri"/>
                <w:bCs/>
                <w:color w:val="000000"/>
              </w:rPr>
              <w:t>Consequentials</w:t>
            </w:r>
            <w:r w:rsidRPr="009554F6">
              <w:rPr>
                <w:rFonts w:ascii="Calibri" w:hAnsi="Calibri" w:cs="Calibri"/>
                <w:bCs/>
                <w:color w:val="000000"/>
              </w:rPr>
              <w:t xml:space="preserve"> (Reserve): Battlefields programme extension</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0.059</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Cabinet Office</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AB18 </w:t>
            </w:r>
            <w:r w:rsidRPr="009554F6">
              <w:rPr>
                <w:rFonts w:ascii="Calibri" w:hAnsi="Calibri" w:cs="Calibri"/>
                <w:bCs/>
                <w:color w:val="000000"/>
              </w:rPr>
              <w:t>Consequentials</w:t>
            </w:r>
            <w:r w:rsidRPr="009554F6">
              <w:rPr>
                <w:rFonts w:ascii="Calibri" w:hAnsi="Calibri" w:cs="Calibri"/>
                <w:bCs/>
                <w:color w:val="000000"/>
              </w:rPr>
              <w:t xml:space="preserve"> (Reserve): Centre for Public Service Leadership</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0.413</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DEFRA</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AB18 </w:t>
            </w:r>
            <w:r w:rsidRPr="009554F6">
              <w:rPr>
                <w:rFonts w:ascii="Calibri" w:hAnsi="Calibri" w:cs="Calibri"/>
                <w:bCs/>
                <w:color w:val="000000"/>
              </w:rPr>
              <w:t>Consequentials</w:t>
            </w:r>
            <w:r w:rsidRPr="009554F6">
              <w:rPr>
                <w:rFonts w:ascii="Calibri" w:hAnsi="Calibri" w:cs="Calibri"/>
                <w:bCs/>
                <w:color w:val="000000"/>
              </w:rPr>
              <w:t xml:space="preserve"> (Reserve): Flood Risk Management - IPT Money</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0.395</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DfE</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AB18 </w:t>
            </w:r>
            <w:r w:rsidRPr="009554F6">
              <w:rPr>
                <w:rFonts w:ascii="Calibri" w:hAnsi="Calibri" w:cs="Calibri"/>
                <w:bCs/>
                <w:color w:val="000000"/>
              </w:rPr>
              <w:t>Consequentials</w:t>
            </w:r>
            <w:r w:rsidRPr="009554F6">
              <w:rPr>
                <w:rFonts w:ascii="Calibri" w:hAnsi="Calibri" w:cs="Calibri"/>
                <w:bCs/>
                <w:color w:val="000000"/>
              </w:rPr>
              <w:t xml:space="preserve"> (Reserve): Holocaust Education Project</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0.100</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DfE</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AB18 </w:t>
            </w:r>
            <w:r w:rsidRPr="009554F6">
              <w:rPr>
                <w:rFonts w:ascii="Calibri" w:hAnsi="Calibri" w:cs="Calibri"/>
                <w:bCs/>
                <w:color w:val="000000"/>
              </w:rPr>
              <w:t>Consequentials</w:t>
            </w:r>
            <w:r w:rsidRPr="009554F6">
              <w:rPr>
                <w:rFonts w:ascii="Calibri" w:hAnsi="Calibri" w:cs="Calibri"/>
                <w:bCs/>
                <w:color w:val="000000"/>
              </w:rPr>
              <w:t xml:space="preserve"> (Reserve): Maths and Physics Teachers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0.295</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MHCLG</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AB18 </w:t>
            </w:r>
            <w:r w:rsidRPr="009554F6">
              <w:rPr>
                <w:rFonts w:ascii="Calibri" w:hAnsi="Calibri" w:cs="Calibri"/>
                <w:bCs/>
                <w:color w:val="000000"/>
              </w:rPr>
              <w:t>Consequentials</w:t>
            </w:r>
            <w:r w:rsidRPr="009554F6">
              <w:rPr>
                <w:rFonts w:ascii="Calibri" w:hAnsi="Calibri" w:cs="Calibri"/>
                <w:bCs/>
                <w:color w:val="000000"/>
              </w:rPr>
              <w:t xml:space="preserve"> (Reserve): Housing - </w:t>
            </w:r>
            <w:r w:rsidRPr="009554F6">
              <w:rPr>
                <w:rFonts w:ascii="Calibri" w:hAnsi="Calibri" w:cs="Calibri"/>
                <w:bCs/>
                <w:color w:val="000000"/>
              </w:rPr>
              <w:t>Toton</w:t>
            </w:r>
            <w:r w:rsidRPr="009554F6">
              <w:rPr>
                <w:rFonts w:ascii="Calibri" w:hAnsi="Calibri" w:cs="Calibri"/>
                <w:bCs/>
                <w:color w:val="000000"/>
              </w:rPr>
              <w:t xml:space="preserve"> HS2 Station</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0.118</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DCMS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AB18 </w:t>
            </w:r>
            <w:r w:rsidRPr="009554F6">
              <w:rPr>
                <w:rFonts w:ascii="Calibri" w:hAnsi="Calibri" w:cs="Calibri"/>
                <w:bCs/>
                <w:color w:val="000000"/>
              </w:rPr>
              <w:t>Consequentials</w:t>
            </w:r>
            <w:r w:rsidRPr="009554F6">
              <w:rPr>
                <w:rFonts w:ascii="Calibri" w:hAnsi="Calibri" w:cs="Calibri"/>
                <w:bCs/>
                <w:color w:val="000000"/>
              </w:rPr>
              <w:t xml:space="preserve"> (Reserve): Miners Welfare</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0.059</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DEFRA</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AB18 </w:t>
            </w:r>
            <w:r w:rsidRPr="009554F6">
              <w:rPr>
                <w:rFonts w:ascii="Calibri" w:hAnsi="Calibri" w:cs="Calibri"/>
                <w:bCs/>
                <w:color w:val="000000"/>
              </w:rPr>
              <w:t>Consequentials</w:t>
            </w:r>
            <w:r w:rsidRPr="009554F6">
              <w:rPr>
                <w:rFonts w:ascii="Calibri" w:hAnsi="Calibri" w:cs="Calibri"/>
                <w:bCs/>
                <w:color w:val="000000"/>
              </w:rPr>
              <w:t xml:space="preserve"> (Reserve): </w:t>
            </w:r>
            <w:r w:rsidR="0052328E">
              <w:rPr>
                <w:rFonts w:ascii="Calibri" w:hAnsi="Calibri" w:cs="Calibri"/>
                <w:bCs/>
                <w:color w:val="000000"/>
              </w:rPr>
              <w:t>European Maritime and Fisheries Fund (</w:t>
            </w:r>
            <w:r w:rsidRPr="009554F6">
              <w:rPr>
                <w:rFonts w:ascii="Calibri" w:hAnsi="Calibri" w:cs="Calibri"/>
                <w:bCs/>
                <w:color w:val="000000"/>
              </w:rPr>
              <w:t>EMFF</w:t>
            </w:r>
            <w:r w:rsidR="0052328E">
              <w:rPr>
                <w:rFonts w:ascii="Calibri" w:hAnsi="Calibri" w:cs="Calibri"/>
                <w:bCs/>
                <w:color w:val="000000"/>
              </w:rPr>
              <w:t>)</w:t>
            </w:r>
            <w:r w:rsidRPr="009554F6">
              <w:rPr>
                <w:rFonts w:ascii="Calibri" w:hAnsi="Calibri" w:cs="Calibri"/>
                <w:bCs/>
                <w:color w:val="000000"/>
              </w:rPr>
              <w:t xml:space="preserve"> Fishing Safety SWNI Adjustment (Non-Barnett)</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0.080</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DHSC</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Reprofile of Barnett on DHSC 18/19 Reserve claim</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35.406</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DEFRA</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AB17 </w:t>
            </w:r>
            <w:r w:rsidRPr="009554F6">
              <w:rPr>
                <w:rFonts w:ascii="Calibri" w:hAnsi="Calibri" w:cs="Calibri"/>
                <w:bCs/>
                <w:color w:val="000000"/>
              </w:rPr>
              <w:t>Consequentials</w:t>
            </w:r>
            <w:r w:rsidRPr="009554F6">
              <w:rPr>
                <w:rFonts w:ascii="Calibri" w:hAnsi="Calibri" w:cs="Calibri"/>
                <w:bCs/>
                <w:color w:val="000000"/>
              </w:rPr>
              <w:t xml:space="preserve"> (Reserve): Flood Defences </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1.013</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DEFRA</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AB17 </w:t>
            </w:r>
            <w:r w:rsidRPr="009554F6">
              <w:rPr>
                <w:rFonts w:ascii="Calibri" w:hAnsi="Calibri" w:cs="Calibri"/>
                <w:bCs/>
                <w:color w:val="000000"/>
              </w:rPr>
              <w:t>Consequentials</w:t>
            </w:r>
            <w:r w:rsidRPr="009554F6">
              <w:rPr>
                <w:rFonts w:ascii="Calibri" w:hAnsi="Calibri" w:cs="Calibri"/>
                <w:bCs/>
                <w:color w:val="000000"/>
              </w:rPr>
              <w:t xml:space="preserve"> (Reserve): Flood Growth Fund</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1.126</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DEFRA</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AB16 </w:t>
            </w:r>
            <w:r w:rsidRPr="009554F6">
              <w:rPr>
                <w:rFonts w:ascii="Calibri" w:hAnsi="Calibri" w:cs="Calibri"/>
                <w:bCs/>
                <w:color w:val="000000"/>
              </w:rPr>
              <w:t>Consequentials</w:t>
            </w:r>
            <w:r w:rsidRPr="009554F6">
              <w:rPr>
                <w:rFonts w:ascii="Calibri" w:hAnsi="Calibri" w:cs="Calibri"/>
                <w:bCs/>
                <w:color w:val="000000"/>
              </w:rPr>
              <w:t xml:space="preserve"> (Reserve): Flooding</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0.566</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DfT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AB16 </w:t>
            </w:r>
            <w:r w:rsidRPr="009554F6">
              <w:rPr>
                <w:rFonts w:ascii="Calibri" w:hAnsi="Calibri" w:cs="Calibri"/>
                <w:bCs/>
                <w:color w:val="000000"/>
              </w:rPr>
              <w:t>Consequentials</w:t>
            </w:r>
            <w:r w:rsidRPr="009554F6">
              <w:rPr>
                <w:rFonts w:ascii="Calibri" w:hAnsi="Calibri" w:cs="Calibri"/>
                <w:bCs/>
                <w:color w:val="000000"/>
              </w:rPr>
              <w:t xml:space="preserve"> (Reserve): Flooding - Roads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1.455</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DHSC</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Consequentials</w:t>
            </w:r>
            <w:r w:rsidRPr="009554F6">
              <w:rPr>
                <w:rFonts w:ascii="Calibri" w:hAnsi="Calibri" w:cs="Calibri"/>
                <w:bCs/>
                <w:color w:val="000000"/>
              </w:rPr>
              <w:t xml:space="preserve"> from DH&amp;SC claim on reserves (Reprofiling)</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6.668</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BEIS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Barnett </w:t>
            </w:r>
            <w:r w:rsidRPr="009554F6">
              <w:rPr>
                <w:rFonts w:ascii="Calibri" w:hAnsi="Calibri" w:cs="Calibri"/>
                <w:bCs/>
                <w:color w:val="000000"/>
              </w:rPr>
              <w:t>Consequentials</w:t>
            </w:r>
            <w:r w:rsidRPr="009554F6">
              <w:rPr>
                <w:rFonts w:ascii="Calibri" w:hAnsi="Calibri" w:cs="Calibri"/>
                <w:bCs/>
                <w:color w:val="000000"/>
              </w:rPr>
              <w:t xml:space="preserve"> - In-year reductions (BEIS)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-0.127</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BEIS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Barnett </w:t>
            </w:r>
            <w:r w:rsidRPr="009554F6">
              <w:rPr>
                <w:rFonts w:ascii="Calibri" w:hAnsi="Calibri" w:cs="Calibri"/>
                <w:bCs/>
                <w:color w:val="000000"/>
              </w:rPr>
              <w:t>Consequentials</w:t>
            </w:r>
            <w:r w:rsidRPr="009554F6">
              <w:rPr>
                <w:rFonts w:ascii="Calibri" w:hAnsi="Calibri" w:cs="Calibri"/>
                <w:bCs/>
                <w:color w:val="000000"/>
              </w:rPr>
              <w:t xml:space="preserve"> - In-year reductions (BEIS)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-2.099</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Cabinet Office</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Barnett </w:t>
            </w:r>
            <w:r w:rsidRPr="009554F6">
              <w:rPr>
                <w:rFonts w:ascii="Calibri" w:hAnsi="Calibri" w:cs="Calibri"/>
                <w:bCs/>
                <w:color w:val="000000"/>
              </w:rPr>
              <w:t>Consequentials</w:t>
            </w:r>
            <w:r w:rsidRPr="009554F6">
              <w:rPr>
                <w:rFonts w:ascii="Calibri" w:hAnsi="Calibri" w:cs="Calibri"/>
                <w:bCs/>
                <w:color w:val="000000"/>
              </w:rPr>
              <w:t xml:space="preserve"> - In-year reductions (Cabinet Office)</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0.000</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MHCLG</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Barnett </w:t>
            </w:r>
            <w:r w:rsidRPr="009554F6">
              <w:rPr>
                <w:rFonts w:ascii="Calibri" w:hAnsi="Calibri" w:cs="Calibri"/>
                <w:bCs/>
                <w:color w:val="000000"/>
              </w:rPr>
              <w:t>Consequentials</w:t>
            </w:r>
            <w:r w:rsidRPr="009554F6">
              <w:rPr>
                <w:rFonts w:ascii="Calibri" w:hAnsi="Calibri" w:cs="Calibri"/>
                <w:bCs/>
                <w:color w:val="000000"/>
              </w:rPr>
              <w:t xml:space="preserve"> - In-year reductions (MHCLG)</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Financial Transactions</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-106.023</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Local Government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Barnett </w:t>
            </w:r>
            <w:r w:rsidRPr="009554F6">
              <w:rPr>
                <w:rFonts w:ascii="Calibri" w:hAnsi="Calibri" w:cs="Calibri"/>
                <w:bCs/>
                <w:color w:val="000000"/>
              </w:rPr>
              <w:t>Consequentials</w:t>
            </w:r>
            <w:r w:rsidRPr="009554F6">
              <w:rPr>
                <w:rFonts w:ascii="Calibri" w:hAnsi="Calibri" w:cs="Calibri"/>
                <w:bCs/>
                <w:color w:val="000000"/>
              </w:rPr>
              <w:t xml:space="preserve"> - In-year reductions (Local Gov)</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-3.100</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DCMS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Barnett </w:t>
            </w:r>
            <w:r w:rsidRPr="009554F6">
              <w:rPr>
                <w:rFonts w:ascii="Calibri" w:hAnsi="Calibri" w:cs="Calibri"/>
                <w:bCs/>
                <w:color w:val="000000"/>
              </w:rPr>
              <w:t>Consequentials</w:t>
            </w:r>
            <w:r w:rsidRPr="009554F6">
              <w:rPr>
                <w:rFonts w:ascii="Calibri" w:hAnsi="Calibri" w:cs="Calibri"/>
                <w:bCs/>
                <w:color w:val="000000"/>
              </w:rPr>
              <w:t xml:space="preserve"> - In-year reductions (DCMS)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-0.760</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DCMS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Barnett </w:t>
            </w:r>
            <w:r w:rsidRPr="009554F6">
              <w:rPr>
                <w:rFonts w:ascii="Calibri" w:hAnsi="Calibri" w:cs="Calibri"/>
                <w:bCs/>
                <w:color w:val="000000"/>
              </w:rPr>
              <w:t>Consequentials</w:t>
            </w:r>
            <w:r w:rsidRPr="009554F6">
              <w:rPr>
                <w:rFonts w:ascii="Calibri" w:hAnsi="Calibri" w:cs="Calibri"/>
                <w:bCs/>
                <w:color w:val="000000"/>
              </w:rPr>
              <w:t xml:space="preserve"> - In-year reductions (DCMS)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-4.525</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DfE</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Barnett </w:t>
            </w:r>
            <w:r w:rsidRPr="009554F6">
              <w:rPr>
                <w:rFonts w:ascii="Calibri" w:hAnsi="Calibri" w:cs="Calibri"/>
                <w:bCs/>
                <w:color w:val="000000"/>
              </w:rPr>
              <w:t>Consequentials</w:t>
            </w:r>
            <w:r w:rsidRPr="009554F6">
              <w:rPr>
                <w:rFonts w:ascii="Calibri" w:hAnsi="Calibri" w:cs="Calibri"/>
                <w:bCs/>
                <w:color w:val="000000"/>
              </w:rPr>
              <w:t xml:space="preserve"> - In-year reductions (DfE)</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-20.782</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DWP</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Barnett </w:t>
            </w:r>
            <w:r w:rsidRPr="009554F6">
              <w:rPr>
                <w:rFonts w:ascii="Calibri" w:hAnsi="Calibri" w:cs="Calibri"/>
                <w:bCs/>
                <w:color w:val="000000"/>
              </w:rPr>
              <w:t>Consequentials</w:t>
            </w:r>
            <w:r w:rsidRPr="009554F6">
              <w:rPr>
                <w:rFonts w:ascii="Calibri" w:hAnsi="Calibri" w:cs="Calibri"/>
                <w:bCs/>
                <w:color w:val="000000"/>
              </w:rPr>
              <w:t xml:space="preserve"> - In-year reductions (DWP)</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-0.003</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DfT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Barnett </w:t>
            </w:r>
            <w:r w:rsidRPr="009554F6">
              <w:rPr>
                <w:rFonts w:ascii="Calibri" w:hAnsi="Calibri" w:cs="Calibri"/>
                <w:bCs/>
                <w:color w:val="000000"/>
              </w:rPr>
              <w:t>Consequentials</w:t>
            </w:r>
            <w:r w:rsidRPr="009554F6">
              <w:rPr>
                <w:rFonts w:ascii="Calibri" w:hAnsi="Calibri" w:cs="Calibri"/>
                <w:bCs/>
                <w:color w:val="000000"/>
              </w:rPr>
              <w:t xml:space="preserve"> - In-year reductions (</w:t>
            </w:r>
            <w:r w:rsidRPr="009554F6">
              <w:rPr>
                <w:rFonts w:ascii="Calibri" w:hAnsi="Calibri" w:cs="Calibri"/>
                <w:bCs/>
                <w:color w:val="000000"/>
              </w:rPr>
              <w:t>DfT</w:t>
            </w:r>
            <w:r w:rsidRPr="009554F6">
              <w:rPr>
                <w:rFonts w:ascii="Calibri" w:hAnsi="Calibri" w:cs="Calibri"/>
                <w:bCs/>
                <w:color w:val="000000"/>
              </w:rPr>
              <w:t>)</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-2.916</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DfT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Barnett </w:t>
            </w:r>
            <w:r w:rsidRPr="009554F6">
              <w:rPr>
                <w:rFonts w:ascii="Calibri" w:hAnsi="Calibri" w:cs="Calibri"/>
                <w:bCs/>
                <w:color w:val="000000"/>
              </w:rPr>
              <w:t>Consequentials</w:t>
            </w:r>
            <w:r w:rsidRPr="009554F6">
              <w:rPr>
                <w:rFonts w:ascii="Calibri" w:hAnsi="Calibri" w:cs="Calibri"/>
                <w:bCs/>
                <w:color w:val="000000"/>
              </w:rPr>
              <w:t xml:space="preserve"> - In-year reductions (</w:t>
            </w:r>
            <w:r w:rsidRPr="009554F6">
              <w:rPr>
                <w:rFonts w:ascii="Calibri" w:hAnsi="Calibri" w:cs="Calibri"/>
                <w:bCs/>
                <w:color w:val="000000"/>
              </w:rPr>
              <w:t>DfT</w:t>
            </w:r>
            <w:r w:rsidRPr="009554F6">
              <w:rPr>
                <w:rFonts w:ascii="Calibri" w:hAnsi="Calibri" w:cs="Calibri"/>
                <w:bCs/>
                <w:color w:val="000000"/>
              </w:rPr>
              <w:t>)</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-98.689</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MHCLG</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Reserve Claim (MHCLG) - Towns regeneration</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0.383</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MHCLG</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Reserve Claim (MHCLG) - Holocaust Memorial</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0.324</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MHCLG</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Reserve Claim (MHCLG) - Integrated communities - English language</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0.423</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DCMS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Reserve Claim (DCMS) - Listed Places of Worship 1</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0.032</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DCMS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Reserve Claim (DCMS) - Commonwealth Games Delivery Unit 1</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0.238</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DCMS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Reserve Claim (DCMS) - Festival of Britain Policy Team</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0.052</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DCMS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Reserve Claim (DCMS) - Listed Places of Worship 2</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1.131</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DCMS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Reserve Claim (DCMS) - Commonwealth Games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1.311</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DCMS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Reserve Claim (DCMS) - Commonwealth Games Delivery Unit 2</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0.141</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DCMS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Reserve Claim (DCMS) - Festival of Britain funding for CWG OC</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0.024</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DfE</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Reserve Claim (DfE) - Period poverty</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0.140</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DfE</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Reserve Claim (DfE) - Restructuring facility</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0.471</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DfE</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Reserve Claim (DfE) - Academies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2.708</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DfE</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Reserve Claim (DfE) - Academies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0.000</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DEFRA</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Reserve Claim (DEFRA) - Air Quality Plan</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0.765</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DEFRA</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Reserve Claim (DEFRA) - Flood recovery for farmers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0.029</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DEFRA</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Reserve Claim (DEFRA) - Flood Risk Management (Admin)</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0.009</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DEFRA</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Reserve Claim (DEFRA) - Flood Resilience Review</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0.003</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DEFRA</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Reserve Claim (DEFRA) - Property resilience funding</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0.029</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DHSC</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Reserve Claim (DHSC) - Immigration Health Surcharge (2018-19)</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2.315</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DHSC</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Reserve Claim (DHSC) - Baseline issues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24.727</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DHSC</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Reserve Claim (DHSC) - Capital for Trusts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70.648</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DfT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Reserve Claim (</w:t>
            </w:r>
            <w:r w:rsidRPr="009554F6">
              <w:rPr>
                <w:rFonts w:ascii="Calibri" w:hAnsi="Calibri" w:cs="Calibri"/>
                <w:bCs/>
                <w:color w:val="000000"/>
              </w:rPr>
              <w:t>DfT</w:t>
            </w:r>
            <w:r w:rsidRPr="009554F6">
              <w:rPr>
                <w:rFonts w:ascii="Calibri" w:hAnsi="Calibri" w:cs="Calibri"/>
                <w:bCs/>
                <w:color w:val="000000"/>
              </w:rPr>
              <w:t>) - Rail risk share</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11.657</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DfT</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Reserve Claim (</w:t>
            </w:r>
            <w:r w:rsidRPr="009554F6">
              <w:rPr>
                <w:rFonts w:ascii="Calibri" w:hAnsi="Calibri" w:cs="Calibri"/>
                <w:bCs/>
                <w:color w:val="000000"/>
              </w:rPr>
              <w:t>DfT</w:t>
            </w:r>
            <w:r w:rsidRPr="009554F6">
              <w:rPr>
                <w:rFonts w:ascii="Calibri" w:hAnsi="Calibri" w:cs="Calibri"/>
                <w:bCs/>
                <w:color w:val="000000"/>
              </w:rPr>
              <w:t>) - Class 365s</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5.299</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Various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EU exit allocation (August 2019)</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23.391</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Various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EU exit allocation (August 2019)</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Capital</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0.707</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Various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Barnett on Operational Contingency Fund</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1.803</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Various</w:t>
            </w:r>
          </w:p>
        </w:tc>
        <w:tc>
          <w:tcPr>
            <w:tcW w:w="6640" w:type="dxa"/>
            <w:tcBorders>
              <w:top w:val="nil"/>
              <w:left w:val="nil"/>
              <w:bottom w:val="nil"/>
              <w:right w:val="nil"/>
            </w:tcBorders>
            <w:shd w:val="clear" w:color="auto" w:fill="auto"/>
            <w:noWrap/>
            <w:vAlign w:val="center"/>
          </w:tcPr>
          <w:p w:rsidR="009554F6" w:rsidRPr="009554F6" w:rsidP="009554F6">
            <w:pPr>
              <w:rPr>
                <w:rFonts w:ascii="Calibri" w:hAnsi="Calibri" w:cs="Calibri"/>
                <w:bCs/>
                <w:color w:val="000000"/>
              </w:rPr>
            </w:pPr>
            <w:r w:rsidRPr="009554F6">
              <w:rPr>
                <w:rFonts w:ascii="Calibri" w:hAnsi="Calibri" w:cs="Calibri"/>
                <w:bCs/>
                <w:color w:val="000000"/>
              </w:rPr>
              <w:t xml:space="preserve">Barnett on EU Exit Business Readiness </w:t>
            </w:r>
          </w:p>
        </w:tc>
        <w:tc>
          <w:tcPr>
            <w:tcW w:w="1850" w:type="dxa"/>
            <w:gridSpan w:val="2"/>
            <w:tcBorders>
              <w:top w:val="nil"/>
              <w:left w:val="nil"/>
              <w:bottom w:val="nil"/>
              <w:right w:val="nil"/>
            </w:tcBorders>
            <w:shd w:val="clear" w:color="auto" w:fill="auto"/>
            <w:vAlign w:val="center"/>
          </w:tcPr>
          <w:p w:rsidR="009554F6" w:rsidRPr="009554F6" w:rsidP="009554F6">
            <w:pPr>
              <w:jc w:val="center"/>
              <w:rPr>
                <w:rFonts w:cstheme="minorHAnsi"/>
                <w:bCs/>
                <w:color w:val="000000"/>
              </w:rPr>
            </w:pPr>
            <w:r w:rsidRPr="009554F6">
              <w:rPr>
                <w:rFonts w:cstheme="minorHAnsi"/>
                <w:bCs/>
                <w:color w:val="000000"/>
              </w:rPr>
              <w:t>Resource</w:t>
            </w:r>
          </w:p>
        </w:tc>
        <w:tc>
          <w:tcPr>
            <w:tcW w:w="1202" w:type="dxa"/>
            <w:gridSpan w:val="2"/>
            <w:tcBorders>
              <w:top w:val="nil"/>
              <w:left w:val="nil"/>
              <w:bottom w:val="nil"/>
              <w:right w:val="nil"/>
            </w:tcBorders>
            <w:shd w:val="clear" w:color="auto" w:fill="auto"/>
            <w:noWrap/>
            <w:vAlign w:val="center"/>
          </w:tcPr>
          <w:p w:rsidR="009554F6" w:rsidRPr="009554F6" w:rsidP="009554F6">
            <w:pPr>
              <w:jc w:val="center"/>
              <w:rPr>
                <w:rFonts w:ascii="Calibri" w:hAnsi="Calibri" w:cs="Calibri"/>
                <w:bCs/>
                <w:color w:val="000000"/>
              </w:rPr>
            </w:pPr>
            <w:r w:rsidRPr="009554F6">
              <w:rPr>
                <w:rFonts w:ascii="Calibri" w:hAnsi="Calibri" w:cs="Calibri"/>
                <w:bCs/>
                <w:color w:val="000000"/>
              </w:rPr>
              <w:t>2.532</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C96B67" w:rsidRPr="00C96B67" w:rsidP="00C96B67">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C96B67" w:rsidRPr="00C96B67" w:rsidP="00C96B67">
            <w:pPr>
              <w:rPr>
                <w:rFonts w:ascii="Calibri" w:hAnsi="Calibri" w:cs="Calibri"/>
                <w:bCs/>
                <w:color w:val="000000"/>
              </w:rPr>
            </w:pPr>
            <w:r w:rsidRPr="00C96B67">
              <w:rPr>
                <w:rFonts w:ascii="Calibri" w:hAnsi="Calibri" w:cs="Calibri"/>
                <w:bCs/>
                <w:color w:val="000000"/>
              </w:rPr>
              <w:t>Sub Total Resource</w:t>
            </w:r>
          </w:p>
        </w:tc>
        <w:tc>
          <w:tcPr>
            <w:tcW w:w="1850" w:type="dxa"/>
            <w:gridSpan w:val="2"/>
            <w:tcBorders>
              <w:top w:val="nil"/>
              <w:left w:val="nil"/>
              <w:bottom w:val="nil"/>
              <w:right w:val="nil"/>
            </w:tcBorders>
            <w:shd w:val="clear" w:color="auto" w:fill="auto"/>
            <w:vAlign w:val="center"/>
          </w:tcPr>
          <w:p w:rsidR="00C96B67" w:rsidRPr="00C96B67" w:rsidP="00C96B67">
            <w:pPr>
              <w:jc w:val="center"/>
              <w:rPr>
                <w:rFonts w:cstheme="minorHAnsi"/>
                <w:bCs/>
                <w:color w:val="000000"/>
              </w:rPr>
            </w:pPr>
          </w:p>
        </w:tc>
        <w:tc>
          <w:tcPr>
            <w:tcW w:w="1202" w:type="dxa"/>
            <w:gridSpan w:val="2"/>
            <w:tcBorders>
              <w:top w:val="nil"/>
              <w:left w:val="nil"/>
              <w:bottom w:val="nil"/>
              <w:right w:val="nil"/>
            </w:tcBorders>
            <w:shd w:val="clear" w:color="auto" w:fill="auto"/>
            <w:noWrap/>
            <w:vAlign w:val="center"/>
          </w:tcPr>
          <w:p w:rsidR="00C96B67" w:rsidRPr="00C96B67" w:rsidP="00C96B67">
            <w:pPr>
              <w:jc w:val="center"/>
              <w:rPr>
                <w:rFonts w:ascii="Calibri" w:hAnsi="Calibri" w:cs="Calibri"/>
                <w:bCs/>
                <w:color w:val="000000"/>
              </w:rPr>
            </w:pPr>
            <w:r w:rsidRPr="00C96B67">
              <w:rPr>
                <w:rFonts w:ascii="Calibri" w:hAnsi="Calibri" w:cs="Calibri"/>
                <w:bCs/>
                <w:color w:val="000000"/>
              </w:rPr>
              <w:t>141.079</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C96B67" w:rsidRPr="00C96B67" w:rsidP="00C96B67">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C96B67" w:rsidRPr="00C96B67" w:rsidP="00C96B67">
            <w:pPr>
              <w:rPr>
                <w:rFonts w:ascii="Calibri" w:hAnsi="Calibri" w:cs="Calibri"/>
                <w:bCs/>
                <w:color w:val="000000"/>
              </w:rPr>
            </w:pPr>
            <w:r w:rsidRPr="00C96B67">
              <w:rPr>
                <w:rFonts w:ascii="Calibri" w:hAnsi="Calibri" w:cs="Calibri"/>
                <w:bCs/>
                <w:color w:val="000000"/>
              </w:rPr>
              <w:t>Sub Total Capital</w:t>
            </w:r>
          </w:p>
        </w:tc>
        <w:tc>
          <w:tcPr>
            <w:tcW w:w="1850" w:type="dxa"/>
            <w:gridSpan w:val="2"/>
            <w:tcBorders>
              <w:top w:val="nil"/>
              <w:left w:val="nil"/>
              <w:bottom w:val="nil"/>
              <w:right w:val="nil"/>
            </w:tcBorders>
            <w:shd w:val="clear" w:color="auto" w:fill="auto"/>
            <w:vAlign w:val="center"/>
          </w:tcPr>
          <w:p w:rsidR="00C96B67" w:rsidRPr="00C96B67" w:rsidP="00C96B67">
            <w:pPr>
              <w:jc w:val="center"/>
              <w:rPr>
                <w:rFonts w:cstheme="minorHAnsi"/>
                <w:bCs/>
                <w:color w:val="000000"/>
              </w:rPr>
            </w:pPr>
          </w:p>
        </w:tc>
        <w:tc>
          <w:tcPr>
            <w:tcW w:w="1202" w:type="dxa"/>
            <w:gridSpan w:val="2"/>
            <w:tcBorders>
              <w:top w:val="nil"/>
              <w:left w:val="nil"/>
              <w:bottom w:val="nil"/>
              <w:right w:val="nil"/>
            </w:tcBorders>
            <w:shd w:val="clear" w:color="auto" w:fill="auto"/>
            <w:noWrap/>
            <w:vAlign w:val="center"/>
          </w:tcPr>
          <w:p w:rsidR="00C96B67" w:rsidRPr="00C96B67" w:rsidP="00C96B67">
            <w:pPr>
              <w:jc w:val="center"/>
              <w:rPr>
                <w:rFonts w:ascii="Calibri" w:hAnsi="Calibri" w:cs="Calibri"/>
                <w:bCs/>
                <w:color w:val="000000"/>
              </w:rPr>
            </w:pPr>
            <w:r w:rsidRPr="00C96B67">
              <w:rPr>
                <w:rFonts w:ascii="Calibri" w:hAnsi="Calibri" w:cs="Calibri"/>
                <w:bCs/>
                <w:color w:val="000000"/>
              </w:rPr>
              <w:t>-17.802</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C96B67" w:rsidRPr="00C96B67" w:rsidP="00C96B67">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C96B67" w:rsidRPr="00C96B67" w:rsidP="00C96B67">
            <w:pPr>
              <w:rPr>
                <w:rFonts w:ascii="Calibri" w:hAnsi="Calibri" w:cs="Calibri"/>
                <w:bCs/>
                <w:color w:val="000000"/>
              </w:rPr>
            </w:pPr>
            <w:r w:rsidRPr="00C96B67">
              <w:rPr>
                <w:rFonts w:ascii="Calibri" w:hAnsi="Calibri" w:cs="Calibri"/>
                <w:bCs/>
                <w:color w:val="000000"/>
              </w:rPr>
              <w:t>Sub Total Financial Transactions</w:t>
            </w:r>
          </w:p>
        </w:tc>
        <w:tc>
          <w:tcPr>
            <w:tcW w:w="1850" w:type="dxa"/>
            <w:gridSpan w:val="2"/>
            <w:tcBorders>
              <w:top w:val="nil"/>
              <w:left w:val="nil"/>
              <w:bottom w:val="nil"/>
              <w:right w:val="nil"/>
            </w:tcBorders>
            <w:shd w:val="clear" w:color="auto" w:fill="auto"/>
            <w:vAlign w:val="center"/>
          </w:tcPr>
          <w:p w:rsidR="00C96B67" w:rsidRPr="00C96B67" w:rsidP="00C96B67">
            <w:pPr>
              <w:jc w:val="center"/>
              <w:rPr>
                <w:rFonts w:cstheme="minorHAnsi"/>
                <w:bCs/>
                <w:color w:val="000000"/>
              </w:rPr>
            </w:pPr>
          </w:p>
        </w:tc>
        <w:tc>
          <w:tcPr>
            <w:tcW w:w="1202" w:type="dxa"/>
            <w:gridSpan w:val="2"/>
            <w:tcBorders>
              <w:top w:val="nil"/>
              <w:left w:val="nil"/>
              <w:bottom w:val="nil"/>
              <w:right w:val="nil"/>
            </w:tcBorders>
            <w:shd w:val="clear" w:color="auto" w:fill="auto"/>
            <w:noWrap/>
            <w:vAlign w:val="center"/>
          </w:tcPr>
          <w:p w:rsidR="00C96B67" w:rsidRPr="00C96B67" w:rsidP="00C96B67">
            <w:pPr>
              <w:jc w:val="center"/>
              <w:rPr>
                <w:rFonts w:ascii="Calibri" w:hAnsi="Calibri" w:cs="Calibri"/>
                <w:bCs/>
                <w:color w:val="000000"/>
              </w:rPr>
            </w:pPr>
            <w:r w:rsidRPr="00C96B67">
              <w:rPr>
                <w:rFonts w:ascii="Calibri" w:hAnsi="Calibri" w:cs="Calibri"/>
                <w:bCs/>
                <w:color w:val="000000"/>
              </w:rPr>
              <w:t>-106.023</w:t>
            </w:r>
          </w:p>
        </w:tc>
      </w:tr>
      <w:tr w:rsidTr="00C96B67">
        <w:tblPrEx>
          <w:tblW w:w="14773" w:type="dxa"/>
          <w:tblLook w:val="04A0"/>
        </w:tblPrEx>
        <w:trPr>
          <w:gridBefore w:val="1"/>
          <w:gridAfter w:val="1"/>
          <w:wBefore w:w="145" w:type="dxa"/>
          <w:wAfter w:w="216" w:type="dxa"/>
          <w:trHeight w:val="300"/>
        </w:trPr>
        <w:tc>
          <w:tcPr>
            <w:tcW w:w="4720" w:type="dxa"/>
            <w:gridSpan w:val="2"/>
            <w:tcBorders>
              <w:top w:val="nil"/>
              <w:left w:val="nil"/>
              <w:bottom w:val="nil"/>
              <w:right w:val="nil"/>
            </w:tcBorders>
            <w:shd w:val="clear" w:color="auto" w:fill="auto"/>
            <w:noWrap/>
            <w:vAlign w:val="center"/>
          </w:tcPr>
          <w:p w:rsidR="00C96B67" w:rsidRPr="00C96B67" w:rsidP="00C96B67">
            <w:pPr>
              <w:rPr>
                <w:rFonts w:ascii="Calibri" w:hAnsi="Calibri" w:cs="Calibri"/>
                <w:bCs/>
                <w:color w:val="000000"/>
              </w:rPr>
            </w:pPr>
          </w:p>
        </w:tc>
        <w:tc>
          <w:tcPr>
            <w:tcW w:w="6640" w:type="dxa"/>
            <w:tcBorders>
              <w:top w:val="nil"/>
              <w:left w:val="nil"/>
              <w:bottom w:val="nil"/>
              <w:right w:val="nil"/>
            </w:tcBorders>
            <w:shd w:val="clear" w:color="auto" w:fill="auto"/>
            <w:noWrap/>
            <w:vAlign w:val="center"/>
          </w:tcPr>
          <w:p w:rsidR="00C96B67" w:rsidRPr="00C96B67" w:rsidP="00C96B67">
            <w:pPr>
              <w:rPr>
                <w:rFonts w:ascii="Calibri" w:hAnsi="Calibri" w:cs="Calibri"/>
                <w:bCs/>
                <w:color w:val="000000"/>
              </w:rPr>
            </w:pPr>
          </w:p>
        </w:tc>
        <w:tc>
          <w:tcPr>
            <w:tcW w:w="1850" w:type="dxa"/>
            <w:gridSpan w:val="2"/>
            <w:tcBorders>
              <w:top w:val="nil"/>
              <w:left w:val="nil"/>
              <w:bottom w:val="nil"/>
              <w:right w:val="nil"/>
            </w:tcBorders>
            <w:shd w:val="clear" w:color="auto" w:fill="auto"/>
            <w:vAlign w:val="center"/>
          </w:tcPr>
          <w:p w:rsidR="00C96B67" w:rsidRPr="00C96B67" w:rsidP="00C96B67">
            <w:pPr>
              <w:jc w:val="center"/>
              <w:rPr>
                <w:rFonts w:cstheme="minorHAnsi"/>
                <w:bCs/>
                <w:color w:val="000000"/>
              </w:rPr>
            </w:pPr>
          </w:p>
        </w:tc>
        <w:tc>
          <w:tcPr>
            <w:tcW w:w="1202" w:type="dxa"/>
            <w:gridSpan w:val="2"/>
            <w:tcBorders>
              <w:top w:val="nil"/>
              <w:left w:val="nil"/>
              <w:bottom w:val="nil"/>
              <w:right w:val="nil"/>
            </w:tcBorders>
            <w:shd w:val="clear" w:color="auto" w:fill="auto"/>
            <w:noWrap/>
            <w:vAlign w:val="center"/>
          </w:tcPr>
          <w:p w:rsidR="00C96B67" w:rsidRPr="00C96B67" w:rsidP="00C96B67">
            <w:pPr>
              <w:jc w:val="center"/>
              <w:rPr>
                <w:rFonts w:ascii="Calibri" w:hAnsi="Calibri" w:cs="Calibri"/>
                <w:bCs/>
                <w:color w:val="000000"/>
              </w:rPr>
            </w:pPr>
          </w:p>
        </w:tc>
      </w:tr>
      <w:tr w:rsidTr="00C96B67">
        <w:tblPrEx>
          <w:tblW w:w="14773" w:type="dxa"/>
          <w:tblLook w:val="04A0"/>
        </w:tblPrEx>
        <w:trPr>
          <w:trHeight w:val="288"/>
        </w:trPr>
        <w:tc>
          <w:tcPr>
            <w:tcW w:w="11660" w:type="dxa"/>
            <w:gridSpan w:val="5"/>
            <w:tcBorders>
              <w:top w:val="nil"/>
              <w:left w:val="nil"/>
              <w:bottom w:val="nil"/>
              <w:right w:val="nil"/>
            </w:tcBorders>
            <w:shd w:val="clear" w:color="auto" w:fill="auto"/>
            <w:noWrap/>
            <w:vAlign w:val="center"/>
            <w:hideMark/>
          </w:tcPr>
          <w:p w:rsidR="00C96B67" w:rsidRPr="00C96B67" w:rsidP="00C96B67">
            <w:pPr>
              <w:spacing w:after="0" w:line="240" w:lineRule="auto"/>
              <w:rPr>
                <w:rFonts w:ascii="Calibri" w:eastAsia="Times New Roman" w:hAnsi="Calibri" w:cs="Arial"/>
                <w:b/>
                <w:bCs/>
                <w:lang w:eastAsia="en-GB"/>
              </w:rPr>
            </w:pPr>
            <w:r w:rsidRPr="00C96B67">
              <w:rPr>
                <w:rFonts w:ascii="Calibri" w:eastAsia="Times New Roman" w:hAnsi="Calibri" w:cs="Arial"/>
                <w:b/>
                <w:bCs/>
                <w:lang w:eastAsia="en-GB"/>
              </w:rPr>
              <w:t xml:space="preserve">Total Barnett </w:t>
            </w:r>
            <w:r w:rsidRPr="00C96B67">
              <w:rPr>
                <w:rFonts w:ascii="Calibri" w:eastAsia="Times New Roman" w:hAnsi="Calibri" w:cs="Arial"/>
                <w:b/>
                <w:bCs/>
                <w:lang w:eastAsia="en-GB"/>
              </w:rPr>
              <w:t>Consequentials</w:t>
            </w:r>
            <w:r w:rsidRPr="00C96B67">
              <w:rPr>
                <w:rFonts w:ascii="Calibri" w:eastAsia="Times New Roman" w:hAnsi="Calibri" w:cs="Arial"/>
                <w:b/>
                <w:bCs/>
                <w:lang w:eastAsia="en-GB"/>
              </w:rPr>
              <w:t xml:space="preserve"> Since 2015 Spending Review</w:t>
            </w:r>
          </w:p>
        </w:tc>
        <w:tc>
          <w:tcPr>
            <w:tcW w:w="2000" w:type="dxa"/>
            <w:gridSpan w:val="2"/>
            <w:tcBorders>
              <w:top w:val="nil"/>
              <w:left w:val="nil"/>
              <w:bottom w:val="nil"/>
              <w:right w:val="nil"/>
            </w:tcBorders>
            <w:shd w:val="clear" w:color="auto" w:fill="auto"/>
            <w:noWrap/>
            <w:vAlign w:val="center"/>
            <w:hideMark/>
          </w:tcPr>
          <w:p w:rsidR="00C96B67" w:rsidRPr="00C96B67" w:rsidP="00C96B67">
            <w:pPr>
              <w:spacing w:after="0" w:line="240" w:lineRule="auto"/>
              <w:rPr>
                <w:rFonts w:ascii="Calibri" w:eastAsia="Times New Roman" w:hAnsi="Calibri" w:cs="Arial"/>
                <w:b/>
                <w:bCs/>
                <w:lang w:eastAsia="en-GB"/>
              </w:rPr>
            </w:pPr>
          </w:p>
        </w:tc>
        <w:tc>
          <w:tcPr>
            <w:tcW w:w="1113" w:type="dxa"/>
            <w:gridSpan w:val="2"/>
            <w:tcBorders>
              <w:top w:val="nil"/>
              <w:left w:val="nil"/>
              <w:bottom w:val="nil"/>
              <w:right w:val="nil"/>
            </w:tcBorders>
            <w:shd w:val="clear" w:color="auto" w:fill="auto"/>
            <w:noWrap/>
            <w:hideMark/>
          </w:tcPr>
          <w:p w:rsidR="00C96B67" w:rsidRPr="00C96B67" w:rsidP="00C96B67">
            <w:pPr>
              <w:spacing w:after="0" w:line="240" w:lineRule="auto"/>
              <w:rPr>
                <w:rFonts w:ascii="Calibri" w:eastAsia="Times New Roman" w:hAnsi="Calibri" w:cs="Arial"/>
                <w:b/>
                <w:bCs/>
                <w:u w:val="single"/>
                <w:lang w:eastAsia="en-GB"/>
              </w:rPr>
            </w:pPr>
            <w:r w:rsidRPr="00C96B67">
              <w:rPr>
                <w:rFonts w:ascii="Calibri" w:eastAsia="Times New Roman" w:hAnsi="Calibri" w:cs="Arial"/>
                <w:b/>
                <w:bCs/>
                <w:u w:val="single"/>
                <w:lang w:eastAsia="en-GB"/>
              </w:rPr>
              <w:t>1,289.945</w:t>
            </w:r>
          </w:p>
        </w:tc>
      </w:tr>
      <w:tr w:rsidTr="00C96B67">
        <w:tblPrEx>
          <w:tblW w:w="14773" w:type="dxa"/>
          <w:tblLook w:val="04A0"/>
        </w:tblPrEx>
        <w:trPr>
          <w:trHeight w:val="288"/>
        </w:trPr>
        <w:tc>
          <w:tcPr>
            <w:tcW w:w="4840" w:type="dxa"/>
            <w:gridSpan w:val="2"/>
            <w:tcBorders>
              <w:top w:val="nil"/>
              <w:left w:val="nil"/>
              <w:bottom w:val="nil"/>
              <w:right w:val="nil"/>
            </w:tcBorders>
            <w:shd w:val="clear" w:color="auto" w:fill="auto"/>
            <w:noWrap/>
            <w:vAlign w:val="center"/>
            <w:hideMark/>
          </w:tcPr>
          <w:p w:rsidR="00C96B67" w:rsidRPr="00C96B67" w:rsidP="00C96B67">
            <w:pPr>
              <w:spacing w:after="0" w:line="240" w:lineRule="auto"/>
              <w:rPr>
                <w:rFonts w:ascii="Calibri" w:eastAsia="Times New Roman" w:hAnsi="Calibri" w:cs="Arial"/>
                <w:b/>
                <w:bCs/>
                <w:u w:val="single"/>
                <w:lang w:eastAsia="en-GB"/>
              </w:rPr>
            </w:pPr>
          </w:p>
        </w:tc>
        <w:tc>
          <w:tcPr>
            <w:tcW w:w="6820" w:type="dxa"/>
            <w:gridSpan w:val="3"/>
            <w:tcBorders>
              <w:top w:val="nil"/>
              <w:left w:val="nil"/>
              <w:bottom w:val="nil"/>
              <w:right w:val="nil"/>
            </w:tcBorders>
            <w:shd w:val="clear" w:color="auto" w:fill="auto"/>
            <w:noWrap/>
            <w:vAlign w:val="center"/>
            <w:hideMark/>
          </w:tcPr>
          <w:p w:rsidR="00C96B67" w:rsidRPr="00C96B67" w:rsidP="00C96B67">
            <w:pPr>
              <w:spacing w:after="0" w:line="240" w:lineRule="auto"/>
              <w:rPr>
                <w:rFonts w:ascii="Times New Roman" w:eastAsia="Times New Roman" w:hAnsi="Times New Roman" w:cs="Times New Roman"/>
                <w:sz w:val="20"/>
                <w:szCs w:val="20"/>
                <w:lang w:eastAsia="en-GB"/>
              </w:rPr>
            </w:pPr>
          </w:p>
        </w:tc>
        <w:tc>
          <w:tcPr>
            <w:tcW w:w="2000" w:type="dxa"/>
            <w:gridSpan w:val="2"/>
            <w:tcBorders>
              <w:top w:val="nil"/>
              <w:left w:val="nil"/>
              <w:bottom w:val="nil"/>
              <w:right w:val="nil"/>
            </w:tcBorders>
            <w:shd w:val="clear" w:color="auto" w:fill="auto"/>
            <w:noWrap/>
            <w:vAlign w:val="center"/>
            <w:hideMark/>
          </w:tcPr>
          <w:p w:rsidR="00C96B67" w:rsidRPr="00C96B67" w:rsidP="00C96B67">
            <w:pPr>
              <w:spacing w:after="0" w:line="240" w:lineRule="auto"/>
              <w:rPr>
                <w:rFonts w:ascii="Times New Roman" w:eastAsia="Times New Roman" w:hAnsi="Times New Roman" w:cs="Times New Roman"/>
                <w:sz w:val="20"/>
                <w:szCs w:val="20"/>
                <w:lang w:eastAsia="en-GB"/>
              </w:rPr>
            </w:pPr>
          </w:p>
        </w:tc>
        <w:tc>
          <w:tcPr>
            <w:tcW w:w="1113" w:type="dxa"/>
            <w:gridSpan w:val="2"/>
            <w:tcBorders>
              <w:top w:val="nil"/>
              <w:left w:val="nil"/>
              <w:bottom w:val="nil"/>
              <w:right w:val="nil"/>
            </w:tcBorders>
            <w:shd w:val="clear" w:color="auto" w:fill="auto"/>
            <w:noWrap/>
            <w:hideMark/>
          </w:tcPr>
          <w:p w:rsidR="00C96B67" w:rsidRPr="00C96B67" w:rsidP="00C96B67">
            <w:pPr>
              <w:spacing w:after="0" w:line="240" w:lineRule="auto"/>
              <w:rPr>
                <w:rFonts w:ascii="Times New Roman" w:eastAsia="Times New Roman" w:hAnsi="Times New Roman" w:cs="Times New Roman"/>
                <w:sz w:val="20"/>
                <w:szCs w:val="20"/>
                <w:lang w:eastAsia="en-GB"/>
              </w:rPr>
            </w:pPr>
          </w:p>
        </w:tc>
      </w:tr>
      <w:tr w:rsidTr="00C96B67">
        <w:tblPrEx>
          <w:tblW w:w="14773" w:type="dxa"/>
          <w:tblLook w:val="04A0"/>
        </w:tblPrEx>
        <w:trPr>
          <w:trHeight w:val="288"/>
        </w:trPr>
        <w:tc>
          <w:tcPr>
            <w:tcW w:w="4840" w:type="dxa"/>
            <w:gridSpan w:val="2"/>
            <w:tcBorders>
              <w:top w:val="nil"/>
              <w:left w:val="nil"/>
              <w:bottom w:val="nil"/>
              <w:right w:val="nil"/>
            </w:tcBorders>
            <w:shd w:val="clear" w:color="auto" w:fill="auto"/>
            <w:noWrap/>
            <w:vAlign w:val="center"/>
            <w:hideMark/>
          </w:tcPr>
          <w:p w:rsidR="00C96B67" w:rsidRPr="00C96B67" w:rsidP="00C96B67">
            <w:pPr>
              <w:spacing w:after="0" w:line="240" w:lineRule="auto"/>
              <w:rPr>
                <w:rFonts w:ascii="Times New Roman" w:eastAsia="Times New Roman" w:hAnsi="Times New Roman" w:cs="Times New Roman"/>
                <w:sz w:val="20"/>
                <w:szCs w:val="20"/>
                <w:lang w:eastAsia="en-GB"/>
              </w:rPr>
            </w:pPr>
          </w:p>
        </w:tc>
        <w:tc>
          <w:tcPr>
            <w:tcW w:w="6820" w:type="dxa"/>
            <w:gridSpan w:val="3"/>
            <w:tcBorders>
              <w:top w:val="nil"/>
              <w:left w:val="nil"/>
              <w:bottom w:val="nil"/>
              <w:right w:val="nil"/>
            </w:tcBorders>
            <w:shd w:val="clear" w:color="auto" w:fill="auto"/>
            <w:noWrap/>
            <w:vAlign w:val="center"/>
            <w:hideMark/>
          </w:tcPr>
          <w:p w:rsidR="00C96B67" w:rsidRPr="00C96B67" w:rsidP="00C96B67">
            <w:pPr>
              <w:spacing w:after="0" w:line="240" w:lineRule="auto"/>
              <w:rPr>
                <w:rFonts w:ascii="Calibri" w:eastAsia="Times New Roman" w:hAnsi="Calibri" w:cs="Arial"/>
                <w:lang w:eastAsia="en-GB"/>
              </w:rPr>
            </w:pPr>
            <w:r w:rsidRPr="00C96B67">
              <w:rPr>
                <w:rFonts w:ascii="Calibri" w:eastAsia="Times New Roman" w:hAnsi="Calibri" w:cs="Arial"/>
                <w:lang w:eastAsia="en-GB"/>
              </w:rPr>
              <w:t>Total Resource</w:t>
            </w:r>
          </w:p>
        </w:tc>
        <w:tc>
          <w:tcPr>
            <w:tcW w:w="2000" w:type="dxa"/>
            <w:gridSpan w:val="2"/>
            <w:tcBorders>
              <w:top w:val="nil"/>
              <w:left w:val="nil"/>
              <w:bottom w:val="nil"/>
              <w:right w:val="nil"/>
            </w:tcBorders>
            <w:shd w:val="clear" w:color="auto" w:fill="auto"/>
            <w:noWrap/>
            <w:vAlign w:val="center"/>
            <w:hideMark/>
          </w:tcPr>
          <w:p w:rsidR="00C96B67" w:rsidRPr="00C96B67" w:rsidP="00C96B67">
            <w:pPr>
              <w:spacing w:after="0" w:line="240" w:lineRule="auto"/>
              <w:rPr>
                <w:rFonts w:ascii="Calibri" w:eastAsia="Times New Roman" w:hAnsi="Calibri" w:cs="Arial"/>
                <w:lang w:eastAsia="en-GB"/>
              </w:rPr>
            </w:pPr>
          </w:p>
        </w:tc>
        <w:tc>
          <w:tcPr>
            <w:tcW w:w="1113" w:type="dxa"/>
            <w:gridSpan w:val="2"/>
            <w:tcBorders>
              <w:top w:val="nil"/>
              <w:left w:val="nil"/>
              <w:bottom w:val="nil"/>
              <w:right w:val="nil"/>
            </w:tcBorders>
            <w:shd w:val="clear" w:color="auto" w:fill="auto"/>
            <w:hideMark/>
          </w:tcPr>
          <w:p w:rsidR="00C96B67" w:rsidRPr="00C96B67" w:rsidP="00C96B67">
            <w:pPr>
              <w:spacing w:after="0" w:line="240" w:lineRule="auto"/>
              <w:rPr>
                <w:rFonts w:ascii="Calibri" w:eastAsia="Times New Roman" w:hAnsi="Calibri" w:cs="Arial"/>
                <w:b/>
                <w:bCs/>
                <w:lang w:eastAsia="en-GB"/>
              </w:rPr>
            </w:pPr>
            <w:r w:rsidRPr="00C96B67">
              <w:rPr>
                <w:rFonts w:ascii="Calibri" w:eastAsia="Times New Roman" w:hAnsi="Calibri" w:cs="Arial"/>
                <w:b/>
                <w:bCs/>
                <w:lang w:eastAsia="en-GB"/>
              </w:rPr>
              <w:t>974.393</w:t>
            </w:r>
          </w:p>
        </w:tc>
      </w:tr>
      <w:tr w:rsidTr="00C96B67">
        <w:tblPrEx>
          <w:tblW w:w="14773" w:type="dxa"/>
          <w:tblLook w:val="04A0"/>
        </w:tblPrEx>
        <w:trPr>
          <w:trHeight w:val="288"/>
        </w:trPr>
        <w:tc>
          <w:tcPr>
            <w:tcW w:w="4840" w:type="dxa"/>
            <w:gridSpan w:val="2"/>
            <w:tcBorders>
              <w:top w:val="nil"/>
              <w:left w:val="nil"/>
              <w:bottom w:val="nil"/>
              <w:right w:val="nil"/>
            </w:tcBorders>
            <w:shd w:val="clear" w:color="auto" w:fill="auto"/>
            <w:noWrap/>
            <w:vAlign w:val="center"/>
            <w:hideMark/>
          </w:tcPr>
          <w:p w:rsidR="00C96B67" w:rsidRPr="00C96B67" w:rsidP="00C96B67">
            <w:pPr>
              <w:spacing w:after="0" w:line="240" w:lineRule="auto"/>
              <w:rPr>
                <w:rFonts w:ascii="Calibri" w:eastAsia="Times New Roman" w:hAnsi="Calibri" w:cs="Arial"/>
                <w:b/>
                <w:bCs/>
                <w:lang w:eastAsia="en-GB"/>
              </w:rPr>
            </w:pPr>
          </w:p>
        </w:tc>
        <w:tc>
          <w:tcPr>
            <w:tcW w:w="6820" w:type="dxa"/>
            <w:gridSpan w:val="3"/>
            <w:tcBorders>
              <w:top w:val="nil"/>
              <w:left w:val="nil"/>
              <w:bottom w:val="nil"/>
              <w:right w:val="nil"/>
            </w:tcBorders>
            <w:shd w:val="clear" w:color="auto" w:fill="auto"/>
            <w:noWrap/>
            <w:vAlign w:val="center"/>
            <w:hideMark/>
          </w:tcPr>
          <w:p w:rsidR="00C96B67" w:rsidRPr="00C96B67" w:rsidP="00C96B67">
            <w:pPr>
              <w:spacing w:after="0" w:line="240" w:lineRule="auto"/>
              <w:rPr>
                <w:rFonts w:ascii="Calibri" w:eastAsia="Times New Roman" w:hAnsi="Calibri" w:cs="Arial"/>
                <w:lang w:eastAsia="en-GB"/>
              </w:rPr>
            </w:pPr>
            <w:r w:rsidRPr="00C96B67">
              <w:rPr>
                <w:rFonts w:ascii="Calibri" w:eastAsia="Times New Roman" w:hAnsi="Calibri" w:cs="Arial"/>
                <w:lang w:eastAsia="en-GB"/>
              </w:rPr>
              <w:t>Total Capital</w:t>
            </w:r>
          </w:p>
        </w:tc>
        <w:tc>
          <w:tcPr>
            <w:tcW w:w="2000" w:type="dxa"/>
            <w:gridSpan w:val="2"/>
            <w:tcBorders>
              <w:top w:val="nil"/>
              <w:left w:val="nil"/>
              <w:bottom w:val="nil"/>
              <w:right w:val="nil"/>
            </w:tcBorders>
            <w:shd w:val="clear" w:color="auto" w:fill="auto"/>
            <w:noWrap/>
            <w:vAlign w:val="center"/>
            <w:hideMark/>
          </w:tcPr>
          <w:p w:rsidR="00C96B67" w:rsidRPr="00C96B67" w:rsidP="00C96B67">
            <w:pPr>
              <w:spacing w:after="0" w:line="240" w:lineRule="auto"/>
              <w:rPr>
                <w:rFonts w:ascii="Calibri" w:eastAsia="Times New Roman" w:hAnsi="Calibri" w:cs="Arial"/>
                <w:lang w:eastAsia="en-GB"/>
              </w:rPr>
            </w:pPr>
          </w:p>
        </w:tc>
        <w:tc>
          <w:tcPr>
            <w:tcW w:w="1113" w:type="dxa"/>
            <w:gridSpan w:val="2"/>
            <w:tcBorders>
              <w:top w:val="nil"/>
              <w:left w:val="nil"/>
              <w:bottom w:val="nil"/>
              <w:right w:val="nil"/>
            </w:tcBorders>
            <w:shd w:val="clear" w:color="auto" w:fill="auto"/>
            <w:hideMark/>
          </w:tcPr>
          <w:p w:rsidR="00C96B67" w:rsidRPr="00C96B67" w:rsidP="00C96B67">
            <w:pPr>
              <w:spacing w:after="0" w:line="240" w:lineRule="auto"/>
              <w:rPr>
                <w:rFonts w:ascii="Calibri" w:eastAsia="Times New Roman" w:hAnsi="Calibri" w:cs="Arial"/>
                <w:b/>
                <w:bCs/>
                <w:lang w:eastAsia="en-GB"/>
              </w:rPr>
            </w:pPr>
            <w:r w:rsidRPr="00C96B67">
              <w:rPr>
                <w:rFonts w:ascii="Calibri" w:eastAsia="Times New Roman" w:hAnsi="Calibri" w:cs="Arial"/>
                <w:b/>
                <w:bCs/>
                <w:lang w:eastAsia="en-GB"/>
              </w:rPr>
              <w:t>229.243</w:t>
            </w:r>
          </w:p>
        </w:tc>
      </w:tr>
      <w:tr w:rsidTr="00C96B67">
        <w:tblPrEx>
          <w:tblW w:w="14773" w:type="dxa"/>
          <w:tblLook w:val="04A0"/>
        </w:tblPrEx>
        <w:trPr>
          <w:trHeight w:val="288"/>
        </w:trPr>
        <w:tc>
          <w:tcPr>
            <w:tcW w:w="4840" w:type="dxa"/>
            <w:gridSpan w:val="2"/>
            <w:tcBorders>
              <w:top w:val="nil"/>
              <w:left w:val="nil"/>
              <w:bottom w:val="nil"/>
              <w:right w:val="nil"/>
            </w:tcBorders>
            <w:shd w:val="clear" w:color="auto" w:fill="auto"/>
            <w:noWrap/>
            <w:vAlign w:val="center"/>
            <w:hideMark/>
          </w:tcPr>
          <w:p w:rsidR="00C96B67" w:rsidRPr="00C96B67" w:rsidP="00C96B67">
            <w:pPr>
              <w:spacing w:after="0" w:line="240" w:lineRule="auto"/>
              <w:rPr>
                <w:rFonts w:ascii="Calibri" w:eastAsia="Times New Roman" w:hAnsi="Calibri" w:cs="Arial"/>
                <w:b/>
                <w:bCs/>
                <w:lang w:eastAsia="en-GB"/>
              </w:rPr>
            </w:pPr>
          </w:p>
        </w:tc>
        <w:tc>
          <w:tcPr>
            <w:tcW w:w="6820" w:type="dxa"/>
            <w:gridSpan w:val="3"/>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rsidR="00C96B67" w:rsidRPr="00C96B67" w:rsidP="00C96B67">
            <w:pPr>
              <w:spacing w:after="0" w:line="240" w:lineRule="auto"/>
              <w:rPr>
                <w:rFonts w:ascii="Calibri" w:eastAsia="Times New Roman" w:hAnsi="Calibri" w:cs="Arial"/>
                <w:color w:val="000000"/>
                <w:lang w:eastAsia="en-GB"/>
              </w:rPr>
            </w:pPr>
            <w:r w:rsidRPr="00C96B67">
              <w:rPr>
                <w:rFonts w:ascii="Calibri" w:eastAsia="Times New Roman" w:hAnsi="Calibri" w:cs="Arial"/>
                <w:color w:val="000000"/>
                <w:lang w:eastAsia="en-GB"/>
              </w:rPr>
              <w:t>Total Financial Transactions</w:t>
            </w:r>
          </w:p>
        </w:tc>
        <w:tc>
          <w:tcPr>
            <w:tcW w:w="2000" w:type="dxa"/>
            <w:gridSpan w:val="2"/>
            <w:tcBorders>
              <w:top w:val="single" w:sz="4" w:space="0" w:color="FFFFFF"/>
              <w:left w:val="nil"/>
              <w:bottom w:val="single" w:sz="4" w:space="0" w:color="FFFFFF"/>
              <w:right w:val="nil"/>
            </w:tcBorders>
            <w:shd w:val="clear" w:color="auto" w:fill="auto"/>
            <w:noWrap/>
            <w:vAlign w:val="bottom"/>
            <w:hideMark/>
          </w:tcPr>
          <w:p w:rsidR="00C96B67" w:rsidRPr="00C96B67" w:rsidP="00C96B67">
            <w:pPr>
              <w:spacing w:after="0" w:line="240" w:lineRule="auto"/>
              <w:rPr>
                <w:rFonts w:ascii="Calibri" w:eastAsia="Times New Roman" w:hAnsi="Calibri" w:cs="Arial"/>
                <w:b/>
                <w:bCs/>
                <w:color w:val="000000"/>
                <w:lang w:eastAsia="en-GB"/>
              </w:rPr>
            </w:pPr>
            <w:r w:rsidRPr="00C96B67">
              <w:rPr>
                <w:rFonts w:ascii="Calibri" w:eastAsia="Times New Roman" w:hAnsi="Calibri" w:cs="Arial"/>
                <w:b/>
                <w:bCs/>
                <w:color w:val="000000"/>
                <w:lang w:eastAsia="en-GB"/>
              </w:rPr>
              <w:t> </w:t>
            </w:r>
          </w:p>
        </w:tc>
        <w:tc>
          <w:tcPr>
            <w:tcW w:w="1113" w:type="dxa"/>
            <w:gridSpan w:val="2"/>
            <w:tcBorders>
              <w:top w:val="nil"/>
              <w:left w:val="nil"/>
              <w:bottom w:val="nil"/>
              <w:right w:val="nil"/>
            </w:tcBorders>
            <w:shd w:val="clear" w:color="auto" w:fill="auto"/>
            <w:hideMark/>
          </w:tcPr>
          <w:p w:rsidR="00C96B67" w:rsidRPr="00C96B67" w:rsidP="00C96B67">
            <w:pPr>
              <w:spacing w:after="0" w:line="240" w:lineRule="auto"/>
              <w:rPr>
                <w:rFonts w:ascii="Calibri" w:eastAsia="Times New Roman" w:hAnsi="Calibri" w:cs="Arial"/>
                <w:b/>
                <w:bCs/>
                <w:lang w:eastAsia="en-GB"/>
              </w:rPr>
            </w:pPr>
            <w:r w:rsidRPr="00C96B67">
              <w:rPr>
                <w:rFonts w:ascii="Calibri" w:eastAsia="Times New Roman" w:hAnsi="Calibri" w:cs="Arial"/>
                <w:b/>
                <w:bCs/>
                <w:lang w:eastAsia="en-GB"/>
              </w:rPr>
              <w:t>86.309</w:t>
            </w:r>
          </w:p>
        </w:tc>
      </w:tr>
    </w:tbl>
    <w:p w:rsidR="00C70198" w:rsidP="00C70198">
      <w:pPr>
        <w:rPr>
          <w:rFonts w:ascii="Arial" w:hAnsi="Arial"/>
          <w:b/>
          <w:sz w:val="24"/>
          <w:szCs w:val="24"/>
        </w:rPr>
        <w:sectPr w:rsidSect="00C70198">
          <w:pgSz w:w="16838" w:h="11906" w:orient="landscape"/>
          <w:pgMar w:top="1797" w:right="1134" w:bottom="1797" w:left="1134" w:header="709" w:footer="709" w:gutter="0"/>
          <w:cols w:space="708"/>
          <w:docGrid w:linePitch="381"/>
        </w:sectPr>
      </w:pPr>
    </w:p>
    <w:p w:rsidR="00C70198" w:rsidRPr="009E3328" w:rsidP="00F32426">
      <w:pPr>
        <w:pStyle w:val="Heading2"/>
      </w:pPr>
      <w:r>
        <w:t xml:space="preserve">3.5 </w:t>
      </w:r>
      <w:r w:rsidRPr="009E3328">
        <w:t>Control</w:t>
      </w:r>
      <w:r w:rsidRPr="009E3328">
        <w:t xml:space="preserve"> Totals for the </w:t>
      </w:r>
      <w:r w:rsidR="00D25D2F">
        <w:t xml:space="preserve">Welsh </w:t>
      </w:r>
      <w:r>
        <w:t>Government</w:t>
      </w:r>
      <w:r w:rsidRPr="009E3328">
        <w:t xml:space="preserve"> including breakdown by main programme of AME spending</w:t>
      </w:r>
    </w:p>
    <w:p w:rsidR="00C70198" w:rsidP="00C70198">
      <w:pPr>
        <w:rPr>
          <w:rFonts w:ascii="Arial" w:hAnsi="Arial"/>
          <w:sz w:val="24"/>
          <w:szCs w:val="24"/>
        </w:rPr>
      </w:pPr>
    </w:p>
    <w:p w:rsidR="00C70198" w:rsidRPr="00AE201E" w:rsidP="00C70198">
      <w:pPr>
        <w:rPr>
          <w:rFonts w:cstheme="minorHAnsi"/>
          <w:sz w:val="24"/>
          <w:szCs w:val="24"/>
        </w:rPr>
      </w:pPr>
      <w:r w:rsidRPr="00AE201E">
        <w:rPr>
          <w:rFonts w:cstheme="minorHAnsi"/>
          <w:sz w:val="24"/>
          <w:szCs w:val="24"/>
        </w:rPr>
        <w:t xml:space="preserve"> Resource and capital DEL for </w:t>
      </w:r>
      <w:r w:rsidRPr="00AE201E" w:rsidR="00D25D2F">
        <w:rPr>
          <w:rFonts w:cstheme="minorHAnsi"/>
          <w:sz w:val="24"/>
          <w:szCs w:val="24"/>
        </w:rPr>
        <w:t xml:space="preserve">the Welsh </w:t>
      </w:r>
      <w:r w:rsidRPr="00AE201E">
        <w:rPr>
          <w:rFonts w:cstheme="minorHAnsi"/>
          <w:sz w:val="24"/>
          <w:szCs w:val="24"/>
        </w:rPr>
        <w:t>Government</w:t>
      </w:r>
    </w:p>
    <w:p w:rsidR="00C70198" w:rsidP="00C70198">
      <w:pPr>
        <w:rPr>
          <w:rFonts w:ascii="Arial" w:hAnsi="Arial"/>
          <w:sz w:val="24"/>
          <w:szCs w:val="24"/>
        </w:rPr>
      </w:pPr>
    </w:p>
    <w:tbl>
      <w:tblPr>
        <w:tblW w:w="6240" w:type="dxa"/>
        <w:tblInd w:w="93" w:type="dxa"/>
        <w:tblLook w:val="04A0"/>
      </w:tblPr>
      <w:tblGrid>
        <w:gridCol w:w="5020"/>
        <w:gridCol w:w="1220"/>
      </w:tblGrid>
      <w:tr w:rsidTr="00C70198">
        <w:tblPrEx>
          <w:tblW w:w="6240" w:type="dxa"/>
          <w:tblInd w:w="93" w:type="dxa"/>
          <w:tblLook w:val="04A0"/>
        </w:tblPrEx>
        <w:trPr>
          <w:trHeight w:val="300"/>
        </w:trPr>
        <w:tc>
          <w:tcPr>
            <w:tcW w:w="5020"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70198" w:rsidRPr="00AE201E" w:rsidP="00C70198">
            <w:pPr>
              <w:rPr>
                <w:rFonts w:cstheme="minorHAnsi"/>
                <w:color w:val="000000"/>
              </w:rPr>
            </w:pPr>
            <w:r w:rsidRPr="00AE201E">
              <w:rPr>
                <w:rFonts w:cstheme="minorHAnsi"/>
                <w:color w:val="000000"/>
              </w:rPr>
              <w:t>£m nominal</w:t>
            </w:r>
          </w:p>
        </w:tc>
        <w:tc>
          <w:tcPr>
            <w:tcW w:w="1220" w:type="dxa"/>
            <w:tcBorders>
              <w:top w:val="single" w:sz="4" w:space="0" w:color="auto"/>
              <w:left w:val="nil"/>
              <w:bottom w:val="single" w:sz="4" w:space="0" w:color="auto"/>
              <w:right w:val="single" w:sz="4" w:space="0" w:color="auto"/>
            </w:tcBorders>
            <w:shd w:val="clear" w:color="000000" w:fill="D8D8D8"/>
            <w:noWrap/>
            <w:vAlign w:val="center"/>
            <w:hideMark/>
          </w:tcPr>
          <w:p w:rsidR="00C70198" w:rsidRPr="00AE201E" w:rsidP="00C70198">
            <w:pPr>
              <w:jc w:val="center"/>
              <w:rPr>
                <w:rFonts w:cstheme="minorHAnsi"/>
                <w:color w:val="000000"/>
              </w:rPr>
            </w:pPr>
            <w:r w:rsidRPr="00AE201E">
              <w:rPr>
                <w:rFonts w:cstheme="minorHAnsi"/>
                <w:color w:val="000000"/>
              </w:rPr>
              <w:t>201</w:t>
            </w:r>
            <w:r w:rsidRPr="00AE201E" w:rsidR="00D25D2F">
              <w:rPr>
                <w:rFonts w:cstheme="minorHAnsi"/>
                <w:color w:val="000000"/>
              </w:rPr>
              <w:t>9-20</w:t>
            </w:r>
          </w:p>
        </w:tc>
      </w:tr>
      <w:tr w:rsidTr="00167089">
        <w:tblPrEx>
          <w:tblW w:w="6240" w:type="dxa"/>
          <w:tblInd w:w="93" w:type="dxa"/>
          <w:tblLook w:val="04A0"/>
        </w:tblPrEx>
        <w:trPr>
          <w:trHeight w:val="300"/>
        </w:trPr>
        <w:tc>
          <w:tcPr>
            <w:tcW w:w="5020" w:type="dxa"/>
            <w:tcBorders>
              <w:top w:val="nil"/>
              <w:left w:val="single" w:sz="4" w:space="0" w:color="auto"/>
              <w:bottom w:val="single" w:sz="4" w:space="0" w:color="auto"/>
              <w:right w:val="single" w:sz="4" w:space="0" w:color="auto"/>
            </w:tcBorders>
            <w:shd w:val="clear" w:color="auto" w:fill="auto"/>
            <w:noWrap/>
            <w:vAlign w:val="center"/>
            <w:hideMark/>
          </w:tcPr>
          <w:p w:rsidR="00D25D2F" w:rsidRPr="00AE201E" w:rsidP="00D25D2F">
            <w:pPr>
              <w:rPr>
                <w:rFonts w:cstheme="minorHAnsi"/>
                <w:color w:val="000000"/>
              </w:rPr>
            </w:pPr>
            <w:r w:rsidRPr="00AE201E">
              <w:rPr>
                <w:rFonts w:cstheme="minorHAnsi"/>
                <w:color w:val="000000"/>
              </w:rPr>
              <w:t>RDEL</w:t>
            </w:r>
          </w:p>
        </w:tc>
        <w:tc>
          <w:tcPr>
            <w:tcW w:w="1220" w:type="dxa"/>
            <w:tcBorders>
              <w:top w:val="nil"/>
              <w:left w:val="nil"/>
              <w:bottom w:val="single" w:sz="8" w:space="0" w:color="auto"/>
              <w:right w:val="single" w:sz="8" w:space="0" w:color="auto"/>
            </w:tcBorders>
            <w:shd w:val="clear" w:color="auto" w:fill="auto"/>
            <w:noWrap/>
            <w:vAlign w:val="bottom"/>
          </w:tcPr>
          <w:p w:rsidR="00D25D2F" w:rsidRPr="00AE201E" w:rsidP="00D25D2F">
            <w:pPr>
              <w:jc w:val="right"/>
              <w:rPr>
                <w:rFonts w:cstheme="minorHAnsi"/>
                <w:b/>
                <w:color w:val="000000"/>
              </w:rPr>
            </w:pPr>
            <w:r w:rsidRPr="00AE201E">
              <w:rPr>
                <w:rFonts w:cstheme="minorHAnsi"/>
                <w:b/>
                <w:bCs/>
                <w:color w:val="000000"/>
              </w:rPr>
              <w:t>1</w:t>
            </w:r>
            <w:r w:rsidR="00BD0F58">
              <w:rPr>
                <w:rFonts w:cstheme="minorHAnsi"/>
                <w:b/>
                <w:bCs/>
                <w:color w:val="000000"/>
              </w:rPr>
              <w:t>3,117.5</w:t>
            </w:r>
          </w:p>
        </w:tc>
      </w:tr>
      <w:tr w:rsidTr="00167089">
        <w:tblPrEx>
          <w:tblW w:w="6240" w:type="dxa"/>
          <w:tblInd w:w="93" w:type="dxa"/>
          <w:tblLook w:val="04A0"/>
        </w:tblPrEx>
        <w:trPr>
          <w:trHeight w:val="300"/>
        </w:trPr>
        <w:tc>
          <w:tcPr>
            <w:tcW w:w="5020" w:type="dxa"/>
            <w:tcBorders>
              <w:top w:val="nil"/>
              <w:left w:val="single" w:sz="4" w:space="0" w:color="auto"/>
              <w:bottom w:val="single" w:sz="4" w:space="0" w:color="auto"/>
              <w:right w:val="single" w:sz="4" w:space="0" w:color="auto"/>
            </w:tcBorders>
            <w:shd w:val="clear" w:color="auto" w:fill="auto"/>
            <w:noWrap/>
            <w:vAlign w:val="center"/>
            <w:hideMark/>
          </w:tcPr>
          <w:p w:rsidR="00D25D2F" w:rsidRPr="00AE201E" w:rsidP="00D25D2F">
            <w:pPr>
              <w:rPr>
                <w:rFonts w:cstheme="minorHAnsi"/>
                <w:i/>
                <w:iCs/>
                <w:color w:val="000000"/>
              </w:rPr>
            </w:pPr>
            <w:r w:rsidRPr="00AE201E">
              <w:rPr>
                <w:rFonts w:cstheme="minorHAnsi"/>
                <w:i/>
                <w:iCs/>
                <w:color w:val="000000"/>
              </w:rPr>
              <w:t>of which:</w:t>
            </w:r>
          </w:p>
        </w:tc>
        <w:tc>
          <w:tcPr>
            <w:tcW w:w="1220" w:type="dxa"/>
            <w:tcBorders>
              <w:top w:val="nil"/>
              <w:left w:val="nil"/>
              <w:bottom w:val="single" w:sz="8" w:space="0" w:color="auto"/>
              <w:right w:val="single" w:sz="8" w:space="0" w:color="auto"/>
            </w:tcBorders>
            <w:shd w:val="clear" w:color="auto" w:fill="auto"/>
            <w:noWrap/>
            <w:vAlign w:val="bottom"/>
          </w:tcPr>
          <w:p w:rsidR="00D25D2F" w:rsidRPr="00AE201E" w:rsidP="00D25D2F">
            <w:pPr>
              <w:rPr>
                <w:rFonts w:cstheme="minorHAnsi"/>
                <w:color w:val="000000"/>
              </w:rPr>
            </w:pPr>
            <w:r w:rsidRPr="00AE201E">
              <w:rPr>
                <w:rFonts w:cstheme="minorHAnsi"/>
                <w:color w:val="000000"/>
              </w:rPr>
              <w:t> </w:t>
            </w:r>
          </w:p>
        </w:tc>
      </w:tr>
      <w:tr w:rsidTr="00167089">
        <w:tblPrEx>
          <w:tblW w:w="6240" w:type="dxa"/>
          <w:tblInd w:w="93" w:type="dxa"/>
          <w:tblLook w:val="04A0"/>
        </w:tblPrEx>
        <w:trPr>
          <w:trHeight w:val="300"/>
        </w:trPr>
        <w:tc>
          <w:tcPr>
            <w:tcW w:w="5020" w:type="dxa"/>
            <w:tcBorders>
              <w:top w:val="nil"/>
              <w:left w:val="single" w:sz="4" w:space="0" w:color="auto"/>
              <w:bottom w:val="single" w:sz="4" w:space="0" w:color="auto"/>
              <w:right w:val="single" w:sz="4" w:space="0" w:color="auto"/>
            </w:tcBorders>
            <w:shd w:val="clear" w:color="auto" w:fill="auto"/>
            <w:noWrap/>
            <w:vAlign w:val="center"/>
            <w:hideMark/>
          </w:tcPr>
          <w:p w:rsidR="00D25D2F" w:rsidRPr="00AE201E" w:rsidP="00D25D2F">
            <w:pPr>
              <w:rPr>
                <w:rFonts w:cstheme="minorHAnsi"/>
                <w:i/>
                <w:iCs/>
                <w:color w:val="000000"/>
              </w:rPr>
            </w:pPr>
            <w:r w:rsidRPr="00AE201E">
              <w:rPr>
                <w:rFonts w:cstheme="minorHAnsi"/>
                <w:i/>
                <w:iCs/>
                <w:color w:val="000000"/>
              </w:rPr>
              <w:t>RDEL excluding depreciation*</w:t>
            </w:r>
          </w:p>
        </w:tc>
        <w:tc>
          <w:tcPr>
            <w:tcW w:w="1220" w:type="dxa"/>
            <w:tcBorders>
              <w:top w:val="nil"/>
              <w:left w:val="nil"/>
              <w:bottom w:val="single" w:sz="8" w:space="0" w:color="auto"/>
              <w:right w:val="single" w:sz="8" w:space="0" w:color="auto"/>
            </w:tcBorders>
            <w:shd w:val="clear" w:color="auto" w:fill="auto"/>
            <w:noWrap/>
            <w:vAlign w:val="bottom"/>
          </w:tcPr>
          <w:p w:rsidR="00D25D2F" w:rsidRPr="00AE201E" w:rsidP="00D25D2F">
            <w:pPr>
              <w:jc w:val="right"/>
              <w:rPr>
                <w:rFonts w:cstheme="minorHAnsi"/>
                <w:i/>
                <w:iCs/>
                <w:color w:val="000000"/>
              </w:rPr>
            </w:pPr>
            <w:r w:rsidRPr="00AE201E">
              <w:rPr>
                <w:rFonts w:cstheme="minorHAnsi"/>
                <w:i/>
                <w:iCs/>
                <w:color w:val="000000"/>
              </w:rPr>
              <w:t>1</w:t>
            </w:r>
            <w:r w:rsidR="00BD0F58">
              <w:rPr>
                <w:rFonts w:cstheme="minorHAnsi"/>
                <w:i/>
                <w:iCs/>
                <w:color w:val="000000"/>
              </w:rPr>
              <w:t>2,142.3</w:t>
            </w:r>
          </w:p>
        </w:tc>
      </w:tr>
      <w:tr w:rsidTr="00167089">
        <w:tblPrEx>
          <w:tblW w:w="6240" w:type="dxa"/>
          <w:tblInd w:w="93" w:type="dxa"/>
          <w:tblLook w:val="04A0"/>
        </w:tblPrEx>
        <w:trPr>
          <w:trHeight w:val="300"/>
        </w:trPr>
        <w:tc>
          <w:tcPr>
            <w:tcW w:w="5020" w:type="dxa"/>
            <w:tcBorders>
              <w:top w:val="nil"/>
              <w:left w:val="single" w:sz="4" w:space="0" w:color="auto"/>
              <w:bottom w:val="single" w:sz="4" w:space="0" w:color="auto"/>
              <w:right w:val="single" w:sz="4" w:space="0" w:color="auto"/>
            </w:tcBorders>
            <w:shd w:val="clear" w:color="auto" w:fill="auto"/>
            <w:noWrap/>
            <w:vAlign w:val="center"/>
            <w:hideMark/>
          </w:tcPr>
          <w:p w:rsidR="00D25D2F" w:rsidRPr="00AE201E" w:rsidP="00D25D2F">
            <w:pPr>
              <w:rPr>
                <w:rFonts w:cstheme="minorHAnsi"/>
                <w:i/>
                <w:iCs/>
                <w:color w:val="000000"/>
              </w:rPr>
            </w:pPr>
            <w:r w:rsidRPr="00AE201E">
              <w:rPr>
                <w:rFonts w:cstheme="minorHAnsi"/>
                <w:i/>
                <w:iCs/>
                <w:color w:val="000000"/>
              </w:rPr>
              <w:t>depreciation ring fence in RDEL</w:t>
            </w:r>
          </w:p>
        </w:tc>
        <w:tc>
          <w:tcPr>
            <w:tcW w:w="1220" w:type="dxa"/>
            <w:tcBorders>
              <w:top w:val="nil"/>
              <w:left w:val="nil"/>
              <w:bottom w:val="single" w:sz="8" w:space="0" w:color="auto"/>
              <w:right w:val="single" w:sz="8" w:space="0" w:color="auto"/>
            </w:tcBorders>
            <w:shd w:val="clear" w:color="auto" w:fill="auto"/>
            <w:noWrap/>
            <w:vAlign w:val="bottom"/>
          </w:tcPr>
          <w:p w:rsidR="00D25D2F" w:rsidRPr="00AE201E" w:rsidP="00D25D2F">
            <w:pPr>
              <w:jc w:val="right"/>
              <w:rPr>
                <w:rFonts w:cstheme="minorHAnsi"/>
                <w:i/>
                <w:iCs/>
                <w:color w:val="000000"/>
              </w:rPr>
            </w:pPr>
            <w:r w:rsidRPr="00AE201E">
              <w:rPr>
                <w:rFonts w:cstheme="minorHAnsi"/>
                <w:i/>
                <w:iCs/>
                <w:color w:val="000000"/>
              </w:rPr>
              <w:t>516</w:t>
            </w:r>
            <w:r w:rsidR="00BD0F58">
              <w:rPr>
                <w:rFonts w:cstheme="minorHAnsi"/>
                <w:i/>
                <w:iCs/>
                <w:color w:val="000000"/>
              </w:rPr>
              <w:t>.1</w:t>
            </w:r>
          </w:p>
        </w:tc>
      </w:tr>
      <w:tr w:rsidTr="00167089">
        <w:tblPrEx>
          <w:tblW w:w="6240" w:type="dxa"/>
          <w:tblInd w:w="93" w:type="dxa"/>
          <w:tblLook w:val="04A0"/>
        </w:tblPrEx>
        <w:trPr>
          <w:trHeight w:val="300"/>
        </w:trPr>
        <w:tc>
          <w:tcPr>
            <w:tcW w:w="5020" w:type="dxa"/>
            <w:tcBorders>
              <w:top w:val="nil"/>
              <w:left w:val="single" w:sz="4" w:space="0" w:color="auto"/>
              <w:bottom w:val="single" w:sz="4" w:space="0" w:color="auto"/>
              <w:right w:val="single" w:sz="4" w:space="0" w:color="auto"/>
            </w:tcBorders>
            <w:shd w:val="clear" w:color="auto" w:fill="auto"/>
            <w:noWrap/>
            <w:vAlign w:val="center"/>
            <w:hideMark/>
          </w:tcPr>
          <w:p w:rsidR="00D25D2F" w:rsidRPr="00AE201E" w:rsidP="00D25D2F">
            <w:pPr>
              <w:rPr>
                <w:rFonts w:cstheme="minorHAnsi"/>
                <w:i/>
                <w:iCs/>
                <w:color w:val="000000"/>
              </w:rPr>
            </w:pPr>
            <w:r w:rsidRPr="00AE201E">
              <w:rPr>
                <w:rFonts w:cstheme="minorHAnsi"/>
                <w:i/>
                <w:iCs/>
                <w:color w:val="000000"/>
              </w:rPr>
              <w:t>student loans ring fence in RDEL</w:t>
            </w:r>
          </w:p>
        </w:tc>
        <w:tc>
          <w:tcPr>
            <w:tcW w:w="1220" w:type="dxa"/>
            <w:tcBorders>
              <w:top w:val="nil"/>
              <w:left w:val="nil"/>
              <w:bottom w:val="single" w:sz="8" w:space="0" w:color="auto"/>
              <w:right w:val="single" w:sz="8" w:space="0" w:color="auto"/>
            </w:tcBorders>
            <w:shd w:val="clear" w:color="auto" w:fill="auto"/>
            <w:noWrap/>
            <w:vAlign w:val="bottom"/>
          </w:tcPr>
          <w:p w:rsidR="00D25D2F" w:rsidRPr="00AE201E" w:rsidP="00D25D2F">
            <w:pPr>
              <w:jc w:val="right"/>
              <w:rPr>
                <w:rFonts w:cstheme="minorHAnsi"/>
                <w:i/>
                <w:iCs/>
                <w:color w:val="000000"/>
              </w:rPr>
            </w:pPr>
            <w:r>
              <w:rPr>
                <w:rFonts w:cstheme="minorHAnsi"/>
                <w:i/>
                <w:iCs/>
                <w:color w:val="000000"/>
              </w:rPr>
              <w:t>459.0</w:t>
            </w:r>
          </w:p>
        </w:tc>
      </w:tr>
      <w:tr w:rsidTr="00167089">
        <w:tblPrEx>
          <w:tblW w:w="6240" w:type="dxa"/>
          <w:tblInd w:w="93" w:type="dxa"/>
          <w:tblLook w:val="04A0"/>
        </w:tblPrEx>
        <w:trPr>
          <w:trHeight w:val="300"/>
        </w:trPr>
        <w:tc>
          <w:tcPr>
            <w:tcW w:w="5020" w:type="dxa"/>
            <w:tcBorders>
              <w:top w:val="nil"/>
              <w:left w:val="single" w:sz="4" w:space="0" w:color="auto"/>
              <w:bottom w:val="single" w:sz="4" w:space="0" w:color="auto"/>
              <w:right w:val="single" w:sz="4" w:space="0" w:color="auto"/>
            </w:tcBorders>
            <w:shd w:val="clear" w:color="auto" w:fill="auto"/>
            <w:noWrap/>
            <w:vAlign w:val="center"/>
            <w:hideMark/>
          </w:tcPr>
          <w:p w:rsidR="00D25D2F" w:rsidRPr="00AE201E" w:rsidP="00D25D2F">
            <w:pPr>
              <w:rPr>
                <w:rFonts w:cstheme="minorHAnsi"/>
                <w:color w:val="000000"/>
              </w:rPr>
            </w:pPr>
            <w:r w:rsidRPr="00AE201E">
              <w:rPr>
                <w:rFonts w:cstheme="minorHAnsi"/>
                <w:color w:val="000000"/>
              </w:rPr>
              <w:t>CDEL</w:t>
            </w:r>
          </w:p>
        </w:tc>
        <w:tc>
          <w:tcPr>
            <w:tcW w:w="1220" w:type="dxa"/>
            <w:tcBorders>
              <w:top w:val="nil"/>
              <w:left w:val="nil"/>
              <w:bottom w:val="single" w:sz="8" w:space="0" w:color="auto"/>
              <w:right w:val="single" w:sz="8" w:space="0" w:color="auto"/>
            </w:tcBorders>
            <w:shd w:val="clear" w:color="auto" w:fill="auto"/>
            <w:noWrap/>
            <w:vAlign w:val="bottom"/>
          </w:tcPr>
          <w:p w:rsidR="00D25D2F" w:rsidRPr="00AE201E" w:rsidP="00D25D2F">
            <w:pPr>
              <w:jc w:val="right"/>
              <w:rPr>
                <w:rFonts w:cstheme="minorHAnsi"/>
                <w:b/>
                <w:color w:val="000000"/>
              </w:rPr>
            </w:pPr>
            <w:r w:rsidRPr="00AE201E">
              <w:rPr>
                <w:rFonts w:cstheme="minorHAnsi"/>
                <w:b/>
                <w:bCs/>
                <w:color w:val="000000"/>
              </w:rPr>
              <w:t>2,</w:t>
            </w:r>
            <w:r w:rsidR="00BD0F58">
              <w:rPr>
                <w:rFonts w:cstheme="minorHAnsi"/>
                <w:b/>
                <w:bCs/>
                <w:color w:val="000000"/>
              </w:rPr>
              <w:t>226.3</w:t>
            </w:r>
          </w:p>
        </w:tc>
      </w:tr>
      <w:tr w:rsidTr="00167089">
        <w:tblPrEx>
          <w:tblW w:w="6240" w:type="dxa"/>
          <w:tblInd w:w="93" w:type="dxa"/>
          <w:tblLook w:val="04A0"/>
        </w:tblPrEx>
        <w:trPr>
          <w:trHeight w:val="300"/>
        </w:trPr>
        <w:tc>
          <w:tcPr>
            <w:tcW w:w="5020" w:type="dxa"/>
            <w:tcBorders>
              <w:top w:val="nil"/>
              <w:left w:val="single" w:sz="4" w:space="0" w:color="auto"/>
              <w:bottom w:val="single" w:sz="4" w:space="0" w:color="auto"/>
              <w:right w:val="single" w:sz="4" w:space="0" w:color="auto"/>
            </w:tcBorders>
            <w:shd w:val="clear" w:color="auto" w:fill="auto"/>
            <w:noWrap/>
            <w:vAlign w:val="center"/>
          </w:tcPr>
          <w:p w:rsidR="00D25D2F" w:rsidRPr="00AE201E" w:rsidP="00D25D2F">
            <w:pPr>
              <w:rPr>
                <w:rFonts w:cstheme="minorHAnsi"/>
                <w:i/>
                <w:color w:val="000000"/>
              </w:rPr>
            </w:pPr>
            <w:r w:rsidRPr="00AE201E">
              <w:rPr>
                <w:rFonts w:cstheme="minorHAnsi"/>
                <w:i/>
                <w:color w:val="000000"/>
              </w:rPr>
              <w:t>Of which:</w:t>
            </w:r>
          </w:p>
        </w:tc>
        <w:tc>
          <w:tcPr>
            <w:tcW w:w="1220" w:type="dxa"/>
            <w:tcBorders>
              <w:top w:val="nil"/>
              <w:left w:val="nil"/>
              <w:bottom w:val="single" w:sz="8" w:space="0" w:color="auto"/>
              <w:right w:val="single" w:sz="8" w:space="0" w:color="auto"/>
            </w:tcBorders>
            <w:shd w:val="clear" w:color="auto" w:fill="auto"/>
            <w:noWrap/>
            <w:vAlign w:val="bottom"/>
          </w:tcPr>
          <w:p w:rsidR="00D25D2F" w:rsidRPr="00AE201E" w:rsidP="00D25D2F">
            <w:pPr>
              <w:jc w:val="right"/>
              <w:rPr>
                <w:rFonts w:cstheme="minorHAnsi"/>
                <w:color w:val="000000"/>
              </w:rPr>
            </w:pPr>
            <w:r w:rsidRPr="00AE201E">
              <w:rPr>
                <w:rFonts w:cstheme="minorHAnsi"/>
                <w:color w:val="000000"/>
              </w:rPr>
              <w:t> </w:t>
            </w:r>
          </w:p>
        </w:tc>
      </w:tr>
      <w:tr w:rsidTr="00167089">
        <w:tblPrEx>
          <w:tblW w:w="6240" w:type="dxa"/>
          <w:tblInd w:w="93" w:type="dxa"/>
          <w:tblLook w:val="04A0"/>
        </w:tblPrEx>
        <w:trPr>
          <w:trHeight w:val="300"/>
        </w:trPr>
        <w:tc>
          <w:tcPr>
            <w:tcW w:w="5020" w:type="dxa"/>
            <w:tcBorders>
              <w:top w:val="nil"/>
              <w:left w:val="single" w:sz="4" w:space="0" w:color="auto"/>
              <w:bottom w:val="single" w:sz="4" w:space="0" w:color="auto"/>
              <w:right w:val="single" w:sz="4" w:space="0" w:color="auto"/>
            </w:tcBorders>
            <w:shd w:val="clear" w:color="auto" w:fill="auto"/>
            <w:noWrap/>
            <w:vAlign w:val="center"/>
          </w:tcPr>
          <w:p w:rsidR="00D25D2F" w:rsidRPr="00AE201E" w:rsidP="00D25D2F">
            <w:pPr>
              <w:rPr>
                <w:rFonts w:cstheme="minorHAnsi"/>
                <w:i/>
                <w:color w:val="000000"/>
              </w:rPr>
            </w:pPr>
            <w:r w:rsidRPr="00AE201E">
              <w:rPr>
                <w:rFonts w:cstheme="minorHAnsi"/>
                <w:i/>
                <w:color w:val="000000"/>
              </w:rPr>
              <w:t>General CDEL</w:t>
            </w:r>
          </w:p>
        </w:tc>
        <w:tc>
          <w:tcPr>
            <w:tcW w:w="1220" w:type="dxa"/>
            <w:tcBorders>
              <w:top w:val="nil"/>
              <w:left w:val="nil"/>
              <w:bottom w:val="single" w:sz="8" w:space="0" w:color="auto"/>
              <w:right w:val="single" w:sz="8" w:space="0" w:color="auto"/>
            </w:tcBorders>
            <w:shd w:val="clear" w:color="auto" w:fill="auto"/>
            <w:noWrap/>
            <w:vAlign w:val="bottom"/>
          </w:tcPr>
          <w:p w:rsidR="00D25D2F" w:rsidRPr="00AE201E" w:rsidP="00D25D2F">
            <w:pPr>
              <w:jc w:val="right"/>
              <w:rPr>
                <w:rFonts w:cstheme="minorHAnsi"/>
                <w:color w:val="000000"/>
              </w:rPr>
            </w:pPr>
            <w:r w:rsidRPr="00AE201E">
              <w:rPr>
                <w:rFonts w:cstheme="minorHAnsi"/>
                <w:i/>
                <w:iCs/>
                <w:color w:val="000000"/>
              </w:rPr>
              <w:t>1,</w:t>
            </w:r>
            <w:r w:rsidR="00BD0F58">
              <w:rPr>
                <w:rFonts w:cstheme="minorHAnsi"/>
                <w:i/>
                <w:iCs/>
                <w:color w:val="000000"/>
              </w:rPr>
              <w:t>942.1</w:t>
            </w:r>
          </w:p>
        </w:tc>
      </w:tr>
      <w:tr w:rsidTr="00167089">
        <w:tblPrEx>
          <w:tblW w:w="6240" w:type="dxa"/>
          <w:tblInd w:w="93" w:type="dxa"/>
          <w:tblLook w:val="04A0"/>
        </w:tblPrEx>
        <w:trPr>
          <w:trHeight w:val="300"/>
        </w:trPr>
        <w:tc>
          <w:tcPr>
            <w:tcW w:w="5020" w:type="dxa"/>
            <w:tcBorders>
              <w:top w:val="nil"/>
              <w:left w:val="single" w:sz="4" w:space="0" w:color="auto"/>
              <w:bottom w:val="single" w:sz="4" w:space="0" w:color="auto"/>
              <w:right w:val="single" w:sz="4" w:space="0" w:color="auto"/>
            </w:tcBorders>
            <w:shd w:val="clear" w:color="auto" w:fill="auto"/>
            <w:noWrap/>
            <w:vAlign w:val="center"/>
          </w:tcPr>
          <w:p w:rsidR="00D25D2F" w:rsidRPr="00AE201E" w:rsidP="00D25D2F">
            <w:pPr>
              <w:rPr>
                <w:rFonts w:cstheme="minorHAnsi"/>
                <w:i/>
                <w:color w:val="000000"/>
              </w:rPr>
            </w:pPr>
            <w:r w:rsidRPr="00AE201E">
              <w:rPr>
                <w:rFonts w:cstheme="minorHAnsi"/>
                <w:i/>
                <w:color w:val="000000"/>
              </w:rPr>
              <w:t>Ring-fenced Financial Transactions</w:t>
            </w:r>
          </w:p>
        </w:tc>
        <w:tc>
          <w:tcPr>
            <w:tcW w:w="1220" w:type="dxa"/>
            <w:tcBorders>
              <w:top w:val="nil"/>
              <w:left w:val="nil"/>
              <w:bottom w:val="single" w:sz="8" w:space="0" w:color="auto"/>
              <w:right w:val="single" w:sz="8" w:space="0" w:color="auto"/>
            </w:tcBorders>
            <w:shd w:val="clear" w:color="auto" w:fill="auto"/>
            <w:noWrap/>
            <w:vAlign w:val="bottom"/>
          </w:tcPr>
          <w:p w:rsidR="00D25D2F" w:rsidRPr="00AE201E" w:rsidP="00D25D2F">
            <w:pPr>
              <w:jc w:val="right"/>
              <w:rPr>
                <w:rFonts w:cstheme="minorHAnsi"/>
                <w:color w:val="000000"/>
              </w:rPr>
            </w:pPr>
            <w:r>
              <w:rPr>
                <w:rFonts w:cstheme="minorHAnsi"/>
                <w:i/>
                <w:iCs/>
                <w:color w:val="000000"/>
              </w:rPr>
              <w:t>284.2</w:t>
            </w:r>
          </w:p>
        </w:tc>
      </w:tr>
    </w:tbl>
    <w:p w:rsidR="00C70198" w:rsidRPr="00AE201E" w:rsidP="00C70198">
      <w:pPr>
        <w:rPr>
          <w:rFonts w:cstheme="minorHAnsi"/>
          <w:i/>
        </w:rPr>
      </w:pPr>
      <w:r w:rsidRPr="00AE201E">
        <w:rPr>
          <w:rFonts w:cstheme="minorHAnsi"/>
          <w:i/>
        </w:rPr>
        <w:t>*includes block grant adjustment for tax devolution of £12,</w:t>
      </w:r>
      <w:r w:rsidRPr="00AE201E" w:rsidR="00D25D2F">
        <w:rPr>
          <w:rFonts w:cstheme="minorHAnsi"/>
          <w:i/>
        </w:rPr>
        <w:t>195</w:t>
      </w:r>
      <w:r w:rsidRPr="00AE201E">
        <w:rPr>
          <w:rFonts w:cstheme="minorHAnsi"/>
          <w:i/>
        </w:rPr>
        <w:t xml:space="preserve"> million</w:t>
      </w:r>
    </w:p>
    <w:p w:rsidR="00C70198" w:rsidRPr="00AE201E" w:rsidP="00C70198">
      <w:pPr>
        <w:rPr>
          <w:rFonts w:cstheme="minorHAnsi"/>
          <w:i/>
        </w:rPr>
      </w:pPr>
    </w:p>
    <w:p w:rsidR="00C70198" w:rsidRPr="00AE201E" w:rsidP="00C70198">
      <w:pPr>
        <w:rPr>
          <w:rFonts w:cstheme="minorHAnsi"/>
        </w:rPr>
      </w:pPr>
      <w:r w:rsidRPr="00AE201E">
        <w:rPr>
          <w:rFonts w:cstheme="minorHAnsi"/>
        </w:rPr>
        <w:t xml:space="preserve">In addition, the </w:t>
      </w:r>
      <w:r w:rsidRPr="00AE201E" w:rsidR="004F790C">
        <w:rPr>
          <w:rFonts w:cstheme="minorHAnsi"/>
        </w:rPr>
        <w:t xml:space="preserve">Welsh </w:t>
      </w:r>
      <w:r w:rsidRPr="00AE201E">
        <w:rPr>
          <w:rFonts w:cstheme="minorHAnsi"/>
        </w:rPr>
        <w:t xml:space="preserve">Government are forecasting Annually Managed Expenditure of </w:t>
      </w:r>
      <w:r w:rsidRPr="00AE201E" w:rsidR="00124645">
        <w:rPr>
          <w:rFonts w:cstheme="minorHAnsi"/>
        </w:rPr>
        <w:t>£3,3</w:t>
      </w:r>
      <w:r w:rsidR="00AF3317">
        <w:rPr>
          <w:rFonts w:cstheme="minorHAnsi"/>
        </w:rPr>
        <w:t>73.2</w:t>
      </w:r>
      <w:r w:rsidR="00F4328A">
        <w:rPr>
          <w:rFonts w:cstheme="minorHAnsi"/>
        </w:rPr>
        <w:t>2</w:t>
      </w:r>
      <w:r w:rsidRPr="00AE201E" w:rsidR="00124645">
        <w:rPr>
          <w:rFonts w:cstheme="minorHAnsi"/>
        </w:rPr>
        <w:t xml:space="preserve"> </w:t>
      </w:r>
      <w:r w:rsidRPr="00AE201E">
        <w:rPr>
          <w:rFonts w:cstheme="minorHAnsi"/>
        </w:rPr>
        <w:t>million in the following areas:</w:t>
      </w:r>
    </w:p>
    <w:tbl>
      <w:tblPr>
        <w:tblStyle w:val="TableGrid"/>
        <w:tblW w:w="8594" w:type="dxa"/>
        <w:tblLook w:val="04A0"/>
      </w:tblPr>
      <w:tblGrid>
        <w:gridCol w:w="4872"/>
        <w:gridCol w:w="1104"/>
        <w:gridCol w:w="953"/>
        <w:gridCol w:w="1665"/>
      </w:tblGrid>
      <w:tr w:rsidTr="00097005">
        <w:tblPrEx>
          <w:tblW w:w="8594" w:type="dxa"/>
          <w:tblLook w:val="04A0"/>
        </w:tblPrEx>
        <w:trPr>
          <w:trHeight w:val="828"/>
        </w:trPr>
        <w:tc>
          <w:tcPr>
            <w:tcW w:w="4872" w:type="dxa"/>
            <w:noWrap/>
            <w:hideMark/>
          </w:tcPr>
          <w:p w:rsidR="00AF3317" w:rsidRPr="00AF3317">
            <w:pPr>
              <w:rPr>
                <w:rFonts w:cstheme="minorHAnsi"/>
                <w:b/>
                <w:bCs/>
              </w:rPr>
            </w:pPr>
            <w:r w:rsidRPr="00AF3317">
              <w:rPr>
                <w:rFonts w:cstheme="minorHAnsi"/>
                <w:b/>
                <w:bCs/>
              </w:rPr>
              <w:t>Programme</w:t>
            </w:r>
          </w:p>
        </w:tc>
        <w:tc>
          <w:tcPr>
            <w:tcW w:w="1104" w:type="dxa"/>
            <w:hideMark/>
          </w:tcPr>
          <w:p w:rsidR="00AF3317" w:rsidRPr="00AF3317" w:rsidP="00AF3317">
            <w:pPr>
              <w:rPr>
                <w:rFonts w:cstheme="minorHAnsi"/>
                <w:b/>
                <w:bCs/>
              </w:rPr>
            </w:pPr>
            <w:r w:rsidRPr="00AF3317">
              <w:rPr>
                <w:rFonts w:cstheme="minorHAnsi"/>
                <w:b/>
                <w:bCs/>
              </w:rPr>
              <w:t>Main Estimates 2019-20</w:t>
            </w:r>
          </w:p>
        </w:tc>
        <w:tc>
          <w:tcPr>
            <w:tcW w:w="953" w:type="dxa"/>
            <w:hideMark/>
          </w:tcPr>
          <w:p w:rsidR="00AF3317" w:rsidRPr="00AF3317" w:rsidP="00AF3317">
            <w:pPr>
              <w:rPr>
                <w:rFonts w:cstheme="minorHAnsi"/>
                <w:b/>
                <w:bCs/>
              </w:rPr>
            </w:pPr>
            <w:r w:rsidRPr="00AF3317">
              <w:rPr>
                <w:rFonts w:cstheme="minorHAnsi"/>
                <w:b/>
                <w:bCs/>
              </w:rPr>
              <w:t>Change</w:t>
            </w:r>
          </w:p>
        </w:tc>
        <w:tc>
          <w:tcPr>
            <w:tcW w:w="1665" w:type="dxa"/>
            <w:hideMark/>
          </w:tcPr>
          <w:p w:rsidR="00AF3317" w:rsidRPr="00AF3317" w:rsidP="00AF3317">
            <w:pPr>
              <w:rPr>
                <w:rFonts w:cstheme="minorHAnsi"/>
                <w:b/>
                <w:bCs/>
              </w:rPr>
            </w:pPr>
            <w:r w:rsidRPr="00AF3317">
              <w:rPr>
                <w:rFonts w:cstheme="minorHAnsi"/>
                <w:b/>
                <w:bCs/>
              </w:rPr>
              <w:t>Supplementary Estimates 2019</w:t>
            </w:r>
            <w:r w:rsidR="00514129">
              <w:rPr>
                <w:rFonts w:cstheme="minorHAnsi"/>
                <w:b/>
                <w:bCs/>
              </w:rPr>
              <w:t>-</w:t>
            </w:r>
            <w:r w:rsidRPr="00AF3317">
              <w:rPr>
                <w:rFonts w:cstheme="minorHAnsi"/>
                <w:b/>
                <w:bCs/>
              </w:rPr>
              <w:t>20</w:t>
            </w:r>
          </w:p>
        </w:tc>
      </w:tr>
      <w:tr w:rsidTr="00097005">
        <w:tblPrEx>
          <w:tblW w:w="8594" w:type="dxa"/>
          <w:tblLook w:val="04A0"/>
        </w:tblPrEx>
        <w:trPr>
          <w:trHeight w:val="276"/>
        </w:trPr>
        <w:tc>
          <w:tcPr>
            <w:tcW w:w="4872" w:type="dxa"/>
            <w:noWrap/>
            <w:hideMark/>
          </w:tcPr>
          <w:p w:rsidR="00AF3317" w:rsidRPr="00AF3317">
            <w:pPr>
              <w:rPr>
                <w:rFonts w:cstheme="minorHAnsi"/>
                <w:b/>
                <w:bCs/>
              </w:rPr>
            </w:pPr>
            <w:r w:rsidRPr="00AF3317">
              <w:rPr>
                <w:rFonts w:cstheme="minorHAnsi"/>
                <w:b/>
                <w:bCs/>
              </w:rPr>
              <w:t> </w:t>
            </w:r>
          </w:p>
        </w:tc>
        <w:tc>
          <w:tcPr>
            <w:tcW w:w="1104" w:type="dxa"/>
            <w:noWrap/>
            <w:hideMark/>
          </w:tcPr>
          <w:p w:rsidR="00AF3317" w:rsidRPr="00AF3317" w:rsidP="00AF3317">
            <w:pPr>
              <w:rPr>
                <w:rFonts w:cstheme="minorHAnsi"/>
                <w:b/>
                <w:bCs/>
              </w:rPr>
            </w:pPr>
            <w:r w:rsidRPr="00AF3317">
              <w:rPr>
                <w:rFonts w:cstheme="minorHAnsi"/>
                <w:b/>
                <w:bCs/>
              </w:rPr>
              <w:t>£m</w:t>
            </w:r>
          </w:p>
        </w:tc>
        <w:tc>
          <w:tcPr>
            <w:tcW w:w="953" w:type="dxa"/>
            <w:noWrap/>
            <w:hideMark/>
          </w:tcPr>
          <w:p w:rsidR="00AF3317" w:rsidRPr="00AF3317" w:rsidP="00AF3317">
            <w:pPr>
              <w:rPr>
                <w:rFonts w:cstheme="minorHAnsi"/>
                <w:b/>
                <w:bCs/>
              </w:rPr>
            </w:pPr>
            <w:r w:rsidRPr="00AF3317">
              <w:rPr>
                <w:rFonts w:cstheme="minorHAnsi"/>
                <w:b/>
                <w:bCs/>
              </w:rPr>
              <w:t>£m</w:t>
            </w:r>
          </w:p>
        </w:tc>
        <w:tc>
          <w:tcPr>
            <w:tcW w:w="1665" w:type="dxa"/>
            <w:noWrap/>
            <w:hideMark/>
          </w:tcPr>
          <w:p w:rsidR="00AF3317" w:rsidRPr="00AF3317" w:rsidP="00AF3317">
            <w:pPr>
              <w:rPr>
                <w:rFonts w:cstheme="minorHAnsi"/>
                <w:b/>
                <w:bCs/>
              </w:rPr>
            </w:pPr>
            <w:r w:rsidRPr="00AF3317">
              <w:rPr>
                <w:rFonts w:cstheme="minorHAnsi"/>
                <w:b/>
                <w:bCs/>
              </w:rPr>
              <w:t>£m</w:t>
            </w:r>
          </w:p>
        </w:tc>
      </w:tr>
      <w:tr w:rsidTr="00097005">
        <w:tblPrEx>
          <w:tblW w:w="8594" w:type="dxa"/>
          <w:tblLook w:val="04A0"/>
        </w:tblPrEx>
        <w:trPr>
          <w:trHeight w:val="276"/>
        </w:trPr>
        <w:tc>
          <w:tcPr>
            <w:tcW w:w="4872" w:type="dxa"/>
            <w:noWrap/>
            <w:hideMark/>
          </w:tcPr>
          <w:p w:rsidR="00AF3317" w:rsidRPr="00AF3317">
            <w:pPr>
              <w:rPr>
                <w:rFonts w:cstheme="minorHAnsi"/>
              </w:rPr>
            </w:pPr>
            <w:r w:rsidRPr="00AF3317">
              <w:rPr>
                <w:rFonts w:cstheme="minorHAnsi"/>
              </w:rPr>
              <w:t xml:space="preserve">UK Government Funded AME </w:t>
            </w:r>
          </w:p>
        </w:tc>
        <w:tc>
          <w:tcPr>
            <w:tcW w:w="1104" w:type="dxa"/>
            <w:noWrap/>
            <w:hideMark/>
          </w:tcPr>
          <w:p w:rsidR="00AF3317" w:rsidRPr="00AF3317" w:rsidP="00AF3317">
            <w:pPr>
              <w:rPr>
                <w:rFonts w:cstheme="minorHAnsi"/>
              </w:rPr>
            </w:pPr>
            <w:r w:rsidRPr="00AF3317">
              <w:rPr>
                <w:rFonts w:cstheme="minorHAnsi"/>
              </w:rPr>
              <w:t>869.1</w:t>
            </w:r>
          </w:p>
        </w:tc>
        <w:tc>
          <w:tcPr>
            <w:tcW w:w="953" w:type="dxa"/>
            <w:noWrap/>
            <w:hideMark/>
          </w:tcPr>
          <w:p w:rsidR="00AF3317" w:rsidRPr="00AF3317" w:rsidP="00AF3317">
            <w:pPr>
              <w:rPr>
                <w:rFonts w:cstheme="minorHAnsi"/>
              </w:rPr>
            </w:pPr>
            <w:r w:rsidRPr="00AF3317">
              <w:rPr>
                <w:rFonts w:cstheme="minorHAnsi"/>
              </w:rPr>
              <w:t>347.3</w:t>
            </w:r>
          </w:p>
        </w:tc>
        <w:tc>
          <w:tcPr>
            <w:tcW w:w="1665" w:type="dxa"/>
            <w:noWrap/>
            <w:hideMark/>
          </w:tcPr>
          <w:p w:rsidR="00AF3317" w:rsidRPr="00AF3317" w:rsidP="00AF3317">
            <w:pPr>
              <w:rPr>
                <w:rFonts w:cstheme="minorHAnsi"/>
              </w:rPr>
            </w:pPr>
            <w:r w:rsidRPr="00AF3317">
              <w:rPr>
                <w:rFonts w:cstheme="minorHAnsi"/>
              </w:rPr>
              <w:t>1,216.4</w:t>
            </w:r>
          </w:p>
        </w:tc>
      </w:tr>
      <w:tr w:rsidTr="00097005">
        <w:tblPrEx>
          <w:tblW w:w="8594" w:type="dxa"/>
          <w:tblLook w:val="04A0"/>
        </w:tblPrEx>
        <w:trPr>
          <w:trHeight w:val="276"/>
        </w:trPr>
        <w:tc>
          <w:tcPr>
            <w:tcW w:w="4872" w:type="dxa"/>
            <w:noWrap/>
            <w:hideMark/>
          </w:tcPr>
          <w:p w:rsidR="00AF3317" w:rsidRPr="00AF3317">
            <w:pPr>
              <w:rPr>
                <w:rFonts w:cstheme="minorHAnsi"/>
              </w:rPr>
            </w:pPr>
            <w:r w:rsidRPr="00AF3317">
              <w:rPr>
                <w:rFonts w:cstheme="minorHAnsi"/>
              </w:rPr>
              <w:t>Expenditure Financed by Welsh Taxes</w:t>
            </w:r>
          </w:p>
        </w:tc>
        <w:tc>
          <w:tcPr>
            <w:tcW w:w="1104" w:type="dxa"/>
            <w:noWrap/>
            <w:hideMark/>
          </w:tcPr>
          <w:p w:rsidR="00AF3317" w:rsidRPr="00AF3317" w:rsidP="00AF3317">
            <w:pPr>
              <w:rPr>
                <w:rFonts w:cstheme="minorHAnsi"/>
              </w:rPr>
            </w:pPr>
            <w:r w:rsidRPr="00AF3317">
              <w:rPr>
                <w:rFonts w:cstheme="minorHAnsi"/>
              </w:rPr>
              <w:t> </w:t>
            </w:r>
          </w:p>
        </w:tc>
        <w:tc>
          <w:tcPr>
            <w:tcW w:w="953" w:type="dxa"/>
            <w:noWrap/>
            <w:hideMark/>
          </w:tcPr>
          <w:p w:rsidR="00AF3317" w:rsidRPr="00AF3317" w:rsidP="00AF3317">
            <w:pPr>
              <w:rPr>
                <w:rFonts w:cstheme="minorHAnsi"/>
              </w:rPr>
            </w:pPr>
            <w:r w:rsidRPr="00AF3317">
              <w:rPr>
                <w:rFonts w:cstheme="minorHAnsi"/>
              </w:rPr>
              <w:t> </w:t>
            </w:r>
          </w:p>
        </w:tc>
        <w:tc>
          <w:tcPr>
            <w:tcW w:w="1665" w:type="dxa"/>
            <w:noWrap/>
            <w:hideMark/>
          </w:tcPr>
          <w:p w:rsidR="00AF3317" w:rsidRPr="00AF3317" w:rsidP="00AF3317">
            <w:pPr>
              <w:rPr>
                <w:rFonts w:cstheme="minorHAnsi"/>
              </w:rPr>
            </w:pPr>
            <w:r w:rsidRPr="00AF3317">
              <w:rPr>
                <w:rFonts w:cstheme="minorHAnsi"/>
              </w:rPr>
              <w:t> </w:t>
            </w:r>
          </w:p>
        </w:tc>
      </w:tr>
      <w:tr w:rsidTr="00097005">
        <w:tblPrEx>
          <w:tblW w:w="8594" w:type="dxa"/>
          <w:tblLook w:val="04A0"/>
        </w:tblPrEx>
        <w:trPr>
          <w:trHeight w:val="276"/>
        </w:trPr>
        <w:tc>
          <w:tcPr>
            <w:tcW w:w="4872" w:type="dxa"/>
            <w:noWrap/>
            <w:hideMark/>
          </w:tcPr>
          <w:p w:rsidR="00AF3317" w:rsidRPr="00AF3317">
            <w:pPr>
              <w:rPr>
                <w:rFonts w:cstheme="minorHAnsi"/>
              </w:rPr>
            </w:pPr>
            <w:r w:rsidRPr="00AF3317">
              <w:rPr>
                <w:rFonts w:cstheme="minorHAnsi"/>
              </w:rPr>
              <w:t xml:space="preserve">   Income Tax</w:t>
            </w:r>
          </w:p>
        </w:tc>
        <w:tc>
          <w:tcPr>
            <w:tcW w:w="1104" w:type="dxa"/>
            <w:noWrap/>
            <w:hideMark/>
          </w:tcPr>
          <w:p w:rsidR="00AF3317" w:rsidRPr="00AF3317" w:rsidP="00AF3317">
            <w:pPr>
              <w:rPr>
                <w:rFonts w:cstheme="minorHAnsi"/>
              </w:rPr>
            </w:pPr>
            <w:r w:rsidRPr="00AF3317">
              <w:rPr>
                <w:rFonts w:cstheme="minorHAnsi"/>
              </w:rPr>
              <w:t>2,059.0</w:t>
            </w:r>
          </w:p>
        </w:tc>
        <w:tc>
          <w:tcPr>
            <w:tcW w:w="953" w:type="dxa"/>
            <w:noWrap/>
            <w:hideMark/>
          </w:tcPr>
          <w:p w:rsidR="00AF3317" w:rsidRPr="00AF3317" w:rsidP="00AF3317">
            <w:pPr>
              <w:rPr>
                <w:rFonts w:cstheme="minorHAnsi"/>
              </w:rPr>
            </w:pPr>
            <w:r w:rsidRPr="00AF3317">
              <w:rPr>
                <w:rFonts w:cstheme="minorHAnsi"/>
              </w:rPr>
              <w:t>0.0</w:t>
            </w:r>
          </w:p>
        </w:tc>
        <w:tc>
          <w:tcPr>
            <w:tcW w:w="1665" w:type="dxa"/>
            <w:noWrap/>
            <w:hideMark/>
          </w:tcPr>
          <w:p w:rsidR="00AF3317" w:rsidRPr="00AF3317" w:rsidP="00AF3317">
            <w:pPr>
              <w:rPr>
                <w:rFonts w:cstheme="minorHAnsi"/>
              </w:rPr>
            </w:pPr>
            <w:r w:rsidRPr="00AF3317">
              <w:rPr>
                <w:rFonts w:cstheme="minorHAnsi"/>
              </w:rPr>
              <w:t>2,059.0</w:t>
            </w:r>
          </w:p>
        </w:tc>
      </w:tr>
      <w:tr w:rsidTr="00097005">
        <w:tblPrEx>
          <w:tblW w:w="8594" w:type="dxa"/>
          <w:tblLook w:val="04A0"/>
        </w:tblPrEx>
        <w:trPr>
          <w:trHeight w:val="276"/>
        </w:trPr>
        <w:tc>
          <w:tcPr>
            <w:tcW w:w="4872" w:type="dxa"/>
            <w:noWrap/>
            <w:hideMark/>
          </w:tcPr>
          <w:p w:rsidR="00AF3317" w:rsidRPr="00AF3317">
            <w:pPr>
              <w:rPr>
                <w:rFonts w:cstheme="minorHAnsi"/>
              </w:rPr>
            </w:pPr>
            <w:r w:rsidRPr="00AF3317">
              <w:rPr>
                <w:rFonts w:cstheme="minorHAnsi"/>
              </w:rPr>
              <w:t xml:space="preserve">   Land Transaction Tax</w:t>
            </w:r>
          </w:p>
        </w:tc>
        <w:tc>
          <w:tcPr>
            <w:tcW w:w="1104" w:type="dxa"/>
            <w:noWrap/>
            <w:hideMark/>
          </w:tcPr>
          <w:p w:rsidR="00AF3317" w:rsidRPr="00AF3317" w:rsidP="00AF3317">
            <w:pPr>
              <w:rPr>
                <w:rFonts w:cstheme="minorHAnsi"/>
              </w:rPr>
            </w:pPr>
            <w:r w:rsidRPr="00AF3317">
              <w:rPr>
                <w:rFonts w:cstheme="minorHAnsi"/>
              </w:rPr>
              <w:t>256.0</w:t>
            </w:r>
          </w:p>
        </w:tc>
        <w:tc>
          <w:tcPr>
            <w:tcW w:w="953" w:type="dxa"/>
            <w:noWrap/>
            <w:hideMark/>
          </w:tcPr>
          <w:p w:rsidR="00AF3317" w:rsidRPr="00AF3317" w:rsidP="00AF3317">
            <w:pPr>
              <w:rPr>
                <w:rFonts w:cstheme="minorHAnsi"/>
              </w:rPr>
            </w:pPr>
            <w:r w:rsidRPr="00AF3317">
              <w:rPr>
                <w:rFonts w:cstheme="minorHAnsi"/>
              </w:rPr>
              <w:t>3.8</w:t>
            </w:r>
          </w:p>
        </w:tc>
        <w:tc>
          <w:tcPr>
            <w:tcW w:w="1665" w:type="dxa"/>
            <w:noWrap/>
            <w:hideMark/>
          </w:tcPr>
          <w:p w:rsidR="00AF3317" w:rsidRPr="00AF3317" w:rsidP="00AF3317">
            <w:pPr>
              <w:rPr>
                <w:rFonts w:cstheme="minorHAnsi"/>
              </w:rPr>
            </w:pPr>
            <w:r w:rsidRPr="00AF3317">
              <w:rPr>
                <w:rFonts w:cstheme="minorHAnsi"/>
              </w:rPr>
              <w:t>259.8</w:t>
            </w:r>
          </w:p>
        </w:tc>
      </w:tr>
      <w:tr w:rsidTr="00097005">
        <w:tblPrEx>
          <w:tblW w:w="8594" w:type="dxa"/>
          <w:tblLook w:val="04A0"/>
        </w:tblPrEx>
        <w:trPr>
          <w:trHeight w:val="276"/>
        </w:trPr>
        <w:tc>
          <w:tcPr>
            <w:tcW w:w="4872" w:type="dxa"/>
            <w:noWrap/>
            <w:hideMark/>
          </w:tcPr>
          <w:p w:rsidR="00AF3317" w:rsidRPr="00AF3317">
            <w:pPr>
              <w:rPr>
                <w:rFonts w:cstheme="minorHAnsi"/>
              </w:rPr>
            </w:pPr>
            <w:r w:rsidRPr="00AF3317">
              <w:rPr>
                <w:rFonts w:cstheme="minorHAnsi"/>
              </w:rPr>
              <w:t xml:space="preserve">   Landfill Disposal Tax</w:t>
            </w:r>
          </w:p>
        </w:tc>
        <w:tc>
          <w:tcPr>
            <w:tcW w:w="1104" w:type="dxa"/>
            <w:noWrap/>
            <w:hideMark/>
          </w:tcPr>
          <w:p w:rsidR="00AF3317" w:rsidRPr="00AF3317" w:rsidP="00AF3317">
            <w:pPr>
              <w:rPr>
                <w:rFonts w:cstheme="minorHAnsi"/>
              </w:rPr>
            </w:pPr>
            <w:r w:rsidRPr="00AF3317">
              <w:rPr>
                <w:rFonts w:cstheme="minorHAnsi"/>
              </w:rPr>
              <w:t>43.0</w:t>
            </w:r>
          </w:p>
        </w:tc>
        <w:tc>
          <w:tcPr>
            <w:tcW w:w="953" w:type="dxa"/>
            <w:noWrap/>
            <w:hideMark/>
          </w:tcPr>
          <w:p w:rsidR="00AF3317" w:rsidRPr="00AF3317" w:rsidP="00AF3317">
            <w:pPr>
              <w:rPr>
                <w:rFonts w:cstheme="minorHAnsi"/>
              </w:rPr>
            </w:pPr>
            <w:r w:rsidRPr="00AF3317">
              <w:rPr>
                <w:rFonts w:cstheme="minorHAnsi"/>
              </w:rPr>
              <w:t>-5.0</w:t>
            </w:r>
          </w:p>
        </w:tc>
        <w:tc>
          <w:tcPr>
            <w:tcW w:w="1665" w:type="dxa"/>
            <w:noWrap/>
            <w:hideMark/>
          </w:tcPr>
          <w:p w:rsidR="00AF3317" w:rsidRPr="00AF3317" w:rsidP="00AF3317">
            <w:pPr>
              <w:rPr>
                <w:rFonts w:cstheme="minorHAnsi"/>
              </w:rPr>
            </w:pPr>
            <w:r w:rsidRPr="00AF3317">
              <w:rPr>
                <w:rFonts w:cstheme="minorHAnsi"/>
              </w:rPr>
              <w:t>38.0</w:t>
            </w:r>
          </w:p>
        </w:tc>
      </w:tr>
      <w:tr w:rsidTr="00097005">
        <w:tblPrEx>
          <w:tblW w:w="8594" w:type="dxa"/>
          <w:tblLook w:val="04A0"/>
        </w:tblPrEx>
        <w:trPr>
          <w:trHeight w:val="276"/>
        </w:trPr>
        <w:tc>
          <w:tcPr>
            <w:tcW w:w="4872" w:type="dxa"/>
            <w:noWrap/>
            <w:hideMark/>
          </w:tcPr>
          <w:p w:rsidR="00AF3317" w:rsidRPr="00AF3317">
            <w:pPr>
              <w:rPr>
                <w:rFonts w:cstheme="minorHAnsi"/>
              </w:rPr>
            </w:pPr>
            <w:r w:rsidRPr="00AF3317">
              <w:rPr>
                <w:rFonts w:cstheme="minorHAnsi"/>
              </w:rPr>
              <w:t>Expenditure Financed by Capital Borrowing</w:t>
            </w:r>
          </w:p>
        </w:tc>
        <w:tc>
          <w:tcPr>
            <w:tcW w:w="1104" w:type="dxa"/>
            <w:noWrap/>
            <w:hideMark/>
          </w:tcPr>
          <w:p w:rsidR="00AF3317" w:rsidRPr="00AF3317" w:rsidP="00AF3317">
            <w:pPr>
              <w:rPr>
                <w:rFonts w:cstheme="minorHAnsi"/>
              </w:rPr>
            </w:pPr>
            <w:r w:rsidRPr="00AF3317">
              <w:rPr>
                <w:rFonts w:cstheme="minorHAnsi"/>
              </w:rPr>
              <w:t>125.0</w:t>
            </w:r>
          </w:p>
        </w:tc>
        <w:tc>
          <w:tcPr>
            <w:tcW w:w="953" w:type="dxa"/>
            <w:noWrap/>
            <w:hideMark/>
          </w:tcPr>
          <w:p w:rsidR="00AF3317" w:rsidRPr="00AF3317" w:rsidP="00AF3317">
            <w:pPr>
              <w:rPr>
                <w:rFonts w:cstheme="minorHAnsi"/>
              </w:rPr>
            </w:pPr>
            <w:r w:rsidRPr="00AF3317">
              <w:rPr>
                <w:rFonts w:cstheme="minorHAnsi"/>
              </w:rPr>
              <w:t>-125.0</w:t>
            </w:r>
          </w:p>
        </w:tc>
        <w:tc>
          <w:tcPr>
            <w:tcW w:w="1665" w:type="dxa"/>
            <w:noWrap/>
            <w:hideMark/>
          </w:tcPr>
          <w:p w:rsidR="00AF3317" w:rsidRPr="00AF3317" w:rsidP="00AF3317">
            <w:pPr>
              <w:rPr>
                <w:rFonts w:cstheme="minorHAnsi"/>
              </w:rPr>
            </w:pPr>
            <w:r w:rsidRPr="00AF3317">
              <w:rPr>
                <w:rFonts w:cstheme="minorHAnsi"/>
              </w:rPr>
              <w:t>0.0</w:t>
            </w:r>
          </w:p>
        </w:tc>
      </w:tr>
      <w:tr w:rsidTr="00097005">
        <w:tblPrEx>
          <w:tblW w:w="8594" w:type="dxa"/>
          <w:tblLook w:val="04A0"/>
        </w:tblPrEx>
        <w:trPr>
          <w:trHeight w:val="276"/>
        </w:trPr>
        <w:tc>
          <w:tcPr>
            <w:tcW w:w="4872" w:type="dxa"/>
            <w:noWrap/>
            <w:hideMark/>
          </w:tcPr>
          <w:p w:rsidR="00AF3317" w:rsidRPr="00AF3317">
            <w:pPr>
              <w:rPr>
                <w:rFonts w:cstheme="minorHAnsi"/>
              </w:rPr>
            </w:pPr>
            <w:r w:rsidRPr="00AF3317">
              <w:rPr>
                <w:rFonts w:cstheme="minorHAnsi"/>
              </w:rPr>
              <w:t> </w:t>
            </w:r>
          </w:p>
        </w:tc>
        <w:tc>
          <w:tcPr>
            <w:tcW w:w="1104" w:type="dxa"/>
            <w:noWrap/>
            <w:hideMark/>
          </w:tcPr>
          <w:p w:rsidR="00AF3317" w:rsidRPr="00AF3317" w:rsidP="00AF3317">
            <w:pPr>
              <w:rPr>
                <w:rFonts w:cstheme="minorHAnsi"/>
              </w:rPr>
            </w:pPr>
            <w:r w:rsidRPr="00AF3317">
              <w:rPr>
                <w:rFonts w:cstheme="minorHAnsi"/>
              </w:rPr>
              <w:t> </w:t>
            </w:r>
          </w:p>
        </w:tc>
        <w:tc>
          <w:tcPr>
            <w:tcW w:w="953" w:type="dxa"/>
            <w:noWrap/>
            <w:hideMark/>
          </w:tcPr>
          <w:p w:rsidR="00AF3317" w:rsidRPr="00AF3317">
            <w:pPr>
              <w:rPr>
                <w:rFonts w:cstheme="minorHAnsi"/>
              </w:rPr>
            </w:pPr>
            <w:r w:rsidRPr="00AF3317">
              <w:rPr>
                <w:rFonts w:cstheme="minorHAnsi"/>
              </w:rPr>
              <w:t> </w:t>
            </w:r>
          </w:p>
        </w:tc>
        <w:tc>
          <w:tcPr>
            <w:tcW w:w="1665" w:type="dxa"/>
            <w:noWrap/>
            <w:hideMark/>
          </w:tcPr>
          <w:p w:rsidR="00AF3317" w:rsidRPr="00AF3317" w:rsidP="00AF3317">
            <w:pPr>
              <w:rPr>
                <w:rFonts w:cstheme="minorHAnsi"/>
              </w:rPr>
            </w:pPr>
            <w:r w:rsidRPr="00AF3317">
              <w:rPr>
                <w:rFonts w:cstheme="minorHAnsi"/>
              </w:rPr>
              <w:t> </w:t>
            </w:r>
          </w:p>
        </w:tc>
      </w:tr>
      <w:tr w:rsidTr="00097005">
        <w:tblPrEx>
          <w:tblW w:w="8594" w:type="dxa"/>
          <w:tblLook w:val="04A0"/>
        </w:tblPrEx>
        <w:trPr>
          <w:trHeight w:val="288"/>
        </w:trPr>
        <w:tc>
          <w:tcPr>
            <w:tcW w:w="4872" w:type="dxa"/>
            <w:noWrap/>
            <w:hideMark/>
          </w:tcPr>
          <w:p w:rsidR="00AF3317" w:rsidRPr="00AF3317">
            <w:pPr>
              <w:rPr>
                <w:rFonts w:cstheme="minorHAnsi"/>
                <w:b/>
                <w:bCs/>
              </w:rPr>
            </w:pPr>
            <w:r w:rsidRPr="00AF3317">
              <w:rPr>
                <w:rFonts w:cstheme="minorHAnsi"/>
                <w:b/>
                <w:bCs/>
              </w:rPr>
              <w:t>Total</w:t>
            </w:r>
          </w:p>
        </w:tc>
        <w:tc>
          <w:tcPr>
            <w:tcW w:w="1104" w:type="dxa"/>
            <w:noWrap/>
            <w:hideMark/>
          </w:tcPr>
          <w:p w:rsidR="00AF3317" w:rsidRPr="00AF3317" w:rsidP="00AF3317">
            <w:pPr>
              <w:rPr>
                <w:rFonts w:cstheme="minorHAnsi"/>
                <w:b/>
                <w:bCs/>
                <w:i/>
                <w:iCs/>
              </w:rPr>
            </w:pPr>
            <w:r w:rsidRPr="00AF3317">
              <w:rPr>
                <w:rFonts w:cstheme="minorHAnsi"/>
                <w:b/>
                <w:bCs/>
                <w:i/>
                <w:iCs/>
              </w:rPr>
              <w:t>3,352.1</w:t>
            </w:r>
          </w:p>
        </w:tc>
        <w:tc>
          <w:tcPr>
            <w:tcW w:w="953" w:type="dxa"/>
            <w:noWrap/>
            <w:hideMark/>
          </w:tcPr>
          <w:p w:rsidR="00AF3317" w:rsidRPr="00AF3317" w:rsidP="00AF3317">
            <w:pPr>
              <w:rPr>
                <w:rFonts w:cstheme="minorHAnsi"/>
                <w:b/>
                <w:bCs/>
                <w:i/>
                <w:iCs/>
              </w:rPr>
            </w:pPr>
            <w:r w:rsidRPr="00AF3317">
              <w:rPr>
                <w:rFonts w:cstheme="minorHAnsi"/>
                <w:b/>
                <w:bCs/>
                <w:i/>
                <w:iCs/>
              </w:rPr>
              <w:t>221.1</w:t>
            </w:r>
          </w:p>
        </w:tc>
        <w:tc>
          <w:tcPr>
            <w:tcW w:w="1665" w:type="dxa"/>
            <w:noWrap/>
            <w:hideMark/>
          </w:tcPr>
          <w:p w:rsidR="00AF3317" w:rsidRPr="00AF3317" w:rsidP="00AF3317">
            <w:pPr>
              <w:rPr>
                <w:rFonts w:cstheme="minorHAnsi"/>
                <w:b/>
                <w:bCs/>
                <w:i/>
                <w:iCs/>
              </w:rPr>
            </w:pPr>
            <w:r w:rsidRPr="00AF3317">
              <w:rPr>
                <w:rFonts w:cstheme="minorHAnsi"/>
                <w:b/>
                <w:bCs/>
                <w:i/>
                <w:iCs/>
              </w:rPr>
              <w:t>3,573.2</w:t>
            </w:r>
          </w:p>
        </w:tc>
      </w:tr>
    </w:tbl>
    <w:p w:rsidR="00C70198" w:rsidRPr="00AE201E" w:rsidP="00C70198">
      <w:pPr>
        <w:rPr>
          <w:rFonts w:cstheme="minorHAnsi"/>
        </w:rPr>
      </w:pPr>
    </w:p>
    <w:tbl>
      <w:tblPr>
        <w:tblW w:w="7386" w:type="dxa"/>
        <w:tblInd w:w="93" w:type="dxa"/>
        <w:tblLook w:val="04A0"/>
      </w:tblPr>
      <w:tblGrid>
        <w:gridCol w:w="5260"/>
        <w:gridCol w:w="2126"/>
      </w:tblGrid>
      <w:tr w:rsidTr="00AF3317">
        <w:tblPrEx>
          <w:tblW w:w="7386" w:type="dxa"/>
          <w:tblInd w:w="93" w:type="dxa"/>
          <w:tblLook w:val="04A0"/>
        </w:tblPrEx>
        <w:trPr>
          <w:trHeight w:val="263"/>
        </w:trPr>
        <w:tc>
          <w:tcPr>
            <w:tcW w:w="5260" w:type="dxa"/>
            <w:tcBorders>
              <w:top w:val="nil"/>
              <w:left w:val="nil"/>
              <w:bottom w:val="nil"/>
              <w:right w:val="nil"/>
            </w:tcBorders>
            <w:shd w:val="clear" w:color="auto" w:fill="auto"/>
            <w:noWrap/>
            <w:vAlign w:val="bottom"/>
          </w:tcPr>
          <w:p w:rsidR="00C70198" w:rsidRPr="00AE201E" w:rsidP="00C70198">
            <w:pPr>
              <w:rPr>
                <w:rFonts w:cstheme="minorHAnsi"/>
                <w:b/>
                <w:bCs/>
                <w:color w:val="000000"/>
                <w:sz w:val="24"/>
                <w:szCs w:val="24"/>
              </w:rPr>
            </w:pPr>
          </w:p>
        </w:tc>
        <w:tc>
          <w:tcPr>
            <w:tcW w:w="2126" w:type="dxa"/>
            <w:tcBorders>
              <w:top w:val="nil"/>
              <w:left w:val="nil"/>
              <w:bottom w:val="nil"/>
              <w:right w:val="nil"/>
            </w:tcBorders>
            <w:shd w:val="clear" w:color="auto" w:fill="auto"/>
            <w:noWrap/>
            <w:vAlign w:val="bottom"/>
          </w:tcPr>
          <w:p w:rsidR="00C70198" w:rsidRPr="00AE201E" w:rsidP="00C70198">
            <w:pPr>
              <w:jc w:val="center"/>
              <w:rPr>
                <w:rFonts w:cstheme="minorHAnsi"/>
                <w:b/>
                <w:bCs/>
                <w:color w:val="000000"/>
                <w:sz w:val="24"/>
                <w:szCs w:val="24"/>
              </w:rPr>
            </w:pPr>
          </w:p>
        </w:tc>
      </w:tr>
      <w:tr w:rsidTr="00AF3317">
        <w:tblPrEx>
          <w:tblW w:w="7386" w:type="dxa"/>
          <w:tblInd w:w="93" w:type="dxa"/>
          <w:tblLook w:val="04A0"/>
        </w:tblPrEx>
        <w:trPr>
          <w:trHeight w:val="255"/>
        </w:trPr>
        <w:tc>
          <w:tcPr>
            <w:tcW w:w="5260" w:type="dxa"/>
            <w:tcBorders>
              <w:top w:val="nil"/>
              <w:left w:val="nil"/>
              <w:bottom w:val="nil"/>
              <w:right w:val="nil"/>
            </w:tcBorders>
            <w:shd w:val="clear" w:color="auto" w:fill="auto"/>
            <w:noWrap/>
            <w:vAlign w:val="bottom"/>
          </w:tcPr>
          <w:p w:rsidR="00C70198" w:rsidRPr="00AE201E" w:rsidP="00C70198">
            <w:pPr>
              <w:rPr>
                <w:rFonts w:cstheme="minorHAnsi"/>
                <w:b/>
                <w:bCs/>
                <w:color w:val="000000"/>
              </w:rPr>
            </w:pPr>
          </w:p>
        </w:tc>
        <w:tc>
          <w:tcPr>
            <w:tcW w:w="2126" w:type="dxa"/>
            <w:tcBorders>
              <w:top w:val="nil"/>
              <w:left w:val="nil"/>
              <w:bottom w:val="nil"/>
              <w:right w:val="nil"/>
            </w:tcBorders>
            <w:shd w:val="clear" w:color="auto" w:fill="auto"/>
            <w:noWrap/>
            <w:vAlign w:val="bottom"/>
          </w:tcPr>
          <w:p w:rsidR="00C70198" w:rsidRPr="00AE201E" w:rsidP="00C70198">
            <w:pPr>
              <w:jc w:val="center"/>
              <w:rPr>
                <w:rFonts w:cstheme="minorHAnsi"/>
                <w:b/>
                <w:bCs/>
                <w:color w:val="000000"/>
              </w:rPr>
            </w:pPr>
          </w:p>
        </w:tc>
      </w:tr>
      <w:tr w:rsidTr="00AF3317">
        <w:tblPrEx>
          <w:tblW w:w="7386" w:type="dxa"/>
          <w:tblInd w:w="93" w:type="dxa"/>
          <w:tblLook w:val="04A0"/>
        </w:tblPrEx>
        <w:trPr>
          <w:trHeight w:val="255"/>
        </w:trPr>
        <w:tc>
          <w:tcPr>
            <w:tcW w:w="5260" w:type="dxa"/>
            <w:tcBorders>
              <w:top w:val="nil"/>
              <w:left w:val="nil"/>
              <w:bottom w:val="nil"/>
              <w:right w:val="nil"/>
            </w:tcBorders>
            <w:shd w:val="clear" w:color="auto" w:fill="auto"/>
            <w:noWrap/>
            <w:vAlign w:val="bottom"/>
          </w:tcPr>
          <w:p w:rsidR="00196A6F" w:rsidRPr="00037B33" w:rsidP="00353EEF">
            <w:pPr>
              <w:rPr>
                <w:rFonts w:cstheme="minorHAnsi"/>
                <w:color w:val="000000"/>
              </w:rPr>
            </w:pPr>
          </w:p>
        </w:tc>
        <w:tc>
          <w:tcPr>
            <w:tcW w:w="2126" w:type="dxa"/>
            <w:tcBorders>
              <w:top w:val="nil"/>
              <w:left w:val="nil"/>
              <w:bottom w:val="nil"/>
              <w:right w:val="nil"/>
            </w:tcBorders>
            <w:shd w:val="clear" w:color="auto" w:fill="auto"/>
            <w:noWrap/>
            <w:vAlign w:val="bottom"/>
          </w:tcPr>
          <w:p w:rsidR="00C70198" w:rsidRPr="00037B33" w:rsidP="00C70198">
            <w:pPr>
              <w:jc w:val="center"/>
              <w:rPr>
                <w:rFonts w:cstheme="minorHAnsi"/>
                <w:color w:val="000000"/>
              </w:rPr>
            </w:pPr>
          </w:p>
        </w:tc>
      </w:tr>
      <w:tr w:rsidTr="00AF3317">
        <w:tblPrEx>
          <w:tblW w:w="7386" w:type="dxa"/>
          <w:tblInd w:w="93" w:type="dxa"/>
          <w:tblLook w:val="04A0"/>
        </w:tblPrEx>
        <w:trPr>
          <w:trHeight w:val="255"/>
        </w:trPr>
        <w:tc>
          <w:tcPr>
            <w:tcW w:w="5260" w:type="dxa"/>
            <w:tcBorders>
              <w:top w:val="nil"/>
              <w:left w:val="nil"/>
              <w:bottom w:val="nil"/>
              <w:right w:val="nil"/>
            </w:tcBorders>
            <w:shd w:val="clear" w:color="auto" w:fill="auto"/>
            <w:noWrap/>
            <w:vAlign w:val="bottom"/>
          </w:tcPr>
          <w:p w:rsidR="00353EEF" w:rsidRPr="00353EEF">
            <w:pPr>
              <w:rPr>
                <w:rFonts w:cstheme="minorHAnsi"/>
                <w:b/>
                <w:color w:val="000000"/>
              </w:rPr>
            </w:pPr>
            <w:bookmarkStart w:id="3" w:name="_Hlk8134155"/>
            <w:bookmarkStart w:id="4" w:name="_Hlk8133948"/>
            <w:bookmarkStart w:id="5" w:name="_Hlk8133981"/>
          </w:p>
        </w:tc>
        <w:tc>
          <w:tcPr>
            <w:tcW w:w="2126" w:type="dxa"/>
            <w:tcBorders>
              <w:top w:val="nil"/>
              <w:left w:val="nil"/>
              <w:bottom w:val="nil"/>
              <w:right w:val="nil"/>
            </w:tcBorders>
            <w:shd w:val="clear" w:color="auto" w:fill="auto"/>
            <w:noWrap/>
            <w:vAlign w:val="bottom"/>
          </w:tcPr>
          <w:p w:rsidR="00353EEF" w:rsidRPr="00353EEF" w:rsidP="00353EEF">
            <w:pPr>
              <w:jc w:val="center"/>
              <w:rPr>
                <w:rFonts w:cstheme="minorHAnsi"/>
                <w:color w:val="000000"/>
              </w:rPr>
            </w:pPr>
          </w:p>
        </w:tc>
      </w:tr>
    </w:tbl>
    <w:p w:rsidR="00C70198" w:rsidP="00C70198">
      <w:pPr>
        <w:rPr>
          <w:rFonts w:ascii="Arial" w:hAnsi="Arial"/>
          <w:b/>
          <w:sz w:val="24"/>
          <w:szCs w:val="24"/>
        </w:rPr>
        <w:sectPr w:rsidSect="00C70198">
          <w:pgSz w:w="11906" w:h="16838"/>
          <w:pgMar w:top="1134" w:right="1797" w:bottom="1134" w:left="1797" w:header="709" w:footer="709" w:gutter="0"/>
          <w:cols w:space="708"/>
          <w:docGrid w:linePitch="381"/>
        </w:sectPr>
      </w:pPr>
      <w:bookmarkEnd w:id="3"/>
      <w:bookmarkEnd w:id="4"/>
      <w:bookmarkEnd w:id="5"/>
    </w:p>
    <w:tbl>
      <w:tblPr>
        <w:tblW w:w="23310" w:type="dxa"/>
        <w:tblInd w:w="93" w:type="dxa"/>
        <w:tblLook w:val="04A0"/>
      </w:tblPr>
      <w:tblGrid>
        <w:gridCol w:w="15294"/>
        <w:gridCol w:w="1948"/>
        <w:gridCol w:w="1743"/>
        <w:gridCol w:w="1596"/>
        <w:gridCol w:w="1418"/>
        <w:gridCol w:w="1311"/>
      </w:tblGrid>
      <w:tr w:rsidTr="00F32426">
        <w:tblPrEx>
          <w:tblW w:w="23310" w:type="dxa"/>
          <w:tblInd w:w="93" w:type="dxa"/>
          <w:tblLook w:val="04A0"/>
        </w:tblPrEx>
        <w:trPr>
          <w:trHeight w:val="285"/>
        </w:trPr>
        <w:tc>
          <w:tcPr>
            <w:tcW w:w="15294" w:type="dxa"/>
            <w:tcBorders>
              <w:top w:val="nil"/>
              <w:left w:val="nil"/>
              <w:bottom w:val="nil"/>
              <w:right w:val="nil"/>
            </w:tcBorders>
            <w:shd w:val="clear" w:color="auto" w:fill="auto"/>
            <w:vAlign w:val="center"/>
            <w:hideMark/>
          </w:tcPr>
          <w:p w:rsidR="00F32426" w:rsidRPr="00AE201E" w:rsidP="00EC1ABA">
            <w:pPr>
              <w:pStyle w:val="Heading2"/>
              <w:rPr>
                <w:rFonts w:asciiTheme="minorHAnsi" w:hAnsiTheme="minorHAnsi" w:cstheme="minorHAnsi"/>
                <w:sz w:val="22"/>
                <w:szCs w:val="22"/>
              </w:rPr>
            </w:pPr>
            <w:r w:rsidRPr="00AE201E">
              <w:rPr>
                <w:rFonts w:asciiTheme="minorHAnsi" w:hAnsiTheme="minorHAnsi" w:cstheme="minorHAnsi"/>
                <w:sz w:val="22"/>
                <w:szCs w:val="22"/>
              </w:rPr>
              <w:t>3.6</w:t>
            </w:r>
            <w:r w:rsidRPr="00AE201E">
              <w:rPr>
                <w:rFonts w:asciiTheme="minorHAnsi" w:hAnsiTheme="minorHAnsi" w:cstheme="minorHAnsi"/>
                <w:sz w:val="22"/>
                <w:szCs w:val="22"/>
              </w:rPr>
              <w:t xml:space="preserve"> Reconciliation of the 2015 Spending Review settlement for the </w:t>
            </w:r>
            <w:r w:rsidRPr="00AE201E" w:rsidR="004F790C">
              <w:rPr>
                <w:rFonts w:asciiTheme="minorHAnsi" w:hAnsiTheme="minorHAnsi" w:cstheme="minorHAnsi"/>
                <w:sz w:val="22"/>
                <w:szCs w:val="22"/>
              </w:rPr>
              <w:t>Welsh</w:t>
            </w:r>
            <w:r w:rsidRPr="00AE201E">
              <w:rPr>
                <w:rFonts w:asciiTheme="minorHAnsi" w:hAnsiTheme="minorHAnsi" w:cstheme="minorHAnsi"/>
                <w:sz w:val="22"/>
                <w:szCs w:val="22"/>
              </w:rPr>
              <w:t xml:space="preserve"> Government and current Control </w:t>
            </w:r>
          </w:p>
          <w:p w:rsidR="00F32426" w:rsidRPr="00AE201E" w:rsidP="00EC1ABA">
            <w:pPr>
              <w:pStyle w:val="Heading2"/>
              <w:rPr>
                <w:rFonts w:asciiTheme="minorHAnsi" w:hAnsiTheme="minorHAnsi" w:cstheme="minorHAnsi"/>
                <w:sz w:val="22"/>
                <w:szCs w:val="22"/>
              </w:rPr>
            </w:pPr>
            <w:r w:rsidRPr="00AE201E">
              <w:rPr>
                <w:rFonts w:asciiTheme="minorHAnsi" w:hAnsiTheme="minorHAnsi" w:cstheme="minorHAnsi"/>
                <w:sz w:val="22"/>
                <w:szCs w:val="22"/>
              </w:rPr>
              <w:t>Totals for 201</w:t>
            </w:r>
            <w:r w:rsidRPr="00AE201E" w:rsidR="00E52E60">
              <w:rPr>
                <w:rFonts w:asciiTheme="minorHAnsi" w:hAnsiTheme="minorHAnsi" w:cstheme="minorHAnsi"/>
                <w:sz w:val="22"/>
                <w:szCs w:val="22"/>
              </w:rPr>
              <w:t>9-20</w:t>
            </w:r>
          </w:p>
          <w:p w:rsidR="00F32426" w:rsidRPr="00AE201E" w:rsidP="003C6BA4">
            <w:pPr>
              <w:ind w:right="-8283"/>
              <w:rPr>
                <w:rFonts w:cstheme="minorHAnsi"/>
              </w:rPr>
            </w:pPr>
          </w:p>
          <w:p w:rsidR="00F32426" w:rsidRPr="00AE201E" w:rsidP="003C6BA4">
            <w:pPr>
              <w:tabs>
                <w:tab w:val="left" w:pos="15075"/>
              </w:tabs>
              <w:ind w:right="-8283"/>
              <w:jc w:val="both"/>
              <w:rPr>
                <w:rFonts w:cstheme="minorHAnsi"/>
              </w:rPr>
            </w:pPr>
            <w:r w:rsidRPr="00AE201E">
              <w:rPr>
                <w:rFonts w:cstheme="minorHAnsi"/>
              </w:rPr>
              <w:t xml:space="preserve">The Treasury’s Block Grant Transparency document details all changes made to the Control Totals of the </w:t>
            </w:r>
            <w:r w:rsidRPr="00AE201E" w:rsidR="00E52E60">
              <w:rPr>
                <w:rFonts w:cstheme="minorHAnsi"/>
              </w:rPr>
              <w:t xml:space="preserve">Welsh </w:t>
            </w:r>
            <w:r w:rsidRPr="00AE201E">
              <w:rPr>
                <w:rFonts w:cstheme="minorHAnsi"/>
              </w:rPr>
              <w:t xml:space="preserve"> </w:t>
            </w:r>
          </w:p>
          <w:p w:rsidR="008E3C6B" w:rsidRPr="00AE201E" w:rsidP="003C6BA4">
            <w:pPr>
              <w:tabs>
                <w:tab w:val="left" w:pos="15075"/>
              </w:tabs>
              <w:ind w:right="-8283"/>
              <w:jc w:val="both"/>
              <w:rPr>
                <w:rFonts w:cstheme="minorHAnsi"/>
              </w:rPr>
            </w:pPr>
            <w:r w:rsidRPr="00AE201E">
              <w:rPr>
                <w:rFonts w:cstheme="minorHAnsi"/>
              </w:rPr>
              <w:t>Government between SR 2015 and the end of 201</w:t>
            </w:r>
            <w:r w:rsidR="000733DF">
              <w:rPr>
                <w:rFonts w:cstheme="minorHAnsi"/>
              </w:rPr>
              <w:t>8</w:t>
            </w:r>
            <w:r w:rsidRPr="00AE201E">
              <w:rPr>
                <w:rFonts w:cstheme="minorHAnsi"/>
              </w:rPr>
              <w:t>, and how they are calculated</w:t>
            </w:r>
            <w:r w:rsidRPr="00AE201E">
              <w:rPr>
                <w:rFonts w:cstheme="minorHAnsi"/>
              </w:rPr>
              <w:t xml:space="preserve">. This covers all years </w:t>
            </w:r>
            <w:r w:rsidRPr="00AE201E">
              <w:rPr>
                <w:rFonts w:cstheme="minorHAnsi"/>
              </w:rPr>
              <w:t>which were considered during</w:t>
            </w:r>
          </w:p>
          <w:p w:rsidR="00F32426" w:rsidRPr="00AE201E" w:rsidP="003C6BA4">
            <w:pPr>
              <w:tabs>
                <w:tab w:val="left" w:pos="15075"/>
              </w:tabs>
              <w:ind w:right="-8283"/>
              <w:jc w:val="both"/>
              <w:rPr>
                <w:rFonts w:cstheme="minorHAnsi"/>
              </w:rPr>
            </w:pPr>
            <w:r w:rsidRPr="00AE201E">
              <w:rPr>
                <w:rFonts w:cstheme="minorHAnsi"/>
              </w:rPr>
              <w:t xml:space="preserve">the </w:t>
            </w:r>
            <w:r w:rsidRPr="00AE201E">
              <w:rPr>
                <w:rFonts w:cstheme="minorHAnsi"/>
              </w:rPr>
              <w:t>2015 Spending Review</w:t>
            </w:r>
            <w:r w:rsidRPr="00AE201E">
              <w:rPr>
                <w:rFonts w:cstheme="minorHAnsi"/>
              </w:rPr>
              <w:t xml:space="preserve"> (2016-17, 2017-18, 2018-19 and 2019-20)</w:t>
            </w:r>
            <w:r w:rsidRPr="00AE201E">
              <w:rPr>
                <w:rFonts w:cstheme="minorHAnsi"/>
              </w:rPr>
              <w:t xml:space="preserve">. </w:t>
            </w:r>
          </w:p>
          <w:p w:rsidR="00AE201E" w:rsidRPr="00AE201E" w:rsidP="003C6BA4">
            <w:pPr>
              <w:tabs>
                <w:tab w:val="left" w:pos="15075"/>
              </w:tabs>
              <w:ind w:right="-8283"/>
              <w:jc w:val="both"/>
              <w:rPr>
                <w:rFonts w:cstheme="minorHAnsi"/>
              </w:rPr>
            </w:pPr>
          </w:p>
          <w:p w:rsidR="008E3C6B" w:rsidRPr="00AE201E" w:rsidP="003C6BA4">
            <w:pPr>
              <w:tabs>
                <w:tab w:val="left" w:pos="15075"/>
              </w:tabs>
              <w:ind w:right="-8283"/>
              <w:jc w:val="both"/>
              <w:rPr>
                <w:rFonts w:cstheme="minorHAnsi"/>
              </w:rPr>
            </w:pPr>
            <w:r w:rsidRPr="00AE201E">
              <w:rPr>
                <w:rFonts w:cstheme="minorHAnsi"/>
              </w:rPr>
              <w:t>T</w:t>
            </w:r>
            <w:r w:rsidRPr="00AE201E" w:rsidR="00F32426">
              <w:rPr>
                <w:rFonts w:cstheme="minorHAnsi"/>
              </w:rPr>
              <w:t xml:space="preserve">he table below details all changes to the </w:t>
            </w:r>
            <w:r w:rsidRPr="00AE201E" w:rsidR="00E52E60">
              <w:rPr>
                <w:rFonts w:cstheme="minorHAnsi"/>
              </w:rPr>
              <w:t xml:space="preserve">Welsh </w:t>
            </w:r>
            <w:r w:rsidRPr="00AE201E" w:rsidR="00F32426">
              <w:rPr>
                <w:rFonts w:cstheme="minorHAnsi"/>
              </w:rPr>
              <w:t>Government</w:t>
            </w:r>
            <w:r w:rsidRPr="00AE201E" w:rsidR="00E52E60">
              <w:rPr>
                <w:rFonts w:cstheme="minorHAnsi"/>
              </w:rPr>
              <w:t>s</w:t>
            </w:r>
            <w:r w:rsidRPr="00AE201E" w:rsidR="00F32426">
              <w:rPr>
                <w:rFonts w:cstheme="minorHAnsi"/>
              </w:rPr>
              <w:t xml:space="preserve"> budget </w:t>
            </w:r>
            <w:r w:rsidRPr="00AE201E">
              <w:rPr>
                <w:rFonts w:cstheme="minorHAnsi"/>
              </w:rPr>
              <w:t>for 201</w:t>
            </w:r>
            <w:r w:rsidRPr="00AE201E" w:rsidR="00E52E60">
              <w:rPr>
                <w:rFonts w:cstheme="minorHAnsi"/>
              </w:rPr>
              <w:t>9-20</w:t>
            </w:r>
            <w:r w:rsidRPr="00AE201E">
              <w:rPr>
                <w:rFonts w:cstheme="minorHAnsi"/>
              </w:rPr>
              <w:t xml:space="preserve"> </w:t>
            </w:r>
            <w:r w:rsidRPr="00AE201E" w:rsidR="00F32426">
              <w:rPr>
                <w:rFonts w:cstheme="minorHAnsi"/>
              </w:rPr>
              <w:t>since the 2015 SR settlement</w:t>
            </w:r>
            <w:r w:rsidRPr="00AE201E">
              <w:rPr>
                <w:rFonts w:cstheme="minorHAnsi"/>
              </w:rPr>
              <w:t xml:space="preserve">, including changes since </w:t>
            </w:r>
          </w:p>
          <w:p w:rsidR="00F32426" w:rsidRPr="00AE201E" w:rsidP="003C6BA4">
            <w:pPr>
              <w:tabs>
                <w:tab w:val="left" w:pos="15075"/>
              </w:tabs>
              <w:ind w:right="-8283"/>
              <w:jc w:val="both"/>
              <w:rPr>
                <w:rFonts w:cstheme="minorHAnsi"/>
              </w:rPr>
            </w:pPr>
            <w:r w:rsidRPr="00AE201E">
              <w:rPr>
                <w:rFonts w:cstheme="minorHAnsi"/>
              </w:rPr>
              <w:t>the above document was published.</w:t>
            </w:r>
            <w:r w:rsidRPr="00AE201E">
              <w:rPr>
                <w:rFonts w:cstheme="minorHAnsi"/>
              </w:rPr>
              <w:t xml:space="preserve"> </w:t>
            </w:r>
          </w:p>
          <w:p w:rsidR="00E40A1F" w:rsidP="00E40A1F">
            <w:pPr>
              <w:spacing w:line="276" w:lineRule="auto"/>
              <w:ind w:right="-8283"/>
              <w:rPr>
                <w:szCs w:val="24"/>
              </w:rPr>
            </w:pPr>
            <w:r>
              <w:rPr>
                <w:szCs w:val="24"/>
              </w:rPr>
              <w:t>As further clarification on the entries below:</w:t>
            </w:r>
          </w:p>
          <w:p w:rsidR="00F32426" w:rsidRPr="00E40A1F" w:rsidP="00E40A1F">
            <w:pPr>
              <w:numPr>
                <w:ilvl w:val="0"/>
                <w:numId w:val="37"/>
              </w:numPr>
              <w:spacing w:after="0" w:line="240" w:lineRule="auto"/>
              <w:ind w:left="360"/>
              <w:rPr>
                <w:b/>
                <w:bCs/>
              </w:rPr>
            </w:pPr>
            <w:r w:rsidRPr="00E40A1F">
              <w:rPr>
                <w:rFonts w:cs="Arial"/>
                <w:b/>
                <w:bCs/>
              </w:rPr>
              <w:t>Operational contingency fund bid:</w:t>
            </w:r>
            <w:r w:rsidRPr="00E40A1F">
              <w:rPr>
                <w:b/>
                <w:bCs/>
              </w:rPr>
              <w:t xml:space="preserve"> </w:t>
            </w:r>
            <w:r w:rsidRPr="00E40A1F">
              <w:t xml:space="preserve">The Barnett formula was applied in the normal way on all funding provided to UK government departments through the Operational Contingency Fund (OCF) for preparations for a ‘no deal’ EU Exit. The devolved administrations were also able to make direct bids to the OCF where they faced disproportionate pressures above and beyond funding received through the Barnett formula. In 2019-20, the </w:t>
            </w:r>
            <w:r>
              <w:t>Welsh</w:t>
            </w:r>
            <w:r w:rsidRPr="00E40A1F">
              <w:t xml:space="preserve"> Government were provided with £</w:t>
            </w:r>
            <w:r>
              <w:t>1.8</w:t>
            </w:r>
            <w:r w:rsidRPr="00E40A1F">
              <w:t xml:space="preserve">m of Barnett </w:t>
            </w:r>
            <w:r w:rsidRPr="00E40A1F">
              <w:t>consequentials</w:t>
            </w:r>
            <w:r w:rsidRPr="00E40A1F">
              <w:t xml:space="preserve"> from the OCF and £</w:t>
            </w:r>
            <w:r>
              <w:t>13.3</w:t>
            </w:r>
            <w:r w:rsidRPr="00E40A1F">
              <w:t>m of additional funding resulting from their direct bid to the OCF.</w:t>
            </w:r>
          </w:p>
          <w:p w:rsidR="00F32426" w:rsidRPr="00AE201E" w:rsidP="003C6BA4">
            <w:pPr>
              <w:tabs>
                <w:tab w:val="left" w:pos="15075"/>
              </w:tabs>
              <w:ind w:right="-8283"/>
              <w:rPr>
                <w:rFonts w:cstheme="minorHAnsi"/>
              </w:rPr>
            </w:pPr>
          </w:p>
          <w:tbl>
            <w:tblPr>
              <w:tblW w:w="15078" w:type="dxa"/>
              <w:tblLook w:val="04A0"/>
            </w:tblPr>
            <w:tblGrid>
              <w:gridCol w:w="5307"/>
              <w:gridCol w:w="1318"/>
              <w:gridCol w:w="2128"/>
              <w:gridCol w:w="1941"/>
              <w:gridCol w:w="1720"/>
              <w:gridCol w:w="2664"/>
            </w:tblGrid>
            <w:tr w:rsidTr="003C6BA4">
              <w:tblPrEx>
                <w:tblW w:w="15078" w:type="dxa"/>
                <w:tblLook w:val="04A0"/>
              </w:tblPrEx>
              <w:trPr>
                <w:trHeight w:val="885"/>
              </w:trPr>
              <w:tc>
                <w:tcPr>
                  <w:tcW w:w="15078" w:type="dxa"/>
                  <w:gridSpan w:val="6"/>
                  <w:tcBorders>
                    <w:top w:val="nil"/>
                    <w:left w:val="nil"/>
                    <w:bottom w:val="nil"/>
                    <w:right w:val="nil"/>
                  </w:tcBorders>
                  <w:shd w:val="clear" w:color="auto" w:fill="auto"/>
                  <w:vAlign w:val="center"/>
                  <w:hideMark/>
                </w:tcPr>
                <w:p w:rsidR="00A355C8" w:rsidRPr="00AE201E" w:rsidP="003C6BA4">
                  <w:pPr>
                    <w:jc w:val="center"/>
                    <w:rPr>
                      <w:rFonts w:cstheme="minorHAnsi"/>
                      <w:b/>
                      <w:bCs/>
                      <w:color w:val="000000"/>
                    </w:rPr>
                  </w:pPr>
                </w:p>
                <w:p w:rsidR="004F790C" w:rsidRPr="00AE201E" w:rsidP="003C6BA4">
                  <w:pPr>
                    <w:jc w:val="center"/>
                    <w:rPr>
                      <w:rFonts w:cstheme="minorHAnsi"/>
                      <w:b/>
                      <w:bCs/>
                      <w:color w:val="000000"/>
                    </w:rPr>
                  </w:pPr>
                </w:p>
                <w:p w:rsidR="00A355C8" w:rsidRPr="00AE201E" w:rsidP="003C6BA4">
                  <w:pPr>
                    <w:jc w:val="center"/>
                    <w:rPr>
                      <w:rFonts w:cstheme="minorHAnsi"/>
                      <w:b/>
                      <w:bCs/>
                      <w:color w:val="000000"/>
                    </w:rPr>
                  </w:pPr>
                </w:p>
                <w:p w:rsidR="00A355C8" w:rsidRPr="00AE201E" w:rsidP="003C6BA4">
                  <w:pPr>
                    <w:jc w:val="center"/>
                    <w:rPr>
                      <w:rFonts w:cstheme="minorHAnsi"/>
                      <w:b/>
                      <w:bCs/>
                      <w:color w:val="000000"/>
                    </w:rPr>
                  </w:pPr>
                </w:p>
                <w:p w:rsidR="00A355C8" w:rsidRPr="00AE201E" w:rsidP="003C6BA4">
                  <w:pPr>
                    <w:jc w:val="center"/>
                    <w:rPr>
                      <w:rFonts w:cstheme="minorHAnsi"/>
                      <w:b/>
                      <w:bCs/>
                      <w:color w:val="000000"/>
                    </w:rPr>
                  </w:pPr>
                </w:p>
                <w:p w:rsidR="00A355C8" w:rsidRPr="00AE201E" w:rsidP="003C6BA4">
                  <w:pPr>
                    <w:jc w:val="center"/>
                    <w:rPr>
                      <w:rFonts w:cstheme="minorHAnsi"/>
                      <w:b/>
                      <w:bCs/>
                      <w:color w:val="000000"/>
                    </w:rPr>
                  </w:pPr>
                </w:p>
                <w:p w:rsidR="00A355C8" w:rsidRPr="00AE201E" w:rsidP="003C6BA4">
                  <w:pPr>
                    <w:jc w:val="center"/>
                    <w:rPr>
                      <w:rFonts w:cstheme="minorHAnsi"/>
                      <w:b/>
                      <w:bCs/>
                      <w:color w:val="000000"/>
                    </w:rPr>
                  </w:pPr>
                </w:p>
                <w:p w:rsidR="00A355C8" w:rsidRPr="00AE201E" w:rsidP="003C6BA4">
                  <w:pPr>
                    <w:jc w:val="center"/>
                    <w:rPr>
                      <w:rFonts w:cstheme="minorHAnsi"/>
                      <w:b/>
                      <w:bCs/>
                      <w:color w:val="000000"/>
                    </w:rPr>
                  </w:pPr>
                </w:p>
                <w:p w:rsidR="00A355C8" w:rsidRPr="00AE201E" w:rsidP="003C6BA4">
                  <w:pPr>
                    <w:jc w:val="center"/>
                    <w:rPr>
                      <w:rFonts w:cstheme="minorHAnsi"/>
                      <w:b/>
                      <w:bCs/>
                      <w:color w:val="000000"/>
                    </w:rPr>
                  </w:pPr>
                </w:p>
                <w:p w:rsidR="00F32426" w:rsidRPr="00AE201E" w:rsidP="00AE201E">
                  <w:pPr>
                    <w:rPr>
                      <w:rFonts w:cstheme="minorHAnsi"/>
                      <w:b/>
                      <w:bCs/>
                      <w:color w:val="000000"/>
                    </w:rPr>
                  </w:pPr>
                  <w:r w:rsidRPr="00AE201E">
                    <w:rPr>
                      <w:rFonts w:cstheme="minorHAnsi"/>
                      <w:b/>
                      <w:bCs/>
                      <w:color w:val="000000"/>
                    </w:rPr>
                    <w:t>Changes to Welsh Government Control Totals for 201</w:t>
                  </w:r>
                  <w:r w:rsidR="005C3F77">
                    <w:rPr>
                      <w:rFonts w:cstheme="minorHAnsi"/>
                      <w:b/>
                      <w:bCs/>
                      <w:color w:val="000000"/>
                    </w:rPr>
                    <w:t>9</w:t>
                  </w:r>
                  <w:r w:rsidRPr="00AE201E">
                    <w:rPr>
                      <w:rFonts w:cstheme="minorHAnsi"/>
                      <w:b/>
                      <w:bCs/>
                      <w:color w:val="000000"/>
                    </w:rPr>
                    <w:t>-</w:t>
                  </w:r>
                  <w:r w:rsidR="005C3F77">
                    <w:rPr>
                      <w:rFonts w:cstheme="minorHAnsi"/>
                      <w:b/>
                      <w:bCs/>
                      <w:color w:val="000000"/>
                    </w:rPr>
                    <w:t>20</w:t>
                  </w:r>
                  <w:r w:rsidRPr="00AE201E">
                    <w:rPr>
                      <w:rFonts w:cstheme="minorHAnsi"/>
                      <w:b/>
                      <w:bCs/>
                      <w:color w:val="000000"/>
                    </w:rPr>
                    <w:t xml:space="preserve"> since 2015 Spending Review</w:t>
                  </w:r>
                </w:p>
              </w:tc>
            </w:tr>
            <w:tr w:rsidTr="003C6BA4">
              <w:tblPrEx>
                <w:tblW w:w="15078" w:type="dxa"/>
                <w:tblLook w:val="04A0"/>
              </w:tblPrEx>
              <w:trPr>
                <w:trHeight w:val="285"/>
              </w:trPr>
              <w:tc>
                <w:tcPr>
                  <w:tcW w:w="5307" w:type="dxa"/>
                  <w:tcBorders>
                    <w:top w:val="nil"/>
                    <w:left w:val="nil"/>
                    <w:bottom w:val="nil"/>
                    <w:right w:val="nil"/>
                  </w:tcBorders>
                  <w:shd w:val="clear" w:color="auto" w:fill="auto"/>
                  <w:vAlign w:val="center"/>
                  <w:hideMark/>
                </w:tcPr>
                <w:p w:rsidR="00F32426" w:rsidRPr="00AE201E" w:rsidP="003C6BA4">
                  <w:pPr>
                    <w:jc w:val="center"/>
                    <w:rPr>
                      <w:rFonts w:cstheme="minorHAnsi"/>
                      <w:b/>
                      <w:bCs/>
                      <w:color w:val="000000"/>
                    </w:rPr>
                  </w:pPr>
                </w:p>
              </w:tc>
              <w:tc>
                <w:tcPr>
                  <w:tcW w:w="1318" w:type="dxa"/>
                  <w:tcBorders>
                    <w:top w:val="nil"/>
                    <w:left w:val="nil"/>
                    <w:bottom w:val="nil"/>
                    <w:right w:val="nil"/>
                  </w:tcBorders>
                  <w:shd w:val="clear" w:color="auto" w:fill="auto"/>
                  <w:vAlign w:val="center"/>
                  <w:hideMark/>
                </w:tcPr>
                <w:p w:rsidR="00F32426" w:rsidRPr="00AE201E" w:rsidP="003C6BA4">
                  <w:pPr>
                    <w:rPr>
                      <w:rFonts w:cstheme="minorHAnsi"/>
                    </w:rPr>
                  </w:pPr>
                </w:p>
              </w:tc>
              <w:tc>
                <w:tcPr>
                  <w:tcW w:w="2128" w:type="dxa"/>
                  <w:tcBorders>
                    <w:top w:val="nil"/>
                    <w:left w:val="nil"/>
                    <w:bottom w:val="nil"/>
                    <w:right w:val="nil"/>
                  </w:tcBorders>
                  <w:shd w:val="clear" w:color="auto" w:fill="auto"/>
                  <w:vAlign w:val="center"/>
                  <w:hideMark/>
                </w:tcPr>
                <w:p w:rsidR="00F32426" w:rsidRPr="00AE201E" w:rsidP="003C6BA4">
                  <w:pPr>
                    <w:jc w:val="center"/>
                    <w:rPr>
                      <w:rFonts w:cstheme="minorHAnsi"/>
                    </w:rPr>
                  </w:pPr>
                </w:p>
              </w:tc>
              <w:tc>
                <w:tcPr>
                  <w:tcW w:w="1941" w:type="dxa"/>
                  <w:tcBorders>
                    <w:top w:val="nil"/>
                    <w:left w:val="nil"/>
                    <w:bottom w:val="nil"/>
                    <w:right w:val="nil"/>
                  </w:tcBorders>
                  <w:shd w:val="clear" w:color="auto" w:fill="auto"/>
                  <w:vAlign w:val="center"/>
                  <w:hideMark/>
                </w:tcPr>
                <w:p w:rsidR="00F32426" w:rsidRPr="00AE201E" w:rsidP="003C6BA4">
                  <w:pPr>
                    <w:jc w:val="center"/>
                    <w:rPr>
                      <w:rFonts w:cstheme="minorHAnsi"/>
                    </w:rPr>
                  </w:pPr>
                </w:p>
              </w:tc>
              <w:tc>
                <w:tcPr>
                  <w:tcW w:w="1720" w:type="dxa"/>
                  <w:tcBorders>
                    <w:top w:val="nil"/>
                    <w:left w:val="nil"/>
                    <w:bottom w:val="nil"/>
                    <w:right w:val="nil"/>
                  </w:tcBorders>
                  <w:shd w:val="clear" w:color="auto" w:fill="auto"/>
                  <w:vAlign w:val="center"/>
                  <w:hideMark/>
                </w:tcPr>
                <w:p w:rsidR="00F32426" w:rsidRPr="00AE201E" w:rsidP="003C6BA4">
                  <w:pPr>
                    <w:jc w:val="center"/>
                    <w:rPr>
                      <w:rFonts w:cstheme="minorHAnsi"/>
                    </w:rPr>
                  </w:pPr>
                </w:p>
              </w:tc>
              <w:tc>
                <w:tcPr>
                  <w:tcW w:w="2664" w:type="dxa"/>
                  <w:tcBorders>
                    <w:top w:val="nil"/>
                    <w:left w:val="nil"/>
                    <w:bottom w:val="nil"/>
                    <w:right w:val="nil"/>
                  </w:tcBorders>
                  <w:shd w:val="clear" w:color="auto" w:fill="auto"/>
                  <w:vAlign w:val="center"/>
                  <w:hideMark/>
                </w:tcPr>
                <w:p w:rsidR="00F32426" w:rsidRPr="00AE201E" w:rsidP="003C6BA4">
                  <w:pPr>
                    <w:jc w:val="center"/>
                    <w:rPr>
                      <w:rFonts w:cstheme="minorHAnsi"/>
                    </w:rPr>
                  </w:pPr>
                </w:p>
              </w:tc>
            </w:tr>
            <w:tr w:rsidTr="003C6BA4">
              <w:tblPrEx>
                <w:tblW w:w="15078" w:type="dxa"/>
                <w:tblLook w:val="04A0"/>
              </w:tblPrEx>
              <w:trPr>
                <w:trHeight w:val="900"/>
              </w:trPr>
              <w:tc>
                <w:tcPr>
                  <w:tcW w:w="5307" w:type="dxa"/>
                  <w:tcBorders>
                    <w:top w:val="nil"/>
                    <w:left w:val="nil"/>
                    <w:bottom w:val="nil"/>
                    <w:right w:val="nil"/>
                  </w:tcBorders>
                  <w:shd w:val="clear" w:color="auto" w:fill="auto"/>
                  <w:vAlign w:val="center"/>
                  <w:hideMark/>
                </w:tcPr>
                <w:p w:rsidR="00F32426" w:rsidRPr="00AE201E" w:rsidP="003C6BA4">
                  <w:pPr>
                    <w:jc w:val="center"/>
                    <w:rPr>
                      <w:rFonts w:cstheme="minorHAnsi"/>
                    </w:rPr>
                  </w:pPr>
                </w:p>
              </w:tc>
              <w:tc>
                <w:tcPr>
                  <w:tcW w:w="1318" w:type="dxa"/>
                  <w:tcBorders>
                    <w:top w:val="nil"/>
                    <w:left w:val="nil"/>
                    <w:bottom w:val="nil"/>
                    <w:right w:val="nil"/>
                  </w:tcBorders>
                  <w:shd w:val="clear" w:color="auto" w:fill="auto"/>
                  <w:vAlign w:val="center"/>
                  <w:hideMark/>
                </w:tcPr>
                <w:p w:rsidR="00F32426" w:rsidRPr="00AE201E" w:rsidP="003C6BA4">
                  <w:pPr>
                    <w:jc w:val="center"/>
                    <w:rPr>
                      <w:rFonts w:cstheme="minorHAnsi"/>
                      <w:b/>
                      <w:bCs/>
                      <w:color w:val="000000"/>
                    </w:rPr>
                  </w:pPr>
                  <w:r w:rsidRPr="00AE201E">
                    <w:rPr>
                      <w:rFonts w:cstheme="minorHAnsi"/>
                      <w:b/>
                      <w:bCs/>
                      <w:color w:val="000000"/>
                    </w:rPr>
                    <w:t>Resource DEL</w:t>
                  </w:r>
                </w:p>
              </w:tc>
              <w:tc>
                <w:tcPr>
                  <w:tcW w:w="2128" w:type="dxa"/>
                  <w:tcBorders>
                    <w:top w:val="nil"/>
                    <w:left w:val="nil"/>
                    <w:bottom w:val="nil"/>
                    <w:right w:val="nil"/>
                  </w:tcBorders>
                  <w:shd w:val="clear" w:color="auto" w:fill="auto"/>
                  <w:vAlign w:val="center"/>
                  <w:hideMark/>
                </w:tcPr>
                <w:p w:rsidR="00F32426" w:rsidRPr="00AE201E" w:rsidP="003C6BA4">
                  <w:pPr>
                    <w:jc w:val="center"/>
                    <w:rPr>
                      <w:rFonts w:cstheme="minorHAnsi"/>
                      <w:b/>
                      <w:bCs/>
                      <w:color w:val="000000"/>
                    </w:rPr>
                  </w:pPr>
                  <w:r w:rsidRPr="00AE201E">
                    <w:rPr>
                      <w:rFonts w:cstheme="minorHAnsi"/>
                      <w:b/>
                      <w:bCs/>
                      <w:color w:val="000000"/>
                    </w:rPr>
                    <w:t>Depreciation &amp; impairments ring-fence</w:t>
                  </w:r>
                </w:p>
              </w:tc>
              <w:tc>
                <w:tcPr>
                  <w:tcW w:w="1941" w:type="dxa"/>
                  <w:tcBorders>
                    <w:top w:val="nil"/>
                    <w:left w:val="nil"/>
                    <w:bottom w:val="nil"/>
                    <w:right w:val="nil"/>
                  </w:tcBorders>
                  <w:shd w:val="clear" w:color="auto" w:fill="auto"/>
                  <w:vAlign w:val="center"/>
                  <w:hideMark/>
                </w:tcPr>
                <w:p w:rsidR="00F32426" w:rsidRPr="00AE201E" w:rsidP="003C6BA4">
                  <w:pPr>
                    <w:jc w:val="center"/>
                    <w:rPr>
                      <w:rFonts w:cstheme="minorHAnsi"/>
                      <w:b/>
                      <w:bCs/>
                      <w:color w:val="000000"/>
                    </w:rPr>
                  </w:pPr>
                  <w:r w:rsidRPr="00AE201E">
                    <w:rPr>
                      <w:rFonts w:cstheme="minorHAnsi"/>
                      <w:b/>
                      <w:bCs/>
                      <w:color w:val="000000"/>
                    </w:rPr>
                    <w:t>Student loans ring-fence</w:t>
                  </w:r>
                </w:p>
              </w:tc>
              <w:tc>
                <w:tcPr>
                  <w:tcW w:w="1720" w:type="dxa"/>
                  <w:tcBorders>
                    <w:top w:val="nil"/>
                    <w:left w:val="nil"/>
                    <w:bottom w:val="nil"/>
                    <w:right w:val="nil"/>
                  </w:tcBorders>
                  <w:shd w:val="clear" w:color="auto" w:fill="auto"/>
                  <w:vAlign w:val="center"/>
                  <w:hideMark/>
                </w:tcPr>
                <w:p w:rsidR="00F32426" w:rsidRPr="00AE201E" w:rsidP="003C6BA4">
                  <w:pPr>
                    <w:jc w:val="center"/>
                    <w:rPr>
                      <w:rFonts w:cstheme="minorHAnsi"/>
                      <w:b/>
                      <w:bCs/>
                      <w:color w:val="000000"/>
                    </w:rPr>
                  </w:pPr>
                  <w:r w:rsidRPr="00AE201E">
                    <w:rPr>
                      <w:rFonts w:cstheme="minorHAnsi"/>
                      <w:b/>
                      <w:bCs/>
                      <w:color w:val="000000"/>
                    </w:rPr>
                    <w:t>General Capital DEL</w:t>
                  </w:r>
                </w:p>
              </w:tc>
              <w:tc>
                <w:tcPr>
                  <w:tcW w:w="2664" w:type="dxa"/>
                  <w:tcBorders>
                    <w:top w:val="nil"/>
                    <w:left w:val="nil"/>
                    <w:bottom w:val="nil"/>
                    <w:right w:val="nil"/>
                  </w:tcBorders>
                  <w:shd w:val="clear" w:color="auto" w:fill="auto"/>
                  <w:vAlign w:val="center"/>
                  <w:hideMark/>
                </w:tcPr>
                <w:p w:rsidR="00F32426" w:rsidRPr="00AE201E" w:rsidP="003C6BA4">
                  <w:pPr>
                    <w:jc w:val="center"/>
                    <w:rPr>
                      <w:rFonts w:cstheme="minorHAnsi"/>
                      <w:b/>
                      <w:bCs/>
                      <w:color w:val="000000"/>
                    </w:rPr>
                  </w:pPr>
                  <w:r w:rsidRPr="00AE201E">
                    <w:rPr>
                      <w:rFonts w:cstheme="minorHAnsi"/>
                      <w:b/>
                      <w:bCs/>
                      <w:color w:val="000000"/>
                    </w:rPr>
                    <w:t>Financial Transactions Capital</w:t>
                  </w:r>
                </w:p>
              </w:tc>
            </w:tr>
            <w:tr w:rsidTr="003C6BA4">
              <w:tblPrEx>
                <w:tblW w:w="15078" w:type="dxa"/>
                <w:tblLook w:val="04A0"/>
              </w:tblPrEx>
              <w:trPr>
                <w:trHeight w:val="300"/>
              </w:trPr>
              <w:tc>
                <w:tcPr>
                  <w:tcW w:w="5307" w:type="dxa"/>
                  <w:tcBorders>
                    <w:top w:val="nil"/>
                    <w:left w:val="nil"/>
                    <w:bottom w:val="nil"/>
                    <w:right w:val="nil"/>
                  </w:tcBorders>
                  <w:shd w:val="clear" w:color="auto" w:fill="auto"/>
                  <w:vAlign w:val="center"/>
                  <w:hideMark/>
                </w:tcPr>
                <w:p w:rsidR="00F32426" w:rsidRPr="00AE201E" w:rsidP="003C6BA4">
                  <w:pPr>
                    <w:jc w:val="center"/>
                    <w:rPr>
                      <w:rFonts w:cstheme="minorHAnsi"/>
                      <w:b/>
                      <w:bCs/>
                      <w:color w:val="000000"/>
                    </w:rPr>
                  </w:pPr>
                </w:p>
              </w:tc>
              <w:tc>
                <w:tcPr>
                  <w:tcW w:w="1318" w:type="dxa"/>
                  <w:tcBorders>
                    <w:top w:val="nil"/>
                    <w:left w:val="nil"/>
                    <w:bottom w:val="nil"/>
                    <w:right w:val="nil"/>
                  </w:tcBorders>
                  <w:shd w:val="clear" w:color="auto" w:fill="auto"/>
                  <w:vAlign w:val="center"/>
                  <w:hideMark/>
                </w:tcPr>
                <w:p w:rsidR="00F32426" w:rsidRPr="00AE201E" w:rsidP="003C6BA4">
                  <w:pPr>
                    <w:jc w:val="center"/>
                    <w:rPr>
                      <w:rFonts w:cstheme="minorHAnsi"/>
                      <w:b/>
                      <w:bCs/>
                      <w:color w:val="000000"/>
                      <w:u w:val="single"/>
                    </w:rPr>
                  </w:pPr>
                  <w:r w:rsidRPr="00AE201E">
                    <w:rPr>
                      <w:rFonts w:cstheme="minorHAnsi"/>
                      <w:b/>
                      <w:bCs/>
                      <w:color w:val="000000"/>
                      <w:u w:val="single"/>
                    </w:rPr>
                    <w:t>£m</w:t>
                  </w:r>
                </w:p>
              </w:tc>
              <w:tc>
                <w:tcPr>
                  <w:tcW w:w="2128" w:type="dxa"/>
                  <w:tcBorders>
                    <w:top w:val="nil"/>
                    <w:left w:val="nil"/>
                    <w:bottom w:val="nil"/>
                    <w:right w:val="nil"/>
                  </w:tcBorders>
                  <w:shd w:val="clear" w:color="auto" w:fill="auto"/>
                  <w:vAlign w:val="center"/>
                  <w:hideMark/>
                </w:tcPr>
                <w:p w:rsidR="00F32426" w:rsidRPr="00AE201E" w:rsidP="003C6BA4">
                  <w:pPr>
                    <w:jc w:val="center"/>
                    <w:rPr>
                      <w:rFonts w:cstheme="minorHAnsi"/>
                      <w:b/>
                      <w:bCs/>
                      <w:color w:val="000000"/>
                      <w:u w:val="single"/>
                    </w:rPr>
                  </w:pPr>
                  <w:r w:rsidRPr="00AE201E">
                    <w:rPr>
                      <w:rFonts w:cstheme="minorHAnsi"/>
                      <w:b/>
                      <w:bCs/>
                      <w:color w:val="000000"/>
                      <w:u w:val="single"/>
                    </w:rPr>
                    <w:t>£m</w:t>
                  </w:r>
                </w:p>
              </w:tc>
              <w:tc>
                <w:tcPr>
                  <w:tcW w:w="1941" w:type="dxa"/>
                  <w:tcBorders>
                    <w:top w:val="nil"/>
                    <w:left w:val="nil"/>
                    <w:bottom w:val="nil"/>
                    <w:right w:val="nil"/>
                  </w:tcBorders>
                  <w:shd w:val="clear" w:color="auto" w:fill="auto"/>
                  <w:vAlign w:val="center"/>
                  <w:hideMark/>
                </w:tcPr>
                <w:p w:rsidR="00F32426" w:rsidRPr="00AE201E" w:rsidP="003C6BA4">
                  <w:pPr>
                    <w:jc w:val="center"/>
                    <w:rPr>
                      <w:rFonts w:cstheme="minorHAnsi"/>
                      <w:b/>
                      <w:bCs/>
                      <w:color w:val="000000"/>
                      <w:u w:val="single"/>
                    </w:rPr>
                  </w:pPr>
                  <w:r w:rsidRPr="00AE201E">
                    <w:rPr>
                      <w:rFonts w:cstheme="minorHAnsi"/>
                      <w:b/>
                      <w:bCs/>
                      <w:color w:val="000000"/>
                      <w:u w:val="single"/>
                    </w:rPr>
                    <w:t>£m</w:t>
                  </w:r>
                </w:p>
              </w:tc>
              <w:tc>
                <w:tcPr>
                  <w:tcW w:w="1720" w:type="dxa"/>
                  <w:tcBorders>
                    <w:top w:val="nil"/>
                    <w:left w:val="nil"/>
                    <w:bottom w:val="nil"/>
                    <w:right w:val="nil"/>
                  </w:tcBorders>
                  <w:shd w:val="clear" w:color="auto" w:fill="auto"/>
                  <w:vAlign w:val="center"/>
                  <w:hideMark/>
                </w:tcPr>
                <w:p w:rsidR="00F32426" w:rsidRPr="00AE201E" w:rsidP="003C6BA4">
                  <w:pPr>
                    <w:jc w:val="center"/>
                    <w:rPr>
                      <w:rFonts w:cstheme="minorHAnsi"/>
                      <w:b/>
                      <w:bCs/>
                      <w:color w:val="000000"/>
                      <w:u w:val="single"/>
                    </w:rPr>
                  </w:pPr>
                  <w:r w:rsidRPr="00AE201E">
                    <w:rPr>
                      <w:rFonts w:cstheme="minorHAnsi"/>
                      <w:b/>
                      <w:bCs/>
                      <w:color w:val="000000"/>
                      <w:u w:val="single"/>
                    </w:rPr>
                    <w:t>£m</w:t>
                  </w:r>
                </w:p>
              </w:tc>
              <w:tc>
                <w:tcPr>
                  <w:tcW w:w="2664" w:type="dxa"/>
                  <w:tcBorders>
                    <w:top w:val="nil"/>
                    <w:left w:val="nil"/>
                    <w:bottom w:val="nil"/>
                    <w:right w:val="nil"/>
                  </w:tcBorders>
                  <w:shd w:val="clear" w:color="auto" w:fill="auto"/>
                  <w:vAlign w:val="center"/>
                  <w:hideMark/>
                </w:tcPr>
                <w:p w:rsidR="00F32426" w:rsidRPr="00AE201E" w:rsidP="003C6BA4">
                  <w:pPr>
                    <w:jc w:val="center"/>
                    <w:rPr>
                      <w:rFonts w:cstheme="minorHAnsi"/>
                      <w:b/>
                      <w:bCs/>
                      <w:color w:val="000000"/>
                      <w:u w:val="single"/>
                    </w:rPr>
                  </w:pPr>
                  <w:r w:rsidRPr="00AE201E">
                    <w:rPr>
                      <w:rFonts w:cstheme="minorHAnsi"/>
                      <w:b/>
                      <w:bCs/>
                      <w:color w:val="000000"/>
                      <w:u w:val="single"/>
                    </w:rPr>
                    <w:t>£m</w:t>
                  </w:r>
                </w:p>
              </w:tc>
            </w:tr>
            <w:tr w:rsidTr="003C6BA4">
              <w:tblPrEx>
                <w:tblW w:w="15078" w:type="dxa"/>
                <w:tblLook w:val="04A0"/>
              </w:tblPrEx>
              <w:trPr>
                <w:trHeight w:val="300"/>
              </w:trPr>
              <w:tc>
                <w:tcPr>
                  <w:tcW w:w="5307" w:type="dxa"/>
                  <w:tcBorders>
                    <w:top w:val="nil"/>
                    <w:left w:val="nil"/>
                    <w:bottom w:val="nil"/>
                    <w:right w:val="nil"/>
                  </w:tcBorders>
                  <w:shd w:val="clear" w:color="auto" w:fill="auto"/>
                  <w:vAlign w:val="center"/>
                  <w:hideMark/>
                </w:tcPr>
                <w:p w:rsidR="00F32426" w:rsidRPr="00AE201E" w:rsidP="003C6BA4">
                  <w:pPr>
                    <w:jc w:val="center"/>
                    <w:rPr>
                      <w:rFonts w:cstheme="minorHAnsi"/>
                      <w:b/>
                      <w:bCs/>
                      <w:color w:val="000000"/>
                      <w:u w:val="single"/>
                    </w:rPr>
                  </w:pPr>
                </w:p>
              </w:tc>
              <w:tc>
                <w:tcPr>
                  <w:tcW w:w="1318" w:type="dxa"/>
                  <w:tcBorders>
                    <w:top w:val="nil"/>
                    <w:left w:val="nil"/>
                    <w:bottom w:val="nil"/>
                    <w:right w:val="nil"/>
                  </w:tcBorders>
                  <w:shd w:val="clear" w:color="auto" w:fill="auto"/>
                  <w:vAlign w:val="center"/>
                  <w:hideMark/>
                </w:tcPr>
                <w:p w:rsidR="00F32426" w:rsidRPr="00AE201E" w:rsidP="003C6BA4">
                  <w:pPr>
                    <w:rPr>
                      <w:rFonts w:cstheme="minorHAnsi"/>
                    </w:rPr>
                  </w:pPr>
                </w:p>
              </w:tc>
              <w:tc>
                <w:tcPr>
                  <w:tcW w:w="2128" w:type="dxa"/>
                  <w:tcBorders>
                    <w:top w:val="nil"/>
                    <w:left w:val="nil"/>
                    <w:bottom w:val="nil"/>
                    <w:right w:val="nil"/>
                  </w:tcBorders>
                  <w:shd w:val="clear" w:color="auto" w:fill="auto"/>
                  <w:vAlign w:val="center"/>
                  <w:hideMark/>
                </w:tcPr>
                <w:p w:rsidR="00F32426" w:rsidRPr="00AE201E" w:rsidP="003C6BA4">
                  <w:pPr>
                    <w:jc w:val="center"/>
                    <w:rPr>
                      <w:rFonts w:cstheme="minorHAnsi"/>
                    </w:rPr>
                  </w:pPr>
                </w:p>
              </w:tc>
              <w:tc>
                <w:tcPr>
                  <w:tcW w:w="1941" w:type="dxa"/>
                  <w:tcBorders>
                    <w:top w:val="nil"/>
                    <w:left w:val="nil"/>
                    <w:bottom w:val="nil"/>
                    <w:right w:val="nil"/>
                  </w:tcBorders>
                  <w:shd w:val="clear" w:color="auto" w:fill="auto"/>
                  <w:vAlign w:val="center"/>
                  <w:hideMark/>
                </w:tcPr>
                <w:p w:rsidR="00F32426" w:rsidRPr="00AE201E" w:rsidP="003C6BA4">
                  <w:pPr>
                    <w:jc w:val="center"/>
                    <w:rPr>
                      <w:rFonts w:cstheme="minorHAnsi"/>
                    </w:rPr>
                  </w:pPr>
                </w:p>
              </w:tc>
              <w:tc>
                <w:tcPr>
                  <w:tcW w:w="1720" w:type="dxa"/>
                  <w:tcBorders>
                    <w:top w:val="nil"/>
                    <w:left w:val="nil"/>
                    <w:bottom w:val="nil"/>
                    <w:right w:val="nil"/>
                  </w:tcBorders>
                  <w:shd w:val="clear" w:color="auto" w:fill="auto"/>
                  <w:vAlign w:val="center"/>
                  <w:hideMark/>
                </w:tcPr>
                <w:p w:rsidR="00F32426" w:rsidRPr="00AE201E" w:rsidP="003C6BA4">
                  <w:pPr>
                    <w:jc w:val="center"/>
                    <w:rPr>
                      <w:rFonts w:cstheme="minorHAnsi"/>
                    </w:rPr>
                  </w:pPr>
                </w:p>
              </w:tc>
              <w:tc>
                <w:tcPr>
                  <w:tcW w:w="2664" w:type="dxa"/>
                  <w:tcBorders>
                    <w:top w:val="nil"/>
                    <w:left w:val="nil"/>
                    <w:bottom w:val="nil"/>
                    <w:right w:val="nil"/>
                  </w:tcBorders>
                  <w:shd w:val="clear" w:color="auto" w:fill="auto"/>
                  <w:vAlign w:val="center"/>
                  <w:hideMark/>
                </w:tcPr>
                <w:p w:rsidR="00F32426" w:rsidRPr="00AE201E" w:rsidP="003C6BA4">
                  <w:pPr>
                    <w:jc w:val="center"/>
                    <w:rPr>
                      <w:rFonts w:cstheme="minorHAnsi"/>
                    </w:rPr>
                  </w:pPr>
                </w:p>
              </w:tc>
            </w:tr>
            <w:tr w:rsidTr="00A355C8">
              <w:tblPrEx>
                <w:tblW w:w="15078" w:type="dxa"/>
                <w:tblLook w:val="04A0"/>
              </w:tblPrEx>
              <w:trPr>
                <w:trHeight w:val="300"/>
              </w:trPr>
              <w:tc>
                <w:tcPr>
                  <w:tcW w:w="5307" w:type="dxa"/>
                  <w:tcBorders>
                    <w:top w:val="nil"/>
                    <w:left w:val="nil"/>
                    <w:bottom w:val="nil"/>
                    <w:right w:val="nil"/>
                  </w:tcBorders>
                  <w:shd w:val="clear" w:color="auto" w:fill="auto"/>
                  <w:vAlign w:val="center"/>
                </w:tcPr>
                <w:p w:rsidR="00F32426" w:rsidRPr="00AE201E" w:rsidP="003C6BA4">
                  <w:pPr>
                    <w:rPr>
                      <w:rFonts w:cstheme="minorHAnsi"/>
                      <w:b/>
                      <w:bCs/>
                      <w:color w:val="000000"/>
                    </w:rPr>
                  </w:pPr>
                </w:p>
              </w:tc>
              <w:tc>
                <w:tcPr>
                  <w:tcW w:w="1318" w:type="dxa"/>
                  <w:tcBorders>
                    <w:top w:val="nil"/>
                    <w:left w:val="nil"/>
                    <w:bottom w:val="nil"/>
                    <w:right w:val="nil"/>
                  </w:tcBorders>
                  <w:shd w:val="clear" w:color="auto" w:fill="auto"/>
                  <w:vAlign w:val="center"/>
                </w:tcPr>
                <w:p w:rsidR="00F32426" w:rsidRPr="00AE201E" w:rsidP="003C6BA4">
                  <w:pPr>
                    <w:jc w:val="center"/>
                    <w:rPr>
                      <w:rFonts w:cstheme="minorHAnsi"/>
                      <w:b/>
                      <w:bCs/>
                      <w:color w:val="000000"/>
                    </w:rPr>
                  </w:pPr>
                </w:p>
              </w:tc>
              <w:tc>
                <w:tcPr>
                  <w:tcW w:w="2128" w:type="dxa"/>
                  <w:tcBorders>
                    <w:top w:val="nil"/>
                    <w:left w:val="nil"/>
                    <w:bottom w:val="nil"/>
                    <w:right w:val="nil"/>
                  </w:tcBorders>
                  <w:shd w:val="clear" w:color="auto" w:fill="auto"/>
                  <w:vAlign w:val="center"/>
                </w:tcPr>
                <w:p w:rsidR="00F32426" w:rsidRPr="00AE201E" w:rsidP="003C6BA4">
                  <w:pPr>
                    <w:jc w:val="center"/>
                    <w:rPr>
                      <w:rFonts w:cstheme="minorHAnsi"/>
                      <w:b/>
                      <w:bCs/>
                      <w:color w:val="000000"/>
                    </w:rPr>
                  </w:pPr>
                </w:p>
              </w:tc>
              <w:tc>
                <w:tcPr>
                  <w:tcW w:w="1941" w:type="dxa"/>
                  <w:tcBorders>
                    <w:top w:val="nil"/>
                    <w:left w:val="nil"/>
                    <w:bottom w:val="nil"/>
                    <w:right w:val="nil"/>
                  </w:tcBorders>
                  <w:shd w:val="clear" w:color="auto" w:fill="auto"/>
                  <w:vAlign w:val="center"/>
                </w:tcPr>
                <w:p w:rsidR="00F32426" w:rsidRPr="00AE201E" w:rsidP="003C6BA4">
                  <w:pPr>
                    <w:jc w:val="center"/>
                    <w:rPr>
                      <w:rFonts w:cstheme="minorHAnsi"/>
                      <w:b/>
                      <w:bCs/>
                      <w:color w:val="000000"/>
                    </w:rPr>
                  </w:pPr>
                </w:p>
              </w:tc>
              <w:tc>
                <w:tcPr>
                  <w:tcW w:w="1720" w:type="dxa"/>
                  <w:tcBorders>
                    <w:top w:val="nil"/>
                    <w:left w:val="nil"/>
                    <w:bottom w:val="nil"/>
                    <w:right w:val="nil"/>
                  </w:tcBorders>
                  <w:shd w:val="clear" w:color="auto" w:fill="auto"/>
                  <w:vAlign w:val="center"/>
                </w:tcPr>
                <w:p w:rsidR="00F32426" w:rsidRPr="00AE201E" w:rsidP="003C6BA4">
                  <w:pPr>
                    <w:jc w:val="center"/>
                    <w:rPr>
                      <w:rFonts w:cstheme="minorHAnsi"/>
                      <w:b/>
                      <w:bCs/>
                      <w:color w:val="000000"/>
                    </w:rPr>
                  </w:pPr>
                </w:p>
              </w:tc>
              <w:tc>
                <w:tcPr>
                  <w:tcW w:w="2664" w:type="dxa"/>
                  <w:tcBorders>
                    <w:top w:val="nil"/>
                    <w:left w:val="nil"/>
                    <w:bottom w:val="nil"/>
                    <w:right w:val="nil"/>
                  </w:tcBorders>
                  <w:shd w:val="clear" w:color="auto" w:fill="auto"/>
                  <w:vAlign w:val="center"/>
                </w:tcPr>
                <w:p w:rsidR="00F32426" w:rsidRPr="00AE201E" w:rsidP="003C6BA4">
                  <w:pPr>
                    <w:jc w:val="center"/>
                    <w:rPr>
                      <w:rFonts w:cstheme="minorHAnsi"/>
                      <w:b/>
                      <w:bCs/>
                      <w:color w:val="000000"/>
                    </w:rPr>
                  </w:pPr>
                </w:p>
              </w:tc>
            </w:tr>
            <w:tr w:rsidTr="00A355C8">
              <w:tblPrEx>
                <w:tblW w:w="15078" w:type="dxa"/>
                <w:tblLook w:val="04A0"/>
              </w:tblPrEx>
              <w:trPr>
                <w:trHeight w:val="300"/>
              </w:trPr>
              <w:tc>
                <w:tcPr>
                  <w:tcW w:w="5307" w:type="dxa"/>
                  <w:tcBorders>
                    <w:top w:val="nil"/>
                    <w:left w:val="nil"/>
                    <w:bottom w:val="nil"/>
                    <w:right w:val="nil"/>
                  </w:tcBorders>
                  <w:shd w:val="clear" w:color="auto" w:fill="auto"/>
                  <w:vAlign w:val="center"/>
                </w:tcPr>
                <w:p w:rsidR="00A355C8" w:rsidRPr="00AE201E" w:rsidP="00A355C8">
                  <w:pPr>
                    <w:rPr>
                      <w:rFonts w:cstheme="minorHAnsi"/>
                      <w:b/>
                      <w:bCs/>
                      <w:color w:val="000000"/>
                    </w:rPr>
                  </w:pPr>
                  <w:r w:rsidRPr="00AE201E">
                    <w:rPr>
                      <w:rFonts w:cstheme="minorHAnsi"/>
                      <w:b/>
                      <w:bCs/>
                      <w:color w:val="000000"/>
                    </w:rPr>
                    <w:t>SR 2015 Settlement</w:t>
                  </w:r>
                </w:p>
              </w:tc>
              <w:tc>
                <w:tcPr>
                  <w:tcW w:w="1318" w:type="dxa"/>
                  <w:tcBorders>
                    <w:top w:val="nil"/>
                    <w:left w:val="nil"/>
                    <w:bottom w:val="nil"/>
                    <w:right w:val="nil"/>
                  </w:tcBorders>
                  <w:shd w:val="clear" w:color="auto" w:fill="auto"/>
                  <w:vAlign w:val="center"/>
                </w:tcPr>
                <w:p w:rsidR="00A355C8" w:rsidRPr="00AE201E" w:rsidP="00A355C8">
                  <w:pPr>
                    <w:jc w:val="center"/>
                    <w:rPr>
                      <w:rFonts w:cstheme="minorHAnsi"/>
                      <w:b/>
                      <w:bCs/>
                      <w:color w:val="000000"/>
                    </w:rPr>
                  </w:pPr>
                  <w:r w:rsidRPr="00AE201E">
                    <w:rPr>
                      <w:rFonts w:cstheme="minorHAnsi"/>
                      <w:b/>
                      <w:bCs/>
                      <w:color w:val="000000"/>
                    </w:rPr>
                    <w:t>13,284.773</w:t>
                  </w:r>
                </w:p>
              </w:tc>
              <w:tc>
                <w:tcPr>
                  <w:tcW w:w="2128" w:type="dxa"/>
                  <w:tcBorders>
                    <w:top w:val="nil"/>
                    <w:left w:val="nil"/>
                    <w:bottom w:val="nil"/>
                    <w:right w:val="nil"/>
                  </w:tcBorders>
                  <w:shd w:val="clear" w:color="auto" w:fill="auto"/>
                  <w:vAlign w:val="center"/>
                </w:tcPr>
                <w:p w:rsidR="00A355C8" w:rsidRPr="00AE201E" w:rsidP="00A355C8">
                  <w:pPr>
                    <w:jc w:val="center"/>
                    <w:rPr>
                      <w:rFonts w:cstheme="minorHAnsi"/>
                      <w:b/>
                      <w:bCs/>
                      <w:color w:val="000000"/>
                    </w:rPr>
                  </w:pPr>
                  <w:r w:rsidRPr="00AE201E">
                    <w:rPr>
                      <w:rFonts w:cstheme="minorHAnsi"/>
                      <w:b/>
                      <w:bCs/>
                      <w:color w:val="000000"/>
                    </w:rPr>
                    <w:t>514.844</w:t>
                  </w:r>
                </w:p>
              </w:tc>
              <w:tc>
                <w:tcPr>
                  <w:tcW w:w="1941" w:type="dxa"/>
                  <w:tcBorders>
                    <w:top w:val="nil"/>
                    <w:left w:val="nil"/>
                    <w:bottom w:val="nil"/>
                    <w:right w:val="nil"/>
                  </w:tcBorders>
                  <w:shd w:val="clear" w:color="auto" w:fill="auto"/>
                  <w:vAlign w:val="center"/>
                </w:tcPr>
                <w:p w:rsidR="00A355C8" w:rsidRPr="00AE201E" w:rsidP="00A355C8">
                  <w:pPr>
                    <w:jc w:val="center"/>
                    <w:rPr>
                      <w:rFonts w:cstheme="minorHAnsi"/>
                      <w:b/>
                      <w:bCs/>
                      <w:color w:val="000000"/>
                    </w:rPr>
                  </w:pPr>
                  <w:r w:rsidRPr="00AE201E">
                    <w:rPr>
                      <w:rFonts w:cstheme="minorHAnsi"/>
                      <w:b/>
                      <w:bCs/>
                      <w:color w:val="000000"/>
                    </w:rPr>
                    <w:t>172.579</w:t>
                  </w:r>
                </w:p>
              </w:tc>
              <w:tc>
                <w:tcPr>
                  <w:tcW w:w="1720" w:type="dxa"/>
                  <w:tcBorders>
                    <w:top w:val="nil"/>
                    <w:left w:val="nil"/>
                    <w:bottom w:val="nil"/>
                    <w:right w:val="nil"/>
                  </w:tcBorders>
                  <w:shd w:val="clear" w:color="auto" w:fill="auto"/>
                  <w:vAlign w:val="center"/>
                </w:tcPr>
                <w:p w:rsidR="00A355C8" w:rsidRPr="00AE201E" w:rsidP="00A355C8">
                  <w:pPr>
                    <w:jc w:val="center"/>
                    <w:rPr>
                      <w:rFonts w:cstheme="minorHAnsi"/>
                      <w:b/>
                      <w:bCs/>
                      <w:color w:val="000000"/>
                    </w:rPr>
                  </w:pPr>
                  <w:r w:rsidRPr="00AE201E">
                    <w:rPr>
                      <w:rFonts w:cstheme="minorHAnsi"/>
                      <w:b/>
                      <w:bCs/>
                      <w:color w:val="000000"/>
                    </w:rPr>
                    <w:t>1,542.109</w:t>
                  </w:r>
                </w:p>
              </w:tc>
              <w:tc>
                <w:tcPr>
                  <w:tcW w:w="2664" w:type="dxa"/>
                  <w:tcBorders>
                    <w:top w:val="nil"/>
                    <w:left w:val="nil"/>
                    <w:bottom w:val="nil"/>
                    <w:right w:val="nil"/>
                  </w:tcBorders>
                  <w:shd w:val="clear" w:color="auto" w:fill="auto"/>
                  <w:vAlign w:val="center"/>
                </w:tcPr>
                <w:p w:rsidR="00A355C8" w:rsidRPr="00AE201E" w:rsidP="00A355C8">
                  <w:pPr>
                    <w:jc w:val="center"/>
                    <w:rPr>
                      <w:rFonts w:cstheme="minorHAnsi"/>
                      <w:b/>
                      <w:bCs/>
                      <w:color w:val="000000"/>
                    </w:rPr>
                  </w:pPr>
                  <w:r w:rsidRPr="00AE201E">
                    <w:rPr>
                      <w:rFonts w:cstheme="minorHAnsi"/>
                      <w:b/>
                      <w:bCs/>
                      <w:color w:val="000000"/>
                    </w:rPr>
                    <w:t>105.767</w:t>
                  </w:r>
                </w:p>
              </w:tc>
            </w:tr>
            <w:tr w:rsidTr="00A355C8">
              <w:tblPrEx>
                <w:tblW w:w="15078" w:type="dxa"/>
                <w:tblLook w:val="04A0"/>
              </w:tblPrEx>
              <w:trPr>
                <w:trHeight w:val="300"/>
              </w:trPr>
              <w:tc>
                <w:tcPr>
                  <w:tcW w:w="5307" w:type="dxa"/>
                  <w:tcBorders>
                    <w:top w:val="nil"/>
                    <w:left w:val="nil"/>
                    <w:bottom w:val="nil"/>
                    <w:right w:val="nil"/>
                  </w:tcBorders>
                  <w:shd w:val="clear" w:color="auto" w:fill="auto"/>
                  <w:vAlign w:val="center"/>
                </w:tcPr>
                <w:p w:rsidR="00A355C8" w:rsidRPr="00AE201E" w:rsidP="00A355C8">
                  <w:pPr>
                    <w:rPr>
                      <w:rFonts w:cstheme="minorHAnsi"/>
                      <w:bCs/>
                      <w:color w:val="000000"/>
                    </w:rPr>
                  </w:pPr>
                </w:p>
              </w:tc>
              <w:tc>
                <w:tcPr>
                  <w:tcW w:w="1318" w:type="dxa"/>
                  <w:tcBorders>
                    <w:top w:val="nil"/>
                    <w:left w:val="nil"/>
                    <w:bottom w:val="nil"/>
                    <w:right w:val="nil"/>
                  </w:tcBorders>
                  <w:shd w:val="clear" w:color="auto" w:fill="auto"/>
                  <w:vAlign w:val="center"/>
                </w:tcPr>
                <w:p w:rsidR="00A355C8" w:rsidRPr="00AE201E" w:rsidP="00A355C8">
                  <w:pPr>
                    <w:jc w:val="center"/>
                    <w:rPr>
                      <w:rFonts w:cstheme="minorHAnsi"/>
                      <w:bCs/>
                      <w:color w:val="000000"/>
                    </w:rPr>
                  </w:pPr>
                </w:p>
              </w:tc>
              <w:tc>
                <w:tcPr>
                  <w:tcW w:w="2128" w:type="dxa"/>
                  <w:tcBorders>
                    <w:top w:val="nil"/>
                    <w:left w:val="nil"/>
                    <w:bottom w:val="nil"/>
                    <w:right w:val="nil"/>
                  </w:tcBorders>
                  <w:shd w:val="clear" w:color="auto" w:fill="auto"/>
                  <w:vAlign w:val="center"/>
                </w:tcPr>
                <w:p w:rsidR="00A355C8" w:rsidRPr="00AE201E" w:rsidP="00A355C8">
                  <w:pPr>
                    <w:jc w:val="center"/>
                    <w:rPr>
                      <w:rFonts w:cstheme="minorHAnsi"/>
                      <w:bCs/>
                      <w:color w:val="000000"/>
                    </w:rPr>
                  </w:pPr>
                </w:p>
              </w:tc>
              <w:tc>
                <w:tcPr>
                  <w:tcW w:w="1941" w:type="dxa"/>
                  <w:tcBorders>
                    <w:top w:val="nil"/>
                    <w:left w:val="nil"/>
                    <w:bottom w:val="nil"/>
                    <w:right w:val="nil"/>
                  </w:tcBorders>
                  <w:shd w:val="clear" w:color="auto" w:fill="auto"/>
                  <w:vAlign w:val="center"/>
                </w:tcPr>
                <w:p w:rsidR="00A355C8" w:rsidRPr="00AE201E" w:rsidP="00A355C8">
                  <w:pPr>
                    <w:jc w:val="center"/>
                    <w:rPr>
                      <w:rFonts w:cstheme="minorHAnsi"/>
                      <w:bCs/>
                      <w:color w:val="000000"/>
                    </w:rPr>
                  </w:pPr>
                </w:p>
              </w:tc>
              <w:tc>
                <w:tcPr>
                  <w:tcW w:w="1720" w:type="dxa"/>
                  <w:tcBorders>
                    <w:top w:val="nil"/>
                    <w:left w:val="nil"/>
                    <w:bottom w:val="nil"/>
                    <w:right w:val="nil"/>
                  </w:tcBorders>
                  <w:shd w:val="clear" w:color="auto" w:fill="auto"/>
                  <w:vAlign w:val="center"/>
                </w:tcPr>
                <w:p w:rsidR="00A355C8" w:rsidRPr="00AE201E" w:rsidP="00A355C8">
                  <w:pPr>
                    <w:jc w:val="center"/>
                    <w:rPr>
                      <w:rFonts w:cstheme="minorHAnsi"/>
                      <w:bCs/>
                      <w:color w:val="000000"/>
                    </w:rPr>
                  </w:pPr>
                </w:p>
              </w:tc>
              <w:tc>
                <w:tcPr>
                  <w:tcW w:w="2664" w:type="dxa"/>
                  <w:tcBorders>
                    <w:top w:val="nil"/>
                    <w:left w:val="nil"/>
                    <w:bottom w:val="nil"/>
                    <w:right w:val="nil"/>
                  </w:tcBorders>
                  <w:shd w:val="clear" w:color="auto" w:fill="auto"/>
                  <w:vAlign w:val="center"/>
                </w:tcPr>
                <w:p w:rsidR="00A355C8" w:rsidRPr="00AE201E" w:rsidP="00A355C8">
                  <w:pPr>
                    <w:jc w:val="center"/>
                    <w:rPr>
                      <w:rFonts w:cstheme="minorHAnsi"/>
                      <w:bCs/>
                      <w:color w:val="000000"/>
                    </w:rPr>
                  </w:pPr>
                  <w:r w:rsidRPr="00AE201E">
                    <w:rPr>
                      <w:rFonts w:cstheme="minorHAnsi"/>
                      <w:bCs/>
                      <w:color w:val="000000"/>
                    </w:rPr>
                    <w:t> </w:t>
                  </w: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 xml:space="preserve">Barnett </w:t>
                  </w:r>
                  <w:r w:rsidRPr="00405A6A">
                    <w:rPr>
                      <w:rFonts w:cstheme="minorHAnsi"/>
                      <w:bCs/>
                      <w:color w:val="000000"/>
                    </w:rPr>
                    <w:t>Consequentials</w:t>
                  </w:r>
                  <w:r w:rsidRPr="00405A6A">
                    <w:rPr>
                      <w:rFonts w:cstheme="minorHAnsi"/>
                      <w:bCs/>
                      <w:color w:val="000000"/>
                    </w:rPr>
                    <w:t>: Budget 2016</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120.770</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8.820</w:t>
                  </w: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 xml:space="preserve">Barnett </w:t>
                  </w:r>
                  <w:r w:rsidRPr="00405A6A">
                    <w:rPr>
                      <w:rFonts w:cstheme="minorHAnsi"/>
                      <w:bCs/>
                      <w:color w:val="000000"/>
                    </w:rPr>
                    <w:t>Consequentials</w:t>
                  </w:r>
                  <w:r w:rsidRPr="00405A6A">
                    <w:rPr>
                      <w:rFonts w:cstheme="minorHAnsi"/>
                      <w:bCs/>
                      <w:color w:val="000000"/>
                    </w:rPr>
                    <w:t>: Autumn Statement 2016</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1.307</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126.561</w:t>
                  </w: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1.193</w:t>
                  </w: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 xml:space="preserve">Barnett </w:t>
                  </w:r>
                  <w:r w:rsidRPr="00405A6A">
                    <w:rPr>
                      <w:rFonts w:cstheme="minorHAnsi"/>
                      <w:bCs/>
                      <w:color w:val="000000"/>
                    </w:rPr>
                    <w:t>Consequentials</w:t>
                  </w:r>
                  <w:r w:rsidRPr="00405A6A">
                    <w:rPr>
                      <w:rFonts w:cstheme="minorHAnsi"/>
                      <w:bCs/>
                      <w:color w:val="000000"/>
                    </w:rPr>
                    <w:t>: Spring Budget 2017</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29.081</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13.780</w:t>
                  </w: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0.000</w:t>
                  </w: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 xml:space="preserve">Barnett </w:t>
                  </w:r>
                  <w:r w:rsidRPr="00405A6A">
                    <w:rPr>
                      <w:rFonts w:cstheme="minorHAnsi"/>
                      <w:bCs/>
                      <w:color w:val="000000"/>
                    </w:rPr>
                    <w:t>Consequentials</w:t>
                  </w:r>
                  <w:r w:rsidRPr="00405A6A">
                    <w:rPr>
                      <w:rFonts w:cstheme="minorHAnsi"/>
                      <w:bCs/>
                      <w:color w:val="000000"/>
                    </w:rPr>
                    <w:t>: Autumn Budget 2017</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88.636</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95.293</w:t>
                  </w: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191.139</w:t>
                  </w: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 xml:space="preserve">Barnett </w:t>
                  </w:r>
                  <w:r w:rsidRPr="00405A6A">
                    <w:rPr>
                      <w:rFonts w:cstheme="minorHAnsi"/>
                      <w:bCs/>
                      <w:color w:val="000000"/>
                    </w:rPr>
                    <w:t>Consequentials</w:t>
                  </w:r>
                  <w:r w:rsidRPr="00405A6A">
                    <w:rPr>
                      <w:rFonts w:cstheme="minorHAnsi"/>
                      <w:bCs/>
                      <w:color w:val="000000"/>
                    </w:rPr>
                    <w:t>: Autumn Budget 2018</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416.305</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2.591</w:t>
                  </w: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 xml:space="preserve">Barnett </w:t>
                  </w:r>
                  <w:r w:rsidRPr="00405A6A">
                    <w:rPr>
                      <w:rFonts w:cstheme="minorHAnsi"/>
                      <w:bCs/>
                      <w:color w:val="000000"/>
                    </w:rPr>
                    <w:t>Consequentials</w:t>
                  </w:r>
                  <w:r w:rsidRPr="00405A6A">
                    <w:rPr>
                      <w:rFonts w:cstheme="minorHAnsi"/>
                      <w:bCs/>
                      <w:color w:val="000000"/>
                    </w:rPr>
                    <w:t xml:space="preserve">  Main Estimates 2019-20</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177.216</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 xml:space="preserve">Barnett </w:t>
                  </w:r>
                  <w:r w:rsidRPr="00405A6A">
                    <w:rPr>
                      <w:rFonts w:cstheme="minorHAnsi"/>
                      <w:bCs/>
                      <w:color w:val="000000"/>
                    </w:rPr>
                    <w:t>Consequentials</w:t>
                  </w:r>
                  <w:r w:rsidRPr="00405A6A">
                    <w:rPr>
                      <w:rFonts w:cstheme="minorHAnsi"/>
                      <w:bCs/>
                      <w:color w:val="000000"/>
                    </w:rPr>
                    <w:t xml:space="preserve">  Supplementary Estimates 2019-20</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141.079</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-17.802</w:t>
                  </w: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-106.023</w:t>
                  </w:r>
                </w:p>
              </w:tc>
            </w:tr>
            <w:tr w:rsidTr="00A355C8">
              <w:tblPrEx>
                <w:tblW w:w="15078" w:type="dxa"/>
                <w:tblLook w:val="04A0"/>
              </w:tblPrEx>
              <w:trPr>
                <w:trHeight w:val="300"/>
              </w:trPr>
              <w:tc>
                <w:tcPr>
                  <w:tcW w:w="5307" w:type="dxa"/>
                  <w:tcBorders>
                    <w:top w:val="nil"/>
                    <w:left w:val="nil"/>
                    <w:bottom w:val="nil"/>
                    <w:right w:val="nil"/>
                  </w:tcBorders>
                  <w:shd w:val="clear" w:color="auto" w:fill="auto"/>
                  <w:vAlign w:val="center"/>
                </w:tcPr>
                <w:p w:rsidR="00A355C8" w:rsidRPr="00AE201E" w:rsidP="00A355C8">
                  <w:pPr>
                    <w:rPr>
                      <w:rFonts w:cstheme="minorHAnsi"/>
                      <w:bCs/>
                      <w:color w:val="000000"/>
                    </w:rPr>
                  </w:pPr>
                </w:p>
              </w:tc>
              <w:tc>
                <w:tcPr>
                  <w:tcW w:w="1318" w:type="dxa"/>
                  <w:tcBorders>
                    <w:top w:val="nil"/>
                    <w:left w:val="nil"/>
                    <w:bottom w:val="nil"/>
                    <w:right w:val="nil"/>
                  </w:tcBorders>
                  <w:shd w:val="clear" w:color="auto" w:fill="auto"/>
                  <w:vAlign w:val="center"/>
                </w:tcPr>
                <w:p w:rsidR="00A355C8" w:rsidRPr="00AE201E" w:rsidP="00A355C8">
                  <w:pPr>
                    <w:jc w:val="center"/>
                    <w:rPr>
                      <w:rFonts w:cstheme="minorHAnsi"/>
                      <w:bCs/>
                      <w:color w:val="000000"/>
                    </w:rPr>
                  </w:pPr>
                </w:p>
              </w:tc>
              <w:tc>
                <w:tcPr>
                  <w:tcW w:w="2128" w:type="dxa"/>
                  <w:tcBorders>
                    <w:top w:val="nil"/>
                    <w:left w:val="nil"/>
                    <w:bottom w:val="nil"/>
                    <w:right w:val="nil"/>
                  </w:tcBorders>
                  <w:shd w:val="clear" w:color="auto" w:fill="auto"/>
                  <w:vAlign w:val="center"/>
                </w:tcPr>
                <w:p w:rsidR="00A355C8" w:rsidRPr="00AE201E" w:rsidP="00A355C8">
                  <w:pPr>
                    <w:jc w:val="center"/>
                    <w:rPr>
                      <w:rFonts w:cstheme="minorHAnsi"/>
                      <w:bCs/>
                      <w:color w:val="000000"/>
                    </w:rPr>
                  </w:pPr>
                </w:p>
              </w:tc>
              <w:tc>
                <w:tcPr>
                  <w:tcW w:w="1941" w:type="dxa"/>
                  <w:tcBorders>
                    <w:top w:val="nil"/>
                    <w:left w:val="nil"/>
                    <w:bottom w:val="nil"/>
                    <w:right w:val="nil"/>
                  </w:tcBorders>
                  <w:shd w:val="clear" w:color="auto" w:fill="auto"/>
                  <w:vAlign w:val="center"/>
                </w:tcPr>
                <w:p w:rsidR="00A355C8" w:rsidRPr="00AE201E" w:rsidP="00A355C8">
                  <w:pPr>
                    <w:jc w:val="center"/>
                    <w:rPr>
                      <w:rFonts w:cstheme="minorHAnsi"/>
                      <w:bCs/>
                      <w:color w:val="000000"/>
                    </w:rPr>
                  </w:pPr>
                </w:p>
              </w:tc>
              <w:tc>
                <w:tcPr>
                  <w:tcW w:w="1720" w:type="dxa"/>
                  <w:tcBorders>
                    <w:top w:val="nil"/>
                    <w:left w:val="nil"/>
                    <w:bottom w:val="nil"/>
                    <w:right w:val="nil"/>
                  </w:tcBorders>
                  <w:shd w:val="clear" w:color="auto" w:fill="auto"/>
                  <w:vAlign w:val="center"/>
                </w:tcPr>
                <w:p w:rsidR="00A355C8" w:rsidRPr="00AE201E" w:rsidP="00A355C8">
                  <w:pPr>
                    <w:jc w:val="center"/>
                    <w:rPr>
                      <w:rFonts w:cstheme="minorHAnsi"/>
                      <w:bCs/>
                      <w:color w:val="000000"/>
                    </w:rPr>
                  </w:pPr>
                </w:p>
              </w:tc>
              <w:tc>
                <w:tcPr>
                  <w:tcW w:w="2664" w:type="dxa"/>
                  <w:tcBorders>
                    <w:top w:val="nil"/>
                    <w:left w:val="nil"/>
                    <w:bottom w:val="nil"/>
                    <w:right w:val="nil"/>
                  </w:tcBorders>
                  <w:shd w:val="clear" w:color="auto" w:fill="auto"/>
                  <w:vAlign w:val="center"/>
                </w:tcPr>
                <w:p w:rsidR="00A355C8" w:rsidRPr="00AE201E" w:rsidP="00A355C8">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 xml:space="preserve">5% uplift on Barnett </w:t>
                  </w:r>
                  <w:r w:rsidRPr="00405A6A">
                    <w:rPr>
                      <w:rFonts w:cstheme="minorHAnsi"/>
                      <w:bCs/>
                      <w:color w:val="000000"/>
                    </w:rPr>
                    <w:t>Consequentails</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9.109</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1.207</w:t>
                  </w: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1.351</w:t>
                  </w: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15.802</w:t>
                  </w: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2.120</w:t>
                  </w: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Block Grant Adjustment: Fiscal Framework</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-2,334.323</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Budget  Transfer from Home Office: Immigration Health Surcharge</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14.687</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 xml:space="preserve">Budget Transfer from BEIS: </w:t>
                  </w:r>
                  <w:r w:rsidRPr="00405A6A">
                    <w:rPr>
                      <w:rFonts w:cstheme="minorHAnsi"/>
                      <w:bCs/>
                      <w:color w:val="000000"/>
                    </w:rPr>
                    <w:t>GovTech</w:t>
                  </w:r>
                  <w:r w:rsidRPr="00405A6A">
                    <w:rPr>
                      <w:rFonts w:cstheme="minorHAnsi"/>
                      <w:bCs/>
                      <w:color w:val="000000"/>
                    </w:rPr>
                    <w:t xml:space="preserve"> competition winners in Wales</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2.250</w:t>
                  </w: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Budget Transfer from Cabinet Office: Cyber Security</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0.650</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 xml:space="preserve">Budget Transfer from HMRC - Savings </w:t>
                  </w:r>
                  <w:r w:rsidRPr="00405A6A">
                    <w:rPr>
                      <w:rFonts w:cstheme="minorHAnsi"/>
                      <w:bCs/>
                      <w:color w:val="000000"/>
                    </w:rPr>
                    <w:t>iro</w:t>
                  </w:r>
                  <w:r w:rsidRPr="00405A6A">
                    <w:rPr>
                      <w:rFonts w:cstheme="minorHAnsi"/>
                      <w:bCs/>
                      <w:color w:val="000000"/>
                    </w:rPr>
                    <w:t xml:space="preserve"> administering SDLT &amp; </w:t>
                  </w:r>
                  <w:r w:rsidRPr="00405A6A">
                    <w:rPr>
                      <w:rFonts w:cstheme="minorHAnsi"/>
                      <w:bCs/>
                      <w:color w:val="000000"/>
                    </w:rPr>
                    <w:t>LfT</w:t>
                  </w:r>
                  <w:r w:rsidRPr="00405A6A">
                    <w:rPr>
                      <w:rFonts w:cstheme="minorHAnsi"/>
                      <w:bCs/>
                      <w:color w:val="000000"/>
                    </w:rPr>
                    <w:t xml:space="preserve"> in Wales</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0.173</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Budget Transfer from BEIS : Research &amp; Development</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2.701</w:t>
                  </w: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Budget Transfer from BEIS: National Productivity Investment Fund R&amp;D</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4.253</w:t>
                  </w: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Budget Transfer from DCMS: Lloyd George Museum</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0.027</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Budget Transfer from HO: Police funding</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29.930</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Budget Transfer to HM Treasury: OBR costs</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-0.100</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Cardiff City Deal</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10.000</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Machinery of Government Transfer from DEFRA: Forestry</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0.607</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0.083</w:t>
                  </w: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0.384</w:t>
                  </w: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North Wales Growth Deal</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8.000</w:t>
                  </w: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 xml:space="preserve">Reprofile Efficiency Review savings into 2017-18 </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6.418</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Reserve Claim - Financial Services</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2.446</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Reserve Claim - Funding for EU Exit</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27.500</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3.584</w:t>
                  </w: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Swansea City Deal</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8.000</w:t>
                  </w: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WG Operational Contingency Fund bid</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3.820</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1.250</w:t>
                  </w: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WG Operational Contingency Fund bid 2</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8.230</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Reserve Claim - DEL cover for Welsh Reserve drawdown</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125.000</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2019-20 Tampon Tax Allocations</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0.998</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2019-20 Tampon Tax Allocations 2</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0.125</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Personal Injury Discount Rate (PIDR) change</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27.880</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EU Structural Funds</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3.807</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Coastal Communities Fund</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2.028</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 xml:space="preserve">Block Grant Adjustment </w:t>
                  </w:r>
                  <w:r w:rsidRPr="00405A6A">
                    <w:rPr>
                      <w:rFonts w:cstheme="minorHAnsi"/>
                      <w:bCs/>
                      <w:color w:val="000000"/>
                    </w:rPr>
                    <w:t>iro</w:t>
                  </w:r>
                  <w:r w:rsidRPr="00405A6A">
                    <w:rPr>
                      <w:rFonts w:cstheme="minorHAnsi"/>
                      <w:bCs/>
                      <w:color w:val="000000"/>
                    </w:rPr>
                    <w:t xml:space="preserve"> Land Transaction Tax</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16.751</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 xml:space="preserve">Block Grant Adjustment </w:t>
                  </w:r>
                  <w:r w:rsidRPr="00405A6A">
                    <w:rPr>
                      <w:rFonts w:cstheme="minorHAnsi"/>
                      <w:bCs/>
                      <w:color w:val="000000"/>
                    </w:rPr>
                    <w:t>iro</w:t>
                  </w:r>
                  <w:r w:rsidRPr="00405A6A">
                    <w:rPr>
                      <w:rFonts w:cstheme="minorHAnsi"/>
                      <w:bCs/>
                      <w:color w:val="000000"/>
                    </w:rPr>
                    <w:t xml:space="preserve"> Landfill Disposal Tax</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-1.483</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LIBOR - Wales Air Ambulance</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0.027</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 xml:space="preserve">Budget Cover Transfer to </w:t>
                  </w:r>
                  <w:r w:rsidRPr="00405A6A">
                    <w:rPr>
                      <w:rFonts w:cstheme="minorHAnsi"/>
                      <w:bCs/>
                      <w:color w:val="000000"/>
                    </w:rPr>
                    <w:t>DfT</w:t>
                  </w:r>
                  <w:r w:rsidRPr="00405A6A">
                    <w:rPr>
                      <w:rFonts w:cstheme="minorHAnsi"/>
                      <w:bCs/>
                      <w:color w:val="000000"/>
                    </w:rPr>
                    <w:t xml:space="preserve"> - Rail Access Charge Adjustment</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-71.800</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Budget Cover Transfer from HO - Immigration Surcharge</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10.369</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Budget Cover Transfer from DWP - Health Innovation Fund</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0.990</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 xml:space="preserve">Budget Cover Transfer from </w:t>
                  </w:r>
                  <w:r w:rsidRPr="00405A6A">
                    <w:rPr>
                      <w:rFonts w:cstheme="minorHAnsi"/>
                      <w:bCs/>
                      <w:color w:val="000000"/>
                    </w:rPr>
                    <w:t>MoJ</w:t>
                  </w:r>
                  <w:r w:rsidRPr="00405A6A">
                    <w:rPr>
                      <w:rFonts w:cstheme="minorHAnsi"/>
                      <w:bCs/>
                      <w:color w:val="000000"/>
                    </w:rPr>
                    <w:t xml:space="preserve"> - Offender Learning</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3.300</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Budget Cover Transfer from Security &amp; Intelligence Agency - Cyber Resilience</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0.583</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Budget Cover Transfer from DHSC - HIV Contaminated Blood</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0.569</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 xml:space="preserve">Budget Cover Transfer from DEFRA </w:t>
                  </w:r>
                  <w:r w:rsidR="0052328E">
                    <w:rPr>
                      <w:rFonts w:cstheme="minorHAnsi"/>
                      <w:bCs/>
                      <w:color w:val="000000"/>
                    </w:rPr>
                    <w:t>–</w:t>
                  </w:r>
                  <w:r w:rsidRPr="00405A6A">
                    <w:rPr>
                      <w:rFonts w:cstheme="minorHAnsi"/>
                      <w:bCs/>
                      <w:color w:val="000000"/>
                    </w:rPr>
                    <w:t xml:space="preserve"> E</w:t>
                  </w:r>
                  <w:r w:rsidR="0052328E">
                    <w:rPr>
                      <w:rFonts w:cstheme="minorHAnsi"/>
                      <w:bCs/>
                      <w:color w:val="000000"/>
                    </w:rPr>
                    <w:t>uropean Maritime and Fisheries Fund (E</w:t>
                  </w:r>
                  <w:r w:rsidRPr="00405A6A">
                    <w:rPr>
                      <w:rFonts w:cstheme="minorHAnsi"/>
                      <w:bCs/>
                      <w:color w:val="000000"/>
                    </w:rPr>
                    <w:t>MFF</w:t>
                  </w:r>
                  <w:r w:rsidR="0052328E">
                    <w:rPr>
                      <w:rFonts w:cstheme="minorHAnsi"/>
                      <w:bCs/>
                      <w:color w:val="000000"/>
                    </w:rPr>
                    <w:t>)</w:t>
                  </w:r>
                  <w:r w:rsidRPr="00405A6A">
                    <w:rPr>
                      <w:rFonts w:cstheme="minorHAnsi"/>
                      <w:bCs/>
                      <w:color w:val="000000"/>
                    </w:rPr>
                    <w:t xml:space="preserve"> Funding for 2019-20</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0.400</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 xml:space="preserve">Capital to Resource Switch to cover Rail Access Charge BCT to </w:t>
                  </w:r>
                  <w:r w:rsidRPr="00405A6A">
                    <w:rPr>
                      <w:rFonts w:cstheme="minorHAnsi"/>
                      <w:bCs/>
                      <w:color w:val="000000"/>
                    </w:rPr>
                    <w:t>DfT</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71.800</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-71.800</w:t>
                  </w: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 xml:space="preserve">Resource to Capital Switch </w:t>
                  </w:r>
                  <w:r w:rsidRPr="00405A6A">
                    <w:rPr>
                      <w:rFonts w:cstheme="minorHAnsi"/>
                      <w:bCs/>
                      <w:color w:val="000000"/>
                    </w:rPr>
                    <w:t>iro</w:t>
                  </w:r>
                  <w:r w:rsidRPr="00405A6A">
                    <w:rPr>
                      <w:rFonts w:cstheme="minorHAnsi"/>
                      <w:bCs/>
                      <w:color w:val="000000"/>
                    </w:rPr>
                    <w:t xml:space="preserve"> Research and Development</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-49.256</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49.256</w:t>
                  </w: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Resource to Capital Switch to cover Land Transaction Tax for the Core Valley Lines</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-33.819</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33.819</w:t>
                  </w: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Teachers' Pay Funding</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14.800</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Cash Management Rebate</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0.130</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Reserve Claim - Student Loans Impairment</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285.065</w:t>
                  </w: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Reserve Claim - DEL cover for Welsh Reserve drawdown</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8.433</w:t>
                  </w: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Budget Cover Transfer from BEIS - Energy Efficiency Strategy</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2.832</w:t>
                  </w: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Budget Cover Transfer from BEIS - National Productivity Investment Fund</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2.045</w:t>
                  </w: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 xml:space="preserve">Reprofile of AB 2017 </w:t>
                  </w:r>
                  <w:r w:rsidRPr="00405A6A">
                    <w:rPr>
                      <w:rFonts w:cstheme="minorHAnsi"/>
                      <w:bCs/>
                      <w:color w:val="000000"/>
                    </w:rPr>
                    <w:t>Consequentials</w:t>
                  </w:r>
                  <w:r w:rsidRPr="00405A6A">
                    <w:rPr>
                      <w:rFonts w:cstheme="minorHAnsi"/>
                      <w:bCs/>
                      <w:color w:val="000000"/>
                    </w:rPr>
                    <w:t xml:space="preserve"> from 17/18 to 19/20</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89.967</w:t>
                  </w: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Cs/>
                      <w:color w:val="000000"/>
                    </w:rPr>
                  </w:pPr>
                  <w:r w:rsidRPr="00405A6A">
                    <w:rPr>
                      <w:rFonts w:cstheme="minorHAnsi"/>
                      <w:bCs/>
                      <w:color w:val="000000"/>
                    </w:rPr>
                    <w:t>Reprofile of Supplementary Estimates 19/20 Barnett into 20/21</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-19.196</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r w:rsidRPr="00405A6A">
                    <w:rPr>
                      <w:rFonts w:cstheme="minorHAnsi"/>
                      <w:bCs/>
                      <w:color w:val="000000"/>
                    </w:rPr>
                    <w:t>99.985</w:t>
                  </w: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Cs/>
                      <w:color w:val="000000"/>
                    </w:rPr>
                  </w:pPr>
                </w:p>
              </w:tc>
            </w:tr>
            <w:tr w:rsidTr="00405A6A">
              <w:tblPrEx>
                <w:tblW w:w="15078" w:type="dxa"/>
                <w:tblLook w:val="04A0"/>
              </w:tblPrEx>
              <w:trPr>
                <w:trHeight w:val="300"/>
              </w:trPr>
              <w:tc>
                <w:tcPr>
                  <w:tcW w:w="5307" w:type="dxa"/>
                  <w:tcBorders>
                    <w:top w:val="nil"/>
                    <w:left w:val="nil"/>
                    <w:bottom w:val="nil"/>
                    <w:right w:val="nil"/>
                  </w:tcBorders>
                  <w:shd w:val="clear" w:color="auto" w:fill="auto"/>
                  <w:vAlign w:val="center"/>
                </w:tcPr>
                <w:p w:rsidR="00405A6A" w:rsidRPr="00405A6A" w:rsidP="00405A6A">
                  <w:pPr>
                    <w:rPr>
                      <w:rFonts w:cstheme="minorHAnsi"/>
                      <w:b/>
                      <w:bCs/>
                      <w:color w:val="000000"/>
                    </w:rPr>
                  </w:pPr>
                  <w:r w:rsidRPr="00405A6A">
                    <w:rPr>
                      <w:rFonts w:cstheme="minorHAnsi"/>
                      <w:b/>
                      <w:bCs/>
                      <w:color w:val="000000"/>
                    </w:rPr>
                    <w:t>Total at Supplementary Estimates 2019-20</w:t>
                  </w:r>
                </w:p>
              </w:tc>
              <w:tc>
                <w:tcPr>
                  <w:tcW w:w="1318" w:type="dxa"/>
                  <w:tcBorders>
                    <w:top w:val="nil"/>
                    <w:left w:val="nil"/>
                    <w:bottom w:val="nil"/>
                    <w:right w:val="nil"/>
                  </w:tcBorders>
                  <w:shd w:val="clear" w:color="auto" w:fill="auto"/>
                  <w:vAlign w:val="center"/>
                </w:tcPr>
                <w:p w:rsidR="00405A6A" w:rsidRPr="00405A6A" w:rsidP="00405A6A">
                  <w:pPr>
                    <w:jc w:val="center"/>
                    <w:rPr>
                      <w:rFonts w:cstheme="minorHAnsi"/>
                      <w:b/>
                      <w:bCs/>
                      <w:color w:val="000000"/>
                    </w:rPr>
                  </w:pPr>
                  <w:r w:rsidRPr="00405A6A">
                    <w:rPr>
                      <w:rFonts w:cstheme="minorHAnsi"/>
                      <w:b/>
                      <w:bCs/>
                      <w:color w:val="000000"/>
                    </w:rPr>
                    <w:t>12,142.343</w:t>
                  </w:r>
                </w:p>
              </w:tc>
              <w:tc>
                <w:tcPr>
                  <w:tcW w:w="2128" w:type="dxa"/>
                  <w:tcBorders>
                    <w:top w:val="nil"/>
                    <w:left w:val="nil"/>
                    <w:bottom w:val="nil"/>
                    <w:right w:val="nil"/>
                  </w:tcBorders>
                  <w:shd w:val="clear" w:color="auto" w:fill="auto"/>
                  <w:vAlign w:val="center"/>
                </w:tcPr>
                <w:p w:rsidR="00405A6A" w:rsidRPr="00405A6A" w:rsidP="00405A6A">
                  <w:pPr>
                    <w:jc w:val="center"/>
                    <w:rPr>
                      <w:rFonts w:cstheme="minorHAnsi"/>
                      <w:b/>
                      <w:bCs/>
                      <w:color w:val="000000"/>
                    </w:rPr>
                  </w:pPr>
                  <w:r w:rsidRPr="00405A6A">
                    <w:rPr>
                      <w:rFonts w:cstheme="minorHAnsi"/>
                      <w:b/>
                      <w:bCs/>
                      <w:color w:val="000000"/>
                    </w:rPr>
                    <w:t>516.134</w:t>
                  </w:r>
                </w:p>
              </w:tc>
              <w:tc>
                <w:tcPr>
                  <w:tcW w:w="1941" w:type="dxa"/>
                  <w:tcBorders>
                    <w:top w:val="nil"/>
                    <w:left w:val="nil"/>
                    <w:bottom w:val="nil"/>
                    <w:right w:val="nil"/>
                  </w:tcBorders>
                  <w:shd w:val="clear" w:color="auto" w:fill="auto"/>
                  <w:vAlign w:val="center"/>
                </w:tcPr>
                <w:p w:rsidR="00405A6A" w:rsidRPr="00405A6A" w:rsidP="00405A6A">
                  <w:pPr>
                    <w:jc w:val="center"/>
                    <w:rPr>
                      <w:rFonts w:cstheme="minorHAnsi"/>
                      <w:b/>
                      <w:bCs/>
                      <w:color w:val="000000"/>
                    </w:rPr>
                  </w:pPr>
                  <w:r w:rsidRPr="00405A6A">
                    <w:rPr>
                      <w:rFonts w:cstheme="minorHAnsi"/>
                      <w:b/>
                      <w:bCs/>
                      <w:color w:val="000000"/>
                    </w:rPr>
                    <w:t>458.995</w:t>
                  </w:r>
                </w:p>
              </w:tc>
              <w:tc>
                <w:tcPr>
                  <w:tcW w:w="1720" w:type="dxa"/>
                  <w:tcBorders>
                    <w:top w:val="nil"/>
                    <w:left w:val="nil"/>
                    <w:bottom w:val="nil"/>
                    <w:right w:val="nil"/>
                  </w:tcBorders>
                  <w:shd w:val="clear" w:color="auto" w:fill="auto"/>
                  <w:vAlign w:val="center"/>
                </w:tcPr>
                <w:p w:rsidR="00405A6A" w:rsidRPr="00405A6A" w:rsidP="00405A6A">
                  <w:pPr>
                    <w:jc w:val="center"/>
                    <w:rPr>
                      <w:rFonts w:cstheme="minorHAnsi"/>
                      <w:b/>
                      <w:bCs/>
                      <w:color w:val="000000"/>
                    </w:rPr>
                  </w:pPr>
                  <w:r w:rsidRPr="00405A6A">
                    <w:rPr>
                      <w:rFonts w:cstheme="minorHAnsi"/>
                      <w:b/>
                      <w:bCs/>
                      <w:color w:val="000000"/>
                    </w:rPr>
                    <w:t>1,942.146</w:t>
                  </w:r>
                </w:p>
              </w:tc>
              <w:tc>
                <w:tcPr>
                  <w:tcW w:w="2664" w:type="dxa"/>
                  <w:tcBorders>
                    <w:top w:val="nil"/>
                    <w:left w:val="nil"/>
                    <w:bottom w:val="nil"/>
                    <w:right w:val="nil"/>
                  </w:tcBorders>
                  <w:shd w:val="clear" w:color="auto" w:fill="auto"/>
                  <w:vAlign w:val="center"/>
                </w:tcPr>
                <w:p w:rsidR="00405A6A" w:rsidRPr="00405A6A" w:rsidP="00405A6A">
                  <w:pPr>
                    <w:jc w:val="center"/>
                    <w:rPr>
                      <w:rFonts w:cstheme="minorHAnsi"/>
                      <w:b/>
                      <w:bCs/>
                      <w:color w:val="000000"/>
                    </w:rPr>
                  </w:pPr>
                  <w:r w:rsidRPr="00405A6A">
                    <w:rPr>
                      <w:rFonts w:cstheme="minorHAnsi"/>
                      <w:b/>
                      <w:bCs/>
                      <w:color w:val="000000"/>
                    </w:rPr>
                    <w:t>284.163</w:t>
                  </w:r>
                </w:p>
              </w:tc>
            </w:tr>
          </w:tbl>
          <w:p w:rsidR="00F32426" w:rsidRPr="00AE201E" w:rsidP="00405A6A">
            <w:pPr>
              <w:tabs>
                <w:tab w:val="left" w:pos="15075"/>
              </w:tabs>
              <w:ind w:right="-8283"/>
              <w:rPr>
                <w:rFonts w:cstheme="minorHAnsi"/>
                <w:color w:val="000000"/>
              </w:rPr>
            </w:pPr>
          </w:p>
        </w:tc>
        <w:tc>
          <w:tcPr>
            <w:tcW w:w="1948" w:type="dxa"/>
            <w:tcBorders>
              <w:top w:val="nil"/>
              <w:left w:val="nil"/>
              <w:bottom w:val="nil"/>
              <w:right w:val="nil"/>
            </w:tcBorders>
            <w:shd w:val="clear" w:color="auto" w:fill="auto"/>
            <w:vAlign w:val="center"/>
            <w:hideMark/>
          </w:tcPr>
          <w:p w:rsidR="00F32426" w:rsidRPr="00AE201E" w:rsidP="003C6BA4">
            <w:pPr>
              <w:ind w:right="-8283" w:firstLine="33"/>
              <w:jc w:val="center"/>
              <w:rPr>
                <w:rFonts w:cstheme="minorHAnsi"/>
                <w:color w:val="000000"/>
              </w:rPr>
            </w:pPr>
          </w:p>
        </w:tc>
        <w:tc>
          <w:tcPr>
            <w:tcW w:w="1743" w:type="dxa"/>
            <w:tcBorders>
              <w:top w:val="nil"/>
              <w:left w:val="nil"/>
              <w:bottom w:val="nil"/>
              <w:right w:val="nil"/>
            </w:tcBorders>
            <w:shd w:val="clear" w:color="auto" w:fill="auto"/>
            <w:vAlign w:val="center"/>
            <w:hideMark/>
          </w:tcPr>
          <w:p w:rsidR="00F32426" w:rsidRPr="00AE201E" w:rsidP="003C6BA4">
            <w:pPr>
              <w:jc w:val="center"/>
              <w:rPr>
                <w:rFonts w:cstheme="minorHAnsi"/>
                <w:color w:val="000000"/>
              </w:rPr>
            </w:pPr>
          </w:p>
        </w:tc>
        <w:tc>
          <w:tcPr>
            <w:tcW w:w="1596" w:type="dxa"/>
            <w:tcBorders>
              <w:top w:val="nil"/>
              <w:left w:val="nil"/>
              <w:bottom w:val="nil"/>
              <w:right w:val="nil"/>
            </w:tcBorders>
            <w:shd w:val="clear" w:color="auto" w:fill="auto"/>
            <w:vAlign w:val="center"/>
            <w:hideMark/>
          </w:tcPr>
          <w:p w:rsidR="00F32426" w:rsidRPr="00AE201E" w:rsidP="003C6BA4">
            <w:pPr>
              <w:jc w:val="center"/>
              <w:rPr>
                <w:rFonts w:cstheme="minorHAnsi"/>
                <w:color w:val="000000"/>
              </w:rPr>
            </w:pPr>
          </w:p>
        </w:tc>
        <w:tc>
          <w:tcPr>
            <w:tcW w:w="1418" w:type="dxa"/>
            <w:tcBorders>
              <w:top w:val="nil"/>
              <w:left w:val="nil"/>
              <w:bottom w:val="nil"/>
              <w:right w:val="nil"/>
            </w:tcBorders>
            <w:shd w:val="clear" w:color="auto" w:fill="auto"/>
            <w:vAlign w:val="center"/>
            <w:hideMark/>
          </w:tcPr>
          <w:p w:rsidR="00F32426" w:rsidRPr="00AE201E" w:rsidP="003C6BA4">
            <w:pPr>
              <w:jc w:val="center"/>
              <w:rPr>
                <w:rFonts w:cstheme="minorHAnsi"/>
                <w:color w:val="000000"/>
              </w:rPr>
            </w:pPr>
          </w:p>
        </w:tc>
        <w:tc>
          <w:tcPr>
            <w:tcW w:w="1311" w:type="dxa"/>
            <w:tcBorders>
              <w:top w:val="nil"/>
              <w:left w:val="nil"/>
              <w:bottom w:val="nil"/>
              <w:right w:val="nil"/>
            </w:tcBorders>
            <w:shd w:val="clear" w:color="auto" w:fill="auto"/>
            <w:vAlign w:val="center"/>
            <w:hideMark/>
          </w:tcPr>
          <w:p w:rsidR="00F32426" w:rsidRPr="00AE201E" w:rsidP="003C6BA4">
            <w:pPr>
              <w:jc w:val="center"/>
              <w:rPr>
                <w:rFonts w:cstheme="minorHAnsi"/>
                <w:color w:val="000000"/>
              </w:rPr>
            </w:pPr>
          </w:p>
        </w:tc>
      </w:tr>
    </w:tbl>
    <w:p w:rsidR="00F32426" w:rsidRPr="00AE201E" w:rsidP="00EC1ABA">
      <w:pPr>
        <w:pStyle w:val="Heading2"/>
        <w:rPr>
          <w:rFonts w:asciiTheme="minorHAnsi" w:hAnsiTheme="minorHAnsi" w:cstheme="minorHAnsi"/>
          <w:sz w:val="22"/>
          <w:szCs w:val="22"/>
        </w:rPr>
      </w:pPr>
      <w:r w:rsidRPr="00AE201E">
        <w:rPr>
          <w:rFonts w:asciiTheme="minorHAnsi" w:hAnsiTheme="minorHAnsi" w:cstheme="minorHAnsi"/>
          <w:sz w:val="22"/>
          <w:szCs w:val="22"/>
        </w:rPr>
        <w:t xml:space="preserve">3.7 </w:t>
      </w:r>
      <w:r w:rsidRPr="00AE201E">
        <w:rPr>
          <w:rFonts w:asciiTheme="minorHAnsi" w:hAnsiTheme="minorHAnsi" w:cstheme="minorHAnsi"/>
          <w:sz w:val="22"/>
          <w:szCs w:val="22"/>
        </w:rPr>
        <w:tab/>
        <w:t>Trends:</w:t>
      </w:r>
      <w:r w:rsidRPr="00AE201E">
        <w:rPr>
          <w:rFonts w:asciiTheme="minorHAnsi" w:hAnsiTheme="minorHAnsi" w:cstheme="minorHAnsi"/>
          <w:sz w:val="22"/>
          <w:szCs w:val="22"/>
        </w:rPr>
        <w:t xml:space="preserve"> </w:t>
      </w:r>
      <w:r w:rsidRPr="00AE201E" w:rsidR="00B74131">
        <w:rPr>
          <w:rFonts w:asciiTheme="minorHAnsi" w:hAnsiTheme="minorHAnsi" w:cstheme="minorHAnsi"/>
          <w:sz w:val="22"/>
          <w:szCs w:val="22"/>
        </w:rPr>
        <w:t>Welsh Gov</w:t>
      </w:r>
      <w:r w:rsidRPr="00AE201E">
        <w:rPr>
          <w:rFonts w:asciiTheme="minorHAnsi" w:hAnsiTheme="minorHAnsi" w:cstheme="minorHAnsi"/>
          <w:sz w:val="22"/>
          <w:szCs w:val="22"/>
        </w:rPr>
        <w:t xml:space="preserve">ernment </w:t>
      </w:r>
      <w:r w:rsidRPr="00AE201E" w:rsidR="00EB5453">
        <w:rPr>
          <w:rFonts w:asciiTheme="minorHAnsi" w:hAnsiTheme="minorHAnsi" w:cstheme="minorHAnsi"/>
          <w:sz w:val="22"/>
          <w:szCs w:val="22"/>
        </w:rPr>
        <w:t xml:space="preserve">spending </w:t>
      </w:r>
      <w:r w:rsidRPr="00AE201E">
        <w:rPr>
          <w:rFonts w:asciiTheme="minorHAnsi" w:hAnsiTheme="minorHAnsi" w:cstheme="minorHAnsi"/>
          <w:sz w:val="22"/>
          <w:szCs w:val="22"/>
        </w:rPr>
        <w:t>201</w:t>
      </w:r>
      <w:r w:rsidR="005C3F77">
        <w:rPr>
          <w:rFonts w:asciiTheme="minorHAnsi" w:hAnsiTheme="minorHAnsi" w:cstheme="minorHAnsi"/>
          <w:sz w:val="22"/>
          <w:szCs w:val="22"/>
        </w:rPr>
        <w:t>6</w:t>
      </w:r>
      <w:r w:rsidRPr="00AE201E">
        <w:rPr>
          <w:rFonts w:asciiTheme="minorHAnsi" w:hAnsiTheme="minorHAnsi" w:cstheme="minorHAnsi"/>
          <w:sz w:val="22"/>
          <w:szCs w:val="22"/>
        </w:rPr>
        <w:t>-1</w:t>
      </w:r>
      <w:r w:rsidR="005C3F77">
        <w:rPr>
          <w:rFonts w:asciiTheme="minorHAnsi" w:hAnsiTheme="minorHAnsi" w:cstheme="minorHAnsi"/>
          <w:sz w:val="22"/>
          <w:szCs w:val="22"/>
        </w:rPr>
        <w:t>7</w:t>
      </w:r>
      <w:r w:rsidRPr="00AE201E">
        <w:rPr>
          <w:rFonts w:asciiTheme="minorHAnsi" w:hAnsiTheme="minorHAnsi" w:cstheme="minorHAnsi"/>
          <w:sz w:val="22"/>
          <w:szCs w:val="22"/>
        </w:rPr>
        <w:t xml:space="preserve"> to 2019-20</w:t>
      </w:r>
    </w:p>
    <w:tbl>
      <w:tblPr>
        <w:tblW w:w="11684" w:type="dxa"/>
        <w:tblLook w:val="04A0"/>
      </w:tblPr>
      <w:tblGrid>
        <w:gridCol w:w="6144"/>
        <w:gridCol w:w="1240"/>
        <w:gridCol w:w="1360"/>
        <w:gridCol w:w="1360"/>
        <w:gridCol w:w="220"/>
        <w:gridCol w:w="1140"/>
        <w:gridCol w:w="220"/>
      </w:tblGrid>
      <w:tr w:rsidTr="008627D2">
        <w:tblPrEx>
          <w:tblW w:w="11684" w:type="dxa"/>
          <w:tblLook w:val="04A0"/>
        </w:tblPrEx>
        <w:trPr>
          <w:trHeight w:val="276"/>
        </w:trPr>
        <w:tc>
          <w:tcPr>
            <w:tcW w:w="6144"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rsidR="006645D9" w:rsidRPr="00AE201E" w:rsidP="006645D9">
            <w:pPr>
              <w:spacing w:after="0" w:line="240" w:lineRule="auto"/>
              <w:rPr>
                <w:rFonts w:eastAsia="Times New Roman" w:cstheme="minorHAnsi"/>
                <w:color w:val="000000"/>
                <w:lang w:eastAsia="en-GB"/>
              </w:rPr>
            </w:pPr>
            <w:r w:rsidRPr="00AE201E">
              <w:rPr>
                <w:rFonts w:eastAsia="Times New Roman" w:cstheme="minorHAnsi"/>
                <w:color w:val="000000"/>
                <w:lang w:eastAsia="en-GB"/>
              </w:rPr>
              <w:t> </w:t>
            </w:r>
          </w:p>
        </w:tc>
        <w:tc>
          <w:tcPr>
            <w:tcW w:w="1240" w:type="dxa"/>
            <w:tcBorders>
              <w:top w:val="single" w:sz="4" w:space="0" w:color="FFFFFF"/>
              <w:left w:val="nil"/>
              <w:bottom w:val="single" w:sz="4" w:space="0" w:color="FFFFFF"/>
              <w:right w:val="single" w:sz="4" w:space="0" w:color="FFFFFF"/>
            </w:tcBorders>
            <w:shd w:val="clear" w:color="auto" w:fill="auto"/>
            <w:noWrap/>
            <w:vAlign w:val="center"/>
          </w:tcPr>
          <w:p w:rsidR="006645D9" w:rsidRPr="008627D2" w:rsidP="008627D2">
            <w:pPr>
              <w:spacing w:after="0" w:line="240" w:lineRule="auto"/>
              <w:jc w:val="center"/>
              <w:rPr>
                <w:rFonts w:ascii="Calibri" w:eastAsia="Times New Roman" w:hAnsi="Calibri" w:cs="Calibri"/>
                <w:b/>
                <w:bCs/>
                <w:color w:val="000000"/>
                <w:lang w:eastAsia="en-GB"/>
              </w:rPr>
            </w:pPr>
          </w:p>
        </w:tc>
        <w:tc>
          <w:tcPr>
            <w:tcW w:w="1360" w:type="dxa"/>
            <w:tcBorders>
              <w:top w:val="single" w:sz="4" w:space="0" w:color="FFFFFF"/>
              <w:left w:val="nil"/>
              <w:bottom w:val="single" w:sz="4" w:space="0" w:color="FFFFFF"/>
              <w:right w:val="single" w:sz="4" w:space="0" w:color="FFFFFF"/>
            </w:tcBorders>
            <w:shd w:val="clear" w:color="auto" w:fill="auto"/>
            <w:noWrap/>
            <w:vAlign w:val="center"/>
          </w:tcPr>
          <w:p w:rsidR="006645D9" w:rsidRPr="008627D2" w:rsidP="008627D2">
            <w:pPr>
              <w:spacing w:after="0" w:line="240" w:lineRule="auto"/>
              <w:jc w:val="center"/>
              <w:rPr>
                <w:rFonts w:ascii="Calibri" w:eastAsia="Times New Roman" w:hAnsi="Calibri" w:cs="Calibri"/>
                <w:b/>
                <w:bCs/>
                <w:color w:val="000000"/>
                <w:lang w:eastAsia="en-GB"/>
              </w:rPr>
            </w:pPr>
          </w:p>
        </w:tc>
        <w:tc>
          <w:tcPr>
            <w:tcW w:w="1580" w:type="dxa"/>
            <w:gridSpan w:val="2"/>
            <w:tcBorders>
              <w:top w:val="single" w:sz="4" w:space="0" w:color="FFFFFF"/>
              <w:left w:val="nil"/>
              <w:bottom w:val="single" w:sz="4" w:space="0" w:color="FFFFFF"/>
              <w:right w:val="single" w:sz="4" w:space="0" w:color="FFFFFF"/>
            </w:tcBorders>
            <w:shd w:val="clear" w:color="auto" w:fill="auto"/>
            <w:noWrap/>
            <w:vAlign w:val="center"/>
          </w:tcPr>
          <w:p w:rsidR="006645D9" w:rsidRPr="008627D2" w:rsidP="008627D2">
            <w:pPr>
              <w:spacing w:after="0" w:line="240" w:lineRule="auto"/>
              <w:jc w:val="center"/>
              <w:rPr>
                <w:rFonts w:ascii="Calibri" w:eastAsia="Times New Roman" w:hAnsi="Calibri" w:cs="Calibri"/>
                <w:b/>
                <w:bCs/>
                <w:color w:val="000000"/>
                <w:lang w:eastAsia="en-GB"/>
              </w:rPr>
            </w:pPr>
          </w:p>
        </w:tc>
        <w:tc>
          <w:tcPr>
            <w:tcW w:w="1360" w:type="dxa"/>
            <w:gridSpan w:val="2"/>
            <w:tcBorders>
              <w:top w:val="single" w:sz="4" w:space="0" w:color="FFFFFF"/>
              <w:left w:val="nil"/>
              <w:bottom w:val="single" w:sz="4" w:space="0" w:color="FFFFFF"/>
              <w:right w:val="single" w:sz="4" w:space="0" w:color="FFFFFF"/>
            </w:tcBorders>
            <w:shd w:val="clear" w:color="auto" w:fill="auto"/>
            <w:noWrap/>
            <w:vAlign w:val="center"/>
          </w:tcPr>
          <w:p w:rsidR="006645D9" w:rsidRPr="008627D2" w:rsidP="008627D2">
            <w:pPr>
              <w:spacing w:after="0" w:line="240" w:lineRule="auto"/>
              <w:jc w:val="center"/>
              <w:rPr>
                <w:rFonts w:ascii="Calibri" w:eastAsia="Times New Roman" w:hAnsi="Calibri" w:cs="Calibri"/>
                <w:b/>
                <w:bCs/>
                <w:color w:val="000000"/>
                <w:lang w:eastAsia="en-GB"/>
              </w:rPr>
            </w:pPr>
          </w:p>
        </w:tc>
      </w:tr>
      <w:tr w:rsidTr="008627D2">
        <w:tblPrEx>
          <w:tblW w:w="11684" w:type="dxa"/>
          <w:tblLook w:val="04A0"/>
        </w:tblPrEx>
        <w:trPr>
          <w:trHeight w:val="276"/>
        </w:trPr>
        <w:tc>
          <w:tcPr>
            <w:tcW w:w="6144" w:type="dxa"/>
            <w:tcBorders>
              <w:top w:val="nil"/>
              <w:left w:val="single" w:sz="4" w:space="0" w:color="FFFFFF"/>
              <w:bottom w:val="single" w:sz="4" w:space="0" w:color="FFFFFF"/>
              <w:right w:val="single" w:sz="4" w:space="0" w:color="FFFFFF"/>
            </w:tcBorders>
            <w:shd w:val="clear" w:color="auto" w:fill="auto"/>
            <w:noWrap/>
            <w:vAlign w:val="bottom"/>
            <w:hideMark/>
          </w:tcPr>
          <w:p w:rsidR="006645D9" w:rsidRPr="00AE201E" w:rsidP="006645D9">
            <w:pPr>
              <w:spacing w:after="0" w:line="240" w:lineRule="auto"/>
              <w:rPr>
                <w:rFonts w:eastAsia="Times New Roman" w:cstheme="minorHAnsi"/>
                <w:b/>
                <w:bCs/>
                <w:color w:val="000000"/>
                <w:lang w:eastAsia="en-GB"/>
              </w:rPr>
            </w:pPr>
            <w:r w:rsidRPr="00AE201E">
              <w:rPr>
                <w:rFonts w:eastAsia="Times New Roman" w:cstheme="minorHAnsi"/>
                <w:b/>
                <w:bCs/>
                <w:color w:val="000000"/>
                <w:lang w:eastAsia="en-GB"/>
              </w:rPr>
              <w:t>Welsh Government</w:t>
            </w:r>
          </w:p>
        </w:tc>
        <w:tc>
          <w:tcPr>
            <w:tcW w:w="1240" w:type="dxa"/>
            <w:tcBorders>
              <w:top w:val="nil"/>
              <w:left w:val="nil"/>
              <w:bottom w:val="single" w:sz="4" w:space="0" w:color="FFFFFF"/>
              <w:right w:val="single" w:sz="4" w:space="0" w:color="FFFFFF"/>
            </w:tcBorders>
            <w:shd w:val="clear" w:color="auto" w:fill="auto"/>
            <w:noWrap/>
            <w:vAlign w:val="bottom"/>
            <w:hideMark/>
          </w:tcPr>
          <w:p w:rsidR="006645D9" w:rsidRPr="00AE201E" w:rsidP="006645D9">
            <w:pPr>
              <w:spacing w:after="0" w:line="240" w:lineRule="auto"/>
              <w:rPr>
                <w:rFonts w:eastAsia="Times New Roman" w:cstheme="minorHAnsi"/>
                <w:b/>
                <w:bCs/>
                <w:color w:val="000000"/>
                <w:lang w:eastAsia="en-GB"/>
              </w:rPr>
            </w:pPr>
            <w:r w:rsidRPr="00AE201E">
              <w:rPr>
                <w:rFonts w:eastAsia="Times New Roman" w:cstheme="minorHAnsi"/>
                <w:b/>
                <w:bCs/>
                <w:color w:val="000000"/>
                <w:lang w:eastAsia="en-GB"/>
              </w:rPr>
              <w:t> </w:t>
            </w:r>
          </w:p>
        </w:tc>
        <w:tc>
          <w:tcPr>
            <w:tcW w:w="1360" w:type="dxa"/>
            <w:tcBorders>
              <w:top w:val="nil"/>
              <w:left w:val="nil"/>
              <w:bottom w:val="single" w:sz="4" w:space="0" w:color="FFFFFF"/>
              <w:right w:val="single" w:sz="4" w:space="0" w:color="FFFFFF"/>
            </w:tcBorders>
            <w:shd w:val="clear" w:color="auto" w:fill="auto"/>
            <w:noWrap/>
            <w:vAlign w:val="bottom"/>
            <w:hideMark/>
          </w:tcPr>
          <w:p w:rsidR="006645D9" w:rsidRPr="00AE201E" w:rsidP="006645D9">
            <w:pPr>
              <w:spacing w:after="0" w:line="240" w:lineRule="auto"/>
              <w:rPr>
                <w:rFonts w:eastAsia="Times New Roman" w:cstheme="minorHAnsi"/>
                <w:b/>
                <w:bCs/>
                <w:color w:val="000000"/>
                <w:lang w:eastAsia="en-GB"/>
              </w:rPr>
            </w:pPr>
            <w:r w:rsidRPr="00AE201E">
              <w:rPr>
                <w:rFonts w:eastAsia="Times New Roman" w:cstheme="minorHAnsi"/>
                <w:b/>
                <w:bCs/>
                <w:color w:val="000000"/>
                <w:lang w:eastAsia="en-GB"/>
              </w:rPr>
              <w:t> </w:t>
            </w:r>
          </w:p>
        </w:tc>
        <w:tc>
          <w:tcPr>
            <w:tcW w:w="1580" w:type="dxa"/>
            <w:gridSpan w:val="2"/>
            <w:tcBorders>
              <w:top w:val="nil"/>
              <w:left w:val="nil"/>
              <w:bottom w:val="single" w:sz="4" w:space="0" w:color="FFFFFF"/>
              <w:right w:val="single" w:sz="4" w:space="0" w:color="FFFFFF"/>
            </w:tcBorders>
            <w:shd w:val="clear" w:color="auto" w:fill="auto"/>
            <w:noWrap/>
            <w:vAlign w:val="bottom"/>
            <w:hideMark/>
          </w:tcPr>
          <w:p w:rsidR="006645D9" w:rsidRPr="00AE201E" w:rsidP="006645D9">
            <w:pPr>
              <w:spacing w:after="0" w:line="240" w:lineRule="auto"/>
              <w:rPr>
                <w:rFonts w:eastAsia="Times New Roman" w:cstheme="minorHAnsi"/>
                <w:b/>
                <w:bCs/>
                <w:color w:val="000000"/>
                <w:lang w:eastAsia="en-GB"/>
              </w:rPr>
            </w:pPr>
            <w:r w:rsidRPr="00AE201E">
              <w:rPr>
                <w:rFonts w:eastAsia="Times New Roman" w:cstheme="minorHAnsi"/>
                <w:b/>
                <w:bCs/>
                <w:color w:val="000000"/>
                <w:lang w:eastAsia="en-GB"/>
              </w:rPr>
              <w:t> </w:t>
            </w:r>
          </w:p>
        </w:tc>
        <w:tc>
          <w:tcPr>
            <w:tcW w:w="1360" w:type="dxa"/>
            <w:gridSpan w:val="2"/>
            <w:tcBorders>
              <w:top w:val="nil"/>
              <w:left w:val="nil"/>
              <w:bottom w:val="single" w:sz="4" w:space="0" w:color="FFFFFF"/>
              <w:right w:val="single" w:sz="4" w:space="0" w:color="FFFFFF"/>
            </w:tcBorders>
            <w:shd w:val="clear" w:color="auto" w:fill="auto"/>
            <w:noWrap/>
            <w:vAlign w:val="bottom"/>
            <w:hideMark/>
          </w:tcPr>
          <w:p w:rsidR="006645D9" w:rsidRPr="00AE201E" w:rsidP="006645D9">
            <w:pPr>
              <w:spacing w:after="0" w:line="240" w:lineRule="auto"/>
              <w:rPr>
                <w:rFonts w:eastAsia="Times New Roman" w:cstheme="minorHAnsi"/>
                <w:b/>
                <w:bCs/>
                <w:color w:val="000000"/>
                <w:lang w:eastAsia="en-GB"/>
              </w:rPr>
            </w:pPr>
            <w:r w:rsidRPr="00AE201E">
              <w:rPr>
                <w:rFonts w:eastAsia="Times New Roman" w:cstheme="minorHAnsi"/>
                <w:b/>
                <w:bCs/>
                <w:color w:val="000000"/>
                <w:lang w:eastAsia="en-GB"/>
              </w:rPr>
              <w:t> </w:t>
            </w:r>
          </w:p>
        </w:tc>
      </w:tr>
      <w:tr w:rsidTr="008627D2">
        <w:tblPrEx>
          <w:tblW w:w="11684" w:type="dxa"/>
          <w:tblLook w:val="04A0"/>
        </w:tblPrEx>
        <w:trPr>
          <w:gridAfter w:val="1"/>
          <w:wAfter w:w="220" w:type="dxa"/>
          <w:trHeight w:val="276"/>
        </w:trPr>
        <w:tc>
          <w:tcPr>
            <w:tcW w:w="6144" w:type="dxa"/>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Arial" w:eastAsia="Times New Roman" w:hAnsi="Arial" w:cs="Arial"/>
                <w:color w:val="000000"/>
                <w:lang w:eastAsia="en-GB"/>
              </w:rPr>
            </w:pPr>
            <w:r w:rsidRPr="008627D2">
              <w:rPr>
                <w:rFonts w:ascii="Arial" w:eastAsia="Times New Roman" w:hAnsi="Arial" w:cs="Arial"/>
                <w:color w:val="000000"/>
                <w:lang w:eastAsia="en-GB"/>
              </w:rPr>
              <w:t> </w:t>
            </w:r>
          </w:p>
        </w:tc>
        <w:tc>
          <w:tcPr>
            <w:tcW w:w="1240" w:type="dxa"/>
            <w:tcBorders>
              <w:top w:val="single" w:sz="4" w:space="0" w:color="FFFFFF"/>
              <w:left w:val="nil"/>
              <w:bottom w:val="single" w:sz="4" w:space="0" w:color="FFFFFF"/>
              <w:right w:val="single" w:sz="4" w:space="0" w:color="FFFFFF"/>
            </w:tcBorders>
            <w:shd w:val="clear" w:color="auto" w:fill="auto"/>
            <w:noWrap/>
            <w:vAlign w:val="center"/>
            <w:hideMark/>
          </w:tcPr>
          <w:p w:rsidR="008627D2" w:rsidRPr="008627D2" w:rsidP="008627D2">
            <w:pPr>
              <w:spacing w:after="0" w:line="240" w:lineRule="auto"/>
              <w:jc w:val="center"/>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2016-17</w:t>
            </w:r>
          </w:p>
        </w:tc>
        <w:tc>
          <w:tcPr>
            <w:tcW w:w="1360" w:type="dxa"/>
            <w:tcBorders>
              <w:top w:val="single" w:sz="4" w:space="0" w:color="FFFFFF"/>
              <w:left w:val="nil"/>
              <w:bottom w:val="single" w:sz="4" w:space="0" w:color="FFFFFF"/>
              <w:right w:val="single" w:sz="4" w:space="0" w:color="FFFFFF"/>
            </w:tcBorders>
            <w:shd w:val="clear" w:color="auto" w:fill="auto"/>
            <w:noWrap/>
            <w:vAlign w:val="center"/>
            <w:hideMark/>
          </w:tcPr>
          <w:p w:rsidR="008627D2" w:rsidRPr="008627D2" w:rsidP="008627D2">
            <w:pPr>
              <w:spacing w:after="0" w:line="240" w:lineRule="auto"/>
              <w:jc w:val="center"/>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2017-18</w:t>
            </w:r>
          </w:p>
        </w:tc>
        <w:tc>
          <w:tcPr>
            <w:tcW w:w="1360" w:type="dxa"/>
            <w:tcBorders>
              <w:top w:val="single" w:sz="4" w:space="0" w:color="FFFFFF"/>
              <w:left w:val="nil"/>
              <w:bottom w:val="single" w:sz="4" w:space="0" w:color="FFFFFF"/>
              <w:right w:val="single" w:sz="4" w:space="0" w:color="FFFFFF"/>
            </w:tcBorders>
            <w:shd w:val="clear" w:color="auto" w:fill="auto"/>
            <w:noWrap/>
            <w:vAlign w:val="center"/>
            <w:hideMark/>
          </w:tcPr>
          <w:p w:rsidR="008627D2" w:rsidRPr="008627D2" w:rsidP="008627D2">
            <w:pPr>
              <w:spacing w:after="0" w:line="240" w:lineRule="auto"/>
              <w:jc w:val="center"/>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2018-19</w:t>
            </w:r>
          </w:p>
        </w:tc>
        <w:tc>
          <w:tcPr>
            <w:tcW w:w="1360" w:type="dxa"/>
            <w:gridSpan w:val="2"/>
            <w:tcBorders>
              <w:top w:val="single" w:sz="4" w:space="0" w:color="FFFFFF"/>
              <w:left w:val="nil"/>
              <w:bottom w:val="single" w:sz="4" w:space="0" w:color="FFFFFF"/>
              <w:right w:val="single" w:sz="4" w:space="0" w:color="FFFFFF"/>
            </w:tcBorders>
            <w:shd w:val="clear" w:color="auto" w:fill="auto"/>
            <w:noWrap/>
            <w:vAlign w:val="center"/>
            <w:hideMark/>
          </w:tcPr>
          <w:p w:rsidR="008627D2" w:rsidRPr="008627D2" w:rsidP="008627D2">
            <w:pPr>
              <w:spacing w:after="0" w:line="240" w:lineRule="auto"/>
              <w:jc w:val="center"/>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2019-20</w:t>
            </w:r>
          </w:p>
        </w:tc>
      </w:tr>
      <w:tr w:rsidTr="008627D2">
        <w:tblPrEx>
          <w:tblW w:w="11684" w:type="dxa"/>
          <w:tblLook w:val="04A0"/>
        </w:tblPrEx>
        <w:trPr>
          <w:gridAfter w:val="1"/>
          <w:wAfter w:w="220" w:type="dxa"/>
          <w:trHeight w:val="360"/>
        </w:trPr>
        <w:tc>
          <w:tcPr>
            <w:tcW w:w="6144" w:type="dxa"/>
            <w:tcBorders>
              <w:top w:val="nil"/>
              <w:left w:val="single" w:sz="4" w:space="0" w:color="FFFFFF"/>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Calibri" w:eastAsia="Times New Roman" w:hAnsi="Calibri" w:cs="Calibri"/>
                <w:color w:val="000000"/>
                <w:lang w:eastAsia="en-GB"/>
              </w:rPr>
            </w:pPr>
            <w:r w:rsidRPr="008627D2">
              <w:rPr>
                <w:rFonts w:ascii="Calibri" w:eastAsia="Times New Roman" w:hAnsi="Calibri" w:cs="Calibri"/>
                <w:color w:val="000000"/>
                <w:lang w:eastAsia="en-GB"/>
              </w:rPr>
              <w:t> </w:t>
            </w:r>
          </w:p>
        </w:tc>
        <w:tc>
          <w:tcPr>
            <w:tcW w:w="1240" w:type="dxa"/>
            <w:tcBorders>
              <w:top w:val="nil"/>
              <w:left w:val="nil"/>
              <w:bottom w:val="single" w:sz="4" w:space="0" w:color="FFFFFF"/>
              <w:right w:val="single" w:sz="4" w:space="0" w:color="FFFFFF"/>
            </w:tcBorders>
            <w:shd w:val="clear" w:color="auto" w:fill="auto"/>
            <w:noWrap/>
            <w:vAlign w:val="center"/>
            <w:hideMark/>
          </w:tcPr>
          <w:p w:rsidR="008627D2" w:rsidRPr="008627D2" w:rsidP="008627D2">
            <w:pPr>
              <w:spacing w:after="0" w:line="240" w:lineRule="auto"/>
              <w:jc w:val="center"/>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Outturn</w:t>
            </w:r>
          </w:p>
        </w:tc>
        <w:tc>
          <w:tcPr>
            <w:tcW w:w="1360" w:type="dxa"/>
            <w:tcBorders>
              <w:top w:val="nil"/>
              <w:left w:val="nil"/>
              <w:bottom w:val="single" w:sz="4" w:space="0" w:color="FFFFFF"/>
              <w:right w:val="single" w:sz="4" w:space="0" w:color="FFFFFF"/>
            </w:tcBorders>
            <w:shd w:val="clear" w:color="auto" w:fill="auto"/>
            <w:noWrap/>
            <w:vAlign w:val="center"/>
            <w:hideMark/>
          </w:tcPr>
          <w:p w:rsidR="008627D2" w:rsidRPr="008627D2" w:rsidP="008627D2">
            <w:pPr>
              <w:spacing w:after="0" w:line="240" w:lineRule="auto"/>
              <w:jc w:val="center"/>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Outturn</w:t>
            </w:r>
          </w:p>
        </w:tc>
        <w:tc>
          <w:tcPr>
            <w:tcW w:w="1360" w:type="dxa"/>
            <w:tcBorders>
              <w:top w:val="nil"/>
              <w:left w:val="nil"/>
              <w:bottom w:val="single" w:sz="4" w:space="0" w:color="FFFFFF"/>
              <w:right w:val="single" w:sz="4" w:space="0" w:color="FFFFFF"/>
            </w:tcBorders>
            <w:shd w:val="clear" w:color="auto" w:fill="auto"/>
            <w:noWrap/>
            <w:vAlign w:val="center"/>
            <w:hideMark/>
          </w:tcPr>
          <w:p w:rsidR="008627D2" w:rsidRPr="008627D2" w:rsidP="008627D2">
            <w:pPr>
              <w:spacing w:after="0" w:line="240" w:lineRule="auto"/>
              <w:jc w:val="center"/>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Outturn</w:t>
            </w:r>
          </w:p>
        </w:tc>
        <w:tc>
          <w:tcPr>
            <w:tcW w:w="1360" w:type="dxa"/>
            <w:gridSpan w:val="2"/>
            <w:tcBorders>
              <w:top w:val="nil"/>
              <w:left w:val="nil"/>
              <w:bottom w:val="single" w:sz="4" w:space="0" w:color="FFFFFF"/>
              <w:right w:val="single" w:sz="4" w:space="0" w:color="FFFFFF"/>
            </w:tcBorders>
            <w:shd w:val="clear" w:color="auto" w:fill="auto"/>
            <w:noWrap/>
            <w:vAlign w:val="center"/>
            <w:hideMark/>
          </w:tcPr>
          <w:p w:rsidR="008627D2" w:rsidRPr="008627D2" w:rsidP="008627D2">
            <w:pPr>
              <w:spacing w:after="0" w:line="240" w:lineRule="auto"/>
              <w:jc w:val="center"/>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Plans</w:t>
            </w:r>
          </w:p>
        </w:tc>
      </w:tr>
      <w:tr w:rsidTr="008627D2">
        <w:tblPrEx>
          <w:tblW w:w="11684" w:type="dxa"/>
          <w:tblLook w:val="04A0"/>
        </w:tblPrEx>
        <w:trPr>
          <w:gridAfter w:val="1"/>
          <w:wAfter w:w="220" w:type="dxa"/>
          <w:trHeight w:val="276"/>
        </w:trPr>
        <w:tc>
          <w:tcPr>
            <w:tcW w:w="6144" w:type="dxa"/>
            <w:tcBorders>
              <w:top w:val="nil"/>
              <w:left w:val="single" w:sz="4" w:space="0" w:color="FFFFFF"/>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Calibri" w:eastAsia="Times New Roman" w:hAnsi="Calibri" w:cs="Calibri"/>
                <w:color w:val="000000"/>
                <w:lang w:eastAsia="en-GB"/>
              </w:rPr>
            </w:pPr>
            <w:r w:rsidRPr="008627D2">
              <w:rPr>
                <w:rFonts w:ascii="Calibri" w:eastAsia="Times New Roman" w:hAnsi="Calibri" w:cs="Calibri"/>
                <w:color w:val="000000"/>
                <w:lang w:eastAsia="en-GB"/>
              </w:rPr>
              <w:t> </w:t>
            </w:r>
          </w:p>
        </w:tc>
        <w:tc>
          <w:tcPr>
            <w:tcW w:w="1240" w:type="dxa"/>
            <w:tcBorders>
              <w:top w:val="nil"/>
              <w:left w:val="nil"/>
              <w:bottom w:val="single" w:sz="4" w:space="0" w:color="FFFFFF"/>
              <w:right w:val="single" w:sz="4" w:space="0" w:color="FFFFFF"/>
            </w:tcBorders>
            <w:shd w:val="clear" w:color="auto" w:fill="auto"/>
            <w:noWrap/>
            <w:vAlign w:val="center"/>
            <w:hideMark/>
          </w:tcPr>
          <w:p w:rsidR="008627D2" w:rsidRPr="008627D2" w:rsidP="008627D2">
            <w:pPr>
              <w:spacing w:after="0" w:line="240" w:lineRule="auto"/>
              <w:jc w:val="center"/>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£m</w:t>
            </w:r>
          </w:p>
        </w:tc>
        <w:tc>
          <w:tcPr>
            <w:tcW w:w="1360" w:type="dxa"/>
            <w:tcBorders>
              <w:top w:val="nil"/>
              <w:left w:val="nil"/>
              <w:bottom w:val="single" w:sz="4" w:space="0" w:color="FFFFFF"/>
              <w:right w:val="single" w:sz="4" w:space="0" w:color="FFFFFF"/>
            </w:tcBorders>
            <w:shd w:val="clear" w:color="auto" w:fill="auto"/>
            <w:noWrap/>
            <w:vAlign w:val="center"/>
            <w:hideMark/>
          </w:tcPr>
          <w:p w:rsidR="008627D2" w:rsidRPr="008627D2" w:rsidP="008627D2">
            <w:pPr>
              <w:spacing w:after="0" w:line="240" w:lineRule="auto"/>
              <w:jc w:val="center"/>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£m</w:t>
            </w:r>
          </w:p>
        </w:tc>
        <w:tc>
          <w:tcPr>
            <w:tcW w:w="1360" w:type="dxa"/>
            <w:tcBorders>
              <w:top w:val="nil"/>
              <w:left w:val="nil"/>
              <w:bottom w:val="single" w:sz="4" w:space="0" w:color="FFFFFF"/>
              <w:right w:val="single" w:sz="4" w:space="0" w:color="FFFFFF"/>
            </w:tcBorders>
            <w:shd w:val="clear" w:color="auto" w:fill="auto"/>
            <w:noWrap/>
            <w:vAlign w:val="center"/>
            <w:hideMark/>
          </w:tcPr>
          <w:p w:rsidR="008627D2" w:rsidRPr="008627D2" w:rsidP="008627D2">
            <w:pPr>
              <w:spacing w:after="0" w:line="240" w:lineRule="auto"/>
              <w:jc w:val="center"/>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£m</w:t>
            </w:r>
          </w:p>
        </w:tc>
        <w:tc>
          <w:tcPr>
            <w:tcW w:w="1360" w:type="dxa"/>
            <w:gridSpan w:val="2"/>
            <w:tcBorders>
              <w:top w:val="nil"/>
              <w:left w:val="nil"/>
              <w:bottom w:val="single" w:sz="4" w:space="0" w:color="FFFFFF"/>
              <w:right w:val="single" w:sz="4" w:space="0" w:color="FFFFFF"/>
            </w:tcBorders>
            <w:shd w:val="clear" w:color="auto" w:fill="auto"/>
            <w:noWrap/>
            <w:vAlign w:val="center"/>
            <w:hideMark/>
          </w:tcPr>
          <w:p w:rsidR="008627D2" w:rsidRPr="008627D2" w:rsidP="008627D2">
            <w:pPr>
              <w:spacing w:after="0" w:line="240" w:lineRule="auto"/>
              <w:jc w:val="center"/>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£m</w:t>
            </w:r>
          </w:p>
        </w:tc>
      </w:tr>
      <w:tr w:rsidTr="008627D2">
        <w:tblPrEx>
          <w:tblW w:w="11684" w:type="dxa"/>
          <w:tblLook w:val="04A0"/>
        </w:tblPrEx>
        <w:trPr>
          <w:gridAfter w:val="1"/>
          <w:wAfter w:w="220" w:type="dxa"/>
          <w:trHeight w:val="276"/>
        </w:trPr>
        <w:tc>
          <w:tcPr>
            <w:tcW w:w="6144" w:type="dxa"/>
            <w:tcBorders>
              <w:top w:val="nil"/>
              <w:left w:val="single" w:sz="4" w:space="0" w:color="FFFFFF"/>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Calibri" w:eastAsia="Times New Roman" w:hAnsi="Calibri" w:cs="Calibri"/>
                <w:b/>
                <w:bCs/>
                <w:color w:val="000000"/>
                <w:lang w:eastAsia="en-GB"/>
              </w:rPr>
            </w:pPr>
          </w:p>
        </w:tc>
        <w:tc>
          <w:tcPr>
            <w:tcW w:w="124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 </w:t>
            </w:r>
          </w:p>
        </w:tc>
        <w:tc>
          <w:tcPr>
            <w:tcW w:w="136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 </w:t>
            </w:r>
          </w:p>
        </w:tc>
        <w:tc>
          <w:tcPr>
            <w:tcW w:w="136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 </w:t>
            </w:r>
          </w:p>
        </w:tc>
        <w:tc>
          <w:tcPr>
            <w:tcW w:w="1360" w:type="dxa"/>
            <w:gridSpan w:val="2"/>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 </w:t>
            </w:r>
          </w:p>
        </w:tc>
      </w:tr>
      <w:tr w:rsidTr="008627D2">
        <w:tblPrEx>
          <w:tblW w:w="11684" w:type="dxa"/>
          <w:tblLook w:val="04A0"/>
        </w:tblPrEx>
        <w:trPr>
          <w:gridAfter w:val="1"/>
          <w:wAfter w:w="220" w:type="dxa"/>
          <w:trHeight w:val="276"/>
        </w:trPr>
        <w:tc>
          <w:tcPr>
            <w:tcW w:w="6144" w:type="dxa"/>
            <w:tcBorders>
              <w:top w:val="nil"/>
              <w:left w:val="single" w:sz="4" w:space="0" w:color="FFFFFF"/>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Calibri" w:eastAsia="Times New Roman" w:hAnsi="Calibri" w:cs="Calibri"/>
                <w:color w:val="000000"/>
                <w:lang w:eastAsia="en-GB"/>
              </w:rPr>
            </w:pPr>
            <w:r w:rsidRPr="008627D2">
              <w:rPr>
                <w:rFonts w:ascii="Calibri" w:eastAsia="Times New Roman" w:hAnsi="Calibri" w:cs="Calibri"/>
                <w:color w:val="000000"/>
                <w:lang w:eastAsia="en-GB"/>
              </w:rPr>
              <w:t>Welsh Government Resource (Before Block Grant Adjustment)</w:t>
            </w:r>
          </w:p>
        </w:tc>
        <w:tc>
          <w:tcPr>
            <w:tcW w:w="124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color w:val="000000"/>
                <w:lang w:eastAsia="en-GB"/>
              </w:rPr>
            </w:pPr>
            <w:r w:rsidRPr="008627D2">
              <w:rPr>
                <w:rFonts w:ascii="Calibri" w:eastAsia="Times New Roman" w:hAnsi="Calibri" w:cs="Calibri"/>
                <w:color w:val="000000"/>
                <w:lang w:eastAsia="en-GB"/>
              </w:rPr>
              <w:t>13,325.208</w:t>
            </w:r>
          </w:p>
        </w:tc>
        <w:tc>
          <w:tcPr>
            <w:tcW w:w="136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color w:val="000000"/>
                <w:lang w:eastAsia="en-GB"/>
              </w:rPr>
            </w:pPr>
            <w:r w:rsidRPr="008627D2">
              <w:rPr>
                <w:rFonts w:ascii="Calibri" w:eastAsia="Times New Roman" w:hAnsi="Calibri" w:cs="Calibri"/>
                <w:color w:val="000000"/>
                <w:lang w:eastAsia="en-GB"/>
              </w:rPr>
              <w:t>14,001.757</w:t>
            </w:r>
          </w:p>
        </w:tc>
        <w:tc>
          <w:tcPr>
            <w:tcW w:w="136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color w:val="000000"/>
                <w:lang w:eastAsia="en-GB"/>
              </w:rPr>
            </w:pPr>
            <w:r w:rsidRPr="008627D2">
              <w:rPr>
                <w:rFonts w:ascii="Calibri" w:eastAsia="Times New Roman" w:hAnsi="Calibri" w:cs="Calibri"/>
                <w:color w:val="000000"/>
                <w:lang w:eastAsia="en-GB"/>
              </w:rPr>
              <w:t>14,279.270</w:t>
            </w:r>
          </w:p>
        </w:tc>
        <w:tc>
          <w:tcPr>
            <w:tcW w:w="1360" w:type="dxa"/>
            <w:gridSpan w:val="2"/>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color w:val="000000"/>
                <w:lang w:eastAsia="en-GB"/>
              </w:rPr>
            </w:pPr>
            <w:r w:rsidRPr="008627D2">
              <w:rPr>
                <w:rFonts w:ascii="Calibri" w:eastAsia="Times New Roman" w:hAnsi="Calibri" w:cs="Calibri"/>
                <w:color w:val="000000"/>
                <w:lang w:eastAsia="en-GB"/>
              </w:rPr>
              <w:t>15,436.528</w:t>
            </w:r>
          </w:p>
        </w:tc>
      </w:tr>
      <w:tr w:rsidTr="008627D2">
        <w:tblPrEx>
          <w:tblW w:w="11684" w:type="dxa"/>
          <w:tblLook w:val="04A0"/>
        </w:tblPrEx>
        <w:trPr>
          <w:gridAfter w:val="1"/>
          <w:wAfter w:w="220" w:type="dxa"/>
          <w:trHeight w:val="276"/>
        </w:trPr>
        <w:tc>
          <w:tcPr>
            <w:tcW w:w="6144" w:type="dxa"/>
            <w:tcBorders>
              <w:top w:val="nil"/>
              <w:left w:val="single" w:sz="4" w:space="0" w:color="FFFFFF"/>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Calibri" w:eastAsia="Times New Roman" w:hAnsi="Calibri" w:cs="Calibri"/>
                <w:color w:val="000000"/>
                <w:lang w:eastAsia="en-GB"/>
              </w:rPr>
            </w:pPr>
            <w:r w:rsidRPr="008627D2">
              <w:rPr>
                <w:rFonts w:ascii="Calibri" w:eastAsia="Times New Roman" w:hAnsi="Calibri" w:cs="Calibri"/>
                <w:color w:val="000000"/>
                <w:lang w:eastAsia="en-GB"/>
              </w:rPr>
              <w:t>less Block Grant Adjustment</w:t>
            </w:r>
          </w:p>
        </w:tc>
        <w:tc>
          <w:tcPr>
            <w:tcW w:w="124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color w:val="000000"/>
                <w:lang w:eastAsia="en-GB"/>
              </w:rPr>
            </w:pPr>
            <w:r w:rsidRPr="008627D2">
              <w:rPr>
                <w:rFonts w:ascii="Calibri" w:eastAsia="Times New Roman" w:hAnsi="Calibri" w:cs="Calibri"/>
                <w:color w:val="000000"/>
                <w:lang w:eastAsia="en-GB"/>
              </w:rPr>
              <w:t>0.000</w:t>
            </w:r>
          </w:p>
        </w:tc>
        <w:tc>
          <w:tcPr>
            <w:tcW w:w="136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color w:val="000000"/>
                <w:lang w:eastAsia="en-GB"/>
              </w:rPr>
            </w:pPr>
            <w:r w:rsidRPr="008627D2">
              <w:rPr>
                <w:rFonts w:ascii="Calibri" w:eastAsia="Times New Roman" w:hAnsi="Calibri" w:cs="Calibri"/>
                <w:color w:val="000000"/>
                <w:lang w:eastAsia="en-GB"/>
              </w:rPr>
              <w:t>0.000</w:t>
            </w:r>
          </w:p>
        </w:tc>
        <w:tc>
          <w:tcPr>
            <w:tcW w:w="136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color w:val="000000"/>
                <w:lang w:eastAsia="en-GB"/>
              </w:rPr>
            </w:pPr>
            <w:r w:rsidRPr="008627D2">
              <w:rPr>
                <w:rFonts w:ascii="Calibri" w:eastAsia="Times New Roman" w:hAnsi="Calibri" w:cs="Calibri"/>
                <w:color w:val="000000"/>
                <w:lang w:eastAsia="en-GB"/>
              </w:rPr>
              <w:t>-268.374</w:t>
            </w:r>
          </w:p>
        </w:tc>
        <w:tc>
          <w:tcPr>
            <w:tcW w:w="1360" w:type="dxa"/>
            <w:gridSpan w:val="2"/>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color w:val="000000"/>
                <w:lang w:eastAsia="en-GB"/>
              </w:rPr>
            </w:pPr>
            <w:r w:rsidRPr="008627D2">
              <w:rPr>
                <w:rFonts w:ascii="Calibri" w:eastAsia="Times New Roman" w:hAnsi="Calibri" w:cs="Calibri"/>
                <w:color w:val="000000"/>
                <w:lang w:eastAsia="en-GB"/>
              </w:rPr>
              <w:t>-2,319.055</w:t>
            </w:r>
          </w:p>
        </w:tc>
      </w:tr>
      <w:tr w:rsidTr="008627D2">
        <w:tblPrEx>
          <w:tblW w:w="11684" w:type="dxa"/>
          <w:tblLook w:val="04A0"/>
        </w:tblPrEx>
        <w:trPr>
          <w:gridAfter w:val="1"/>
          <w:wAfter w:w="220" w:type="dxa"/>
          <w:trHeight w:val="276"/>
        </w:trPr>
        <w:tc>
          <w:tcPr>
            <w:tcW w:w="6144" w:type="dxa"/>
            <w:tcBorders>
              <w:top w:val="nil"/>
              <w:left w:val="single" w:sz="4" w:space="0" w:color="FFFFFF"/>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Calibri" w:eastAsia="Times New Roman" w:hAnsi="Calibri" w:cs="Calibri"/>
                <w:color w:val="000000"/>
                <w:lang w:eastAsia="en-GB"/>
              </w:rPr>
            </w:pPr>
            <w:r w:rsidRPr="008627D2">
              <w:rPr>
                <w:rFonts w:ascii="Calibri" w:eastAsia="Times New Roman" w:hAnsi="Calibri" w:cs="Calibri"/>
                <w:color w:val="000000"/>
                <w:lang w:eastAsia="en-GB"/>
              </w:rPr>
              <w:t>Welsh Government Resource (6)</w:t>
            </w:r>
          </w:p>
        </w:tc>
        <w:tc>
          <w:tcPr>
            <w:tcW w:w="124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color w:val="000000"/>
                <w:lang w:eastAsia="en-GB"/>
              </w:rPr>
            </w:pPr>
            <w:r w:rsidRPr="008627D2">
              <w:rPr>
                <w:rFonts w:ascii="Calibri" w:eastAsia="Times New Roman" w:hAnsi="Calibri" w:cs="Calibri"/>
                <w:color w:val="000000"/>
                <w:lang w:eastAsia="en-GB"/>
              </w:rPr>
              <w:t>13,325.208</w:t>
            </w:r>
          </w:p>
        </w:tc>
        <w:tc>
          <w:tcPr>
            <w:tcW w:w="136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color w:val="000000"/>
                <w:lang w:eastAsia="en-GB"/>
              </w:rPr>
            </w:pPr>
            <w:r w:rsidRPr="008627D2">
              <w:rPr>
                <w:rFonts w:ascii="Calibri" w:eastAsia="Times New Roman" w:hAnsi="Calibri" w:cs="Calibri"/>
                <w:color w:val="000000"/>
                <w:lang w:eastAsia="en-GB"/>
              </w:rPr>
              <w:t>14,001.757</w:t>
            </w:r>
          </w:p>
        </w:tc>
        <w:tc>
          <w:tcPr>
            <w:tcW w:w="136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color w:val="000000"/>
                <w:lang w:eastAsia="en-GB"/>
              </w:rPr>
            </w:pPr>
            <w:r w:rsidRPr="008627D2">
              <w:rPr>
                <w:rFonts w:ascii="Calibri" w:eastAsia="Times New Roman" w:hAnsi="Calibri" w:cs="Calibri"/>
                <w:color w:val="000000"/>
                <w:lang w:eastAsia="en-GB"/>
              </w:rPr>
              <w:t>14,010.896</w:t>
            </w:r>
          </w:p>
        </w:tc>
        <w:tc>
          <w:tcPr>
            <w:tcW w:w="1360" w:type="dxa"/>
            <w:gridSpan w:val="2"/>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color w:val="000000"/>
                <w:lang w:eastAsia="en-GB"/>
              </w:rPr>
            </w:pPr>
            <w:r w:rsidRPr="008627D2">
              <w:rPr>
                <w:rFonts w:ascii="Calibri" w:eastAsia="Times New Roman" w:hAnsi="Calibri" w:cs="Calibri"/>
                <w:color w:val="000000"/>
                <w:lang w:eastAsia="en-GB"/>
              </w:rPr>
              <w:t>13,117.473</w:t>
            </w:r>
          </w:p>
        </w:tc>
      </w:tr>
      <w:tr w:rsidTr="008627D2">
        <w:tblPrEx>
          <w:tblW w:w="11684" w:type="dxa"/>
          <w:tblLook w:val="04A0"/>
        </w:tblPrEx>
        <w:trPr>
          <w:gridAfter w:val="1"/>
          <w:wAfter w:w="220" w:type="dxa"/>
          <w:trHeight w:val="276"/>
        </w:trPr>
        <w:tc>
          <w:tcPr>
            <w:tcW w:w="6144" w:type="dxa"/>
            <w:tcBorders>
              <w:top w:val="nil"/>
              <w:left w:val="single" w:sz="4" w:space="0" w:color="FFFFFF"/>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Calibri" w:eastAsia="Times New Roman" w:hAnsi="Calibri" w:cs="Calibri"/>
                <w:color w:val="000000"/>
                <w:lang w:eastAsia="en-GB"/>
              </w:rPr>
            </w:pPr>
            <w:r w:rsidRPr="008627D2">
              <w:rPr>
                <w:rFonts w:ascii="Calibri" w:eastAsia="Times New Roman" w:hAnsi="Calibri" w:cs="Calibri"/>
                <w:color w:val="000000"/>
                <w:lang w:eastAsia="en-GB"/>
              </w:rPr>
              <w:t xml:space="preserve">Welsh Government Capital </w:t>
            </w:r>
          </w:p>
        </w:tc>
        <w:tc>
          <w:tcPr>
            <w:tcW w:w="124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color w:val="000000"/>
                <w:lang w:eastAsia="en-GB"/>
              </w:rPr>
            </w:pPr>
            <w:r w:rsidRPr="008627D2">
              <w:rPr>
                <w:rFonts w:ascii="Calibri" w:eastAsia="Times New Roman" w:hAnsi="Calibri" w:cs="Calibri"/>
                <w:color w:val="000000"/>
                <w:lang w:eastAsia="en-GB"/>
              </w:rPr>
              <w:t>1,449.083</w:t>
            </w:r>
          </w:p>
        </w:tc>
        <w:tc>
          <w:tcPr>
            <w:tcW w:w="136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color w:val="000000"/>
                <w:lang w:eastAsia="en-GB"/>
              </w:rPr>
            </w:pPr>
            <w:r w:rsidRPr="008627D2">
              <w:rPr>
                <w:rFonts w:ascii="Calibri" w:eastAsia="Times New Roman" w:hAnsi="Calibri" w:cs="Calibri"/>
                <w:color w:val="000000"/>
                <w:lang w:eastAsia="en-GB"/>
              </w:rPr>
              <w:t>1,821.285</w:t>
            </w:r>
          </w:p>
        </w:tc>
        <w:tc>
          <w:tcPr>
            <w:tcW w:w="136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color w:val="000000"/>
                <w:lang w:eastAsia="en-GB"/>
              </w:rPr>
            </w:pPr>
            <w:r w:rsidRPr="008627D2">
              <w:rPr>
                <w:rFonts w:ascii="Calibri" w:eastAsia="Times New Roman" w:hAnsi="Calibri" w:cs="Calibri"/>
                <w:color w:val="000000"/>
                <w:lang w:eastAsia="en-GB"/>
              </w:rPr>
              <w:t>2,036.807</w:t>
            </w:r>
          </w:p>
        </w:tc>
        <w:tc>
          <w:tcPr>
            <w:tcW w:w="1360" w:type="dxa"/>
            <w:gridSpan w:val="2"/>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color w:val="000000"/>
                <w:lang w:eastAsia="en-GB"/>
              </w:rPr>
            </w:pPr>
            <w:r w:rsidRPr="008627D2">
              <w:rPr>
                <w:rFonts w:ascii="Calibri" w:eastAsia="Times New Roman" w:hAnsi="Calibri" w:cs="Calibri"/>
                <w:color w:val="000000"/>
                <w:lang w:eastAsia="en-GB"/>
              </w:rPr>
              <w:t>2,226.308</w:t>
            </w:r>
          </w:p>
        </w:tc>
      </w:tr>
      <w:tr w:rsidTr="008627D2">
        <w:tblPrEx>
          <w:tblW w:w="11684" w:type="dxa"/>
          <w:tblLook w:val="04A0"/>
        </w:tblPrEx>
        <w:trPr>
          <w:gridAfter w:val="1"/>
          <w:wAfter w:w="220" w:type="dxa"/>
          <w:trHeight w:val="276"/>
        </w:trPr>
        <w:tc>
          <w:tcPr>
            <w:tcW w:w="6144" w:type="dxa"/>
            <w:tcBorders>
              <w:top w:val="nil"/>
              <w:left w:val="single" w:sz="4" w:space="0" w:color="FFFFFF"/>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Welsh Government DEL</w:t>
            </w:r>
            <w:r>
              <w:rPr>
                <w:rFonts w:ascii="Calibri" w:eastAsia="Times New Roman" w:hAnsi="Calibri" w:cs="Calibri"/>
                <w:b/>
                <w:bCs/>
                <w:color w:val="000000"/>
                <w:lang w:eastAsia="en-GB"/>
              </w:rPr>
              <w:t xml:space="preserve"> </w:t>
            </w:r>
            <w:r w:rsidRPr="008627D2">
              <w:rPr>
                <w:rFonts w:ascii="Calibri" w:eastAsia="Times New Roman" w:hAnsi="Calibri" w:cs="Calibri"/>
                <w:b/>
                <w:bCs/>
                <w:color w:val="000000"/>
                <w:lang w:eastAsia="en-GB"/>
              </w:rPr>
              <w:t>(3)</w:t>
            </w:r>
          </w:p>
        </w:tc>
        <w:tc>
          <w:tcPr>
            <w:tcW w:w="124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14,774.291</w:t>
            </w:r>
          </w:p>
        </w:tc>
        <w:tc>
          <w:tcPr>
            <w:tcW w:w="136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15,823.042</w:t>
            </w:r>
          </w:p>
        </w:tc>
        <w:tc>
          <w:tcPr>
            <w:tcW w:w="136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16,047.703</w:t>
            </w:r>
          </w:p>
        </w:tc>
        <w:tc>
          <w:tcPr>
            <w:tcW w:w="1360" w:type="dxa"/>
            <w:gridSpan w:val="2"/>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15,343.781</w:t>
            </w:r>
          </w:p>
        </w:tc>
      </w:tr>
      <w:tr w:rsidTr="008627D2">
        <w:tblPrEx>
          <w:tblW w:w="11684" w:type="dxa"/>
          <w:tblLook w:val="04A0"/>
        </w:tblPrEx>
        <w:trPr>
          <w:gridAfter w:val="1"/>
          <w:wAfter w:w="220" w:type="dxa"/>
          <w:trHeight w:val="276"/>
        </w:trPr>
        <w:tc>
          <w:tcPr>
            <w:tcW w:w="6144" w:type="dxa"/>
            <w:tcBorders>
              <w:top w:val="nil"/>
              <w:left w:val="single" w:sz="4" w:space="0" w:color="FFFFFF"/>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Calibri" w:eastAsia="Times New Roman" w:hAnsi="Calibri" w:cs="Calibri"/>
                <w:color w:val="000000"/>
                <w:lang w:eastAsia="en-GB"/>
              </w:rPr>
            </w:pPr>
            <w:r w:rsidRPr="008627D2">
              <w:rPr>
                <w:rFonts w:ascii="Calibri" w:eastAsia="Times New Roman" w:hAnsi="Calibri" w:cs="Calibri"/>
                <w:color w:val="000000"/>
                <w:lang w:eastAsia="en-GB"/>
              </w:rPr>
              <w:t> </w:t>
            </w:r>
          </w:p>
        </w:tc>
        <w:tc>
          <w:tcPr>
            <w:tcW w:w="124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Calibri" w:eastAsia="Times New Roman" w:hAnsi="Calibri" w:cs="Calibri"/>
                <w:color w:val="000000"/>
                <w:lang w:eastAsia="en-GB"/>
              </w:rPr>
            </w:pPr>
            <w:r w:rsidRPr="008627D2">
              <w:rPr>
                <w:rFonts w:ascii="Calibri" w:eastAsia="Times New Roman" w:hAnsi="Calibri" w:cs="Calibri"/>
                <w:color w:val="000000"/>
                <w:lang w:eastAsia="en-GB"/>
              </w:rPr>
              <w:t> </w:t>
            </w:r>
          </w:p>
        </w:tc>
        <w:tc>
          <w:tcPr>
            <w:tcW w:w="136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Calibri" w:eastAsia="Times New Roman" w:hAnsi="Calibri" w:cs="Calibri"/>
                <w:color w:val="000000"/>
                <w:lang w:eastAsia="en-GB"/>
              </w:rPr>
            </w:pPr>
            <w:r w:rsidRPr="008627D2">
              <w:rPr>
                <w:rFonts w:ascii="Calibri" w:eastAsia="Times New Roman" w:hAnsi="Calibri" w:cs="Calibri"/>
                <w:color w:val="000000"/>
                <w:lang w:eastAsia="en-GB"/>
              </w:rPr>
              <w:t> </w:t>
            </w:r>
          </w:p>
        </w:tc>
        <w:tc>
          <w:tcPr>
            <w:tcW w:w="136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Calibri" w:eastAsia="Times New Roman" w:hAnsi="Calibri" w:cs="Calibri"/>
                <w:color w:val="000000"/>
                <w:lang w:eastAsia="en-GB"/>
              </w:rPr>
            </w:pPr>
            <w:r w:rsidRPr="008627D2">
              <w:rPr>
                <w:rFonts w:ascii="Calibri" w:eastAsia="Times New Roman" w:hAnsi="Calibri" w:cs="Calibri"/>
                <w:color w:val="000000"/>
                <w:lang w:eastAsia="en-GB"/>
              </w:rPr>
              <w:t> </w:t>
            </w:r>
          </w:p>
        </w:tc>
        <w:tc>
          <w:tcPr>
            <w:tcW w:w="1360" w:type="dxa"/>
            <w:gridSpan w:val="2"/>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Calibri" w:eastAsia="Times New Roman" w:hAnsi="Calibri" w:cs="Calibri"/>
                <w:color w:val="000000"/>
                <w:lang w:eastAsia="en-GB"/>
              </w:rPr>
            </w:pPr>
            <w:r w:rsidRPr="008627D2">
              <w:rPr>
                <w:rFonts w:ascii="Calibri" w:eastAsia="Times New Roman" w:hAnsi="Calibri" w:cs="Calibri"/>
                <w:color w:val="000000"/>
                <w:lang w:eastAsia="en-GB"/>
              </w:rPr>
              <w:t> </w:t>
            </w:r>
          </w:p>
        </w:tc>
      </w:tr>
      <w:tr w:rsidTr="008627D2">
        <w:tblPrEx>
          <w:tblW w:w="11684" w:type="dxa"/>
          <w:tblLook w:val="04A0"/>
        </w:tblPrEx>
        <w:trPr>
          <w:gridAfter w:val="1"/>
          <w:wAfter w:w="220" w:type="dxa"/>
          <w:trHeight w:val="276"/>
        </w:trPr>
        <w:tc>
          <w:tcPr>
            <w:tcW w:w="6144" w:type="dxa"/>
            <w:tcBorders>
              <w:top w:val="nil"/>
              <w:left w:val="single" w:sz="4" w:space="0" w:color="FFFFFF"/>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Calibri" w:eastAsia="Times New Roman" w:hAnsi="Calibri" w:cs="Calibri"/>
                <w:color w:val="000000"/>
                <w:lang w:eastAsia="en-GB"/>
              </w:rPr>
            </w:pPr>
            <w:r w:rsidRPr="008627D2">
              <w:rPr>
                <w:rFonts w:ascii="Calibri" w:eastAsia="Times New Roman" w:hAnsi="Calibri" w:cs="Calibri"/>
                <w:color w:val="000000"/>
                <w:lang w:eastAsia="en-GB"/>
              </w:rPr>
              <w:t xml:space="preserve"> less depreciation &amp; impairments</w:t>
            </w:r>
          </w:p>
        </w:tc>
        <w:tc>
          <w:tcPr>
            <w:tcW w:w="124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color w:val="000000"/>
                <w:lang w:eastAsia="en-GB"/>
              </w:rPr>
            </w:pPr>
            <w:r w:rsidRPr="008627D2">
              <w:rPr>
                <w:rFonts w:ascii="Calibri" w:eastAsia="Times New Roman" w:hAnsi="Calibri" w:cs="Calibri"/>
                <w:color w:val="000000"/>
                <w:lang w:eastAsia="en-GB"/>
              </w:rPr>
              <w:t>-253.397</w:t>
            </w:r>
          </w:p>
        </w:tc>
        <w:tc>
          <w:tcPr>
            <w:tcW w:w="136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color w:val="000000"/>
                <w:lang w:eastAsia="en-GB"/>
              </w:rPr>
            </w:pPr>
            <w:r w:rsidRPr="008627D2">
              <w:rPr>
                <w:rFonts w:ascii="Calibri" w:eastAsia="Times New Roman" w:hAnsi="Calibri" w:cs="Calibri"/>
                <w:color w:val="000000"/>
                <w:lang w:eastAsia="en-GB"/>
              </w:rPr>
              <w:t>-708.262</w:t>
            </w:r>
          </w:p>
        </w:tc>
        <w:tc>
          <w:tcPr>
            <w:tcW w:w="136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color w:val="000000"/>
                <w:lang w:eastAsia="en-GB"/>
              </w:rPr>
            </w:pPr>
            <w:r w:rsidRPr="008627D2">
              <w:rPr>
                <w:rFonts w:ascii="Calibri" w:eastAsia="Times New Roman" w:hAnsi="Calibri" w:cs="Calibri"/>
                <w:color w:val="000000"/>
                <w:lang w:eastAsia="en-GB"/>
              </w:rPr>
              <w:t>-703.761</w:t>
            </w:r>
          </w:p>
        </w:tc>
        <w:tc>
          <w:tcPr>
            <w:tcW w:w="1360" w:type="dxa"/>
            <w:gridSpan w:val="2"/>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color w:val="000000"/>
                <w:lang w:eastAsia="en-GB"/>
              </w:rPr>
            </w:pPr>
            <w:r w:rsidRPr="008627D2">
              <w:rPr>
                <w:rFonts w:ascii="Calibri" w:eastAsia="Times New Roman" w:hAnsi="Calibri" w:cs="Calibri"/>
                <w:color w:val="000000"/>
                <w:lang w:eastAsia="en-GB"/>
              </w:rPr>
              <w:t>-975.129</w:t>
            </w:r>
          </w:p>
        </w:tc>
      </w:tr>
      <w:tr w:rsidTr="008627D2">
        <w:tblPrEx>
          <w:tblW w:w="11684" w:type="dxa"/>
          <w:tblLook w:val="04A0"/>
        </w:tblPrEx>
        <w:trPr>
          <w:gridAfter w:val="1"/>
          <w:wAfter w:w="220" w:type="dxa"/>
          <w:trHeight w:val="276"/>
        </w:trPr>
        <w:tc>
          <w:tcPr>
            <w:tcW w:w="6144" w:type="dxa"/>
            <w:tcBorders>
              <w:top w:val="nil"/>
              <w:left w:val="single" w:sz="4" w:space="0" w:color="FFFFFF"/>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Calibri" w:eastAsia="Times New Roman" w:hAnsi="Calibri" w:cs="Calibri"/>
                <w:color w:val="000000"/>
                <w:lang w:eastAsia="en-GB"/>
              </w:rPr>
            </w:pPr>
            <w:r w:rsidRPr="008627D2">
              <w:rPr>
                <w:rFonts w:ascii="Calibri" w:eastAsia="Times New Roman" w:hAnsi="Calibri" w:cs="Calibri"/>
                <w:color w:val="000000"/>
                <w:lang w:eastAsia="en-GB"/>
              </w:rPr>
              <w:t> </w:t>
            </w:r>
          </w:p>
        </w:tc>
        <w:tc>
          <w:tcPr>
            <w:tcW w:w="124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Calibri" w:eastAsia="Times New Roman" w:hAnsi="Calibri" w:cs="Calibri"/>
                <w:color w:val="000000"/>
                <w:lang w:eastAsia="en-GB"/>
              </w:rPr>
            </w:pPr>
            <w:r w:rsidRPr="008627D2">
              <w:rPr>
                <w:rFonts w:ascii="Calibri" w:eastAsia="Times New Roman" w:hAnsi="Calibri" w:cs="Calibri"/>
                <w:color w:val="000000"/>
                <w:lang w:eastAsia="en-GB"/>
              </w:rPr>
              <w:t> </w:t>
            </w:r>
          </w:p>
        </w:tc>
        <w:tc>
          <w:tcPr>
            <w:tcW w:w="136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Calibri" w:eastAsia="Times New Roman" w:hAnsi="Calibri" w:cs="Calibri"/>
                <w:color w:val="000000"/>
                <w:lang w:eastAsia="en-GB"/>
              </w:rPr>
            </w:pPr>
            <w:r w:rsidRPr="008627D2">
              <w:rPr>
                <w:rFonts w:ascii="Calibri" w:eastAsia="Times New Roman" w:hAnsi="Calibri" w:cs="Calibri"/>
                <w:color w:val="000000"/>
                <w:lang w:eastAsia="en-GB"/>
              </w:rPr>
              <w:t> </w:t>
            </w:r>
          </w:p>
        </w:tc>
        <w:tc>
          <w:tcPr>
            <w:tcW w:w="136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Calibri" w:eastAsia="Times New Roman" w:hAnsi="Calibri" w:cs="Calibri"/>
                <w:color w:val="000000"/>
                <w:lang w:eastAsia="en-GB"/>
              </w:rPr>
            </w:pPr>
            <w:r w:rsidRPr="008627D2">
              <w:rPr>
                <w:rFonts w:ascii="Calibri" w:eastAsia="Times New Roman" w:hAnsi="Calibri" w:cs="Calibri"/>
                <w:color w:val="000000"/>
                <w:lang w:eastAsia="en-GB"/>
              </w:rPr>
              <w:t> </w:t>
            </w:r>
          </w:p>
        </w:tc>
        <w:tc>
          <w:tcPr>
            <w:tcW w:w="1360" w:type="dxa"/>
            <w:gridSpan w:val="2"/>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Calibri" w:eastAsia="Times New Roman" w:hAnsi="Calibri" w:cs="Calibri"/>
                <w:color w:val="000000"/>
                <w:lang w:eastAsia="en-GB"/>
              </w:rPr>
            </w:pPr>
            <w:r w:rsidRPr="008627D2">
              <w:rPr>
                <w:rFonts w:ascii="Calibri" w:eastAsia="Times New Roman" w:hAnsi="Calibri" w:cs="Calibri"/>
                <w:color w:val="000000"/>
                <w:lang w:eastAsia="en-GB"/>
              </w:rPr>
              <w:t> </w:t>
            </w:r>
          </w:p>
        </w:tc>
      </w:tr>
      <w:tr w:rsidTr="008627D2">
        <w:tblPrEx>
          <w:tblW w:w="11684" w:type="dxa"/>
          <w:tblLook w:val="04A0"/>
        </w:tblPrEx>
        <w:trPr>
          <w:gridAfter w:val="1"/>
          <w:wAfter w:w="220" w:type="dxa"/>
          <w:trHeight w:val="276"/>
        </w:trPr>
        <w:tc>
          <w:tcPr>
            <w:tcW w:w="6144" w:type="dxa"/>
            <w:tcBorders>
              <w:top w:val="nil"/>
              <w:left w:val="single" w:sz="4" w:space="0" w:color="FFFFFF"/>
              <w:bottom w:val="single" w:sz="4" w:space="0" w:color="FFFFFF"/>
              <w:right w:val="single" w:sz="4" w:space="0" w:color="FFFFFF"/>
            </w:tcBorders>
            <w:shd w:val="clear" w:color="auto" w:fill="auto"/>
            <w:noWrap/>
            <w:vAlign w:val="bottom"/>
            <w:hideMark/>
          </w:tcPr>
          <w:p w:rsidR="008627D2" w:rsidRPr="008627D2" w:rsidP="008627D2">
            <w:pPr>
              <w:spacing w:after="0" w:line="240" w:lineRule="auto"/>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Welsh Government DEL(4) (6)</w:t>
            </w:r>
          </w:p>
        </w:tc>
        <w:tc>
          <w:tcPr>
            <w:tcW w:w="124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14,520.894</w:t>
            </w:r>
          </w:p>
        </w:tc>
        <w:tc>
          <w:tcPr>
            <w:tcW w:w="136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15,114.780</w:t>
            </w:r>
          </w:p>
        </w:tc>
        <w:tc>
          <w:tcPr>
            <w:tcW w:w="1360" w:type="dxa"/>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15,343.942</w:t>
            </w:r>
          </w:p>
        </w:tc>
        <w:tc>
          <w:tcPr>
            <w:tcW w:w="1360" w:type="dxa"/>
            <w:gridSpan w:val="2"/>
            <w:tcBorders>
              <w:top w:val="nil"/>
              <w:left w:val="nil"/>
              <w:bottom w:val="single" w:sz="4" w:space="0" w:color="FFFFFF"/>
              <w:right w:val="single" w:sz="4" w:space="0" w:color="FFFFFF"/>
            </w:tcBorders>
            <w:shd w:val="clear" w:color="auto" w:fill="auto"/>
            <w:noWrap/>
            <w:vAlign w:val="bottom"/>
            <w:hideMark/>
          </w:tcPr>
          <w:p w:rsidR="008627D2" w:rsidRPr="008627D2" w:rsidP="008627D2">
            <w:pPr>
              <w:spacing w:after="0" w:line="240" w:lineRule="auto"/>
              <w:jc w:val="right"/>
              <w:rPr>
                <w:rFonts w:ascii="Calibri" w:eastAsia="Times New Roman" w:hAnsi="Calibri" w:cs="Calibri"/>
                <w:b/>
                <w:bCs/>
                <w:color w:val="000000"/>
                <w:lang w:eastAsia="en-GB"/>
              </w:rPr>
            </w:pPr>
            <w:r w:rsidRPr="008627D2">
              <w:rPr>
                <w:rFonts w:ascii="Calibri" w:eastAsia="Times New Roman" w:hAnsi="Calibri" w:cs="Calibri"/>
                <w:b/>
                <w:bCs/>
                <w:color w:val="000000"/>
                <w:lang w:eastAsia="en-GB"/>
              </w:rPr>
              <w:t>14,368.652</w:t>
            </w:r>
          </w:p>
        </w:tc>
      </w:tr>
      <w:tr w:rsidTr="008627D2">
        <w:tblPrEx>
          <w:tblW w:w="11684" w:type="dxa"/>
          <w:tblLook w:val="04A0"/>
        </w:tblPrEx>
        <w:trPr>
          <w:trHeight w:val="276"/>
        </w:trPr>
        <w:tc>
          <w:tcPr>
            <w:tcW w:w="6144" w:type="dxa"/>
            <w:tcBorders>
              <w:top w:val="nil"/>
              <w:left w:val="single" w:sz="4" w:space="0" w:color="FFFFFF"/>
              <w:bottom w:val="single" w:sz="4" w:space="0" w:color="FFFFFF"/>
              <w:right w:val="single" w:sz="4" w:space="0" w:color="FFFFFF"/>
            </w:tcBorders>
            <w:shd w:val="clear" w:color="auto" w:fill="auto"/>
            <w:noWrap/>
            <w:vAlign w:val="bottom"/>
          </w:tcPr>
          <w:p w:rsidR="006645D9" w:rsidRPr="008627D2" w:rsidP="006645D9">
            <w:pPr>
              <w:spacing w:after="0" w:line="240" w:lineRule="auto"/>
              <w:rPr>
                <w:rFonts w:ascii="Calibri" w:eastAsia="Times New Roman" w:hAnsi="Calibri" w:cs="Calibri"/>
                <w:color w:val="000000"/>
                <w:lang w:eastAsia="en-GB"/>
              </w:rPr>
            </w:pPr>
          </w:p>
        </w:tc>
        <w:tc>
          <w:tcPr>
            <w:tcW w:w="1240" w:type="dxa"/>
            <w:tcBorders>
              <w:top w:val="nil"/>
              <w:left w:val="nil"/>
              <w:bottom w:val="single" w:sz="4" w:space="0" w:color="FFFFFF"/>
              <w:right w:val="single" w:sz="4" w:space="0" w:color="FFFFFF"/>
            </w:tcBorders>
            <w:shd w:val="clear" w:color="auto" w:fill="auto"/>
            <w:noWrap/>
            <w:vAlign w:val="bottom"/>
          </w:tcPr>
          <w:p w:rsidR="006645D9" w:rsidRPr="008627D2" w:rsidP="006645D9">
            <w:pPr>
              <w:spacing w:after="0" w:line="240" w:lineRule="auto"/>
              <w:jc w:val="right"/>
              <w:rPr>
                <w:rFonts w:ascii="Calibri" w:eastAsia="Times New Roman" w:hAnsi="Calibri" w:cs="Calibri"/>
                <w:color w:val="000000"/>
                <w:lang w:eastAsia="en-GB"/>
              </w:rPr>
            </w:pPr>
          </w:p>
        </w:tc>
        <w:tc>
          <w:tcPr>
            <w:tcW w:w="1360" w:type="dxa"/>
            <w:tcBorders>
              <w:top w:val="nil"/>
              <w:left w:val="nil"/>
              <w:bottom w:val="single" w:sz="4" w:space="0" w:color="FFFFFF"/>
              <w:right w:val="single" w:sz="4" w:space="0" w:color="FFFFFF"/>
            </w:tcBorders>
            <w:shd w:val="clear" w:color="auto" w:fill="auto"/>
            <w:noWrap/>
            <w:vAlign w:val="bottom"/>
          </w:tcPr>
          <w:p w:rsidR="006645D9" w:rsidRPr="008627D2" w:rsidP="006645D9">
            <w:pPr>
              <w:spacing w:after="0" w:line="240" w:lineRule="auto"/>
              <w:jc w:val="right"/>
              <w:rPr>
                <w:rFonts w:ascii="Calibri" w:eastAsia="Times New Roman" w:hAnsi="Calibri" w:cs="Calibri"/>
                <w:color w:val="000000"/>
                <w:lang w:eastAsia="en-GB"/>
              </w:rPr>
            </w:pPr>
          </w:p>
        </w:tc>
        <w:tc>
          <w:tcPr>
            <w:tcW w:w="1580" w:type="dxa"/>
            <w:gridSpan w:val="2"/>
            <w:tcBorders>
              <w:top w:val="nil"/>
              <w:left w:val="nil"/>
              <w:bottom w:val="single" w:sz="4" w:space="0" w:color="FFFFFF"/>
              <w:right w:val="single" w:sz="4" w:space="0" w:color="FFFFFF"/>
            </w:tcBorders>
            <w:shd w:val="clear" w:color="auto" w:fill="auto"/>
            <w:noWrap/>
            <w:vAlign w:val="bottom"/>
          </w:tcPr>
          <w:p w:rsidR="006645D9" w:rsidRPr="008627D2" w:rsidP="006645D9">
            <w:pPr>
              <w:spacing w:after="0" w:line="240" w:lineRule="auto"/>
              <w:jc w:val="right"/>
              <w:rPr>
                <w:rFonts w:ascii="Calibri" w:eastAsia="Times New Roman" w:hAnsi="Calibri" w:cs="Calibri"/>
                <w:color w:val="000000"/>
                <w:lang w:eastAsia="en-GB"/>
              </w:rPr>
            </w:pPr>
          </w:p>
        </w:tc>
        <w:tc>
          <w:tcPr>
            <w:tcW w:w="1360" w:type="dxa"/>
            <w:gridSpan w:val="2"/>
            <w:tcBorders>
              <w:top w:val="nil"/>
              <w:left w:val="nil"/>
              <w:bottom w:val="single" w:sz="4" w:space="0" w:color="FFFFFF"/>
              <w:right w:val="single" w:sz="4" w:space="0" w:color="FFFFFF"/>
            </w:tcBorders>
            <w:shd w:val="clear" w:color="auto" w:fill="auto"/>
            <w:noWrap/>
            <w:vAlign w:val="bottom"/>
          </w:tcPr>
          <w:p w:rsidR="006645D9" w:rsidRPr="008627D2" w:rsidP="006645D9">
            <w:pPr>
              <w:spacing w:after="0" w:line="240" w:lineRule="auto"/>
              <w:jc w:val="right"/>
              <w:rPr>
                <w:rFonts w:ascii="Calibri" w:eastAsia="Times New Roman" w:hAnsi="Calibri" w:cs="Calibri"/>
                <w:color w:val="000000"/>
                <w:lang w:eastAsia="en-GB"/>
              </w:rPr>
            </w:pPr>
          </w:p>
        </w:tc>
      </w:tr>
      <w:tr w:rsidTr="008627D2">
        <w:tblPrEx>
          <w:tblW w:w="11684" w:type="dxa"/>
          <w:tblLook w:val="04A0"/>
        </w:tblPrEx>
        <w:trPr>
          <w:trHeight w:val="276"/>
        </w:trPr>
        <w:tc>
          <w:tcPr>
            <w:tcW w:w="6144" w:type="dxa"/>
            <w:tcBorders>
              <w:top w:val="nil"/>
              <w:left w:val="single" w:sz="4" w:space="0" w:color="FFFFFF"/>
              <w:bottom w:val="single" w:sz="4" w:space="0" w:color="FFFFFF"/>
              <w:right w:val="single" w:sz="4" w:space="0" w:color="FFFFFF"/>
            </w:tcBorders>
            <w:shd w:val="clear" w:color="auto" w:fill="auto"/>
            <w:noWrap/>
            <w:vAlign w:val="bottom"/>
          </w:tcPr>
          <w:p w:rsidR="006645D9" w:rsidRPr="00AE201E" w:rsidP="006645D9">
            <w:pPr>
              <w:spacing w:after="0" w:line="240" w:lineRule="auto"/>
              <w:rPr>
                <w:rFonts w:eastAsia="Times New Roman" w:cstheme="minorHAnsi"/>
                <w:color w:val="000000"/>
                <w:lang w:eastAsia="en-GB"/>
              </w:rPr>
            </w:pPr>
          </w:p>
        </w:tc>
        <w:tc>
          <w:tcPr>
            <w:tcW w:w="1240" w:type="dxa"/>
            <w:tcBorders>
              <w:top w:val="nil"/>
              <w:left w:val="nil"/>
              <w:bottom w:val="single" w:sz="4" w:space="0" w:color="FFFFFF"/>
              <w:right w:val="single" w:sz="4" w:space="0" w:color="FFFFFF"/>
            </w:tcBorders>
            <w:shd w:val="clear" w:color="auto" w:fill="auto"/>
            <w:noWrap/>
            <w:vAlign w:val="bottom"/>
          </w:tcPr>
          <w:p w:rsidR="006645D9" w:rsidRPr="00AE201E" w:rsidP="006645D9">
            <w:pPr>
              <w:spacing w:after="0" w:line="240" w:lineRule="auto"/>
              <w:jc w:val="right"/>
              <w:rPr>
                <w:rFonts w:eastAsia="Times New Roman" w:cstheme="minorHAnsi"/>
                <w:color w:val="000000"/>
                <w:lang w:eastAsia="en-GB"/>
              </w:rPr>
            </w:pPr>
          </w:p>
        </w:tc>
        <w:tc>
          <w:tcPr>
            <w:tcW w:w="1360" w:type="dxa"/>
            <w:tcBorders>
              <w:top w:val="nil"/>
              <w:left w:val="nil"/>
              <w:bottom w:val="single" w:sz="4" w:space="0" w:color="FFFFFF"/>
              <w:right w:val="single" w:sz="4" w:space="0" w:color="FFFFFF"/>
            </w:tcBorders>
            <w:shd w:val="clear" w:color="auto" w:fill="auto"/>
            <w:noWrap/>
            <w:vAlign w:val="bottom"/>
          </w:tcPr>
          <w:p w:rsidR="006645D9" w:rsidRPr="00AE201E" w:rsidP="006645D9">
            <w:pPr>
              <w:spacing w:after="0" w:line="240" w:lineRule="auto"/>
              <w:jc w:val="right"/>
              <w:rPr>
                <w:rFonts w:eastAsia="Times New Roman" w:cstheme="minorHAnsi"/>
                <w:color w:val="000000"/>
                <w:lang w:eastAsia="en-GB"/>
              </w:rPr>
            </w:pPr>
          </w:p>
        </w:tc>
        <w:tc>
          <w:tcPr>
            <w:tcW w:w="1580" w:type="dxa"/>
            <w:gridSpan w:val="2"/>
            <w:tcBorders>
              <w:top w:val="nil"/>
              <w:left w:val="nil"/>
              <w:bottom w:val="single" w:sz="4" w:space="0" w:color="FFFFFF"/>
              <w:right w:val="single" w:sz="4" w:space="0" w:color="FFFFFF"/>
            </w:tcBorders>
            <w:shd w:val="clear" w:color="auto" w:fill="auto"/>
            <w:noWrap/>
            <w:vAlign w:val="bottom"/>
          </w:tcPr>
          <w:p w:rsidR="006645D9" w:rsidRPr="00AE201E" w:rsidP="006645D9">
            <w:pPr>
              <w:spacing w:after="0" w:line="240" w:lineRule="auto"/>
              <w:jc w:val="right"/>
              <w:rPr>
                <w:rFonts w:eastAsia="Times New Roman" w:cstheme="minorHAnsi"/>
                <w:color w:val="000000"/>
                <w:lang w:eastAsia="en-GB"/>
              </w:rPr>
            </w:pPr>
          </w:p>
        </w:tc>
        <w:tc>
          <w:tcPr>
            <w:tcW w:w="1360" w:type="dxa"/>
            <w:gridSpan w:val="2"/>
            <w:tcBorders>
              <w:top w:val="nil"/>
              <w:left w:val="nil"/>
              <w:bottom w:val="single" w:sz="4" w:space="0" w:color="FFFFFF"/>
              <w:right w:val="single" w:sz="4" w:space="0" w:color="FFFFFF"/>
            </w:tcBorders>
            <w:shd w:val="clear" w:color="auto" w:fill="auto"/>
            <w:noWrap/>
            <w:vAlign w:val="bottom"/>
          </w:tcPr>
          <w:p w:rsidR="006645D9" w:rsidRPr="00AE201E" w:rsidP="006645D9">
            <w:pPr>
              <w:spacing w:after="0" w:line="240" w:lineRule="auto"/>
              <w:jc w:val="right"/>
              <w:rPr>
                <w:rFonts w:eastAsia="Times New Roman" w:cstheme="minorHAnsi"/>
                <w:color w:val="000000"/>
                <w:lang w:eastAsia="en-GB"/>
              </w:rPr>
            </w:pPr>
          </w:p>
        </w:tc>
      </w:tr>
    </w:tbl>
    <w:p w:rsidR="00F32426" w:rsidRPr="00AE201E" w:rsidP="00F32426">
      <w:pPr>
        <w:rPr>
          <w:rFonts w:cstheme="minorHAnsi"/>
          <w:b/>
          <w:bCs/>
          <w:color w:val="000000"/>
        </w:rPr>
      </w:pPr>
      <w:r w:rsidRPr="00AE201E">
        <w:rPr>
          <w:rFonts w:cstheme="minorHAnsi"/>
          <w:b/>
          <w:bCs/>
          <w:color w:val="000000"/>
        </w:rPr>
        <w:t>Notes</w:t>
      </w:r>
      <w:r w:rsidRPr="00AE201E">
        <w:rPr>
          <w:rFonts w:cstheme="minorHAnsi"/>
          <w:b/>
          <w:bCs/>
          <w:color w:val="000000"/>
        </w:rPr>
        <w:tab/>
      </w:r>
      <w:r w:rsidRPr="00AE201E">
        <w:rPr>
          <w:rFonts w:cstheme="minorHAnsi"/>
          <w:b/>
          <w:bCs/>
          <w:color w:val="000000"/>
        </w:rPr>
        <w:tab/>
      </w:r>
      <w:r w:rsidRPr="00AE201E">
        <w:rPr>
          <w:rFonts w:cstheme="minorHAnsi"/>
          <w:b/>
          <w:bCs/>
          <w:color w:val="000000"/>
        </w:rPr>
        <w:tab/>
      </w:r>
      <w:r w:rsidRPr="00AE201E">
        <w:rPr>
          <w:rFonts w:cstheme="minorHAnsi"/>
          <w:b/>
          <w:bCs/>
          <w:color w:val="000000"/>
        </w:rPr>
        <w:tab/>
      </w:r>
    </w:p>
    <w:p w:rsidR="00F32426" w:rsidRPr="00AE201E" w:rsidP="00F32426">
      <w:pPr>
        <w:rPr>
          <w:rFonts w:cstheme="minorHAnsi"/>
          <w:bCs/>
          <w:color w:val="000000"/>
        </w:rPr>
      </w:pPr>
      <w:r w:rsidRPr="00AE201E">
        <w:rPr>
          <w:rFonts w:cstheme="minorHAnsi"/>
          <w:bCs/>
          <w:color w:val="000000"/>
        </w:rPr>
        <w:t>(1) Totals may not sum due to rounding.</w:t>
      </w:r>
      <w:r w:rsidRPr="00AE201E">
        <w:rPr>
          <w:rFonts w:cstheme="minorHAnsi"/>
          <w:bCs/>
          <w:color w:val="000000"/>
        </w:rPr>
        <w:tab/>
      </w:r>
      <w:r w:rsidRPr="00AE201E">
        <w:rPr>
          <w:rFonts w:cstheme="minorHAnsi"/>
          <w:bCs/>
          <w:color w:val="000000"/>
        </w:rPr>
        <w:tab/>
      </w:r>
      <w:r w:rsidRPr="00AE201E">
        <w:rPr>
          <w:rFonts w:cstheme="minorHAnsi"/>
          <w:bCs/>
          <w:color w:val="000000"/>
        </w:rPr>
        <w:tab/>
      </w:r>
      <w:r w:rsidRPr="00AE201E">
        <w:rPr>
          <w:rFonts w:cstheme="minorHAnsi"/>
          <w:bCs/>
          <w:color w:val="000000"/>
        </w:rPr>
        <w:tab/>
      </w:r>
    </w:p>
    <w:p w:rsidR="00F32426" w:rsidRPr="00AE201E" w:rsidP="00F32426">
      <w:pPr>
        <w:rPr>
          <w:rFonts w:cstheme="minorHAnsi"/>
          <w:bCs/>
          <w:color w:val="000000"/>
        </w:rPr>
      </w:pPr>
      <w:r w:rsidRPr="00AE201E">
        <w:rPr>
          <w:rFonts w:cstheme="minorHAnsi"/>
          <w:bCs/>
          <w:color w:val="000000"/>
        </w:rPr>
        <w:t>(2) Includes Budgetary Changes as a result of Clear Line of Sight.</w:t>
      </w:r>
    </w:p>
    <w:p w:rsidR="00F32426" w:rsidRPr="00AE201E" w:rsidP="00F32426">
      <w:pPr>
        <w:rPr>
          <w:rFonts w:cstheme="minorHAnsi"/>
          <w:bCs/>
          <w:color w:val="000000"/>
        </w:rPr>
      </w:pPr>
      <w:r w:rsidRPr="00AE201E">
        <w:rPr>
          <w:rFonts w:cstheme="minorHAnsi"/>
          <w:bCs/>
          <w:color w:val="000000"/>
        </w:rPr>
        <w:t>(3) Including depreciation &amp; impairments.</w:t>
      </w:r>
    </w:p>
    <w:p w:rsidR="00F32426" w:rsidRPr="00AE201E" w:rsidP="00F32426">
      <w:pPr>
        <w:rPr>
          <w:rFonts w:cstheme="minorHAnsi"/>
          <w:bCs/>
          <w:color w:val="000000"/>
        </w:rPr>
      </w:pPr>
      <w:r w:rsidRPr="00AE201E">
        <w:rPr>
          <w:rFonts w:cstheme="minorHAnsi"/>
          <w:bCs/>
          <w:color w:val="000000"/>
        </w:rPr>
        <w:t>(4) Resource + capital - depreciation &amp; impairments.</w:t>
      </w:r>
    </w:p>
    <w:p w:rsidR="00F32426" w:rsidRPr="00AE201E" w:rsidP="00F32426">
      <w:pPr>
        <w:rPr>
          <w:rFonts w:cstheme="minorHAnsi"/>
          <w:bCs/>
          <w:color w:val="000000"/>
        </w:rPr>
      </w:pPr>
      <w:r w:rsidRPr="00AE201E">
        <w:rPr>
          <w:rFonts w:cstheme="minorHAnsi"/>
          <w:bCs/>
          <w:color w:val="000000"/>
        </w:rPr>
        <w:t>(5) By convention Departmental Expenditure Limit budgets are expressed as resource and capital less depreciation &amp; impairments. Therefore the resource and capital numbers in this table will not sum to the Departmental Expenditure Limit: the difference being depreciation &amp; impairments.</w:t>
      </w:r>
    </w:p>
    <w:p w:rsidR="003C6BA4" w:rsidRPr="00AE201E" w:rsidP="00BF7F45">
      <w:pPr>
        <w:rPr>
          <w:rFonts w:eastAsia="Times New Roman" w:cstheme="minorHAnsi"/>
          <w:b/>
          <w:bCs/>
          <w:color w:val="333333"/>
          <w:lang w:eastAsia="en-GB"/>
        </w:rPr>
        <w:sectPr w:rsidSect="00C70198">
          <w:headerReference w:type="even" r:id="rId14"/>
          <w:headerReference w:type="default" r:id="rId15"/>
          <w:footerReference w:type="even" r:id="rId16"/>
          <w:footerReference w:type="default" r:id="rId17"/>
          <w:headerReference w:type="first" r:id="rId18"/>
          <w:footerReference w:type="first" r:id="rId19"/>
          <w:pgSz w:w="16838" w:h="11906" w:orient="landscape"/>
          <w:pgMar w:top="1440" w:right="1440" w:bottom="1440" w:left="1440" w:header="708" w:footer="708" w:gutter="0"/>
          <w:cols w:space="708"/>
          <w:docGrid w:linePitch="360"/>
        </w:sectPr>
      </w:pPr>
      <w:r w:rsidRPr="00AE201E">
        <w:rPr>
          <w:rFonts w:cstheme="minorHAnsi"/>
          <w:bCs/>
          <w:color w:val="000000"/>
        </w:rPr>
        <w:t xml:space="preserve">(6) Includes Block Grant Adjustments to reflect the </w:t>
      </w:r>
      <w:bookmarkStart w:id="6" w:name="_Hlk7789161"/>
      <w:r w:rsidRPr="00AE201E">
        <w:rPr>
          <w:rFonts w:cstheme="minorHAnsi"/>
          <w:bCs/>
          <w:color w:val="000000"/>
        </w:rPr>
        <w:t xml:space="preserve">devolution of SDLT, Landfill Tax, </w:t>
      </w:r>
      <w:r w:rsidRPr="00AE201E" w:rsidR="006645D9">
        <w:rPr>
          <w:rFonts w:cstheme="minorHAnsi"/>
          <w:bCs/>
          <w:color w:val="000000"/>
        </w:rPr>
        <w:t xml:space="preserve">and </w:t>
      </w:r>
      <w:r w:rsidRPr="00AE201E">
        <w:rPr>
          <w:rFonts w:cstheme="minorHAnsi"/>
          <w:bCs/>
          <w:color w:val="000000"/>
        </w:rPr>
        <w:t xml:space="preserve">Income Tax under the </w:t>
      </w:r>
      <w:r w:rsidRPr="00AE201E" w:rsidR="006645D9">
        <w:rPr>
          <w:rFonts w:cstheme="minorHAnsi"/>
          <w:bCs/>
          <w:color w:val="000000"/>
        </w:rPr>
        <w:t xml:space="preserve">Welsh </w:t>
      </w:r>
      <w:r w:rsidRPr="00AE201E">
        <w:rPr>
          <w:rFonts w:cstheme="minorHAnsi"/>
          <w:bCs/>
          <w:color w:val="000000"/>
        </w:rPr>
        <w:t>Fiscal Framework.</w:t>
      </w:r>
      <w:bookmarkEnd w:id="6"/>
    </w:p>
    <w:p w:rsidR="00225CFE" w:rsidP="001473C6">
      <w:pPr>
        <w:rPr>
          <w:rFonts w:eastAsia="Times New Roman"/>
          <w:lang w:eastAsia="en-GB"/>
        </w:rPr>
      </w:pPr>
    </w:p>
    <w:sectPr w:rsidSect="003C6B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Humnst777 Lt BT">
    <w:altName w:val="Lucida Sans Unicode"/>
    <w:charset w:val="00"/>
    <w:family w:val="swiss"/>
    <w:pitch w:val="variable"/>
    <w:sig w:usb0="800000AF" w:usb1="1000204A" w:usb2="00000000" w:usb3="00000000" w:csb0="0000001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220" w:rsidP="00C70198">
    <w:pPr>
      <w:pStyle w:val="Footer"/>
      <w:jc w:val="center"/>
    </w:pPr>
    <w:r>
      <w:fldChar w:fldCharType="begin"/>
    </w:r>
    <w:r w:rsidRPr="00F001EA">
      <w:rPr>
        <w:rFonts w:ascii="Calibri" w:hAnsi="Calibri"/>
        <w:color w:val="000000"/>
      </w:rPr>
      <w:instrText xml:space="preserve"> DOCPROPERTY  bjDocumentSecurityLabel"  \* MERGEFORMAT </w:instrText>
    </w:r>
    <w:r>
      <w:fldChar w:fldCharType="separate"/>
    </w:r>
    <w:r w:rsidR="00881C26">
      <w:rPr>
        <w:b/>
        <w:bCs/>
        <w:lang w:val="en-US"/>
      </w:rPr>
      <w:t>Error! Unknown document property name.</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220" w:rsidP="00C70198">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220" w:rsidP="00C70198">
    <w:pPr>
      <w:pStyle w:val="Footer"/>
      <w:jc w:val="center"/>
    </w:pPr>
    <w:r>
      <w:fldChar w:fldCharType="begin"/>
    </w:r>
    <w:r w:rsidRPr="00F001EA">
      <w:rPr>
        <w:rFonts w:ascii="Calibri" w:hAnsi="Calibri"/>
        <w:color w:val="000000"/>
      </w:rPr>
      <w:instrText xml:space="preserve"> DOCPROPERTY  bjDocumentSecurityLabel"  \* MERGEFORMAT </w:instrText>
    </w:r>
    <w:r>
      <w:fldChar w:fldCharType="separate"/>
    </w:r>
    <w:r w:rsidR="00881C26">
      <w:rPr>
        <w:b/>
        <w:bCs/>
        <w:lang w:val="en-US"/>
      </w:rPr>
      <w:t>Error! Unknown document property name.</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22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22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22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220" w:rsidP="00C70198">
    <w:pPr>
      <w:pStyle w:val="Header"/>
      <w:jc w:val="center"/>
    </w:pPr>
    <w:r>
      <w:fldChar w:fldCharType="begin"/>
    </w:r>
    <w:r w:rsidRPr="00F001EA">
      <w:rPr>
        <w:rFonts w:ascii="Calibri" w:hAnsi="Calibri"/>
        <w:color w:val="000000"/>
      </w:rPr>
      <w:instrText xml:space="preserve"> DOCPROPERTY  bjDocumentSecurityLabel"  \* MERGEFORMAT </w:instrText>
    </w:r>
    <w:r>
      <w:fldChar w:fldCharType="separate"/>
    </w:r>
    <w:r w:rsidR="00881C26">
      <w:rPr>
        <w:b/>
        <w:bCs/>
        <w:lang w:val="en-US"/>
      </w:rPr>
      <w:t>Error! Unknown document property name.</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220" w:rsidP="00C70198">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220" w:rsidP="00C70198">
    <w:pPr>
      <w:pStyle w:val="Header"/>
      <w:jc w:val="center"/>
    </w:pPr>
    <w:r>
      <w:fldChar w:fldCharType="begin"/>
    </w:r>
    <w:r w:rsidRPr="00F001EA">
      <w:rPr>
        <w:rFonts w:ascii="Calibri" w:hAnsi="Calibri"/>
        <w:color w:val="000000"/>
      </w:rPr>
      <w:instrText xml:space="preserve"> DOCPROPERTY  bjDocumentSecurityLabel"  \* MERGEFORMAT </w:instrText>
    </w:r>
    <w:r>
      <w:fldChar w:fldCharType="separate"/>
    </w:r>
    <w:r w:rsidR="00881C26">
      <w:rPr>
        <w:b/>
        <w:bCs/>
        <w:lang w:val="en-US"/>
      </w:rPr>
      <w:t>Error! Unknown document property name.</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22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22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52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467B86"/>
    <w:multiLevelType w:val="hybridMultilevel"/>
    <w:tmpl w:val="2D6AC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06B7CD9"/>
    <w:multiLevelType w:val="hybridMultilevel"/>
    <w:tmpl w:val="E4DA41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5DA7CC1"/>
    <w:multiLevelType w:val="hybridMultilevel"/>
    <w:tmpl w:val="96ACEE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62A06C0"/>
    <w:multiLevelType w:val="hybridMultilevel"/>
    <w:tmpl w:val="638416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D4807FC"/>
    <w:multiLevelType w:val="hybridMultilevel"/>
    <w:tmpl w:val="0470A5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2821935"/>
    <w:multiLevelType w:val="hybridMultilevel"/>
    <w:tmpl w:val="93A222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30B11C3"/>
    <w:multiLevelType w:val="hybridMultilevel"/>
    <w:tmpl w:val="2C1A25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3756F48"/>
    <w:multiLevelType w:val="hybridMultilevel"/>
    <w:tmpl w:val="CFBE2D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8D52781"/>
    <w:multiLevelType w:val="hybridMultilevel"/>
    <w:tmpl w:val="00400F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EAE02C9"/>
    <w:multiLevelType w:val="hybridMultilevel"/>
    <w:tmpl w:val="FB9C4B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EE3741D"/>
    <w:multiLevelType w:val="hybridMultilevel"/>
    <w:tmpl w:val="83909A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CC063FE"/>
    <w:multiLevelType w:val="hybridMultilevel"/>
    <w:tmpl w:val="692C31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DE36099"/>
    <w:multiLevelType w:val="hybridMultilevel"/>
    <w:tmpl w:val="28FEE1C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194102E"/>
    <w:multiLevelType w:val="hybridMultilevel"/>
    <w:tmpl w:val="177E835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42126A45"/>
    <w:multiLevelType w:val="hybridMultilevel"/>
    <w:tmpl w:val="32A084A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453A77F4"/>
    <w:multiLevelType w:val="hybridMultilevel"/>
    <w:tmpl w:val="5D0E3F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5D54D70"/>
    <w:multiLevelType w:val="hybridMultilevel"/>
    <w:tmpl w:val="D77E89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7A72137"/>
    <w:multiLevelType w:val="hybridMultilevel"/>
    <w:tmpl w:val="FC6A238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4B803298"/>
    <w:multiLevelType w:val="hybridMultilevel"/>
    <w:tmpl w:val="5AE0A8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D644457"/>
    <w:multiLevelType w:val="hybridMultilevel"/>
    <w:tmpl w:val="4F2A80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EF01AC1"/>
    <w:multiLevelType w:val="hybridMultilevel"/>
    <w:tmpl w:val="1A4656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3F35849"/>
    <w:multiLevelType w:val="hybridMultilevel"/>
    <w:tmpl w:val="6F466C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88768CF"/>
    <w:multiLevelType w:val="hybridMultilevel"/>
    <w:tmpl w:val="41466C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A801AFE"/>
    <w:multiLevelType w:val="hybridMultilevel"/>
    <w:tmpl w:val="5CEC3D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AD31D17"/>
    <w:multiLevelType w:val="hybridMultilevel"/>
    <w:tmpl w:val="F0488F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BAC2E3A"/>
    <w:multiLevelType w:val="hybridMultilevel"/>
    <w:tmpl w:val="D0BAE47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5BBE4DA0"/>
    <w:multiLevelType w:val="hybridMultilevel"/>
    <w:tmpl w:val="404C0054"/>
    <w:lvl w:ilvl="0">
      <w:start w:val="1"/>
      <w:numFmt w:val="bullet"/>
      <w:lvlText w:val=""/>
      <w:lvlJc w:val="left"/>
      <w:pPr>
        <w:ind w:left="720" w:hanging="360"/>
      </w:pPr>
      <w:rPr>
        <w:rFonts w:ascii="Symbol" w:hAnsi="Symbol" w:hint="default"/>
        <w:sz w:val="24"/>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65831FD7"/>
    <w:multiLevelType w:val="hybridMultilevel"/>
    <w:tmpl w:val="5BAEA7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79B66A1"/>
    <w:multiLevelType w:val="hybridMultilevel"/>
    <w:tmpl w:val="DC08A4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8067349"/>
    <w:multiLevelType w:val="hybridMultilevel"/>
    <w:tmpl w:val="101089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8281B9E"/>
    <w:multiLevelType w:val="hybridMultilevel"/>
    <w:tmpl w:val="EED4D7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9565047"/>
    <w:multiLevelType w:val="hybridMultilevel"/>
    <w:tmpl w:val="B46644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DE2589A"/>
    <w:multiLevelType w:val="multilevel"/>
    <w:tmpl w:val="9A6A5C9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05C3714"/>
    <w:multiLevelType w:val="hybridMultilevel"/>
    <w:tmpl w:val="65A6FC90"/>
    <w:lvl w:ilvl="0">
      <w:start w:val="1"/>
      <w:numFmt w:val="bullet"/>
      <w:lvlText w:val=""/>
      <w:lvlJc w:val="left"/>
      <w:pPr>
        <w:ind w:left="2204" w:hanging="360"/>
      </w:pPr>
      <w:rPr>
        <w:rFonts w:ascii="Symbol" w:hAnsi="Symbol" w:hint="default"/>
      </w:rPr>
    </w:lvl>
    <w:lvl w:ilvl="1" w:tentative="1">
      <w:start w:val="1"/>
      <w:numFmt w:val="bullet"/>
      <w:lvlText w:val="o"/>
      <w:lvlJc w:val="left"/>
      <w:pPr>
        <w:ind w:left="2924" w:hanging="360"/>
      </w:pPr>
      <w:rPr>
        <w:rFonts w:ascii="Courier New" w:hAnsi="Courier New" w:cs="Courier New" w:hint="default"/>
      </w:rPr>
    </w:lvl>
    <w:lvl w:ilvl="2" w:tentative="1">
      <w:start w:val="1"/>
      <w:numFmt w:val="bullet"/>
      <w:lvlText w:val=""/>
      <w:lvlJc w:val="left"/>
      <w:pPr>
        <w:ind w:left="3644" w:hanging="360"/>
      </w:pPr>
      <w:rPr>
        <w:rFonts w:ascii="Wingdings" w:hAnsi="Wingdings" w:hint="default"/>
      </w:rPr>
    </w:lvl>
    <w:lvl w:ilvl="3" w:tentative="1">
      <w:start w:val="1"/>
      <w:numFmt w:val="bullet"/>
      <w:lvlText w:val=""/>
      <w:lvlJc w:val="left"/>
      <w:pPr>
        <w:ind w:left="4364" w:hanging="360"/>
      </w:pPr>
      <w:rPr>
        <w:rFonts w:ascii="Symbol" w:hAnsi="Symbol" w:hint="default"/>
      </w:rPr>
    </w:lvl>
    <w:lvl w:ilvl="4" w:tentative="1">
      <w:start w:val="1"/>
      <w:numFmt w:val="bullet"/>
      <w:lvlText w:val="o"/>
      <w:lvlJc w:val="left"/>
      <w:pPr>
        <w:ind w:left="5084" w:hanging="360"/>
      </w:pPr>
      <w:rPr>
        <w:rFonts w:ascii="Courier New" w:hAnsi="Courier New" w:cs="Courier New" w:hint="default"/>
      </w:rPr>
    </w:lvl>
    <w:lvl w:ilvl="5" w:tentative="1">
      <w:start w:val="1"/>
      <w:numFmt w:val="bullet"/>
      <w:lvlText w:val=""/>
      <w:lvlJc w:val="left"/>
      <w:pPr>
        <w:ind w:left="5804" w:hanging="360"/>
      </w:pPr>
      <w:rPr>
        <w:rFonts w:ascii="Wingdings" w:hAnsi="Wingdings" w:hint="default"/>
      </w:rPr>
    </w:lvl>
    <w:lvl w:ilvl="6" w:tentative="1">
      <w:start w:val="1"/>
      <w:numFmt w:val="bullet"/>
      <w:lvlText w:val=""/>
      <w:lvlJc w:val="left"/>
      <w:pPr>
        <w:ind w:left="6524" w:hanging="360"/>
      </w:pPr>
      <w:rPr>
        <w:rFonts w:ascii="Symbol" w:hAnsi="Symbol" w:hint="default"/>
      </w:rPr>
    </w:lvl>
    <w:lvl w:ilvl="7" w:tentative="1">
      <w:start w:val="1"/>
      <w:numFmt w:val="bullet"/>
      <w:lvlText w:val="o"/>
      <w:lvlJc w:val="left"/>
      <w:pPr>
        <w:ind w:left="7244" w:hanging="360"/>
      </w:pPr>
      <w:rPr>
        <w:rFonts w:ascii="Courier New" w:hAnsi="Courier New" w:cs="Courier New" w:hint="default"/>
      </w:rPr>
    </w:lvl>
    <w:lvl w:ilvl="8" w:tentative="1">
      <w:start w:val="1"/>
      <w:numFmt w:val="bullet"/>
      <w:lvlText w:val=""/>
      <w:lvlJc w:val="left"/>
      <w:pPr>
        <w:ind w:left="7964" w:hanging="360"/>
      </w:pPr>
      <w:rPr>
        <w:rFonts w:ascii="Wingdings" w:hAnsi="Wingdings" w:hint="default"/>
      </w:rPr>
    </w:lvl>
  </w:abstractNum>
  <w:abstractNum w:abstractNumId="34">
    <w:nsid w:val="736E1F62"/>
    <w:multiLevelType w:val="hybridMultilevel"/>
    <w:tmpl w:val="56F6A6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7E96AD4"/>
    <w:multiLevelType w:val="hybridMultilevel"/>
    <w:tmpl w:val="2EF248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C7C78EB"/>
    <w:multiLevelType w:val="hybridMultilevel"/>
    <w:tmpl w:val="221E52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21"/>
  </w:num>
  <w:num w:numId="4">
    <w:abstractNumId w:val="6"/>
  </w:num>
  <w:num w:numId="5">
    <w:abstractNumId w:val="2"/>
  </w:num>
  <w:num w:numId="6">
    <w:abstractNumId w:val="34"/>
  </w:num>
  <w:num w:numId="7">
    <w:abstractNumId w:val="36"/>
  </w:num>
  <w:num w:numId="8">
    <w:abstractNumId w:val="15"/>
  </w:num>
  <w:num w:numId="9">
    <w:abstractNumId w:val="29"/>
  </w:num>
  <w:num w:numId="10">
    <w:abstractNumId w:val="5"/>
  </w:num>
  <w:num w:numId="11">
    <w:abstractNumId w:val="30"/>
  </w:num>
  <w:num w:numId="12">
    <w:abstractNumId w:val="3"/>
  </w:num>
  <w:num w:numId="13">
    <w:abstractNumId w:val="25"/>
  </w:num>
  <w:num w:numId="14">
    <w:abstractNumId w:val="35"/>
  </w:num>
  <w:num w:numId="15">
    <w:abstractNumId w:val="17"/>
  </w:num>
  <w:num w:numId="16">
    <w:abstractNumId w:val="23"/>
  </w:num>
  <w:num w:numId="17">
    <w:abstractNumId w:val="22"/>
  </w:num>
  <w:num w:numId="18">
    <w:abstractNumId w:val="19"/>
  </w:num>
  <w:num w:numId="19">
    <w:abstractNumId w:val="9"/>
  </w:num>
  <w:num w:numId="20">
    <w:abstractNumId w:val="20"/>
  </w:num>
  <w:num w:numId="21">
    <w:abstractNumId w:val="27"/>
  </w:num>
  <w:num w:numId="22">
    <w:abstractNumId w:val="28"/>
  </w:num>
  <w:num w:numId="23">
    <w:abstractNumId w:val="0"/>
  </w:num>
  <w:num w:numId="24">
    <w:abstractNumId w:val="10"/>
  </w:num>
  <w:num w:numId="25">
    <w:abstractNumId w:val="31"/>
  </w:num>
  <w:num w:numId="26">
    <w:abstractNumId w:val="4"/>
  </w:num>
  <w:num w:numId="27">
    <w:abstractNumId w:val="18"/>
  </w:num>
  <w:num w:numId="28">
    <w:abstractNumId w:val="11"/>
  </w:num>
  <w:num w:numId="29">
    <w:abstractNumId w:val="13"/>
  </w:num>
  <w:num w:numId="30">
    <w:abstractNumId w:val="33"/>
  </w:num>
  <w:num w:numId="31">
    <w:abstractNumId w:val="14"/>
  </w:num>
  <w:num w:numId="32">
    <w:abstractNumId w:val="24"/>
  </w:num>
  <w:num w:numId="33">
    <w:abstractNumId w:val="1"/>
  </w:num>
  <w:num w:numId="34">
    <w:abstractNumId w:val="12"/>
  </w:num>
  <w:num w:numId="35">
    <w:abstractNumId w:val="7"/>
  </w:num>
  <w:num w:numId="36">
    <w:abstractNumId w:val="32"/>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5BFD"/>
  </w:style>
  <w:style w:type="paragraph" w:styleId="Heading1">
    <w:name w:val="heading 1"/>
    <w:basedOn w:val="Normal"/>
    <w:next w:val="Normal"/>
    <w:link w:val="Heading1Char"/>
    <w:uiPriority w:val="9"/>
    <w:qFormat/>
    <w:rsid w:val="00EE5BF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E5BFD"/>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unhideWhenUsed/>
    <w:qFormat/>
    <w:rsid w:val="00EE5BFD"/>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unhideWhenUsed/>
    <w:qFormat/>
    <w:rsid w:val="00EE5BF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E5BF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EE5BFD"/>
    <w:pPr>
      <w:keepNext/>
      <w:keepLines/>
      <w:spacing w:before="40" w:after="0"/>
      <w:outlineLvl w:val="5"/>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semiHidden/>
    <w:unhideWhenUsed/>
    <w:qFormat/>
    <w:rsid w:val="00EE5BFD"/>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rsid w:val="00EE5BF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EE5BF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BF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E5BFD"/>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rsid w:val="00EE5BFD"/>
    <w:rPr>
      <w:rFonts w:asciiTheme="majorHAnsi" w:eastAsiaTheme="majorEastAsia" w:hAnsiTheme="majorHAnsi" w:cstheme="majorBidi"/>
      <w:color w:val="1F3864" w:themeColor="accent1" w:themeShade="80"/>
      <w:sz w:val="24"/>
      <w:szCs w:val="24"/>
    </w:rPr>
  </w:style>
  <w:style w:type="character" w:customStyle="1" w:styleId="Heading4Char">
    <w:name w:val="Heading 4 Char"/>
    <w:basedOn w:val="DefaultParagraphFont"/>
    <w:link w:val="Heading4"/>
    <w:uiPriority w:val="9"/>
    <w:rsid w:val="00EE5BF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EE5BF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EE5BFD"/>
    <w:rPr>
      <w:rFonts w:asciiTheme="majorHAnsi" w:eastAsiaTheme="majorEastAsia" w:hAnsiTheme="majorHAnsi" w:cstheme="majorBidi"/>
      <w:color w:val="1F3864" w:themeColor="accent1" w:themeShade="80"/>
    </w:rPr>
  </w:style>
  <w:style w:type="character" w:customStyle="1" w:styleId="Heading7Char">
    <w:name w:val="Heading 7 Char"/>
    <w:basedOn w:val="DefaultParagraphFont"/>
    <w:link w:val="Heading7"/>
    <w:uiPriority w:val="9"/>
    <w:semiHidden/>
    <w:rsid w:val="00EE5BFD"/>
    <w:rPr>
      <w:rFonts w:asciiTheme="majorHAnsi" w:eastAsiaTheme="majorEastAsia" w:hAnsiTheme="majorHAnsi" w:cstheme="majorBidi"/>
      <w:i/>
      <w:iCs/>
      <w:color w:val="1F3864" w:themeColor="accent1" w:themeShade="80"/>
    </w:rPr>
  </w:style>
  <w:style w:type="character" w:customStyle="1" w:styleId="Heading8Char">
    <w:name w:val="Heading 8 Char"/>
    <w:basedOn w:val="DefaultParagraphFont"/>
    <w:link w:val="Heading8"/>
    <w:uiPriority w:val="9"/>
    <w:semiHidden/>
    <w:rsid w:val="00EE5BFD"/>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EE5BFD"/>
    <w:rPr>
      <w:rFonts w:asciiTheme="majorHAnsi" w:eastAsiaTheme="majorEastAsia" w:hAnsiTheme="majorHAnsi" w:cstheme="majorBidi"/>
      <w:i/>
      <w:iCs/>
      <w:color w:val="262626" w:themeColor="text1" w:themeTint="D9"/>
      <w:sz w:val="21"/>
      <w:szCs w:val="21"/>
    </w:rPr>
  </w:style>
  <w:style w:type="paragraph" w:customStyle="1" w:styleId="appendixparacontinued">
    <w:name w:val="appendixparacontinued"/>
    <w:basedOn w:val="Normal"/>
    <w:rsid w:val="00740C96"/>
    <w:pPr>
      <w:spacing w:after="180" w:line="288"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5BFD"/>
    <w:rPr>
      <w:b/>
      <w:bCs/>
      <w:color w:val="auto"/>
    </w:rPr>
  </w:style>
  <w:style w:type="character" w:customStyle="1" w:styleId="strong-frutiger1">
    <w:name w:val="strong-frutiger1"/>
    <w:basedOn w:val="DefaultParagraphFont"/>
    <w:rsid w:val="00740C96"/>
  </w:style>
  <w:style w:type="paragraph" w:customStyle="1" w:styleId="jcsipara-1-1">
    <w:name w:val="jcsi_para-1-1"/>
    <w:basedOn w:val="Normal"/>
    <w:rsid w:val="00740C96"/>
    <w:pPr>
      <w:spacing w:after="180" w:line="288" w:lineRule="auto"/>
    </w:pPr>
    <w:rPr>
      <w:rFonts w:ascii="Times New Roman" w:eastAsia="Times New Roman" w:hAnsi="Times New Roman" w:cs="Times New Roman"/>
      <w:sz w:val="24"/>
      <w:szCs w:val="24"/>
      <w:lang w:eastAsia="en-GB"/>
    </w:rPr>
  </w:style>
  <w:style w:type="paragraph" w:customStyle="1" w:styleId="tablefrutiger-table-header-white">
    <w:name w:val="table_frutiger-table-header-white"/>
    <w:basedOn w:val="Normal"/>
    <w:rsid w:val="00740C96"/>
    <w:pPr>
      <w:spacing w:after="180" w:line="288" w:lineRule="auto"/>
    </w:pPr>
    <w:rPr>
      <w:rFonts w:ascii="Times New Roman" w:eastAsia="Times New Roman" w:hAnsi="Times New Roman" w:cs="Times New Roman"/>
      <w:sz w:val="24"/>
      <w:szCs w:val="24"/>
      <w:lang w:eastAsia="en-GB"/>
    </w:rPr>
  </w:style>
  <w:style w:type="paragraph" w:customStyle="1" w:styleId="pastreportstitles">
    <w:name w:val="pastreportstitles"/>
    <w:basedOn w:val="Normal"/>
    <w:rsid w:val="00740C96"/>
    <w:pPr>
      <w:spacing w:after="180" w:line="288" w:lineRule="auto"/>
    </w:pPr>
    <w:rPr>
      <w:rFonts w:ascii="Times New Roman" w:eastAsia="Times New Roman" w:hAnsi="Times New Roman" w:cs="Times New Roman"/>
      <w:sz w:val="24"/>
      <w:szCs w:val="24"/>
      <w:lang w:eastAsia="en-GB"/>
    </w:rPr>
  </w:style>
  <w:style w:type="paragraph" w:styleId="ListParagraph">
    <w:name w:val="List Paragraph"/>
    <w:basedOn w:val="Normal"/>
    <w:link w:val="ListParagraphChar"/>
    <w:uiPriority w:val="34"/>
    <w:qFormat/>
    <w:rsid w:val="003325FE"/>
    <w:pPr>
      <w:ind w:left="720"/>
      <w:contextualSpacing/>
    </w:pPr>
  </w:style>
  <w:style w:type="table" w:styleId="TableGrid">
    <w:name w:val="Table Grid"/>
    <w:basedOn w:val="TableNormal"/>
    <w:rsid w:val="00D5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E6379"/>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9E6379"/>
  </w:style>
  <w:style w:type="character" w:customStyle="1" w:styleId="eop">
    <w:name w:val="eop"/>
    <w:basedOn w:val="DefaultParagraphFont"/>
    <w:rsid w:val="009E6379"/>
  </w:style>
  <w:style w:type="character" w:customStyle="1" w:styleId="advancedproofingissue">
    <w:name w:val="advancedproofingissue"/>
    <w:basedOn w:val="DefaultParagraphFont"/>
    <w:rsid w:val="006F30CB"/>
  </w:style>
  <w:style w:type="paragraph" w:styleId="Header">
    <w:name w:val="header"/>
    <w:basedOn w:val="Normal"/>
    <w:link w:val="HeaderChar"/>
    <w:unhideWhenUsed/>
    <w:rsid w:val="00EF63D2"/>
    <w:pPr>
      <w:tabs>
        <w:tab w:val="center" w:pos="4513"/>
        <w:tab w:val="right" w:pos="9026"/>
      </w:tabs>
      <w:spacing w:after="0" w:line="240" w:lineRule="auto"/>
    </w:pPr>
  </w:style>
  <w:style w:type="character" w:customStyle="1" w:styleId="HeaderChar">
    <w:name w:val="Header Char"/>
    <w:basedOn w:val="DefaultParagraphFont"/>
    <w:link w:val="Header"/>
    <w:rsid w:val="00EF63D2"/>
  </w:style>
  <w:style w:type="paragraph" w:styleId="Footer">
    <w:name w:val="footer"/>
    <w:basedOn w:val="Normal"/>
    <w:link w:val="FooterChar"/>
    <w:unhideWhenUsed/>
    <w:rsid w:val="00EF63D2"/>
    <w:pPr>
      <w:tabs>
        <w:tab w:val="center" w:pos="4513"/>
        <w:tab w:val="right" w:pos="9026"/>
      </w:tabs>
      <w:spacing w:after="0" w:line="240" w:lineRule="auto"/>
    </w:pPr>
  </w:style>
  <w:style w:type="character" w:customStyle="1" w:styleId="FooterChar">
    <w:name w:val="Footer Char"/>
    <w:basedOn w:val="DefaultParagraphFont"/>
    <w:link w:val="Footer"/>
    <w:rsid w:val="00EF63D2"/>
  </w:style>
  <w:style w:type="character" w:styleId="Hyperlink">
    <w:name w:val="Hyperlink"/>
    <w:basedOn w:val="DefaultParagraphFont"/>
    <w:uiPriority w:val="99"/>
    <w:unhideWhenUsed/>
    <w:rsid w:val="00D3514F"/>
    <w:rPr>
      <w:color w:val="0000FF"/>
      <w:u w:val="single"/>
    </w:rPr>
  </w:style>
  <w:style w:type="character" w:customStyle="1" w:styleId="gem-c-contents-listnumber">
    <w:name w:val="gem-c-contents-list__number"/>
    <w:basedOn w:val="DefaultParagraphFont"/>
    <w:rsid w:val="00D3514F"/>
  </w:style>
  <w:style w:type="character" w:customStyle="1" w:styleId="gem-c-contents-listnumbered-text">
    <w:name w:val="gem-c-contents-list__numbered-text"/>
    <w:basedOn w:val="DefaultParagraphFont"/>
    <w:rsid w:val="00D3514F"/>
  </w:style>
  <w:style w:type="paragraph" w:styleId="Subtitle">
    <w:name w:val="Subtitle"/>
    <w:basedOn w:val="Normal"/>
    <w:next w:val="Normal"/>
    <w:link w:val="SubtitleChar"/>
    <w:uiPriority w:val="11"/>
    <w:qFormat/>
    <w:rsid w:val="00EE5BFD"/>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EE5BFD"/>
    <w:rPr>
      <w:color w:val="5A5A5A" w:themeColor="text1" w:themeTint="A5"/>
      <w:spacing w:val="15"/>
    </w:rPr>
  </w:style>
  <w:style w:type="character" w:styleId="CommentReference">
    <w:name w:val="annotation reference"/>
    <w:basedOn w:val="DefaultParagraphFont"/>
    <w:semiHidden/>
    <w:unhideWhenUsed/>
    <w:rsid w:val="00561797"/>
    <w:rPr>
      <w:sz w:val="16"/>
      <w:szCs w:val="16"/>
    </w:rPr>
  </w:style>
  <w:style w:type="paragraph" w:styleId="CommentText">
    <w:name w:val="annotation text"/>
    <w:basedOn w:val="Normal"/>
    <w:link w:val="CommentTextChar"/>
    <w:semiHidden/>
    <w:unhideWhenUsed/>
    <w:rsid w:val="00561797"/>
    <w:pPr>
      <w:spacing w:line="240" w:lineRule="auto"/>
    </w:pPr>
    <w:rPr>
      <w:sz w:val="20"/>
      <w:szCs w:val="20"/>
    </w:rPr>
  </w:style>
  <w:style w:type="character" w:customStyle="1" w:styleId="CommentTextChar">
    <w:name w:val="Comment Text Char"/>
    <w:basedOn w:val="DefaultParagraphFont"/>
    <w:link w:val="CommentText"/>
    <w:semiHidden/>
    <w:rsid w:val="00561797"/>
    <w:rPr>
      <w:sz w:val="20"/>
      <w:szCs w:val="20"/>
    </w:rPr>
  </w:style>
  <w:style w:type="paragraph" w:styleId="CommentSubject">
    <w:name w:val="annotation subject"/>
    <w:basedOn w:val="CommentText"/>
    <w:next w:val="CommentText"/>
    <w:link w:val="CommentSubjectChar"/>
    <w:semiHidden/>
    <w:unhideWhenUsed/>
    <w:rsid w:val="00561797"/>
    <w:rPr>
      <w:b/>
      <w:bCs/>
    </w:rPr>
  </w:style>
  <w:style w:type="character" w:customStyle="1" w:styleId="CommentSubjectChar">
    <w:name w:val="Comment Subject Char"/>
    <w:basedOn w:val="CommentTextChar"/>
    <w:link w:val="CommentSubject"/>
    <w:semiHidden/>
    <w:rsid w:val="00561797"/>
    <w:rPr>
      <w:b/>
      <w:bCs/>
      <w:sz w:val="20"/>
      <w:szCs w:val="20"/>
    </w:rPr>
  </w:style>
  <w:style w:type="paragraph" w:styleId="BalloonText">
    <w:name w:val="Balloon Text"/>
    <w:basedOn w:val="Normal"/>
    <w:link w:val="BalloonTextChar"/>
    <w:semiHidden/>
    <w:unhideWhenUsed/>
    <w:rsid w:val="005617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797"/>
    <w:rPr>
      <w:rFonts w:ascii="Segoe UI" w:hAnsi="Segoe UI" w:cs="Segoe UI"/>
      <w:sz w:val="18"/>
      <w:szCs w:val="18"/>
    </w:rPr>
  </w:style>
  <w:style w:type="character" w:customStyle="1" w:styleId="number">
    <w:name w:val="number"/>
    <w:basedOn w:val="DefaultParagraphFont"/>
    <w:rsid w:val="007A4142"/>
  </w:style>
  <w:style w:type="character" w:customStyle="1" w:styleId="UnresolvedMention">
    <w:name w:val="Unresolved Mention"/>
    <w:basedOn w:val="DefaultParagraphFont"/>
    <w:uiPriority w:val="99"/>
    <w:semiHidden/>
    <w:unhideWhenUsed/>
    <w:rsid w:val="001A0DB4"/>
    <w:rPr>
      <w:color w:val="808080"/>
      <w:shd w:val="clear" w:color="auto" w:fill="E6E6E6"/>
    </w:rPr>
  </w:style>
  <w:style w:type="paragraph" w:customStyle="1" w:styleId="Default">
    <w:name w:val="Default"/>
    <w:rsid w:val="008302F2"/>
    <w:pPr>
      <w:autoSpaceDE w:val="0"/>
      <w:autoSpaceDN w:val="0"/>
      <w:adjustRightInd w:val="0"/>
      <w:spacing w:after="0" w:line="240" w:lineRule="auto"/>
    </w:pPr>
    <w:rPr>
      <w:rFonts w:ascii="Humnst777 Lt BT" w:hAnsi="Humnst777 Lt BT" w:cs="Humnst777 Lt BT"/>
      <w:color w:val="000000"/>
      <w:sz w:val="24"/>
      <w:szCs w:val="24"/>
    </w:rPr>
  </w:style>
  <w:style w:type="paragraph" w:styleId="FootnoteText">
    <w:name w:val="footnote text"/>
    <w:basedOn w:val="Normal"/>
    <w:link w:val="FootnoteTextChar"/>
    <w:rsid w:val="004D18B6"/>
    <w:pPr>
      <w:widowControl w:val="0"/>
      <w:overflowPunct w:val="0"/>
      <w:autoSpaceDE w:val="0"/>
      <w:autoSpaceDN w:val="0"/>
      <w:adjustRightInd w:val="0"/>
      <w:spacing w:after="0" w:line="240" w:lineRule="auto"/>
      <w:textAlignment w:val="baseline"/>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4D18B6"/>
    <w:rPr>
      <w:rFonts w:ascii="Arial" w:eastAsia="Times New Roman" w:hAnsi="Arial" w:cs="Times New Roman"/>
      <w:sz w:val="20"/>
      <w:szCs w:val="20"/>
    </w:rPr>
  </w:style>
  <w:style w:type="character" w:styleId="FootnoteReference">
    <w:name w:val="footnote reference"/>
    <w:basedOn w:val="DefaultParagraphFont"/>
    <w:rsid w:val="004D18B6"/>
    <w:rPr>
      <w:vertAlign w:val="superscript"/>
    </w:rPr>
  </w:style>
  <w:style w:type="table" w:customStyle="1" w:styleId="TableGrid1">
    <w:name w:val="Table Grid1"/>
    <w:basedOn w:val="TableNormal"/>
    <w:next w:val="TableGrid"/>
    <w:rsid w:val="004D18B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EE5BF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EE5BFD"/>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EE5BFD"/>
    <w:rPr>
      <w:rFonts w:asciiTheme="majorHAnsi" w:eastAsiaTheme="majorEastAsia" w:hAnsiTheme="majorHAnsi" w:cstheme="majorBidi"/>
      <w:spacing w:val="-10"/>
      <w:sz w:val="56"/>
      <w:szCs w:val="56"/>
    </w:rPr>
  </w:style>
  <w:style w:type="character" w:styleId="Emphasis">
    <w:name w:val="Emphasis"/>
    <w:basedOn w:val="DefaultParagraphFont"/>
    <w:uiPriority w:val="20"/>
    <w:qFormat/>
    <w:rsid w:val="00EE5BFD"/>
    <w:rPr>
      <w:i/>
      <w:iCs/>
      <w:color w:val="auto"/>
    </w:rPr>
  </w:style>
  <w:style w:type="paragraph" w:styleId="NoSpacing">
    <w:name w:val="No Spacing"/>
    <w:uiPriority w:val="1"/>
    <w:qFormat/>
    <w:rsid w:val="00EE5BFD"/>
    <w:pPr>
      <w:spacing w:after="0" w:line="240" w:lineRule="auto"/>
    </w:pPr>
  </w:style>
  <w:style w:type="paragraph" w:styleId="Quote">
    <w:name w:val="Quote"/>
    <w:basedOn w:val="Normal"/>
    <w:next w:val="Normal"/>
    <w:link w:val="QuoteChar"/>
    <w:uiPriority w:val="29"/>
    <w:qFormat/>
    <w:rsid w:val="00EE5BFD"/>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EE5BFD"/>
    <w:rPr>
      <w:i/>
      <w:iCs/>
      <w:color w:val="404040" w:themeColor="text1" w:themeTint="BF"/>
    </w:rPr>
  </w:style>
  <w:style w:type="paragraph" w:styleId="IntenseQuote">
    <w:name w:val="Intense Quote"/>
    <w:basedOn w:val="Normal"/>
    <w:next w:val="Normal"/>
    <w:link w:val="IntenseQuoteChar"/>
    <w:uiPriority w:val="30"/>
    <w:qFormat/>
    <w:rsid w:val="00EE5BF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E5BFD"/>
    <w:rPr>
      <w:i/>
      <w:iCs/>
      <w:color w:val="4472C4" w:themeColor="accent1"/>
    </w:rPr>
  </w:style>
  <w:style w:type="character" w:styleId="SubtleEmphasis">
    <w:name w:val="Subtle Emphasis"/>
    <w:basedOn w:val="DefaultParagraphFont"/>
    <w:uiPriority w:val="19"/>
    <w:qFormat/>
    <w:rsid w:val="00EE5BFD"/>
    <w:rPr>
      <w:i/>
      <w:iCs/>
      <w:color w:val="404040" w:themeColor="text1" w:themeTint="BF"/>
    </w:rPr>
  </w:style>
  <w:style w:type="character" w:styleId="IntenseEmphasis">
    <w:name w:val="Intense Emphasis"/>
    <w:basedOn w:val="DefaultParagraphFont"/>
    <w:uiPriority w:val="21"/>
    <w:qFormat/>
    <w:rsid w:val="00EE5BFD"/>
    <w:rPr>
      <w:i/>
      <w:iCs/>
      <w:color w:val="4472C4" w:themeColor="accent1"/>
    </w:rPr>
  </w:style>
  <w:style w:type="character" w:styleId="SubtleReference">
    <w:name w:val="Subtle Reference"/>
    <w:basedOn w:val="DefaultParagraphFont"/>
    <w:uiPriority w:val="31"/>
    <w:qFormat/>
    <w:rsid w:val="00EE5BFD"/>
    <w:rPr>
      <w:smallCaps/>
      <w:color w:val="404040" w:themeColor="text1" w:themeTint="BF"/>
    </w:rPr>
  </w:style>
  <w:style w:type="character" w:styleId="IntenseReference">
    <w:name w:val="Intense Reference"/>
    <w:basedOn w:val="DefaultParagraphFont"/>
    <w:uiPriority w:val="32"/>
    <w:qFormat/>
    <w:rsid w:val="00EE5BFD"/>
    <w:rPr>
      <w:b/>
      <w:bCs/>
      <w:smallCaps/>
      <w:color w:val="4472C4" w:themeColor="accent1"/>
      <w:spacing w:val="5"/>
    </w:rPr>
  </w:style>
  <w:style w:type="character" w:styleId="BookTitle">
    <w:name w:val="Book Title"/>
    <w:basedOn w:val="DefaultParagraphFont"/>
    <w:uiPriority w:val="33"/>
    <w:qFormat/>
    <w:rsid w:val="00EE5BFD"/>
    <w:rPr>
      <w:b/>
      <w:bCs/>
      <w:i/>
      <w:iCs/>
      <w:spacing w:val="5"/>
    </w:rPr>
  </w:style>
  <w:style w:type="paragraph" w:styleId="TOCHeading">
    <w:name w:val="TOC Heading"/>
    <w:basedOn w:val="Heading1"/>
    <w:next w:val="Normal"/>
    <w:uiPriority w:val="39"/>
    <w:semiHidden/>
    <w:unhideWhenUsed/>
    <w:qFormat/>
    <w:rsid w:val="00EE5BFD"/>
    <w:pPr>
      <w:outlineLvl w:val="9"/>
    </w:pPr>
  </w:style>
  <w:style w:type="character" w:customStyle="1" w:styleId="ListParagraphChar">
    <w:name w:val="List Paragraph Char"/>
    <w:link w:val="ListParagraph"/>
    <w:uiPriority w:val="34"/>
    <w:locked/>
    <w:rsid w:val="00C70198"/>
  </w:style>
  <w:style w:type="character" w:styleId="FollowedHyperlink">
    <w:name w:val="FollowedHyperlink"/>
    <w:basedOn w:val="DefaultParagraphFont"/>
    <w:uiPriority w:val="99"/>
    <w:semiHidden/>
    <w:unhideWhenUsed/>
    <w:rsid w:val="009554F6"/>
    <w:rPr>
      <w:color w:val="800080"/>
      <w:u w:val="single"/>
    </w:rPr>
  </w:style>
  <w:style w:type="paragraph" w:customStyle="1" w:styleId="msonormal">
    <w:name w:val="msonormal"/>
    <w:basedOn w:val="Normal"/>
    <w:rsid w:val="009554F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6">
    <w:name w:val="xl76"/>
    <w:basedOn w:val="Normal"/>
    <w:rsid w:val="009554F6"/>
    <w:pP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77">
    <w:name w:val="xl77"/>
    <w:basedOn w:val="Normal"/>
    <w:rsid w:val="009554F6"/>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8">
    <w:name w:val="xl78"/>
    <w:basedOn w:val="Normal"/>
    <w:rsid w:val="009554F6"/>
    <w:pPr>
      <w:spacing w:before="100" w:beforeAutospacing="1" w:after="100" w:afterAutospacing="1" w:line="240" w:lineRule="auto"/>
      <w:textAlignment w:val="center"/>
    </w:pPr>
    <w:rPr>
      <w:rFonts w:ascii="Times New Roman" w:eastAsia="Times New Roman" w:hAnsi="Times New Roman" w:cs="Times New Roman"/>
      <w:i/>
      <w:iCs/>
      <w:sz w:val="24"/>
      <w:szCs w:val="24"/>
      <w:lang w:eastAsia="en-GB"/>
    </w:rPr>
  </w:style>
  <w:style w:type="paragraph" w:customStyle="1" w:styleId="xl79">
    <w:name w:val="xl79"/>
    <w:basedOn w:val="Normal"/>
    <w:rsid w:val="009554F6"/>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0">
    <w:name w:val="xl80"/>
    <w:basedOn w:val="Normal"/>
    <w:rsid w:val="009554F6"/>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1">
    <w:name w:val="xl81"/>
    <w:basedOn w:val="Normal"/>
    <w:rsid w:val="009554F6"/>
    <w:pPr>
      <w:spacing w:before="100" w:beforeAutospacing="1" w:after="100" w:afterAutospacing="1" w:line="240" w:lineRule="auto"/>
      <w:jc w:val="center"/>
      <w:textAlignment w:val="center"/>
    </w:pPr>
    <w:rPr>
      <w:rFonts w:ascii="Calibri" w:eastAsia="Times New Roman" w:hAnsi="Calibri" w:cs="Calibri"/>
      <w:lang w:eastAsia="en-GB"/>
    </w:rPr>
  </w:style>
  <w:style w:type="paragraph" w:customStyle="1" w:styleId="xl82">
    <w:name w:val="xl82"/>
    <w:basedOn w:val="Normal"/>
    <w:rsid w:val="009554F6"/>
    <w:pPr>
      <w:spacing w:before="100" w:beforeAutospacing="1" w:after="100" w:afterAutospacing="1" w:line="240" w:lineRule="auto"/>
      <w:jc w:val="right"/>
    </w:pPr>
    <w:rPr>
      <w:rFonts w:ascii="Calibri" w:eastAsia="Times New Roman" w:hAnsi="Calibri" w:cs="Calibri"/>
      <w:b/>
      <w:bCs/>
      <w:lang w:eastAsia="en-GB"/>
    </w:rPr>
  </w:style>
  <w:style w:type="paragraph" w:customStyle="1" w:styleId="xl83">
    <w:name w:val="xl83"/>
    <w:basedOn w:val="Normal"/>
    <w:rsid w:val="009554F6"/>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pPr>
    <w:rPr>
      <w:rFonts w:ascii="Calibri" w:eastAsia="Times New Roman" w:hAnsi="Calibri" w:cs="Calibri"/>
      <w:color w:val="000000"/>
      <w:lang w:eastAsia="en-GB"/>
    </w:rPr>
  </w:style>
  <w:style w:type="paragraph" w:customStyle="1" w:styleId="xl84">
    <w:name w:val="xl84"/>
    <w:basedOn w:val="Normal"/>
    <w:rsid w:val="009554F6"/>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jc w:val="center"/>
      <w:textAlignment w:val="center"/>
    </w:pPr>
    <w:rPr>
      <w:rFonts w:ascii="Calibri" w:eastAsia="Times New Roman" w:hAnsi="Calibri" w:cs="Calibri"/>
      <w:color w:val="000000"/>
      <w:lang w:eastAsia="en-GB"/>
    </w:rPr>
  </w:style>
  <w:style w:type="paragraph" w:customStyle="1" w:styleId="xl85">
    <w:name w:val="xl85"/>
    <w:basedOn w:val="Normal"/>
    <w:rsid w:val="009554F6"/>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jc w:val="right"/>
    </w:pPr>
    <w:rPr>
      <w:rFonts w:ascii="Calibri" w:eastAsia="Times New Roman" w:hAnsi="Calibri" w:cs="Calibri"/>
      <w:color w:val="000000"/>
      <w:lang w:eastAsia="en-GB"/>
    </w:rPr>
  </w:style>
  <w:style w:type="paragraph" w:customStyle="1" w:styleId="xl86">
    <w:name w:val="xl86"/>
    <w:basedOn w:val="Normal"/>
    <w:rsid w:val="009554F6"/>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pPr>
    <w:rPr>
      <w:rFonts w:ascii="Calibri" w:eastAsia="Times New Roman" w:hAnsi="Calibri" w:cs="Calibri"/>
      <w:i/>
      <w:iCs/>
      <w:color w:val="000000"/>
      <w:lang w:eastAsia="en-GB"/>
    </w:rPr>
  </w:style>
  <w:style w:type="paragraph" w:customStyle="1" w:styleId="xl87">
    <w:name w:val="xl87"/>
    <w:basedOn w:val="Normal"/>
    <w:rsid w:val="009554F6"/>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jc w:val="right"/>
    </w:pPr>
    <w:rPr>
      <w:rFonts w:ascii="Calibri" w:eastAsia="Times New Roman" w:hAnsi="Calibri" w:cs="Calibri"/>
      <w:i/>
      <w:iCs/>
      <w:color w:val="000000"/>
      <w:lang w:eastAsia="en-GB"/>
    </w:rPr>
  </w:style>
  <w:style w:type="paragraph" w:customStyle="1" w:styleId="xl88">
    <w:name w:val="xl88"/>
    <w:basedOn w:val="Normal"/>
    <w:rsid w:val="009554F6"/>
    <w:pPr>
      <w:spacing w:before="100" w:beforeAutospacing="1" w:after="100" w:afterAutospacing="1" w:line="240" w:lineRule="auto"/>
      <w:textAlignment w:val="center"/>
    </w:pPr>
    <w:rPr>
      <w:rFonts w:ascii="Calibri" w:eastAsia="Times New Roman" w:hAnsi="Calibri" w:cs="Calibri"/>
      <w:lang w:eastAsia="en-GB"/>
    </w:rPr>
  </w:style>
  <w:style w:type="paragraph" w:customStyle="1" w:styleId="xl89">
    <w:name w:val="xl89"/>
    <w:basedOn w:val="Normal"/>
    <w:rsid w:val="009554F6"/>
    <w:pPr>
      <w:spacing w:before="100" w:beforeAutospacing="1" w:after="100" w:afterAutospacing="1" w:line="240" w:lineRule="auto"/>
      <w:textAlignment w:val="center"/>
    </w:pPr>
    <w:rPr>
      <w:rFonts w:ascii="Calibri" w:eastAsia="Times New Roman" w:hAnsi="Calibri" w:cs="Calibri"/>
      <w:b/>
      <w:bCs/>
      <w:u w:val="single"/>
      <w:lang w:eastAsia="en-GB"/>
    </w:rPr>
  </w:style>
  <w:style w:type="paragraph" w:customStyle="1" w:styleId="xl90">
    <w:name w:val="xl90"/>
    <w:basedOn w:val="Normal"/>
    <w:rsid w:val="009554F6"/>
    <w:pPr>
      <w:spacing w:before="100" w:beforeAutospacing="1" w:after="100" w:afterAutospacing="1" w:line="240" w:lineRule="auto"/>
      <w:textAlignment w:val="center"/>
    </w:pPr>
    <w:rPr>
      <w:rFonts w:ascii="Calibri" w:eastAsia="Times New Roman" w:hAnsi="Calibri" w:cs="Calibri"/>
      <w:b/>
      <w:bCs/>
      <w:lang w:eastAsia="en-GB"/>
    </w:rPr>
  </w:style>
  <w:style w:type="paragraph" w:customStyle="1" w:styleId="xl91">
    <w:name w:val="xl91"/>
    <w:basedOn w:val="Normal"/>
    <w:rsid w:val="009554F6"/>
    <w:pPr>
      <w:spacing w:before="100" w:beforeAutospacing="1" w:after="100" w:afterAutospacing="1" w:line="240" w:lineRule="auto"/>
      <w:jc w:val="center"/>
      <w:textAlignment w:val="center"/>
    </w:pPr>
    <w:rPr>
      <w:rFonts w:ascii="Calibri" w:eastAsia="Times New Roman" w:hAnsi="Calibri" w:cs="Calibri"/>
      <w:b/>
      <w:bCs/>
      <w:lang w:eastAsia="en-GB"/>
    </w:rPr>
  </w:style>
  <w:style w:type="paragraph" w:customStyle="1" w:styleId="xl92">
    <w:name w:val="xl92"/>
    <w:basedOn w:val="Normal"/>
    <w:rsid w:val="009554F6"/>
    <w:pPr>
      <w:spacing w:before="100" w:beforeAutospacing="1" w:after="100" w:afterAutospacing="1" w:line="240" w:lineRule="auto"/>
      <w:textAlignment w:val="center"/>
    </w:pPr>
    <w:rPr>
      <w:rFonts w:ascii="Calibri" w:eastAsia="Times New Roman" w:hAnsi="Calibri" w:cs="Calibri"/>
      <w:i/>
      <w:iCs/>
      <w:lang w:eastAsia="en-GB"/>
    </w:rPr>
  </w:style>
  <w:style w:type="paragraph" w:customStyle="1" w:styleId="xl93">
    <w:name w:val="xl93"/>
    <w:basedOn w:val="Normal"/>
    <w:rsid w:val="009554F6"/>
    <w:pPr>
      <w:spacing w:before="100" w:beforeAutospacing="1" w:after="100" w:afterAutospacing="1" w:line="240" w:lineRule="auto"/>
      <w:jc w:val="center"/>
      <w:textAlignment w:val="center"/>
    </w:pPr>
    <w:rPr>
      <w:rFonts w:ascii="Calibri" w:eastAsia="Times New Roman" w:hAnsi="Calibri" w:cs="Calibri"/>
      <w:i/>
      <w:iCs/>
      <w:lang w:eastAsia="en-GB"/>
    </w:rPr>
  </w:style>
  <w:style w:type="paragraph" w:customStyle="1" w:styleId="xl94">
    <w:name w:val="xl94"/>
    <w:basedOn w:val="Normal"/>
    <w:rsid w:val="009554F6"/>
    <w:pPr>
      <w:spacing w:before="100" w:beforeAutospacing="1" w:after="100" w:afterAutospacing="1" w:line="240" w:lineRule="auto"/>
      <w:jc w:val="center"/>
      <w:textAlignment w:val="center"/>
    </w:pPr>
    <w:rPr>
      <w:rFonts w:ascii="Calibri" w:eastAsia="Times New Roman" w:hAnsi="Calibri" w:cs="Calibri"/>
      <w:i/>
      <w:iCs/>
      <w:lang w:eastAsia="en-GB"/>
    </w:rPr>
  </w:style>
  <w:style w:type="paragraph" w:customStyle="1" w:styleId="xl95">
    <w:name w:val="xl95"/>
    <w:basedOn w:val="Normal"/>
    <w:rsid w:val="009554F6"/>
    <w:pPr>
      <w:spacing w:before="100" w:beforeAutospacing="1" w:after="100" w:afterAutospacing="1" w:line="240" w:lineRule="auto"/>
      <w:textAlignment w:val="center"/>
    </w:pPr>
    <w:rPr>
      <w:rFonts w:ascii="Calibri" w:eastAsia="Times New Roman" w:hAnsi="Calibri" w:cs="Calibri"/>
      <w:lang w:eastAsia="en-GB"/>
    </w:rPr>
  </w:style>
  <w:style w:type="paragraph" w:customStyle="1" w:styleId="xl96">
    <w:name w:val="xl96"/>
    <w:basedOn w:val="Normal"/>
    <w:rsid w:val="009554F6"/>
    <w:pPr>
      <w:spacing w:before="100" w:beforeAutospacing="1" w:after="100" w:afterAutospacing="1" w:line="240" w:lineRule="auto"/>
      <w:jc w:val="center"/>
      <w:textAlignment w:val="center"/>
    </w:pPr>
    <w:rPr>
      <w:rFonts w:ascii="Calibri" w:eastAsia="Times New Roman" w:hAnsi="Calibri" w:cs="Calibri"/>
      <w:lang w:eastAsia="en-GB"/>
    </w:rPr>
  </w:style>
  <w:style w:type="paragraph" w:customStyle="1" w:styleId="xl97">
    <w:name w:val="xl97"/>
    <w:basedOn w:val="Normal"/>
    <w:rsid w:val="009554F6"/>
    <w:pPr>
      <w:spacing w:before="100" w:beforeAutospacing="1" w:after="100" w:afterAutospacing="1" w:line="240" w:lineRule="auto"/>
      <w:textAlignment w:val="center"/>
    </w:pPr>
    <w:rPr>
      <w:rFonts w:ascii="Calibri" w:eastAsia="Times New Roman" w:hAnsi="Calibri" w:cs="Calibri"/>
      <w:i/>
      <w:iCs/>
      <w:lang w:eastAsia="en-GB"/>
    </w:rPr>
  </w:style>
  <w:style w:type="paragraph" w:customStyle="1" w:styleId="xl98">
    <w:name w:val="xl98"/>
    <w:basedOn w:val="Normal"/>
    <w:rsid w:val="009554F6"/>
    <w:pPr>
      <w:spacing w:before="100" w:beforeAutospacing="1" w:after="100" w:afterAutospacing="1" w:line="240" w:lineRule="auto"/>
    </w:pPr>
    <w:rPr>
      <w:rFonts w:ascii="Calibri" w:eastAsia="Times New Roman" w:hAnsi="Calibri" w:cs="Calibri"/>
      <w:lang w:eastAsia="en-GB"/>
    </w:rPr>
  </w:style>
  <w:style w:type="paragraph" w:customStyle="1" w:styleId="xl99">
    <w:name w:val="xl99"/>
    <w:basedOn w:val="Normal"/>
    <w:rsid w:val="009554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lang w:eastAsia="en-GB"/>
    </w:rPr>
  </w:style>
  <w:style w:type="paragraph" w:customStyle="1" w:styleId="xl100">
    <w:name w:val="xl100"/>
    <w:basedOn w:val="Normal"/>
    <w:rsid w:val="009554F6"/>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pPr>
    <w:rPr>
      <w:rFonts w:ascii="Calibri" w:eastAsia="Times New Roman" w:hAnsi="Calibri" w:cs="Calibri"/>
      <w:b/>
      <w:bCs/>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8412BB65EEDA4E8125AD2DAF0C0B53" ma:contentTypeVersion="5" ma:contentTypeDescription="Create a new document." ma:contentTypeScope="" ma:versionID="b3c267ac80d702ab6dadf805cf7920b1">
  <xsd:schema xmlns:xsd="http://www.w3.org/2001/XMLSchema" xmlns:xs="http://www.w3.org/2001/XMLSchema" xmlns:p="http://schemas.microsoft.com/office/2006/metadata/properties" xmlns:ns3="be2f4ff7-9192-4716-a1f9-a31266b7c2ae" targetNamespace="http://schemas.microsoft.com/office/2006/metadata/properties" ma:root="true" ma:fieldsID="1f218c70d8f8a23717b9dbea6f2600f9" ns3:_="">
    <xsd:import namespace="be2f4ff7-9192-4716-a1f9-a31266b7c2a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f4ff7-9192-4716-a1f9-a31266b7c2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5F502-A1DA-4619-9DC9-E9ED1FA510F3}">
  <ds:schemaRefs>
    <ds:schemaRef ds:uri="http://schemas.microsoft.com/sharepoint/v3/contenttype/forms"/>
  </ds:schemaRefs>
</ds:datastoreItem>
</file>

<file path=customXml/itemProps2.xml><?xml version="1.0" encoding="utf-8"?>
<ds:datastoreItem xmlns:ds="http://schemas.openxmlformats.org/officeDocument/2006/customXml" ds:itemID="{A7AFA681-A058-4CD8-B5AB-5AFBEC826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2f4ff7-9192-4716-a1f9-a31266b7c2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5E75D0-8772-454B-A74D-DAA14E3D038B}">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be2f4ff7-9192-4716-a1f9-a31266b7c2ae"/>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FB34024B-AEB5-4CBB-B901-360F85FAB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