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>
      <w:pPr>
        <w:pStyle w:val="Title"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5267414</wp:posOffset>
            </wp:positionH>
            <wp:positionV relativeFrom="paragraph">
              <wp:posOffset>354</wp:posOffset>
            </wp:positionV>
            <wp:extent cx="1743327" cy="471497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327" cy="471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Welsh</w:t>
      </w:r>
      <w:r>
        <w:rPr>
          <w:spacing w:val="-13"/>
        </w:rPr>
        <w:t xml:space="preserve"> </w:t>
      </w:r>
      <w:r>
        <w:t>Affairs</w:t>
      </w:r>
      <w:r>
        <w:rPr>
          <w:spacing w:val="-13"/>
        </w:rPr>
        <w:t xml:space="preserve"> </w:t>
      </w:r>
      <w:r>
        <w:rPr>
          <w:spacing w:val="-2"/>
        </w:rPr>
        <w:t>Committee</w:t>
      </w:r>
    </w:p>
    <w:p>
      <w:pPr>
        <w:spacing w:before="8"/>
        <w:ind w:left="114" w:right="0" w:firstLine="0"/>
        <w:jc w:val="left"/>
        <w:rPr>
          <w:rFonts w:ascii="Cambria"/>
          <w:sz w:val="20"/>
        </w:rPr>
      </w:pPr>
      <w:r>
        <w:rPr>
          <w:rFonts w:ascii="Cambria"/>
          <w:sz w:val="20"/>
        </w:rPr>
        <w:t>House</w:t>
      </w:r>
      <w:r>
        <w:rPr>
          <w:rFonts w:ascii="Cambria"/>
          <w:spacing w:val="-6"/>
          <w:sz w:val="20"/>
        </w:rPr>
        <w:t xml:space="preserve"> </w:t>
      </w:r>
      <w:r>
        <w:rPr>
          <w:rFonts w:ascii="Cambria"/>
          <w:sz w:val="20"/>
        </w:rPr>
        <w:t>of</w:t>
      </w:r>
      <w:r>
        <w:rPr>
          <w:rFonts w:ascii="Cambria"/>
          <w:spacing w:val="-7"/>
          <w:sz w:val="20"/>
        </w:rPr>
        <w:t xml:space="preserve"> </w:t>
      </w:r>
      <w:r>
        <w:rPr>
          <w:rFonts w:ascii="Cambria"/>
          <w:sz w:val="20"/>
        </w:rPr>
        <w:t>Commons</w:t>
      </w:r>
      <w:r>
        <w:rPr>
          <w:rFonts w:ascii="Cambria"/>
          <w:spacing w:val="-5"/>
          <w:sz w:val="20"/>
        </w:rPr>
        <w:t xml:space="preserve"> </w:t>
      </w:r>
      <w:r>
        <w:rPr>
          <w:rFonts w:ascii="Cambria"/>
          <w:sz w:val="20"/>
        </w:rPr>
        <w:t>London</w:t>
      </w:r>
      <w:r>
        <w:rPr>
          <w:rFonts w:ascii="Cambria"/>
          <w:spacing w:val="-4"/>
          <w:sz w:val="20"/>
        </w:rPr>
        <w:t xml:space="preserve"> </w:t>
      </w:r>
      <w:r>
        <w:rPr>
          <w:rFonts w:ascii="Cambria"/>
          <w:sz w:val="20"/>
        </w:rPr>
        <w:t>SW1A</w:t>
      </w:r>
      <w:r>
        <w:rPr>
          <w:rFonts w:ascii="Cambria"/>
          <w:spacing w:val="-7"/>
          <w:sz w:val="20"/>
        </w:rPr>
        <w:t xml:space="preserve"> </w:t>
      </w:r>
      <w:r>
        <w:rPr>
          <w:rFonts w:ascii="Cambria"/>
          <w:spacing w:val="-5"/>
          <w:sz w:val="20"/>
        </w:rPr>
        <w:t>0AA</w:t>
      </w:r>
    </w:p>
    <w:p>
      <w:pPr>
        <w:spacing w:before="27" w:line="273" w:lineRule="auto"/>
        <w:ind w:left="114" w:right="3977" w:firstLine="0"/>
        <w:jc w:val="left"/>
        <w:rPr>
          <w:rFonts w:ascii="Cambria"/>
          <w:sz w:val="18"/>
        </w:rPr>
      </w:pPr>
      <w:r>
        <w:rPr>
          <w:rFonts w:ascii="Cambria"/>
          <w:sz w:val="18"/>
        </w:rPr>
        <w:t>Tel</w:t>
      </w:r>
      <w:r>
        <w:rPr>
          <w:rFonts w:ascii="Cambria"/>
          <w:spacing w:val="-5"/>
          <w:sz w:val="18"/>
        </w:rPr>
        <w:t xml:space="preserve"> </w:t>
      </w:r>
      <w:r>
        <w:rPr>
          <w:rFonts w:ascii="Cambria"/>
          <w:sz w:val="18"/>
        </w:rPr>
        <w:t>020</w:t>
      </w:r>
      <w:r>
        <w:rPr>
          <w:rFonts w:ascii="Cambria"/>
          <w:spacing w:val="-6"/>
          <w:sz w:val="18"/>
        </w:rPr>
        <w:t xml:space="preserve"> </w:t>
      </w:r>
      <w:r>
        <w:rPr>
          <w:rFonts w:ascii="Cambria"/>
          <w:sz w:val="18"/>
        </w:rPr>
        <w:t>7219</w:t>
      </w:r>
      <w:r>
        <w:rPr>
          <w:rFonts w:ascii="Cambria"/>
          <w:spacing w:val="-4"/>
          <w:sz w:val="18"/>
        </w:rPr>
        <w:t xml:space="preserve"> </w:t>
      </w:r>
      <w:r>
        <w:rPr>
          <w:rFonts w:ascii="Cambria"/>
          <w:sz w:val="18"/>
        </w:rPr>
        <w:t>6189</w:t>
      </w:r>
      <w:r>
        <w:rPr>
          <w:rFonts w:ascii="Cambria"/>
          <w:spacing w:val="-5"/>
          <w:sz w:val="18"/>
        </w:rPr>
        <w:t xml:space="preserve"> </w:t>
      </w:r>
      <w:r>
        <w:rPr>
          <w:rFonts w:ascii="Cambria"/>
          <w:sz w:val="18"/>
        </w:rPr>
        <w:t>Fax</w:t>
      </w:r>
      <w:r>
        <w:rPr>
          <w:rFonts w:ascii="Cambria"/>
          <w:spacing w:val="-5"/>
          <w:sz w:val="18"/>
        </w:rPr>
        <w:t xml:space="preserve"> </w:t>
      </w:r>
      <w:r>
        <w:rPr>
          <w:rFonts w:ascii="Cambria"/>
          <w:sz w:val="18"/>
        </w:rPr>
        <w:t>020</w:t>
      </w:r>
      <w:r>
        <w:rPr>
          <w:rFonts w:ascii="Cambria"/>
          <w:spacing w:val="-6"/>
          <w:sz w:val="18"/>
        </w:rPr>
        <w:t xml:space="preserve"> </w:t>
      </w:r>
      <w:r>
        <w:rPr>
          <w:rFonts w:ascii="Cambria"/>
          <w:sz w:val="18"/>
        </w:rPr>
        <w:t>7219</w:t>
      </w:r>
      <w:r>
        <w:rPr>
          <w:rFonts w:ascii="Cambria"/>
          <w:spacing w:val="-3"/>
          <w:sz w:val="18"/>
        </w:rPr>
        <w:t xml:space="preserve"> </w:t>
      </w:r>
      <w:r>
        <w:rPr>
          <w:rFonts w:ascii="Cambria"/>
          <w:sz w:val="18"/>
        </w:rPr>
        <w:t>0316</w:t>
      </w:r>
      <w:r>
        <w:rPr>
          <w:rFonts w:ascii="Cambria"/>
          <w:spacing w:val="-3"/>
          <w:sz w:val="18"/>
        </w:rPr>
        <w:t xml:space="preserve"> </w:t>
      </w:r>
      <w:r>
        <w:rPr>
          <w:rFonts w:ascii="Cambria"/>
          <w:sz w:val="18"/>
        </w:rPr>
        <w:t>Email</w:t>
      </w:r>
      <w:r>
        <w:rPr>
          <w:rFonts w:ascii="Cambria"/>
          <w:spacing w:val="-5"/>
          <w:sz w:val="18"/>
        </w:rPr>
        <w:t xml:space="preserve"> </w:t>
      </w:r>
      <w:r>
        <w:fldChar w:fldCharType="begin"/>
      </w:r>
      <w:r>
        <w:instrText xml:space="preserve"> HYPERLINK "mailto:welshcom@parliament.uk" </w:instrText>
      </w:r>
      <w:r>
        <w:fldChar w:fldCharType="separate"/>
      </w:r>
      <w:r>
        <w:rPr>
          <w:rFonts w:ascii="Cambria"/>
          <w:sz w:val="18"/>
        </w:rPr>
        <w:t>welshcom@parliament.uk</w:t>
      </w:r>
      <w:r>
        <w:fldChar w:fldCharType="end"/>
      </w:r>
      <w:r>
        <w:rPr>
          <w:rFonts w:ascii="Cambria"/>
          <w:spacing w:val="40"/>
          <w:sz w:val="18"/>
        </w:rPr>
        <w:t xml:space="preserve"> </w:t>
      </w:r>
      <w:r>
        <w:rPr>
          <w:rFonts w:ascii="Cambria"/>
          <w:sz w:val="18"/>
        </w:rPr>
        <w:t xml:space="preserve">Website </w:t>
      </w:r>
      <w:r>
        <w:fldChar w:fldCharType="begin"/>
      </w:r>
      <w:r>
        <w:instrText xml:space="preserve"> HYPERLINK "http://www.parliament.uk/" </w:instrText>
      </w:r>
      <w:r>
        <w:fldChar w:fldCharType="separate"/>
      </w:r>
      <w:r>
        <w:rPr>
          <w:rFonts w:ascii="Cambria"/>
          <w:sz w:val="18"/>
        </w:rPr>
        <w:t>www.parliament.uk</w:t>
      </w:r>
      <w:r>
        <w:fldChar w:fldCharType="end"/>
      </w:r>
    </w:p>
    <w:p>
      <w:pPr>
        <w:pStyle w:val="BodyText"/>
        <w:spacing w:before="10"/>
        <w:rPr>
          <w:rFonts w:ascii="Cambria"/>
          <w:sz w:val="29"/>
        </w:rPr>
      </w:pPr>
    </w:p>
    <w:p>
      <w:pPr>
        <w:spacing w:before="0"/>
        <w:ind w:left="114" w:right="0" w:firstLine="0"/>
        <w:jc w:val="left"/>
        <w:rPr>
          <w:sz w:val="26"/>
        </w:rPr>
      </w:pPr>
      <w:r>
        <w:rPr>
          <w:sz w:val="26"/>
        </w:rPr>
        <w:t>From:</w:t>
      </w:r>
      <w:r>
        <w:rPr>
          <w:spacing w:val="47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Chair</w:t>
      </w:r>
      <w:r>
        <w:rPr>
          <w:spacing w:val="-5"/>
          <w:sz w:val="26"/>
        </w:rPr>
        <w:t xml:space="preserve"> </w:t>
      </w:r>
      <w:r>
        <w:rPr>
          <w:sz w:val="26"/>
        </w:rPr>
        <w:t>of</w:t>
      </w:r>
      <w:r>
        <w:rPr>
          <w:spacing w:val="-3"/>
          <w:sz w:val="26"/>
        </w:rPr>
        <w:t xml:space="preserve"> </w:t>
      </w:r>
      <w:r>
        <w:rPr>
          <w:sz w:val="26"/>
        </w:rPr>
        <w:t>the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Committee</w:t>
      </w:r>
    </w:p>
    <w:p>
      <w:pPr>
        <w:pStyle w:val="BodyText"/>
        <w:spacing w:before="5"/>
        <w:rPr>
          <w:sz w:val="10"/>
        </w:rPr>
      </w:pPr>
    </w:p>
    <w:p>
      <w:pPr>
        <w:pStyle w:val="BodyText"/>
        <w:spacing w:before="57" w:line="259" w:lineRule="auto"/>
        <w:ind w:left="114" w:right="7068"/>
      </w:pPr>
      <w:r>
        <w:t>The Rt. Hon. John Glen MP Chief</w:t>
      </w:r>
      <w:r>
        <w:rPr>
          <w:spacing w:val="-9"/>
        </w:rPr>
        <w:t xml:space="preserve"> </w:t>
      </w:r>
      <w:r>
        <w:t>Secretary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Treasury HM Treasury</w:t>
      </w:r>
    </w:p>
    <w:p>
      <w:pPr>
        <w:pStyle w:val="BodyText"/>
        <w:spacing w:line="259" w:lineRule="auto"/>
        <w:ind w:left="114" w:right="7410"/>
      </w:pPr>
      <w:r>
        <w:t>1</w:t>
      </w:r>
      <w:r>
        <w:rPr>
          <w:spacing w:val="-11"/>
        </w:rPr>
        <w:t xml:space="preserve"> </w:t>
      </w:r>
      <w:r>
        <w:t>Horse</w:t>
      </w:r>
      <w:r>
        <w:rPr>
          <w:spacing w:val="-10"/>
        </w:rPr>
        <w:t xml:space="preserve"> </w:t>
      </w:r>
      <w:r>
        <w:t>Guards</w:t>
      </w:r>
      <w:r>
        <w:rPr>
          <w:spacing w:val="-13"/>
        </w:rPr>
        <w:t xml:space="preserve"> </w:t>
      </w:r>
      <w:r>
        <w:t xml:space="preserve">Road </w:t>
      </w:r>
      <w:r>
        <w:rPr>
          <w:spacing w:val="-2"/>
        </w:rPr>
        <w:t>London</w:t>
      </w:r>
    </w:p>
    <w:p>
      <w:pPr>
        <w:pStyle w:val="BodyText"/>
        <w:ind w:left="114"/>
      </w:pPr>
      <w:r>
        <w:t>SW1A</w:t>
      </w:r>
      <w:r>
        <w:rPr>
          <w:spacing w:val="-2"/>
        </w:rPr>
        <w:t xml:space="preserve"> </w:t>
      </w:r>
      <w:r>
        <w:rPr>
          <w:spacing w:val="-5"/>
        </w:rPr>
        <w:t>2HQ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56"/>
        <w:ind w:left="8792"/>
      </w:pPr>
      <w:r>
        <w:t>24</w:t>
      </w:r>
      <w:r>
        <w:rPr>
          <w:spacing w:val="-3"/>
        </w:rPr>
        <w:t xml:space="preserve"> </w:t>
      </w:r>
      <w:r>
        <w:t>July</w:t>
      </w:r>
      <w:r>
        <w:rPr>
          <w:spacing w:val="-2"/>
        </w:rPr>
        <w:t xml:space="preserve"> </w:t>
      </w:r>
      <w:r>
        <w:rPr>
          <w:spacing w:val="-4"/>
        </w:rPr>
        <w:t>2023</w:t>
      </w:r>
    </w:p>
    <w:p>
      <w:pPr>
        <w:pStyle w:val="BodyText"/>
        <w:spacing w:before="22"/>
        <w:ind w:left="114"/>
      </w:pPr>
      <w:r>
        <w:t>Dear</w:t>
      </w:r>
      <w:r>
        <w:rPr>
          <w:spacing w:val="1"/>
        </w:rPr>
        <w:t xml:space="preserve"> </w:t>
      </w:r>
      <w:r>
        <w:rPr>
          <w:spacing w:val="-2"/>
        </w:rPr>
        <w:t>John,</w:t>
      </w:r>
    </w:p>
    <w:p>
      <w:pPr>
        <w:pStyle w:val="BodyText"/>
        <w:rPr>
          <w:sz w:val="21"/>
        </w:rPr>
      </w:pPr>
    </w:p>
    <w:p>
      <w:pPr>
        <w:pStyle w:val="BodyText"/>
        <w:spacing w:before="56" w:line="259" w:lineRule="auto"/>
        <w:ind w:left="114"/>
      </w:pPr>
      <w:r>
        <w:t>The Welsh Affairs Committee is grateful to you for appearing before it on 5 July to answer questions on the financing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Welsh</w:t>
      </w:r>
      <w:r>
        <w:rPr>
          <w:spacing w:val="-2"/>
        </w:rPr>
        <w:t xml:space="preserve"> </w:t>
      </w:r>
      <w:r>
        <w:t>Government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Wales.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found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session</w:t>
      </w:r>
      <w:r>
        <w:rPr>
          <w:spacing w:val="-3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t>informative and look forward to a continued dialogue on this topic.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59" w:lineRule="auto"/>
        <w:ind w:left="114" w:right="163"/>
      </w:pPr>
      <w:r>
        <w:t>The</w:t>
      </w:r>
      <w:r>
        <w:rPr>
          <w:spacing w:val="-1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also appreciates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letter dated</w:t>
      </w:r>
      <w:r>
        <w:rPr>
          <w:spacing w:val="-4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July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gives</w:t>
      </w:r>
      <w:r>
        <w:rPr>
          <w:spacing w:val="-3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relating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NHS Long-term workplace plan, the comparability factor in the Barnett formula, public spending in Wales, the replacement of EU funds, and coal tips.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14"/>
      </w:pPr>
      <w:r>
        <w:t>We</w:t>
      </w:r>
      <w:r>
        <w:rPr>
          <w:spacing w:val="-5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grateful</w:t>
      </w:r>
      <w:r>
        <w:rPr>
          <w:spacing w:val="-3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clarify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rPr>
          <w:spacing w:val="-2"/>
        </w:rPr>
        <w:t>discussed:</w:t>
      </w:r>
    </w:p>
    <w:p>
      <w:pPr>
        <w:pStyle w:val="BodyText"/>
        <w:spacing w:before="5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val="left" w:pos="834"/>
        </w:tabs>
        <w:spacing w:before="0" w:after="0" w:line="256" w:lineRule="auto"/>
        <w:ind w:left="834" w:right="198" w:hanging="360"/>
        <w:jc w:val="left"/>
        <w:rPr>
          <w:sz w:val="22"/>
        </w:rPr>
      </w:pPr>
      <w:r>
        <w:rPr>
          <w:sz w:val="22"/>
        </w:rPr>
        <w:t>Cardiff</w:t>
      </w:r>
      <w:r>
        <w:rPr>
          <w:spacing w:val="-2"/>
          <w:sz w:val="22"/>
        </w:rPr>
        <w:t xml:space="preserve"> </w:t>
      </w:r>
      <w:r>
        <w:rPr>
          <w:sz w:val="22"/>
        </w:rPr>
        <w:t>University</w:t>
      </w:r>
      <w:r>
        <w:rPr>
          <w:spacing w:val="-3"/>
          <w:sz w:val="22"/>
        </w:rPr>
        <w:t xml:space="preserve"> </w:t>
      </w:r>
      <w:r>
        <w:rPr>
          <w:sz w:val="22"/>
        </w:rPr>
        <w:t>sent</w:t>
      </w:r>
      <w:r>
        <w:rPr>
          <w:spacing w:val="-1"/>
          <w:sz w:val="22"/>
        </w:rPr>
        <w:t xml:space="preserve"> </w:t>
      </w:r>
      <w:r>
        <w:rPr>
          <w:sz w:val="22"/>
        </w:rPr>
        <w:t>us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submission</w:t>
      </w:r>
      <w:r>
        <w:rPr>
          <w:spacing w:val="-4"/>
          <w:sz w:val="22"/>
        </w:rPr>
        <w:t xml:space="preserve"> </w:t>
      </w:r>
      <w:r>
        <w:rPr>
          <w:sz w:val="22"/>
        </w:rPr>
        <w:t>that</w:t>
      </w:r>
      <w:r>
        <w:rPr>
          <w:spacing w:val="-1"/>
          <w:sz w:val="22"/>
        </w:rPr>
        <w:t xml:space="preserve"> </w:t>
      </w:r>
      <w:r>
        <w:rPr>
          <w:sz w:val="22"/>
        </w:rPr>
        <w:t>said</w:t>
      </w:r>
      <w:r>
        <w:rPr>
          <w:spacing w:val="-3"/>
          <w:sz w:val="22"/>
        </w:rPr>
        <w:t xml:space="preserve"> </w:t>
      </w:r>
      <w:r>
        <w:rPr>
          <w:sz w:val="22"/>
        </w:rPr>
        <w:t>that</w:t>
      </w:r>
      <w:r>
        <w:rPr>
          <w:spacing w:val="-1"/>
          <w:sz w:val="22"/>
        </w:rPr>
        <w:t xml:space="preserve"> </w:t>
      </w:r>
      <w:r>
        <w:rPr>
          <w:sz w:val="22"/>
        </w:rPr>
        <w:t>if</w:t>
      </w:r>
      <w:r>
        <w:rPr>
          <w:spacing w:val="-4"/>
          <w:sz w:val="22"/>
        </w:rPr>
        <w:t xml:space="preserve"> </w:t>
      </w:r>
      <w:r>
        <w:rPr>
          <w:sz w:val="22"/>
        </w:rPr>
        <w:t>fully</w:t>
      </w:r>
      <w:r>
        <w:rPr>
          <w:spacing w:val="-1"/>
          <w:sz w:val="22"/>
        </w:rPr>
        <w:t xml:space="preserve"> </w:t>
      </w:r>
      <w:r>
        <w:rPr>
          <w:sz w:val="22"/>
        </w:rPr>
        <w:t>devolved,</w:t>
      </w:r>
      <w:r>
        <w:rPr>
          <w:spacing w:val="-3"/>
          <w:sz w:val="22"/>
        </w:rPr>
        <w:t xml:space="preserve"> </w:t>
      </w:r>
      <w:r>
        <w:rPr>
          <w:sz w:val="22"/>
        </w:rPr>
        <w:t>Wales</w:t>
      </w:r>
      <w:r>
        <w:rPr>
          <w:spacing w:val="-1"/>
          <w:sz w:val="22"/>
        </w:rPr>
        <w:t xml:space="preserve"> </w:t>
      </w:r>
      <w:r>
        <w:rPr>
          <w:sz w:val="22"/>
        </w:rPr>
        <w:t>would</w:t>
      </w:r>
      <w:r>
        <w:rPr>
          <w:spacing w:val="-2"/>
          <w:sz w:val="22"/>
        </w:rPr>
        <w:t xml:space="preserve"> </w:t>
      </w:r>
      <w:r>
        <w:rPr>
          <w:sz w:val="22"/>
        </w:rPr>
        <w:t>have received</w:t>
      </w:r>
      <w:r>
        <w:rPr>
          <w:spacing w:val="-1"/>
          <w:sz w:val="22"/>
        </w:rPr>
        <w:t xml:space="preserve"> </w:t>
      </w:r>
      <w:r>
        <w:rPr>
          <w:sz w:val="22"/>
        </w:rPr>
        <w:t>an additional £514 million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in investment in rail infrastructure in the last decade. Do you agree with this </w:t>
      </w:r>
      <w:r>
        <w:rPr>
          <w:spacing w:val="-2"/>
          <w:sz w:val="22"/>
        </w:rPr>
        <w:t>assessment?</w:t>
      </w:r>
    </w:p>
    <w:p>
      <w:pPr>
        <w:pStyle w:val="ListParagraph"/>
        <w:numPr>
          <w:ilvl w:val="0"/>
          <w:numId w:val="1"/>
        </w:numPr>
        <w:tabs>
          <w:tab w:val="left" w:pos="834"/>
        </w:tabs>
        <w:spacing w:before="0" w:after="0" w:line="256" w:lineRule="auto"/>
        <w:ind w:left="834" w:right="128" w:hanging="360"/>
        <w:jc w:val="left"/>
        <w:rPr>
          <w:sz w:val="22"/>
        </w:rPr>
      </w:pPr>
      <w:r>
        <w:rPr>
          <w:sz w:val="22"/>
        </w:rPr>
        <w:t>One issue with Freeports appears to be the timescales for investment. What is your assessment of the</w:t>
      </w:r>
      <w:r>
        <w:rPr>
          <w:spacing w:val="-2"/>
          <w:sz w:val="22"/>
        </w:rPr>
        <w:t xml:space="preserve"> </w:t>
      </w:r>
      <w:r>
        <w:rPr>
          <w:sz w:val="22"/>
        </w:rPr>
        <w:t>possible</w:t>
      </w:r>
      <w:r>
        <w:rPr>
          <w:spacing w:val="-2"/>
          <w:sz w:val="22"/>
        </w:rPr>
        <w:t xml:space="preserve"> </w:t>
      </w:r>
      <w:r>
        <w:rPr>
          <w:sz w:val="22"/>
        </w:rPr>
        <w:t>need</w:t>
      </w:r>
      <w:r>
        <w:rPr>
          <w:spacing w:val="-2"/>
          <w:sz w:val="22"/>
        </w:rPr>
        <w:t xml:space="preserve"> </w:t>
      </w:r>
      <w:r>
        <w:rPr>
          <w:sz w:val="22"/>
        </w:rPr>
        <w:t>to</w:t>
      </w:r>
      <w:r>
        <w:rPr>
          <w:spacing w:val="-1"/>
          <w:sz w:val="22"/>
        </w:rPr>
        <w:t xml:space="preserve"> </w:t>
      </w:r>
      <w:r>
        <w:rPr>
          <w:sz w:val="22"/>
        </w:rPr>
        <w:t>increase</w:t>
      </w:r>
      <w:r>
        <w:rPr>
          <w:spacing w:val="-1"/>
          <w:sz w:val="22"/>
        </w:rPr>
        <w:t xml:space="preserve"> </w:t>
      </w:r>
      <w:r>
        <w:rPr>
          <w:sz w:val="22"/>
        </w:rPr>
        <w:t>timeframes</w:t>
      </w:r>
      <w:r>
        <w:rPr>
          <w:spacing w:val="-1"/>
          <w:sz w:val="22"/>
        </w:rPr>
        <w:t xml:space="preserve"> </w:t>
      </w:r>
      <w:r>
        <w:rPr>
          <w:sz w:val="22"/>
        </w:rPr>
        <w:t>for</w:t>
      </w:r>
      <w:r>
        <w:rPr>
          <w:spacing w:val="-2"/>
          <w:sz w:val="22"/>
        </w:rPr>
        <w:t xml:space="preserve"> </w:t>
      </w:r>
      <w:r>
        <w:rPr>
          <w:sz w:val="22"/>
        </w:rPr>
        <w:t>delivery</w:t>
      </w:r>
      <w:r>
        <w:rPr>
          <w:spacing w:val="-4"/>
          <w:sz w:val="22"/>
        </w:rPr>
        <w:t xml:space="preserve"> </w:t>
      </w:r>
      <w:r>
        <w:rPr>
          <w:sz w:val="22"/>
        </w:rPr>
        <w:t>to</w:t>
      </w:r>
      <w:r>
        <w:rPr>
          <w:spacing w:val="-3"/>
          <w:sz w:val="22"/>
        </w:rPr>
        <w:t xml:space="preserve"> </w:t>
      </w:r>
      <w:r>
        <w:rPr>
          <w:sz w:val="22"/>
        </w:rPr>
        <w:t>enable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greater</w:t>
      </w:r>
      <w:r>
        <w:rPr>
          <w:spacing w:val="-4"/>
          <w:sz w:val="22"/>
        </w:rPr>
        <w:t xml:space="preserve"> </w:t>
      </w:r>
      <w:r>
        <w:rPr>
          <w:sz w:val="22"/>
        </w:rPr>
        <w:t>volume</w:t>
      </w:r>
      <w:r>
        <w:rPr>
          <w:spacing w:val="-4"/>
          <w:sz w:val="22"/>
        </w:rPr>
        <w:t xml:space="preserve"> </w:t>
      </w:r>
      <w:r>
        <w:rPr>
          <w:sz w:val="22"/>
        </w:rPr>
        <w:t>of</w:t>
      </w:r>
      <w:r>
        <w:rPr>
          <w:spacing w:val="-2"/>
          <w:sz w:val="22"/>
        </w:rPr>
        <w:t xml:space="preserve"> </w:t>
      </w:r>
      <w:r>
        <w:rPr>
          <w:sz w:val="22"/>
        </w:rPr>
        <w:t>investment</w:t>
      </w:r>
      <w:r>
        <w:rPr>
          <w:spacing w:val="-2"/>
          <w:sz w:val="22"/>
        </w:rPr>
        <w:t xml:space="preserve"> </w:t>
      </w:r>
      <w:r>
        <w:rPr>
          <w:sz w:val="22"/>
        </w:rPr>
        <w:t>to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be </w:t>
      </w:r>
      <w:r>
        <w:rPr>
          <w:spacing w:val="-2"/>
          <w:sz w:val="22"/>
        </w:rPr>
        <w:t>delivered?</w:t>
      </w:r>
    </w:p>
    <w:p>
      <w:pPr>
        <w:pStyle w:val="ListParagraph"/>
        <w:numPr>
          <w:ilvl w:val="0"/>
          <w:numId w:val="1"/>
        </w:numPr>
        <w:tabs>
          <w:tab w:val="left" w:pos="834"/>
        </w:tabs>
        <w:spacing w:before="0" w:after="0" w:line="256" w:lineRule="auto"/>
        <w:ind w:left="834" w:right="252" w:hanging="360"/>
        <w:jc w:val="left"/>
        <w:rPr>
          <w:sz w:val="22"/>
        </w:rPr>
      </w:pPr>
      <w:r>
        <w:rPr>
          <w:sz w:val="22"/>
        </w:rPr>
        <w:t>Professor Paul Boyle, Vice-chancellor of Swansea University, has said that without urgent bridging funding, estimated to be £71 million over 12 months, 60 research projects in Wales would come to an</w:t>
      </w:r>
      <w:r>
        <w:rPr>
          <w:spacing w:val="-2"/>
          <w:sz w:val="22"/>
        </w:rPr>
        <w:t xml:space="preserve"> </w:t>
      </w:r>
      <w:r>
        <w:rPr>
          <w:sz w:val="22"/>
        </w:rPr>
        <w:t>end</w:t>
      </w:r>
      <w:r>
        <w:rPr>
          <w:spacing w:val="-2"/>
          <w:sz w:val="22"/>
        </w:rPr>
        <w:t xml:space="preserve"> </w:t>
      </w:r>
      <w:r>
        <w:rPr>
          <w:sz w:val="22"/>
        </w:rPr>
        <w:t>this</w:t>
      </w:r>
      <w:r>
        <w:rPr>
          <w:spacing w:val="-4"/>
          <w:sz w:val="22"/>
        </w:rPr>
        <w:t xml:space="preserve"> </w:t>
      </w:r>
      <w:r>
        <w:rPr>
          <w:sz w:val="22"/>
        </w:rPr>
        <w:t>year,</w:t>
      </w:r>
      <w:r>
        <w:rPr>
          <w:spacing w:val="-1"/>
          <w:sz w:val="22"/>
        </w:rPr>
        <w:t xml:space="preserve"> </w:t>
      </w:r>
      <w:r>
        <w:rPr>
          <w:sz w:val="22"/>
        </w:rPr>
        <w:t>putting</w:t>
      </w:r>
      <w:r>
        <w:rPr>
          <w:spacing w:val="-2"/>
          <w:sz w:val="22"/>
        </w:rPr>
        <w:t xml:space="preserve"> </w:t>
      </w:r>
      <w:r>
        <w:rPr>
          <w:sz w:val="22"/>
        </w:rPr>
        <w:t>1,000</w:t>
      </w:r>
      <w:r>
        <w:rPr>
          <w:spacing w:val="-1"/>
          <w:sz w:val="22"/>
        </w:rPr>
        <w:t xml:space="preserve"> </w:t>
      </w:r>
      <w:r>
        <w:rPr>
          <w:sz w:val="22"/>
        </w:rPr>
        <w:t>University</w:t>
      </w:r>
      <w:r>
        <w:rPr>
          <w:spacing w:val="-1"/>
          <w:sz w:val="22"/>
        </w:rPr>
        <w:t xml:space="preserve"> </w:t>
      </w:r>
      <w:r>
        <w:rPr>
          <w:sz w:val="22"/>
        </w:rPr>
        <w:t>jobs</w:t>
      </w:r>
      <w:r>
        <w:rPr>
          <w:spacing w:val="-1"/>
          <w:sz w:val="22"/>
        </w:rPr>
        <w:t xml:space="preserve"> </w:t>
      </w:r>
      <w:r>
        <w:rPr>
          <w:sz w:val="22"/>
        </w:rPr>
        <w:t>at</w:t>
      </w:r>
      <w:r>
        <w:rPr>
          <w:spacing w:val="-3"/>
          <w:sz w:val="22"/>
        </w:rPr>
        <w:t xml:space="preserve"> </w:t>
      </w:r>
      <w:r>
        <w:rPr>
          <w:sz w:val="22"/>
        </w:rPr>
        <w:t>risk.</w:t>
      </w:r>
      <w:r>
        <w:rPr>
          <w:spacing w:val="-3"/>
          <w:sz w:val="22"/>
        </w:rPr>
        <w:t xml:space="preserve"> </w:t>
      </w:r>
      <w:r>
        <w:rPr>
          <w:sz w:val="22"/>
        </w:rPr>
        <w:t>What</w:t>
      </w:r>
      <w:r>
        <w:rPr>
          <w:spacing w:val="-1"/>
          <w:sz w:val="22"/>
        </w:rPr>
        <w:t xml:space="preserve"> </w:t>
      </w:r>
      <w:r>
        <w:rPr>
          <w:sz w:val="22"/>
        </w:rPr>
        <w:t>is</w:t>
      </w:r>
      <w:r>
        <w:rPr>
          <w:spacing w:val="-3"/>
          <w:sz w:val="22"/>
        </w:rPr>
        <w:t xml:space="preserve"> </w:t>
      </w:r>
      <w:r>
        <w:rPr>
          <w:sz w:val="22"/>
        </w:rPr>
        <w:t>your</w:t>
      </w:r>
      <w:r>
        <w:rPr>
          <w:spacing w:val="-4"/>
          <w:sz w:val="22"/>
        </w:rPr>
        <w:t xml:space="preserve"> </w:t>
      </w:r>
      <w:r>
        <w:rPr>
          <w:sz w:val="22"/>
        </w:rPr>
        <w:t>assessment</w:t>
      </w:r>
      <w:r>
        <w:rPr>
          <w:spacing w:val="-3"/>
          <w:sz w:val="22"/>
        </w:rPr>
        <w:t xml:space="preserve"> </w:t>
      </w:r>
      <w:r>
        <w:rPr>
          <w:sz w:val="22"/>
        </w:rPr>
        <w:t>of</w:t>
      </w:r>
      <w:r>
        <w:rPr>
          <w:spacing w:val="-4"/>
          <w:sz w:val="22"/>
        </w:rPr>
        <w:t xml:space="preserve"> </w:t>
      </w:r>
      <w:r>
        <w:rPr>
          <w:sz w:val="22"/>
        </w:rPr>
        <w:t>the</w:t>
      </w:r>
      <w:r>
        <w:rPr>
          <w:spacing w:val="-1"/>
          <w:sz w:val="22"/>
        </w:rPr>
        <w:t xml:space="preserve"> </w:t>
      </w:r>
      <w:r>
        <w:rPr>
          <w:sz w:val="22"/>
        </w:rPr>
        <w:t>funding</w:t>
      </w:r>
      <w:r>
        <w:rPr>
          <w:spacing w:val="-2"/>
          <w:sz w:val="22"/>
        </w:rPr>
        <w:t xml:space="preserve"> </w:t>
      </w:r>
      <w:r>
        <w:rPr>
          <w:sz w:val="22"/>
        </w:rPr>
        <w:t>issues surrounding these projects and the fiscal mechanisms that could be deployed to avoid projects closing in the short-term?</w:t>
      </w:r>
    </w:p>
    <w:p>
      <w:pPr>
        <w:pStyle w:val="BodyText"/>
        <w:spacing w:before="10"/>
      </w:pPr>
    </w:p>
    <w:p>
      <w:pPr>
        <w:spacing w:before="0" w:line="518" w:lineRule="auto"/>
        <w:ind w:left="114" w:right="3977" w:firstLine="0"/>
        <w:jc w:val="left"/>
        <w:rPr>
          <w:sz w:val="22"/>
        </w:rPr>
      </w:pPr>
      <w:r>
        <w:rPr>
          <w:sz w:val="22"/>
        </w:rPr>
        <w:t>I</w:t>
      </w:r>
      <w:r>
        <w:rPr>
          <w:spacing w:val="-2"/>
          <w:sz w:val="22"/>
        </w:rPr>
        <w:t xml:space="preserve"> </w:t>
      </w:r>
      <w:r>
        <w:rPr>
          <w:sz w:val="22"/>
        </w:rPr>
        <w:t>would</w:t>
      </w:r>
      <w:r>
        <w:rPr>
          <w:spacing w:val="-4"/>
          <w:sz w:val="22"/>
        </w:rPr>
        <w:t xml:space="preserve"> </w:t>
      </w:r>
      <w:r>
        <w:rPr>
          <w:sz w:val="22"/>
        </w:rPr>
        <w:t>be</w:t>
      </w:r>
      <w:r>
        <w:rPr>
          <w:spacing w:val="-4"/>
          <w:sz w:val="22"/>
        </w:rPr>
        <w:t xml:space="preserve"> </w:t>
      </w:r>
      <w:r>
        <w:rPr>
          <w:sz w:val="22"/>
        </w:rPr>
        <w:t>grateful</w:t>
      </w:r>
      <w:r>
        <w:rPr>
          <w:spacing w:val="-4"/>
          <w:sz w:val="22"/>
        </w:rPr>
        <w:t xml:space="preserve"> </w:t>
      </w:r>
      <w:r>
        <w:rPr>
          <w:sz w:val="22"/>
        </w:rPr>
        <w:t>to</w:t>
      </w:r>
      <w:r>
        <w:rPr>
          <w:spacing w:val="-3"/>
          <w:sz w:val="22"/>
        </w:rPr>
        <w:t xml:space="preserve"> </w:t>
      </w:r>
      <w:r>
        <w:rPr>
          <w:sz w:val="22"/>
        </w:rPr>
        <w:t>receive</w:t>
      </w:r>
      <w:r>
        <w:rPr>
          <w:spacing w:val="-4"/>
          <w:sz w:val="22"/>
        </w:rPr>
        <w:t xml:space="preserve"> </w:t>
      </w:r>
      <w:r>
        <w:rPr>
          <w:sz w:val="22"/>
        </w:rPr>
        <w:t>your</w:t>
      </w:r>
      <w:r>
        <w:rPr>
          <w:spacing w:val="-5"/>
          <w:sz w:val="22"/>
        </w:rPr>
        <w:t xml:space="preserve"> </w:t>
      </w:r>
      <w:r>
        <w:rPr>
          <w:sz w:val="22"/>
        </w:rPr>
        <w:t>reply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by </w:t>
      </w:r>
      <w:r>
        <w:rPr>
          <w:b/>
          <w:sz w:val="22"/>
        </w:rPr>
        <w:t>Friday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11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August</w:t>
      </w:r>
      <w:r>
        <w:rPr>
          <w:sz w:val="22"/>
        </w:rPr>
        <w:t>. Yours sincerely,</w:t>
      </w:r>
    </w:p>
    <w:p>
      <w:pPr>
        <w:pStyle w:val="BodyText"/>
        <w:ind w:left="172"/>
        <w:rPr>
          <w:sz w:val="20"/>
        </w:rPr>
      </w:pPr>
      <w:r>
        <w:rPr>
          <w:sz w:val="20"/>
        </w:rPr>
        <w:drawing>
          <wp:inline distT="0" distB="0" distL="0" distR="0">
            <wp:extent cx="1126949" cy="71628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949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53"/>
        <w:ind w:left="114"/>
      </w:pPr>
      <w:r>
        <w:t>Rt</w:t>
      </w:r>
      <w:r>
        <w:rPr>
          <w:spacing w:val="-2"/>
        </w:rPr>
        <w:t xml:space="preserve"> </w:t>
      </w:r>
      <w:r>
        <w:t>Hon</w:t>
      </w:r>
      <w:r>
        <w:rPr>
          <w:spacing w:val="-4"/>
        </w:rPr>
        <w:t xml:space="preserve"> </w:t>
      </w:r>
      <w:r>
        <w:t>Stephen</w:t>
      </w:r>
      <w:r>
        <w:rPr>
          <w:spacing w:val="-3"/>
        </w:rPr>
        <w:t xml:space="preserve"> </w:t>
      </w:r>
      <w:r>
        <w:t>Crabb</w:t>
      </w:r>
      <w:r>
        <w:rPr>
          <w:spacing w:val="-5"/>
        </w:rPr>
        <w:t xml:space="preserve"> MP</w:t>
      </w:r>
    </w:p>
    <w:sectPr>
      <w:type w:val="continuous"/>
      <w:pgSz w:w="11910" w:h="16840"/>
      <w:pgMar w:top="920" w:right="740" w:bottom="280" w:left="116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Arial">
    <w:altName w:val="Arial"/>
    <w:charset w:val="00"/>
    <w:family w:val="swiss"/>
    <w:pitch w:val="variable"/>
  </w:font>
  <w:font w:name="Calibri">
    <w:altName w:val="Calibri"/>
    <w:charset w:val="00"/>
    <w:family w:val="swiss"/>
    <w:pitch w:val="variable"/>
  </w:font>
  <w:font w:name="Cambria">
    <w:altName w:val="Cambria"/>
    <w:charset w:val="00"/>
    <w:family w:val="roman"/>
    <w:pitch w:val="variable"/>
  </w:font>
  <w:font w:name="Symbol">
    <w:altName w:val="Symbol"/>
    <w:charset w:val="02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0"/>
    <w:multiLevelType w:val="hybridMultilevel"/>
    <w:tmpl w:val="00000000"/>
    <w:lvl w:ilvl="0">
      <w:start w:val="0"/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8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7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22"/>
      <w:szCs w:val="22"/>
      <w:lang w:val="en-US" w:eastAsia="en-US" w:bidi="ar-SA"/>
    </w:rPr>
  </w:style>
  <w:style w:type="paragraph" w:styleId="Title">
    <w:name w:val="Title"/>
    <w:basedOn w:val="Normal"/>
    <w:uiPriority w:val="1"/>
    <w:qFormat/>
    <w:pPr>
      <w:spacing w:before="89"/>
      <w:ind w:left="114"/>
    </w:pPr>
    <w:rPr>
      <w:rFonts w:ascii="Calibri" w:eastAsia="Calibri" w:hAnsi="Calibri" w:cs="Calibri"/>
      <w:sz w:val="38"/>
      <w:szCs w:val="38"/>
      <w:lang w:val="en-US" w:eastAsia="en-US" w:bidi="ar-SA"/>
    </w:rPr>
  </w:style>
  <w:style w:type="paragraph" w:styleId="ListParagraph">
    <w:name w:val="List Paragraph"/>
    <w:basedOn w:val="Normal"/>
    <w:uiPriority w:val="1"/>
    <w:qFormat/>
    <w:pPr>
      <w:ind w:left="834" w:right="128" w:hanging="360"/>
    </w:pPr>
    <w:rPr>
      <w:rFonts w:ascii="Calibri" w:eastAsia="Calibri" w:hAnsi="Calibri" w:cs="Calibri"/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