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972D0" w:rsidRPr="00CC04DE" w:rsidP="00F87919">
      <w:pPr>
        <w:pStyle w:val="BodyText"/>
        <w:spacing w:before="62"/>
        <w:jc w:val="center"/>
        <w:rPr>
          <w:b/>
          <w:bCs/>
        </w:rPr>
      </w:pPr>
      <w:r w:rsidRPr="00CC04DE">
        <w:rPr>
          <w:b/>
          <w:bCs/>
        </w:rPr>
        <w:t xml:space="preserve">Written evidence submitted by </w:t>
      </w:r>
      <w:r w:rsidRPr="00CC04DE" w:rsidR="00CC04DE">
        <w:rPr>
          <w:b/>
          <w:bCs/>
        </w:rPr>
        <w:t>Fife Council</w:t>
      </w:r>
      <w:r w:rsidRPr="00CC04DE" w:rsidR="00CC04DE">
        <w:rPr>
          <w:b/>
          <w:bCs/>
        </w:rPr>
        <w:t xml:space="preserve"> (DIS0009)</w:t>
      </w:r>
    </w:p>
    <w:p w:rsidR="00F87919" w:rsidP="004972D0">
      <w:pPr>
        <w:pStyle w:val="BodyText"/>
        <w:spacing w:before="62"/>
      </w:pPr>
    </w:p>
    <w:p w:rsidR="005F56E0" w:rsidP="004972D0">
      <w:pPr>
        <w:pStyle w:val="BodyText"/>
        <w:spacing w:before="62"/>
      </w:pPr>
      <w:r>
        <w:t>Scottish Affairs Committee</w:t>
      </w:r>
      <w:r w:rsidR="004972D0">
        <w:t xml:space="preserve"> - </w:t>
      </w:r>
      <w:r>
        <w:t xml:space="preserve">Response to consultation on </w:t>
      </w:r>
      <w:r>
        <w:t>Defence</w:t>
      </w:r>
      <w:r>
        <w:t xml:space="preserve"> in Scotland Submission by Fife Council</w:t>
      </w:r>
    </w:p>
    <w:p w:rsidR="005F56E0">
      <w:pPr>
        <w:pStyle w:val="BodyText"/>
        <w:spacing w:line="272" w:lineRule="exact"/>
      </w:pPr>
      <w:r>
        <w:pict>
          <v:shape id="_x0000_s1025" style="height:0.1pt;margin-left:70.6pt;margin-top:16.2pt;mso-position-horizontal-relative:page;mso-wrap-distance-left:0;mso-wrap-distance-right:0;position:absolute;width:454.25pt;z-index:-251658240" coordorigin="1412,324" coordsize="9085,21600" path="m1412,324l10497,324e" strokeweight="0.72pt">
            <v:path arrowok="t"/>
            <w10:wrap type="topAndBottom"/>
          </v:shape>
        </w:pict>
      </w:r>
      <w:r>
        <w:t>Author: Gordon Mole, Head of Business &amp; Employability</w:t>
      </w:r>
    </w:p>
    <w:p w:rsidR="005F56E0">
      <w:pPr>
        <w:pStyle w:val="BodyText"/>
        <w:spacing w:before="129" w:line="259" w:lineRule="auto"/>
        <w:ind w:right="1619"/>
      </w:pPr>
      <w:r>
        <w:t xml:space="preserve">Fife Council is pleased to provide information to support the Scottish Affairs </w:t>
      </w:r>
      <w:r>
        <w:t xml:space="preserve">Committee’s review of </w:t>
      </w:r>
      <w:r>
        <w:t>Defence</w:t>
      </w:r>
      <w:r>
        <w:t xml:space="preserve"> in Scotland.</w:t>
      </w:r>
    </w:p>
    <w:p w:rsidR="005F56E0">
      <w:pPr>
        <w:pStyle w:val="BodyText"/>
        <w:spacing w:before="157" w:line="259" w:lineRule="auto"/>
        <w:ind w:right="764"/>
      </w:pPr>
      <w:r>
        <w:t xml:space="preserve">This consultation response will focus on two key </w:t>
      </w:r>
      <w:r>
        <w:t>defence</w:t>
      </w:r>
      <w:r>
        <w:t xml:space="preserve"> establishments in Fife, MOD Leuchars Station and MOD Caledonia, although it is </w:t>
      </w:r>
      <w:r>
        <w:t>recognised</w:t>
      </w:r>
      <w:r>
        <w:t xml:space="preserve"> that the </w:t>
      </w:r>
      <w:r>
        <w:t>defence</w:t>
      </w:r>
      <w:r>
        <w:t xml:space="preserve"> footprint in Fife extends to a range of facilitie</w:t>
      </w:r>
      <w:r>
        <w:t xml:space="preserve">s and establishments, such as reserve and cadet units, and a </w:t>
      </w:r>
      <w:r>
        <w:t>well established</w:t>
      </w:r>
      <w:r>
        <w:t xml:space="preserve"> and nationally and internationally important supply chain.</w:t>
      </w:r>
    </w:p>
    <w:p w:rsidR="005F56E0">
      <w:pPr>
        <w:pStyle w:val="Heading11"/>
        <w:spacing w:before="162"/>
        <w:ind w:left="140"/>
      </w:pPr>
      <w:r>
        <w:t>Background</w:t>
      </w:r>
    </w:p>
    <w:p w:rsidR="005F56E0">
      <w:pPr>
        <w:pStyle w:val="BodyText"/>
        <w:spacing w:before="180" w:line="256" w:lineRule="auto"/>
        <w:ind w:right="805"/>
        <w:rPr>
          <w:sz w:val="16"/>
        </w:rPr>
      </w:pPr>
      <w:r>
        <w:t>MOD Caledonia is located within the South &amp; West Fife area committee area. Data from the January 2021 econom</w:t>
      </w:r>
      <w:r>
        <w:t xml:space="preserve">ic profile compiled by Fife Council shows that public administration and </w:t>
      </w:r>
      <w:r>
        <w:t>defence</w:t>
      </w:r>
      <w:r>
        <w:t xml:space="preserve"> employment accounts for 1,000 jobs in this area, equivalent to 8.3% of all such jobs in Fife. Public Administration and </w:t>
      </w:r>
      <w:r>
        <w:t>Defence</w:t>
      </w:r>
      <w:r>
        <w:t xml:space="preserve"> accounts for £823 million of GVA in Fife, the s</w:t>
      </w:r>
      <w:r>
        <w:t xml:space="preserve">econd highest sector after manufacturing, which includes manufacturing for the </w:t>
      </w:r>
      <w:r>
        <w:t>defence</w:t>
      </w:r>
      <w:r>
        <w:t xml:space="preserve"> sector</w:t>
      </w:r>
      <w:r>
        <w:rPr>
          <w:position w:val="8"/>
          <w:sz w:val="16"/>
        </w:rPr>
        <w:t>1</w:t>
      </w:r>
    </w:p>
    <w:p w:rsidR="005F56E0">
      <w:pPr>
        <w:pStyle w:val="BodyText"/>
        <w:spacing w:before="173" w:line="259" w:lineRule="auto"/>
        <w:ind w:right="964"/>
      </w:pPr>
      <w:r>
        <w:t>South &amp; West Fife has a higher proportion of high skilled and technician jobs than the Fife and Scottish averages.</w:t>
      </w:r>
    </w:p>
    <w:p w:rsidR="005F56E0">
      <w:pPr>
        <w:pStyle w:val="BodyText"/>
        <w:spacing w:before="157" w:line="259" w:lineRule="auto"/>
        <w:ind w:right="644"/>
      </w:pPr>
      <w:r>
        <w:t xml:space="preserve">In December 2020, aerospace and </w:t>
      </w:r>
      <w:r>
        <w:t>defence</w:t>
      </w:r>
      <w:r>
        <w:t xml:space="preserve"> compan</w:t>
      </w:r>
      <w:r>
        <w:t xml:space="preserve">y, Babcock, announced it had awarded a £31.5 million contract to Robertson Construction for the development of a new Assembly Hall at its Rosyth site. The construction of the facility, which will initially be used for the Type 31 general purpose frigate </w:t>
      </w:r>
      <w:r>
        <w:t>pr</w:t>
      </w:r>
      <w:r>
        <w:t>ogramme</w:t>
      </w:r>
      <w:r>
        <w:t xml:space="preserve"> and provides a modern, all-weather facility designed to assemble two vessels side by side, will initially support around 100 jobs in Scotland and a further 100 jobs throughout the UK.</w:t>
      </w:r>
    </w:p>
    <w:p w:rsidR="005F56E0">
      <w:pPr>
        <w:pStyle w:val="BodyText"/>
        <w:spacing w:before="161" w:line="259" w:lineRule="auto"/>
        <w:ind w:right="778"/>
      </w:pPr>
      <w:r>
        <w:t xml:space="preserve">Working with partners from Edinburgh &amp; South East Scotland city </w:t>
      </w:r>
      <w:r>
        <w:t xml:space="preserve">region, including the Universities of Edinburgh and Strathclyde, Fife College, Scottish Enterprise and Fife Council, investment is being </w:t>
      </w:r>
      <w:r>
        <w:t>realised</w:t>
      </w:r>
      <w:r>
        <w:t xml:space="preserve"> in the </w:t>
      </w:r>
      <w:r>
        <w:t>Arrol</w:t>
      </w:r>
      <w:r>
        <w:t>-Gibb Innovation Campus at Babcock’s Rosyth site. This will trial advanced technology applications</w:t>
      </w:r>
      <w:r>
        <w:t xml:space="preserve"> that will support major manufacturing </w:t>
      </w:r>
      <w:r>
        <w:t>programmes</w:t>
      </w:r>
      <w:r>
        <w:t>, including the Type 31.</w:t>
      </w:r>
    </w:p>
    <w:p w:rsidR="005F56E0">
      <w:pPr>
        <w:pStyle w:val="BodyText"/>
        <w:spacing w:before="156" w:line="259" w:lineRule="auto"/>
        <w:ind w:right="672"/>
      </w:pPr>
      <w:r>
        <w:t xml:space="preserve">The recent completion of the Royal Navy’s Queen Elizabeth class aircraft carrier </w:t>
      </w:r>
      <w:r>
        <w:t>programme</w:t>
      </w:r>
      <w:r>
        <w:t>, delivered by the Aircraft Carrier Alliance, demonstrated a need for accommodation suitable</w:t>
      </w:r>
      <w:r>
        <w:t xml:space="preserve"> for specialist contractors, contract management staff and in latter stages the crew of the two Queen Elizabeth class vessels for </w:t>
      </w:r>
      <w:r>
        <w:t>mobilisation</w:t>
      </w:r>
      <w:r>
        <w:t>, training and testing. Given the delivery of the Type 31 frigate at Rosyth,</w:t>
      </w:r>
    </w:p>
    <w:p w:rsidR="005F56E0">
      <w:pPr>
        <w:pStyle w:val="BodyText"/>
        <w:ind w:left="0"/>
        <w:rPr>
          <w:sz w:val="20"/>
        </w:rPr>
      </w:pPr>
    </w:p>
    <w:p w:rsidR="005F56E0">
      <w:pPr>
        <w:pStyle w:val="BodyText"/>
        <w:ind w:left="0"/>
        <w:rPr>
          <w:sz w:val="20"/>
        </w:rPr>
      </w:pPr>
    </w:p>
    <w:p w:rsidR="005F56E0">
      <w:pPr>
        <w:pStyle w:val="BodyText"/>
        <w:spacing w:before="9"/>
        <w:ind w:left="0"/>
      </w:pPr>
      <w:r>
        <w:pict>
          <v:shape id="_x0000_s1026" style="height:0.1pt;margin-left:1in;margin-top:16.65pt;mso-position-horizontal-relative:page;mso-wrap-distance-left:0;mso-wrap-distance-right:0;position:absolute;width:144.05pt;z-index:-251657216" coordorigin="1440,333" coordsize="2881,21600" path="m1440,333l4321,333e" strokeweight="0.72pt">
            <v:path arrowok="t"/>
            <w10:wrap type="topAndBottom"/>
          </v:shape>
        </w:pict>
      </w:r>
    </w:p>
    <w:p w:rsidR="005F56E0">
      <w:pPr>
        <w:spacing w:before="69"/>
        <w:ind w:left="140"/>
        <w:rPr>
          <w:rFonts w:ascii="Calibri"/>
          <w:sz w:val="20"/>
        </w:rPr>
      </w:pPr>
      <w:r>
        <w:rPr>
          <w:rFonts w:ascii="Calibri"/>
          <w:position w:val="7"/>
          <w:sz w:val="13"/>
        </w:rPr>
        <w:t xml:space="preserve">1 </w:t>
      </w:r>
      <w:r>
        <w:rPr>
          <w:rFonts w:ascii="Calibri"/>
          <w:sz w:val="20"/>
        </w:rPr>
        <w:t xml:space="preserve">Skills Development </w:t>
      </w:r>
      <w:r>
        <w:rPr>
          <w:rFonts w:ascii="Calibri"/>
          <w:sz w:val="20"/>
        </w:rPr>
        <w:t>Scotland, Regional Skills Assessment, July 2021</w:t>
      </w:r>
    </w:p>
    <w:p w:rsidR="005F56E0">
      <w:pPr>
        <w:rPr>
          <w:rFonts w:ascii="Calibri"/>
          <w:sz w:val="20"/>
        </w:rPr>
        <w:sectPr w:rsidSect="005812B3">
          <w:type w:val="continuous"/>
          <w:pgSz w:w="11910" w:h="16840"/>
          <w:pgMar w:top="1418" w:right="840" w:bottom="280" w:left="1300" w:header="720" w:footer="720" w:gutter="0"/>
          <w:cols w:space="720"/>
        </w:sectPr>
      </w:pPr>
    </w:p>
    <w:p w:rsidR="005F56E0">
      <w:pPr>
        <w:pStyle w:val="BodyText"/>
        <w:spacing w:before="62" w:line="259" w:lineRule="auto"/>
        <w:ind w:right="1018"/>
      </w:pPr>
      <w:r>
        <w:t>consideration should continue to be given to retain some level of accommodation flexibility of provision at Rosyth for the commissioning of these warships.</w:t>
      </w:r>
    </w:p>
    <w:p w:rsidR="005F56E0">
      <w:pPr>
        <w:pStyle w:val="BodyText"/>
        <w:spacing w:before="158" w:line="259" w:lineRule="auto"/>
        <w:ind w:right="645"/>
      </w:pPr>
      <w:r>
        <w:t>The impacts of this are noted in the</w:t>
      </w:r>
      <w:r>
        <w:t xml:space="preserve"> next section below, however it is considered that if the MOD is reducing its estate footprint at Rosyth, through the reduction of its 2,500 lodger units, consideration must be given to the future opportunities for alternate residential and employment uses</w:t>
      </w:r>
      <w:r>
        <w:t>, in line with local needs, assessed jointly with the local authority.</w:t>
      </w:r>
    </w:p>
    <w:p w:rsidR="005F56E0">
      <w:pPr>
        <w:pStyle w:val="BodyText"/>
        <w:spacing w:before="10"/>
        <w:ind w:left="0"/>
        <w:rPr>
          <w:sz w:val="21"/>
        </w:rPr>
      </w:pPr>
      <w:r>
        <w:pict>
          <v:shapetype id="_x0000_t202" coordsize="21600,21600" o:spt="202" path="m,l,21600r21600,l21600,xe">
            <v:stroke joinstyle="miter"/>
            <v:path gradientshapeok="t" o:connecttype="rect"/>
          </v:shapetype>
          <v:shape id="_x0000_s1027" type="#_x0000_t202" style="height:27.9pt;margin-left:70.6pt;margin-top:13.8pt;mso-position-horizontal-relative:page;mso-wrap-distance-left:0;mso-wrap-distance-right:0;position:absolute;width:454.25pt;z-index:-251656192" fillcolor="#f8f6fb">
            <v:textbox inset="0,0,0,0">
              <w:txbxContent>
                <w:p w:rsidR="005F56E0">
                  <w:pPr>
                    <w:spacing w:line="242" w:lineRule="auto"/>
                    <w:ind w:left="28" w:right="208"/>
                    <w:rPr>
                      <w:b/>
                      <w:sz w:val="24"/>
                    </w:rPr>
                  </w:pPr>
                  <w:r>
                    <w:rPr>
                      <w:b/>
                      <w:sz w:val="24"/>
                    </w:rPr>
                    <w:t xml:space="preserve">What impacts are the UK’s changing </w:t>
                  </w:r>
                  <w:r>
                    <w:rPr>
                      <w:b/>
                      <w:sz w:val="24"/>
                    </w:rPr>
                    <w:t>defence</w:t>
                  </w:r>
                  <w:r>
                    <w:rPr>
                      <w:b/>
                      <w:sz w:val="24"/>
                    </w:rPr>
                    <w:t xml:space="preserve"> priorities having on investment, employment and communities in Scotland?</w:t>
                  </w:r>
                </w:p>
              </w:txbxContent>
            </v:textbox>
            <w10:wrap type="topAndBottom"/>
          </v:shape>
        </w:pict>
      </w:r>
    </w:p>
    <w:p w:rsidR="005F56E0">
      <w:pPr>
        <w:pStyle w:val="BodyText"/>
        <w:spacing w:before="10"/>
        <w:ind w:left="0"/>
        <w:rPr>
          <w:sz w:val="14"/>
        </w:rPr>
      </w:pPr>
    </w:p>
    <w:p w:rsidR="005F56E0">
      <w:pPr>
        <w:pStyle w:val="BodyText"/>
        <w:spacing w:before="93" w:line="259" w:lineRule="auto"/>
        <w:ind w:right="658"/>
      </w:pPr>
      <w:r>
        <w:t xml:space="preserve">The </w:t>
      </w:r>
      <w:r>
        <w:t>reorganisation</w:t>
      </w:r>
      <w:r>
        <w:t xml:space="preserve"> of the </w:t>
      </w:r>
      <w:r>
        <w:t>defence</w:t>
      </w:r>
      <w:r>
        <w:t xml:space="preserve"> estate, including the planned</w:t>
      </w:r>
      <w:r>
        <w:t xml:space="preserve"> closure of MOD Caledonia, presents both challenges and opportunities. MOD sites in Fife are well integrated with their communities, and closure and change to facilities will bring pressures to bear on established local supply chains which require to be qu</w:t>
      </w:r>
      <w:r>
        <w:t xml:space="preserve">antified and assessed in detail. Following the publication of the Ministry of </w:t>
      </w:r>
      <w:r>
        <w:t>Defence</w:t>
      </w:r>
      <w:r>
        <w:t xml:space="preserve"> Strategy, </w:t>
      </w:r>
      <w:r>
        <w:rPr>
          <w:i/>
        </w:rPr>
        <w:t xml:space="preserve">A Better </w:t>
      </w:r>
      <w:r>
        <w:rPr>
          <w:i/>
        </w:rPr>
        <w:t>Defence</w:t>
      </w:r>
      <w:r>
        <w:rPr>
          <w:i/>
        </w:rPr>
        <w:t xml:space="preserve"> Estate </w:t>
      </w:r>
      <w:r>
        <w:t xml:space="preserve">in November 2016, the Council wrote to the Parliamentary Under Secretary of State for </w:t>
      </w:r>
      <w:r>
        <w:t>Defence</w:t>
      </w:r>
      <w:r>
        <w:t xml:space="preserve"> to request a reversal of the decision to c</w:t>
      </w:r>
      <w:r>
        <w:t>lose MOD Caledonia and to better understand the plans for expansion of Army units at MOD Leuchars between 2022 and 2032.</w:t>
      </w:r>
    </w:p>
    <w:p w:rsidR="005F56E0">
      <w:pPr>
        <w:pStyle w:val="BodyText"/>
        <w:spacing w:before="159"/>
      </w:pPr>
      <w:r>
        <w:t xml:space="preserve">In response, the </w:t>
      </w:r>
      <w:r>
        <w:t>Defence</w:t>
      </w:r>
      <w:r>
        <w:t xml:space="preserve"> Infrastructure </w:t>
      </w:r>
      <w:r>
        <w:t>Organisation</w:t>
      </w:r>
      <w:r>
        <w:t xml:space="preserve"> (DIO) noted the following:</w:t>
      </w:r>
    </w:p>
    <w:p w:rsidR="005F56E0">
      <w:pPr>
        <w:spacing w:before="181" w:line="360" w:lineRule="auto"/>
        <w:ind w:left="140" w:right="751"/>
        <w:rPr>
          <w:i/>
          <w:sz w:val="24"/>
        </w:rPr>
      </w:pPr>
      <w:r>
        <w:rPr>
          <w:i/>
          <w:sz w:val="24"/>
        </w:rPr>
        <w:t xml:space="preserve">[The] announcement includes the department’s intent to </w:t>
      </w:r>
      <w:r>
        <w:rPr>
          <w:i/>
          <w:sz w:val="24"/>
        </w:rPr>
        <w:t xml:space="preserve">dispose of MOD Caledonia located within your district. I can confirm that it is not, however, the Department’s intention to close the site before 2022. I can assure you that the Military Units at the site will be </w:t>
      </w:r>
      <w:r>
        <w:rPr>
          <w:i/>
          <w:sz w:val="24"/>
        </w:rPr>
        <w:t>reprovided</w:t>
      </w:r>
      <w:r>
        <w:rPr>
          <w:i/>
          <w:sz w:val="24"/>
        </w:rPr>
        <w:t xml:space="preserve"> for. The current intention is th</w:t>
      </w:r>
      <w:r>
        <w:rPr>
          <w:i/>
          <w:sz w:val="24"/>
        </w:rPr>
        <w:t>at they will move to Edinburgh.</w:t>
      </w:r>
    </w:p>
    <w:p w:rsidR="005F56E0">
      <w:pPr>
        <w:pStyle w:val="BodyText"/>
        <w:spacing w:before="7"/>
        <w:ind w:left="0"/>
        <w:rPr>
          <w:i/>
        </w:rPr>
      </w:pPr>
    </w:p>
    <w:p w:rsidR="005F56E0">
      <w:pPr>
        <w:spacing w:line="360" w:lineRule="auto"/>
        <w:ind w:left="140" w:right="618"/>
        <w:rPr>
          <w:i/>
          <w:sz w:val="24"/>
        </w:rPr>
      </w:pPr>
      <w:r>
        <w:rPr>
          <w:i/>
          <w:sz w:val="24"/>
        </w:rPr>
        <w:t xml:space="preserve">The Ministry of </w:t>
      </w:r>
      <w:r>
        <w:rPr>
          <w:i/>
          <w:sz w:val="24"/>
        </w:rPr>
        <w:t>Defence</w:t>
      </w:r>
      <w:r>
        <w:rPr>
          <w:i/>
          <w:sz w:val="24"/>
        </w:rPr>
        <w:t xml:space="preserve"> will continue the process of detailed planning and necessary engagement with the stakeholders concerned including officials in your </w:t>
      </w:r>
      <w:r>
        <w:rPr>
          <w:i/>
          <w:sz w:val="24"/>
        </w:rPr>
        <w:t>organisation</w:t>
      </w:r>
      <w:r>
        <w:rPr>
          <w:i/>
          <w:sz w:val="24"/>
        </w:rPr>
        <w:t>.</w:t>
      </w:r>
    </w:p>
    <w:p w:rsidR="005F56E0">
      <w:pPr>
        <w:pStyle w:val="BodyText"/>
        <w:spacing w:before="5"/>
        <w:ind w:left="0"/>
        <w:rPr>
          <w:i/>
        </w:rPr>
      </w:pPr>
    </w:p>
    <w:p w:rsidR="005F56E0">
      <w:pPr>
        <w:spacing w:line="360" w:lineRule="auto"/>
        <w:ind w:left="140" w:right="780"/>
        <w:rPr>
          <w:i/>
          <w:sz w:val="24"/>
        </w:rPr>
      </w:pPr>
      <w:r>
        <w:rPr>
          <w:i/>
          <w:sz w:val="24"/>
        </w:rPr>
        <w:t>You will be aware that the department has made a desk level assessment of the potential number of houses plus other uses that may be built on the site only and MOD officials will work with you in order to confirm this figure. We would appreciate your suppo</w:t>
      </w:r>
      <w:r>
        <w:rPr>
          <w:i/>
          <w:sz w:val="24"/>
        </w:rPr>
        <w:t>rt as we go through that process.</w:t>
      </w:r>
    </w:p>
    <w:p w:rsidR="005F56E0">
      <w:pPr>
        <w:pStyle w:val="BodyText"/>
        <w:spacing w:before="3"/>
        <w:ind w:left="0"/>
        <w:rPr>
          <w:i/>
        </w:rPr>
      </w:pPr>
    </w:p>
    <w:p w:rsidR="005F56E0">
      <w:pPr>
        <w:pStyle w:val="BodyText"/>
        <w:spacing w:before="1"/>
        <w:ind w:right="618"/>
      </w:pPr>
      <w:r>
        <w:t>Further, in December2016, Keith Brown, MSP, then Cabinet Secretary for Economy, Jobs and Fair Work and Scottish Government officials met with Fife Council along with other Council Leaders from areas affected by the announ</w:t>
      </w:r>
      <w:r>
        <w:t xml:space="preserve">cement. Following this meeting, Mr Brown wrote to the UK Parliamentary Under-Secretary of State for </w:t>
      </w:r>
      <w:r>
        <w:t>Defence</w:t>
      </w:r>
      <w:r>
        <w:t xml:space="preserve"> Mark Lancaster MP seeking establishment of a working group bringing together the Scottish Government, MOD and affected local authorities in Scotland</w:t>
      </w:r>
      <w:r>
        <w:t xml:space="preserve"> to examine proposals and discuss next steps. A response from Mr Lancaster was received stating that he did not believe that a working group would be an efficient</w:t>
      </w:r>
    </w:p>
    <w:p w:rsidR="005F56E0">
      <w:pPr>
        <w:sectPr>
          <w:pgSz w:w="11910" w:h="16840"/>
          <w:pgMar w:top="1360" w:right="840" w:bottom="280" w:left="1300" w:header="720" w:footer="720" w:gutter="0"/>
          <w:cols w:space="720"/>
        </w:sectPr>
      </w:pPr>
    </w:p>
    <w:p w:rsidR="005F56E0">
      <w:pPr>
        <w:pStyle w:val="BodyText"/>
        <w:spacing w:before="62"/>
        <w:ind w:right="698"/>
      </w:pPr>
      <w:r>
        <w:t xml:space="preserve">way to engage due to the associated lead time, but assured Mr Brown that </w:t>
      </w:r>
      <w:r>
        <w:t xml:space="preserve">“the Department would continue to work closely with Scottish Government officials and individual local authorities to determine the impact of any of these decisions on local communities”. Mr Brown followed up this response with a further letter in January </w:t>
      </w:r>
      <w:r>
        <w:t>2017 asking that the proposal to meet with the local authorities and Scottish Government collectively be reconsidered.</w:t>
      </w:r>
    </w:p>
    <w:p w:rsidR="005F56E0">
      <w:pPr>
        <w:pStyle w:val="BodyText"/>
        <w:spacing w:before="10"/>
        <w:ind w:left="0"/>
        <w:rPr>
          <w:sz w:val="23"/>
        </w:rPr>
      </w:pPr>
    </w:p>
    <w:p w:rsidR="005F56E0">
      <w:pPr>
        <w:pStyle w:val="BodyText"/>
        <w:spacing w:line="259" w:lineRule="auto"/>
        <w:ind w:right="684"/>
      </w:pPr>
      <w:r>
        <w:t>Since this time, the Council has engaged with the DIO on its intended uses for MOD Rosyth. This includes opportunities arising at the Fl</w:t>
      </w:r>
      <w:r>
        <w:t>eet Grounds portion of the Caledonia site to support the development of a new High School to serve South &amp; West Fife. The Council’s Fife Employment Land Strategy (FELS) will be refreshed in 2022 and support the development of a new Local Development Plan (</w:t>
      </w:r>
      <w:r>
        <w:t>FIFEPlan</w:t>
      </w:r>
      <w:r>
        <w:t>) for spatial planning. It is deemed essential therefore that the DIO engages with the Council on its plans for retention, disposal or any other arrangement for the site.</w:t>
      </w:r>
    </w:p>
    <w:p w:rsidR="005F56E0">
      <w:pPr>
        <w:pStyle w:val="BodyText"/>
        <w:spacing w:before="160" w:line="259" w:lineRule="auto"/>
        <w:ind w:right="614"/>
      </w:pPr>
      <w:r>
        <w:t xml:space="preserve">As members of the Committee will be aware, the UK Government is intending to </w:t>
      </w:r>
      <w:r>
        <w:t xml:space="preserve">roll out its approach to Freeports in Scotland following the announcement of initial Freeport sites </w:t>
      </w:r>
      <w:r>
        <w:rPr>
          <w:spacing w:val="-3"/>
        </w:rPr>
        <w:t xml:space="preserve">in </w:t>
      </w:r>
      <w:r>
        <w:t>England last year. A Firth of Forth freeport approach, including the ports of Grangemouth, Rosyth and Leith, together with Edinburgh Airport, has been de</w:t>
      </w:r>
      <w:r>
        <w:t xml:space="preserve">veloped through Forth Ports, as the primary landowner, and the site at MOD Caledonia could form part of this development for Scotland. Fife Council continues to engage with UK Government and Scottish Government, in the development of its </w:t>
      </w:r>
      <w:r>
        <w:t>Greenports</w:t>
      </w:r>
      <w:r>
        <w:t xml:space="preserve"> model, </w:t>
      </w:r>
      <w:r>
        <w:t>for sites which will support innovation and sustainable growth, and further engagement with DIO on such matters are</w:t>
      </w:r>
      <w:r>
        <w:rPr>
          <w:spacing w:val="-7"/>
        </w:rPr>
        <w:t xml:space="preserve"> </w:t>
      </w:r>
      <w:r>
        <w:t>required.</w:t>
      </w:r>
    </w:p>
    <w:p w:rsidR="005F56E0">
      <w:pPr>
        <w:pStyle w:val="BodyText"/>
        <w:spacing w:before="161" w:line="259" w:lineRule="auto"/>
        <w:ind w:right="645"/>
      </w:pPr>
      <w:r>
        <w:t>It is noted that UK Government has committed to the release of sites that the MOD no longer needs providing opportunities for comm</w:t>
      </w:r>
      <w:r>
        <w:t>ercial use, resulting in regeneration, business growth and job creation. Any specific site constraints such as land decontamination and reclamation work will be identified as part of the future assessments of the site that will take place prior to disposal</w:t>
      </w:r>
      <w:r>
        <w:t xml:space="preserve"> so that potential buyers are aware of any such issues.</w:t>
      </w:r>
    </w:p>
    <w:p w:rsidR="005F56E0">
      <w:pPr>
        <w:pStyle w:val="BodyText"/>
        <w:spacing w:before="9"/>
        <w:ind w:left="0"/>
        <w:rPr>
          <w:sz w:val="21"/>
        </w:rPr>
      </w:pPr>
      <w:r>
        <w:pict>
          <v:shape id="_x0000_s1028" type="#_x0000_t202" style="height:110.95pt;margin-left:70.6pt;margin-top:13.75pt;mso-position-horizontal-relative:page;mso-wrap-distance-left:0;mso-wrap-distance-right:0;position:absolute;width:454.25pt;z-index:-251655168" fillcolor="#f8f6fb">
            <v:textbox inset="0,0,0,0">
              <w:txbxContent>
                <w:p w:rsidR="005F56E0">
                  <w:pPr>
                    <w:spacing w:line="242" w:lineRule="auto"/>
                    <w:ind w:left="28" w:right="154"/>
                    <w:rPr>
                      <w:b/>
                      <w:sz w:val="24"/>
                    </w:rPr>
                  </w:pPr>
                  <w:r>
                    <w:rPr>
                      <w:b/>
                      <w:sz w:val="24"/>
                    </w:rPr>
                    <w:t>How have recent military infrastructure investments affected employment and communities in Scotland?</w:t>
                  </w:r>
                </w:p>
                <w:p w:rsidR="005F56E0">
                  <w:pPr>
                    <w:pStyle w:val="BodyText"/>
                    <w:spacing w:before="2"/>
                    <w:ind w:left="0"/>
                    <w:rPr>
                      <w:b/>
                    </w:rPr>
                  </w:pPr>
                </w:p>
                <w:p w:rsidR="005F56E0">
                  <w:pPr>
                    <w:pStyle w:val="BodyText"/>
                    <w:spacing w:before="1"/>
                    <w:ind w:left="28" w:right="18"/>
                  </w:pPr>
                  <w:r>
                    <w:t xml:space="preserve">Following the MOD review, </w:t>
                  </w:r>
                  <w:r>
                    <w:rPr>
                      <w:i/>
                    </w:rPr>
                    <w:t xml:space="preserve">A Better </w:t>
                  </w:r>
                  <w:r>
                    <w:rPr>
                      <w:i/>
                    </w:rPr>
                    <w:t>Defence</w:t>
                  </w:r>
                  <w:r>
                    <w:rPr>
                      <w:i/>
                    </w:rPr>
                    <w:t xml:space="preserve"> Estate</w:t>
                  </w:r>
                  <w:r>
                    <w:t>, in 2016, which confirmed the transition of M</w:t>
                  </w:r>
                  <w:r>
                    <w:t>OD Leuchars from an RAF facility to Leuchars Station, a multi-unit British Army facility, which retains an operational capability for the RAF. In the 2016 review, the MOD sought to increase the number and range of Army units stationed at Leuchars on an inc</w:t>
                  </w:r>
                  <w:r>
                    <w:t>reasing basis.</w:t>
                  </w:r>
                </w:p>
              </w:txbxContent>
            </v:textbox>
            <w10:wrap type="topAndBottom"/>
          </v:shape>
        </w:pict>
      </w:r>
    </w:p>
    <w:p w:rsidR="005F56E0">
      <w:pPr>
        <w:pStyle w:val="BodyText"/>
        <w:spacing w:before="10"/>
        <w:ind w:left="0"/>
        <w:rPr>
          <w:sz w:val="14"/>
        </w:rPr>
      </w:pPr>
    </w:p>
    <w:p w:rsidR="005F56E0">
      <w:pPr>
        <w:pStyle w:val="BodyText"/>
        <w:spacing w:before="93"/>
        <w:ind w:right="597"/>
        <w:rPr>
          <w:sz w:val="20"/>
        </w:rPr>
      </w:pPr>
      <w:r>
        <w:t xml:space="preserve">Fife Council welcomes this longer term commitment to Leuchars, North East Fife and the wider region. It is </w:t>
      </w:r>
      <w:r>
        <w:t>recognised</w:t>
      </w:r>
      <w:r>
        <w:t xml:space="preserve"> that as a result of this change, there are likely to be some increases in demographic change, for example the </w:t>
      </w:r>
      <w:r>
        <w:t>average age of personnel based at Leuchars is estimated to be in line with the estimate that army personnel are generally younger than RAF with 56% under age of 30 compared to 41% for the RAF</w:t>
      </w:r>
      <w:r>
        <w:rPr>
          <w:position w:val="8"/>
          <w:sz w:val="16"/>
        </w:rPr>
        <w:t>2</w:t>
      </w:r>
      <w:r>
        <w:rPr>
          <w:sz w:val="20"/>
        </w:rPr>
        <w:t>;</w:t>
      </w:r>
    </w:p>
    <w:p w:rsidR="005F56E0">
      <w:pPr>
        <w:pStyle w:val="BodyText"/>
        <w:spacing w:before="9"/>
        <w:ind w:left="0"/>
        <w:rPr>
          <w:sz w:val="27"/>
        </w:rPr>
      </w:pPr>
      <w:r>
        <w:pict>
          <v:shape id="_x0000_s1029" style="height:0.1pt;margin-left:1in;margin-top:18.35pt;mso-position-horizontal-relative:page;mso-wrap-distance-left:0;mso-wrap-distance-right:0;position:absolute;width:144.05pt;z-index:-251654144" coordorigin="1440,367" coordsize="2881,21600" path="m1440,367l4321,367e" strokeweight="0.72pt">
            <v:path arrowok="t"/>
            <w10:wrap type="topAndBottom"/>
          </v:shape>
        </w:pict>
      </w:r>
    </w:p>
    <w:p w:rsidR="005F56E0">
      <w:pPr>
        <w:spacing w:before="69"/>
        <w:ind w:left="140"/>
        <w:rPr>
          <w:rFonts w:ascii="Calibri"/>
          <w:sz w:val="20"/>
        </w:rPr>
      </w:pPr>
      <w:r>
        <w:rPr>
          <w:rFonts w:ascii="Calibri"/>
          <w:position w:val="7"/>
          <w:sz w:val="13"/>
        </w:rPr>
        <w:t xml:space="preserve">2 </w:t>
      </w:r>
      <w:r>
        <w:rPr>
          <w:rFonts w:ascii="Calibri"/>
          <w:sz w:val="20"/>
        </w:rPr>
        <w:t xml:space="preserve">EKOS, 2013: Strategic </w:t>
      </w:r>
      <w:r>
        <w:rPr>
          <w:rFonts w:ascii="Calibri"/>
          <w:sz w:val="20"/>
        </w:rPr>
        <w:t>Defence</w:t>
      </w:r>
      <w:r>
        <w:rPr>
          <w:rFonts w:ascii="Calibri"/>
          <w:sz w:val="20"/>
        </w:rPr>
        <w:t xml:space="preserve"> and security Review: Final R</w:t>
      </w:r>
      <w:r>
        <w:rPr>
          <w:rFonts w:ascii="Calibri"/>
          <w:sz w:val="20"/>
        </w:rPr>
        <w:t>eport to Fife Council</w:t>
      </w:r>
    </w:p>
    <w:p w:rsidR="005F56E0">
      <w:pPr>
        <w:rPr>
          <w:rFonts w:ascii="Calibri"/>
          <w:sz w:val="20"/>
        </w:rPr>
        <w:sectPr>
          <w:pgSz w:w="11910" w:h="16840"/>
          <w:pgMar w:top="1360" w:right="840" w:bottom="280" w:left="1300" w:header="720" w:footer="720" w:gutter="0"/>
          <w:cols w:space="720"/>
        </w:sectPr>
      </w:pPr>
    </w:p>
    <w:p w:rsidR="005F56E0">
      <w:pPr>
        <w:pStyle w:val="BodyText"/>
        <w:spacing w:before="62"/>
        <w:ind w:right="726"/>
      </w:pPr>
      <w:r>
        <w:t xml:space="preserve">Likewise, the changes to demographics at Leuchars Station have seen some effect on the school population linked to serving MOD personnel, as set out in Table One, below. This national data collection exercise covers all </w:t>
      </w:r>
      <w:r>
        <w:t xml:space="preserve">168 schools in Fife, and indicates that numbers of children of serving personnel have reduced from approximately 600 on 2010 to 435 today. These numbers are caveated in that they are </w:t>
      </w:r>
      <w:r>
        <w:t>self declared</w:t>
      </w:r>
      <w:r>
        <w:t>. However, at the same time, numbers of children of MOD vete</w:t>
      </w:r>
      <w:r>
        <w:t>rans has grown over the same period, indicating more veterans are returning to and settling in Fife after leaving the Armed Forces.</w:t>
      </w:r>
    </w:p>
    <w:p w:rsidR="005F56E0">
      <w:pPr>
        <w:pStyle w:val="BodyText"/>
        <w:spacing w:before="10"/>
        <w:ind w:left="0"/>
        <w:rPr>
          <w:sz w:val="23"/>
        </w:rPr>
      </w:pPr>
    </w:p>
    <w:p w:rsidR="005F56E0">
      <w:pPr>
        <w:pStyle w:val="BodyText"/>
        <w:ind w:right="739"/>
      </w:pPr>
      <w:r>
        <w:t>Fife Council schools work closely with military welfare offices to ensure that the children of service families are well su</w:t>
      </w:r>
      <w:r>
        <w:t xml:space="preserve">pported when they move in or out of Fife. The </w:t>
      </w:r>
      <w:r>
        <w:t>well established</w:t>
      </w:r>
      <w:r>
        <w:t xml:space="preserve"> links with the two MOD bases is reinforced through the </w:t>
      </w:r>
      <w:r>
        <w:t>Firmbase</w:t>
      </w:r>
      <w:r>
        <w:t xml:space="preserve"> approach.</w:t>
      </w:r>
    </w:p>
    <w:p w:rsidR="005F56E0">
      <w:pPr>
        <w:pStyle w:val="BodyText"/>
        <w:spacing w:before="2" w:after="1"/>
        <w:ind w:left="0"/>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480"/>
        <w:gridCol w:w="740"/>
        <w:gridCol w:w="428"/>
        <w:gridCol w:w="418"/>
        <w:gridCol w:w="524"/>
        <w:gridCol w:w="528"/>
        <w:gridCol w:w="528"/>
        <w:gridCol w:w="513"/>
        <w:gridCol w:w="239"/>
        <w:gridCol w:w="508"/>
        <w:gridCol w:w="1843"/>
        <w:gridCol w:w="2127"/>
      </w:tblGrid>
      <w:tr>
        <w:tblPrEx>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19"/>
        </w:trPr>
        <w:tc>
          <w:tcPr>
            <w:tcW w:w="4788" w:type="dxa"/>
            <w:gridSpan w:val="9"/>
          </w:tcPr>
          <w:p w:rsidR="005F56E0">
            <w:pPr>
              <w:pStyle w:val="TableParagraph"/>
              <w:spacing w:line="339" w:lineRule="exact"/>
              <w:ind w:left="105"/>
              <w:rPr>
                <w:b/>
                <w:sz w:val="28"/>
              </w:rPr>
            </w:pPr>
            <w:r>
              <w:rPr>
                <w:b/>
                <w:sz w:val="28"/>
                <w:u w:val="single"/>
              </w:rPr>
              <w:t xml:space="preserve">Local Authority: </w:t>
            </w:r>
            <w:r>
              <w:rPr>
                <w:b/>
                <w:sz w:val="28"/>
              </w:rPr>
              <w:t>Fife Council</w:t>
            </w:r>
          </w:p>
          <w:p w:rsidR="005F56E0">
            <w:pPr>
              <w:pStyle w:val="TableParagraph"/>
              <w:spacing w:before="9"/>
              <w:rPr>
                <w:rFonts w:ascii="Arial"/>
                <w:sz w:val="29"/>
              </w:rPr>
            </w:pPr>
          </w:p>
          <w:p w:rsidR="005F56E0">
            <w:pPr>
              <w:pStyle w:val="TableParagraph"/>
              <w:spacing w:line="270" w:lineRule="atLeast"/>
              <w:ind w:left="105" w:right="599"/>
              <w:rPr>
                <w:i/>
              </w:rPr>
            </w:pPr>
            <w:r>
              <w:rPr>
                <w:i/>
              </w:rPr>
              <w:t xml:space="preserve">Information gathered from within the </w:t>
            </w:r>
            <w:r>
              <w:rPr>
                <w:i/>
              </w:rPr>
              <w:t>SEEMiS</w:t>
            </w:r>
            <w:r>
              <w:rPr>
                <w:i/>
              </w:rPr>
              <w:t xml:space="preserve"> system, or alternate (if </w:t>
            </w:r>
            <w:r>
              <w:rPr>
                <w:i/>
              </w:rPr>
              <w:t>applicable)</w:t>
            </w:r>
          </w:p>
        </w:tc>
        <w:tc>
          <w:tcPr>
            <w:tcW w:w="239" w:type="dxa"/>
            <w:shd w:val="clear" w:color="auto" w:fill="ECECEC"/>
          </w:tcPr>
          <w:p w:rsidR="005F56E0">
            <w:pPr>
              <w:pStyle w:val="TableParagraph"/>
              <w:rPr>
                <w:rFonts w:ascii="Times New Roman"/>
              </w:rPr>
            </w:pPr>
          </w:p>
        </w:tc>
        <w:tc>
          <w:tcPr>
            <w:tcW w:w="508" w:type="dxa"/>
            <w:shd w:val="clear" w:color="auto" w:fill="ECECEC"/>
          </w:tcPr>
          <w:p w:rsidR="005F56E0">
            <w:pPr>
              <w:pStyle w:val="TableParagraph"/>
              <w:rPr>
                <w:rFonts w:ascii="Times New Roman"/>
              </w:rPr>
            </w:pPr>
          </w:p>
        </w:tc>
        <w:tc>
          <w:tcPr>
            <w:tcW w:w="3970" w:type="dxa"/>
            <w:gridSpan w:val="2"/>
          </w:tcPr>
          <w:p w:rsidR="005F56E0">
            <w:pPr>
              <w:pStyle w:val="TableParagraph"/>
              <w:spacing w:before="5"/>
              <w:rPr>
                <w:rFonts w:ascii="Arial"/>
                <w:sz w:val="23"/>
              </w:rPr>
            </w:pPr>
          </w:p>
          <w:p w:rsidR="005F56E0">
            <w:pPr>
              <w:pStyle w:val="TableParagraph"/>
              <w:spacing w:before="1"/>
              <w:ind w:left="107"/>
              <w:rPr>
                <w:b/>
              </w:rPr>
            </w:pPr>
            <w:r>
              <w:rPr>
                <w:b/>
              </w:rPr>
              <w:t>TOTALS:</w:t>
            </w:r>
          </w:p>
        </w:tc>
      </w:tr>
      <w:tr>
        <w:tblPrEx>
          <w:tblW w:w="0" w:type="auto"/>
          <w:tblInd w:w="140" w:type="dxa"/>
          <w:tblLayout w:type="fixed"/>
          <w:tblCellMar>
            <w:left w:w="0" w:type="dxa"/>
            <w:right w:w="0" w:type="dxa"/>
          </w:tblCellMar>
          <w:tblLook w:val="01E0"/>
        </w:tblPrEx>
        <w:trPr>
          <w:trHeight w:val="2441"/>
        </w:trPr>
        <w:tc>
          <w:tcPr>
            <w:tcW w:w="629" w:type="dxa"/>
          </w:tcPr>
          <w:p w:rsidR="005F56E0">
            <w:pPr>
              <w:pStyle w:val="TableParagraph"/>
              <w:spacing w:before="2"/>
              <w:rPr>
                <w:rFonts w:ascii="Arial"/>
                <w:sz w:val="21"/>
              </w:rPr>
            </w:pPr>
          </w:p>
          <w:p w:rsidR="005F56E0">
            <w:pPr>
              <w:pStyle w:val="TableParagraph"/>
              <w:ind w:left="220" w:right="117" w:hanging="87"/>
              <w:rPr>
                <w:b/>
                <w:sz w:val="20"/>
              </w:rPr>
            </w:pPr>
            <w:r>
              <w:rPr>
                <w:b/>
                <w:color w:val="1F3863"/>
                <w:sz w:val="20"/>
              </w:rPr>
              <w:t>Sect or</w:t>
            </w:r>
          </w:p>
        </w:tc>
        <w:tc>
          <w:tcPr>
            <w:tcW w:w="480" w:type="dxa"/>
          </w:tcPr>
          <w:p w:rsidR="005F56E0">
            <w:pPr>
              <w:pStyle w:val="TableParagraph"/>
              <w:ind w:left="105" w:right="96" w:hanging="5"/>
              <w:jc w:val="center"/>
              <w:rPr>
                <w:sz w:val="20"/>
              </w:rPr>
            </w:pPr>
            <w:r>
              <w:rPr>
                <w:color w:val="006FC0"/>
                <w:sz w:val="20"/>
              </w:rPr>
              <w:t>Ar</w:t>
            </w:r>
            <w:r>
              <w:rPr>
                <w:color w:val="006FC0"/>
                <w:sz w:val="20"/>
              </w:rPr>
              <w:t xml:space="preserve"> me d </w:t>
            </w:r>
            <w:r>
              <w:rPr>
                <w:color w:val="006FC0"/>
                <w:sz w:val="20"/>
              </w:rPr>
              <w:t>Fo</w:t>
            </w:r>
            <w:r>
              <w:rPr>
                <w:color w:val="006FC0"/>
                <w:sz w:val="20"/>
              </w:rPr>
              <w:t xml:space="preserve"> </w:t>
            </w:r>
            <w:r>
              <w:rPr>
                <w:color w:val="006FC0"/>
                <w:sz w:val="20"/>
              </w:rPr>
              <w:t>rce</w:t>
            </w:r>
            <w:r>
              <w:rPr>
                <w:color w:val="006FC0"/>
                <w:sz w:val="20"/>
              </w:rPr>
              <w:t xml:space="preserve"> s Fa mil y</w:t>
            </w:r>
          </w:p>
        </w:tc>
        <w:tc>
          <w:tcPr>
            <w:tcW w:w="740" w:type="dxa"/>
          </w:tcPr>
          <w:p w:rsidR="005F56E0">
            <w:pPr>
              <w:pStyle w:val="TableParagraph"/>
              <w:spacing w:before="2"/>
              <w:rPr>
                <w:rFonts w:ascii="Arial"/>
                <w:sz w:val="21"/>
              </w:rPr>
            </w:pPr>
          </w:p>
          <w:p w:rsidR="005F56E0">
            <w:pPr>
              <w:pStyle w:val="TableParagraph"/>
              <w:ind w:left="288" w:right="112" w:hanging="144"/>
              <w:rPr>
                <w:sz w:val="20"/>
              </w:rPr>
            </w:pPr>
            <w:r>
              <w:rPr>
                <w:color w:val="006FC0"/>
                <w:sz w:val="20"/>
              </w:rPr>
              <w:t>Regul</w:t>
            </w:r>
            <w:r>
              <w:rPr>
                <w:color w:val="006FC0"/>
                <w:sz w:val="20"/>
              </w:rPr>
              <w:t xml:space="preserve"> </w:t>
            </w:r>
            <w:r>
              <w:rPr>
                <w:color w:val="006FC0"/>
                <w:sz w:val="20"/>
              </w:rPr>
              <w:t>ar</w:t>
            </w:r>
          </w:p>
        </w:tc>
        <w:tc>
          <w:tcPr>
            <w:tcW w:w="428" w:type="dxa"/>
          </w:tcPr>
          <w:p w:rsidR="005F56E0">
            <w:pPr>
              <w:pStyle w:val="TableParagraph"/>
              <w:ind w:left="106" w:right="100"/>
              <w:jc w:val="center"/>
              <w:rPr>
                <w:sz w:val="20"/>
              </w:rPr>
            </w:pPr>
            <w:r>
              <w:rPr>
                <w:color w:val="006FC0"/>
                <w:sz w:val="20"/>
              </w:rPr>
              <w:t xml:space="preserve">Re </w:t>
            </w:r>
            <w:r>
              <w:rPr>
                <w:color w:val="006FC0"/>
                <w:sz w:val="20"/>
              </w:rPr>
              <w:t>gu</w:t>
            </w:r>
            <w:r>
              <w:rPr>
                <w:color w:val="006FC0"/>
                <w:sz w:val="20"/>
              </w:rPr>
              <w:t xml:space="preserve"> la r </w:t>
            </w:r>
            <w:r>
              <w:rPr>
                <w:color w:val="006FC0"/>
                <w:sz w:val="20"/>
              </w:rPr>
              <w:t>an</w:t>
            </w:r>
            <w:r>
              <w:rPr>
                <w:color w:val="006FC0"/>
                <w:sz w:val="20"/>
              </w:rPr>
              <w:t xml:space="preserve"> d Re </w:t>
            </w:r>
            <w:r>
              <w:rPr>
                <w:color w:val="006FC0"/>
                <w:spacing w:val="-3"/>
                <w:sz w:val="20"/>
              </w:rPr>
              <w:t>se</w:t>
            </w:r>
          </w:p>
          <w:p w:rsidR="005F56E0">
            <w:pPr>
              <w:pStyle w:val="TableParagraph"/>
              <w:spacing w:line="240" w:lineRule="atLeast"/>
              <w:ind w:left="129" w:right="121"/>
              <w:jc w:val="center"/>
              <w:rPr>
                <w:sz w:val="20"/>
              </w:rPr>
            </w:pPr>
            <w:r>
              <w:rPr>
                <w:color w:val="006FC0"/>
                <w:sz w:val="20"/>
              </w:rPr>
              <w:t>rv</w:t>
            </w:r>
            <w:r>
              <w:rPr>
                <w:color w:val="006FC0"/>
                <w:sz w:val="20"/>
              </w:rPr>
              <w:t xml:space="preserve"> e</w:t>
            </w:r>
          </w:p>
        </w:tc>
        <w:tc>
          <w:tcPr>
            <w:tcW w:w="418" w:type="dxa"/>
          </w:tcPr>
          <w:p w:rsidR="005F56E0">
            <w:pPr>
              <w:pStyle w:val="TableParagraph"/>
              <w:spacing w:line="243" w:lineRule="exact"/>
              <w:ind w:right="1"/>
              <w:jc w:val="center"/>
              <w:rPr>
                <w:sz w:val="20"/>
              </w:rPr>
            </w:pPr>
            <w:r>
              <w:rPr>
                <w:color w:val="006FC0"/>
                <w:sz w:val="20"/>
              </w:rPr>
              <w:t>R</w:t>
            </w:r>
          </w:p>
          <w:p w:rsidR="005F56E0">
            <w:pPr>
              <w:pStyle w:val="TableParagraph"/>
              <w:ind w:left="104" w:right="100" w:firstLine="4"/>
              <w:jc w:val="both"/>
              <w:rPr>
                <w:sz w:val="20"/>
              </w:rPr>
            </w:pPr>
            <w:r>
              <w:rPr>
                <w:color w:val="006FC0"/>
                <w:sz w:val="20"/>
              </w:rPr>
              <w:t>eg</w:t>
            </w:r>
            <w:r>
              <w:rPr>
                <w:color w:val="006FC0"/>
                <w:sz w:val="20"/>
              </w:rPr>
              <w:t xml:space="preserve"> ul </w:t>
            </w:r>
            <w:r>
              <w:rPr>
                <w:color w:val="006FC0"/>
                <w:sz w:val="20"/>
              </w:rPr>
              <w:t>ar</w:t>
            </w:r>
            <w:r>
              <w:rPr>
                <w:color w:val="006FC0"/>
                <w:sz w:val="20"/>
              </w:rPr>
              <w:t xml:space="preserve"> an d V</w:t>
            </w:r>
          </w:p>
          <w:p w:rsidR="005F56E0">
            <w:pPr>
              <w:pStyle w:val="TableParagraph"/>
              <w:spacing w:line="244" w:lineRule="exact"/>
              <w:ind w:left="100" w:right="101"/>
              <w:jc w:val="center"/>
              <w:rPr>
                <w:sz w:val="20"/>
              </w:rPr>
            </w:pPr>
            <w:r>
              <w:rPr>
                <w:color w:val="006FC0"/>
                <w:sz w:val="20"/>
              </w:rPr>
              <w:t>et</w:t>
            </w:r>
          </w:p>
          <w:p w:rsidR="005F56E0">
            <w:pPr>
              <w:pStyle w:val="TableParagraph"/>
              <w:spacing w:before="1" w:line="240" w:lineRule="atLeast"/>
              <w:ind w:left="104" w:right="100" w:hanging="1"/>
              <w:jc w:val="center"/>
              <w:rPr>
                <w:sz w:val="20"/>
              </w:rPr>
            </w:pPr>
            <w:r>
              <w:rPr>
                <w:color w:val="006FC0"/>
                <w:sz w:val="20"/>
              </w:rPr>
              <w:t xml:space="preserve">er </w:t>
            </w:r>
            <w:r>
              <w:rPr>
                <w:color w:val="006FC0"/>
                <w:spacing w:val="-1"/>
                <w:sz w:val="20"/>
              </w:rPr>
              <w:t>an</w:t>
            </w:r>
          </w:p>
        </w:tc>
        <w:tc>
          <w:tcPr>
            <w:tcW w:w="524" w:type="dxa"/>
          </w:tcPr>
          <w:p w:rsidR="005F56E0">
            <w:pPr>
              <w:pStyle w:val="TableParagraph"/>
              <w:spacing w:before="2"/>
              <w:rPr>
                <w:rFonts w:ascii="Arial"/>
                <w:sz w:val="21"/>
              </w:rPr>
            </w:pPr>
          </w:p>
          <w:p w:rsidR="005F56E0">
            <w:pPr>
              <w:pStyle w:val="TableParagraph"/>
              <w:ind w:left="128" w:right="108" w:hanging="15"/>
              <w:jc w:val="both"/>
              <w:rPr>
                <w:sz w:val="20"/>
              </w:rPr>
            </w:pPr>
            <w:r>
              <w:rPr>
                <w:color w:val="006FC0"/>
                <w:sz w:val="20"/>
              </w:rPr>
              <w:t xml:space="preserve">Res </w:t>
            </w:r>
            <w:r>
              <w:rPr>
                <w:color w:val="006FC0"/>
                <w:sz w:val="20"/>
              </w:rPr>
              <w:t>erv</w:t>
            </w:r>
            <w:r>
              <w:rPr>
                <w:color w:val="006FC0"/>
                <w:sz w:val="20"/>
              </w:rPr>
              <w:t xml:space="preserve"> e</w:t>
            </w:r>
          </w:p>
        </w:tc>
        <w:tc>
          <w:tcPr>
            <w:tcW w:w="528" w:type="dxa"/>
          </w:tcPr>
          <w:p w:rsidR="005F56E0">
            <w:pPr>
              <w:pStyle w:val="TableParagraph"/>
              <w:ind w:left="108" w:right="99" w:firstLine="1"/>
              <w:jc w:val="center"/>
              <w:rPr>
                <w:sz w:val="20"/>
              </w:rPr>
            </w:pPr>
            <w:r>
              <w:rPr>
                <w:color w:val="006FC0"/>
                <w:sz w:val="20"/>
              </w:rPr>
              <w:t xml:space="preserve">Res </w:t>
            </w:r>
            <w:r>
              <w:rPr>
                <w:color w:val="006FC0"/>
                <w:sz w:val="20"/>
              </w:rPr>
              <w:t>erv</w:t>
            </w:r>
            <w:r>
              <w:rPr>
                <w:color w:val="006FC0"/>
                <w:sz w:val="20"/>
              </w:rPr>
              <w:t xml:space="preserve"> e and Vet era n</w:t>
            </w:r>
          </w:p>
        </w:tc>
        <w:tc>
          <w:tcPr>
            <w:tcW w:w="528" w:type="dxa"/>
          </w:tcPr>
          <w:p w:rsidR="005F56E0">
            <w:pPr>
              <w:pStyle w:val="TableParagraph"/>
              <w:spacing w:before="2"/>
              <w:rPr>
                <w:rFonts w:ascii="Arial"/>
                <w:sz w:val="21"/>
              </w:rPr>
            </w:pPr>
          </w:p>
          <w:p w:rsidR="005F56E0">
            <w:pPr>
              <w:pStyle w:val="TableParagraph"/>
              <w:ind w:left="127" w:right="114" w:hanging="10"/>
              <w:jc w:val="both"/>
              <w:rPr>
                <w:sz w:val="20"/>
              </w:rPr>
            </w:pPr>
            <w:r>
              <w:rPr>
                <w:color w:val="006FC0"/>
                <w:sz w:val="20"/>
              </w:rPr>
              <w:t>Vet era n</w:t>
            </w:r>
          </w:p>
        </w:tc>
        <w:tc>
          <w:tcPr>
            <w:tcW w:w="513" w:type="dxa"/>
          </w:tcPr>
          <w:p w:rsidR="005F56E0">
            <w:pPr>
              <w:pStyle w:val="TableParagraph"/>
              <w:spacing w:before="2"/>
              <w:rPr>
                <w:rFonts w:ascii="Arial"/>
                <w:sz w:val="21"/>
              </w:rPr>
            </w:pPr>
          </w:p>
          <w:p w:rsidR="005F56E0">
            <w:pPr>
              <w:pStyle w:val="TableParagraph"/>
              <w:ind w:left="113" w:right="105" w:firstLine="24"/>
              <w:jc w:val="both"/>
              <w:rPr>
                <w:sz w:val="20"/>
              </w:rPr>
            </w:pPr>
            <w:r>
              <w:rPr>
                <w:color w:val="006FC0"/>
                <w:sz w:val="20"/>
              </w:rPr>
              <w:t xml:space="preserve">Do not ide </w:t>
            </w:r>
            <w:r>
              <w:rPr>
                <w:color w:val="006FC0"/>
                <w:sz w:val="20"/>
              </w:rPr>
              <w:t>ntif</w:t>
            </w:r>
            <w:r>
              <w:rPr>
                <w:color w:val="006FC0"/>
                <w:sz w:val="20"/>
              </w:rPr>
              <w:t xml:space="preserve"> y</w:t>
            </w:r>
          </w:p>
        </w:tc>
        <w:tc>
          <w:tcPr>
            <w:tcW w:w="239" w:type="dxa"/>
            <w:shd w:val="clear" w:color="auto" w:fill="ECECEC"/>
          </w:tcPr>
          <w:p w:rsidR="005F56E0">
            <w:pPr>
              <w:pStyle w:val="TableParagraph"/>
              <w:rPr>
                <w:rFonts w:ascii="Times New Roman"/>
              </w:rPr>
            </w:pPr>
          </w:p>
        </w:tc>
        <w:tc>
          <w:tcPr>
            <w:tcW w:w="508" w:type="dxa"/>
            <w:shd w:val="clear" w:color="auto" w:fill="ECECEC"/>
          </w:tcPr>
          <w:p w:rsidR="005F56E0">
            <w:pPr>
              <w:pStyle w:val="TableParagraph"/>
              <w:rPr>
                <w:rFonts w:ascii="Times New Roman"/>
              </w:rPr>
            </w:pPr>
          </w:p>
        </w:tc>
        <w:tc>
          <w:tcPr>
            <w:tcW w:w="1843" w:type="dxa"/>
            <w:shd w:val="clear" w:color="auto" w:fill="DBE4F0"/>
          </w:tcPr>
          <w:p w:rsidR="005F56E0">
            <w:pPr>
              <w:pStyle w:val="TableParagraph"/>
              <w:spacing w:line="243" w:lineRule="exact"/>
              <w:ind w:left="399"/>
              <w:rPr>
                <w:b/>
                <w:sz w:val="20"/>
              </w:rPr>
            </w:pPr>
            <w:r>
              <w:rPr>
                <w:b/>
                <w:color w:val="006FC0"/>
                <w:sz w:val="20"/>
              </w:rPr>
              <w:t>Grand Total:</w:t>
            </w:r>
          </w:p>
          <w:p w:rsidR="005F56E0">
            <w:pPr>
              <w:pStyle w:val="TableParagraph"/>
              <w:ind w:left="356"/>
              <w:rPr>
                <w:b/>
                <w:i/>
                <w:sz w:val="20"/>
              </w:rPr>
            </w:pPr>
            <w:r>
              <w:rPr>
                <w:b/>
                <w:i/>
                <w:color w:val="006FC0"/>
                <w:sz w:val="20"/>
              </w:rPr>
              <w:t>Armed Forces</w:t>
            </w:r>
          </w:p>
        </w:tc>
        <w:tc>
          <w:tcPr>
            <w:tcW w:w="2127" w:type="dxa"/>
            <w:shd w:val="clear" w:color="auto" w:fill="E1EED9"/>
          </w:tcPr>
          <w:p w:rsidR="005F56E0">
            <w:pPr>
              <w:pStyle w:val="TableParagraph"/>
              <w:ind w:left="213" w:right="190" w:firstLine="115"/>
              <w:rPr>
                <w:b/>
                <w:sz w:val="20"/>
              </w:rPr>
            </w:pPr>
            <w:r>
              <w:rPr>
                <w:b/>
                <w:color w:val="006FC0"/>
                <w:sz w:val="20"/>
              </w:rPr>
              <w:t xml:space="preserve">Total Number: All Pupils in each </w:t>
            </w:r>
            <w:r>
              <w:rPr>
                <w:b/>
                <w:color w:val="006FC0"/>
                <w:sz w:val="20"/>
              </w:rPr>
              <w:t>sector</w:t>
            </w:r>
          </w:p>
        </w:tc>
      </w:tr>
      <w:tr>
        <w:tblPrEx>
          <w:tblW w:w="0" w:type="auto"/>
          <w:tblInd w:w="140" w:type="dxa"/>
          <w:tblLayout w:type="fixed"/>
          <w:tblCellMar>
            <w:left w:w="0" w:type="dxa"/>
            <w:right w:w="0" w:type="dxa"/>
          </w:tblCellMar>
          <w:tblLook w:val="01E0"/>
        </w:tblPrEx>
        <w:trPr>
          <w:trHeight w:val="1219"/>
        </w:trPr>
        <w:tc>
          <w:tcPr>
            <w:tcW w:w="629" w:type="dxa"/>
          </w:tcPr>
          <w:p w:rsidR="005F56E0">
            <w:pPr>
              <w:pStyle w:val="TableParagraph"/>
              <w:spacing w:before="4"/>
              <w:rPr>
                <w:rFonts w:ascii="Arial"/>
                <w:sz w:val="21"/>
              </w:rPr>
            </w:pPr>
          </w:p>
          <w:p w:rsidR="005F56E0">
            <w:pPr>
              <w:pStyle w:val="TableParagraph"/>
              <w:ind w:left="105" w:right="95"/>
              <w:jc w:val="center"/>
              <w:rPr>
                <w:b/>
                <w:sz w:val="20"/>
              </w:rPr>
            </w:pPr>
            <w:r>
              <w:rPr>
                <w:b/>
                <w:color w:val="1F3863"/>
                <w:sz w:val="20"/>
              </w:rPr>
              <w:t>Early Year s</w:t>
            </w:r>
          </w:p>
        </w:tc>
        <w:tc>
          <w:tcPr>
            <w:tcW w:w="480" w:type="dxa"/>
          </w:tcPr>
          <w:p w:rsidR="005F56E0">
            <w:pPr>
              <w:pStyle w:val="TableParagraph"/>
              <w:rPr>
                <w:rFonts w:ascii="Times New Roman"/>
              </w:rPr>
            </w:pPr>
          </w:p>
        </w:tc>
        <w:tc>
          <w:tcPr>
            <w:tcW w:w="740" w:type="dxa"/>
          </w:tcPr>
          <w:p w:rsidR="005F56E0">
            <w:pPr>
              <w:pStyle w:val="TableParagraph"/>
              <w:spacing w:before="1"/>
              <w:ind w:left="13"/>
              <w:jc w:val="center"/>
              <w:rPr>
                <w:b/>
              </w:rPr>
            </w:pPr>
            <w:r>
              <w:rPr>
                <w:b/>
                <w:color w:val="1F3863"/>
              </w:rPr>
              <w:t>*</w:t>
            </w:r>
          </w:p>
        </w:tc>
        <w:tc>
          <w:tcPr>
            <w:tcW w:w="428" w:type="dxa"/>
          </w:tcPr>
          <w:p w:rsidR="005F56E0">
            <w:pPr>
              <w:pStyle w:val="TableParagraph"/>
              <w:rPr>
                <w:rFonts w:ascii="Times New Roman"/>
              </w:rPr>
            </w:pPr>
          </w:p>
        </w:tc>
        <w:tc>
          <w:tcPr>
            <w:tcW w:w="418" w:type="dxa"/>
          </w:tcPr>
          <w:p w:rsidR="005F56E0">
            <w:pPr>
              <w:pStyle w:val="TableParagraph"/>
              <w:spacing w:before="1"/>
              <w:jc w:val="center"/>
            </w:pPr>
            <w:r>
              <w:t>*</w:t>
            </w:r>
          </w:p>
        </w:tc>
        <w:tc>
          <w:tcPr>
            <w:tcW w:w="524" w:type="dxa"/>
          </w:tcPr>
          <w:p w:rsidR="005F56E0">
            <w:pPr>
              <w:pStyle w:val="TableParagraph"/>
              <w:spacing w:before="1"/>
              <w:ind w:right="201"/>
              <w:jc w:val="right"/>
            </w:pPr>
            <w:r>
              <w:t>*</w:t>
            </w:r>
          </w:p>
        </w:tc>
        <w:tc>
          <w:tcPr>
            <w:tcW w:w="528" w:type="dxa"/>
          </w:tcPr>
          <w:p w:rsidR="005F56E0">
            <w:pPr>
              <w:pStyle w:val="TableParagraph"/>
              <w:rPr>
                <w:rFonts w:ascii="Times New Roman"/>
              </w:rPr>
            </w:pPr>
          </w:p>
        </w:tc>
        <w:tc>
          <w:tcPr>
            <w:tcW w:w="528" w:type="dxa"/>
          </w:tcPr>
          <w:p w:rsidR="005F56E0">
            <w:pPr>
              <w:pStyle w:val="TableParagraph"/>
              <w:spacing w:before="1"/>
              <w:ind w:left="1"/>
              <w:jc w:val="center"/>
            </w:pPr>
            <w:r>
              <w:t>*</w:t>
            </w:r>
          </w:p>
        </w:tc>
        <w:tc>
          <w:tcPr>
            <w:tcW w:w="513" w:type="dxa"/>
          </w:tcPr>
          <w:p w:rsidR="005F56E0">
            <w:pPr>
              <w:pStyle w:val="TableParagraph"/>
              <w:rPr>
                <w:rFonts w:ascii="Times New Roman"/>
              </w:rPr>
            </w:pPr>
          </w:p>
        </w:tc>
        <w:tc>
          <w:tcPr>
            <w:tcW w:w="239" w:type="dxa"/>
            <w:shd w:val="clear" w:color="auto" w:fill="ECECEC"/>
          </w:tcPr>
          <w:p w:rsidR="005F56E0">
            <w:pPr>
              <w:pStyle w:val="TableParagraph"/>
              <w:rPr>
                <w:rFonts w:ascii="Times New Roman"/>
              </w:rPr>
            </w:pPr>
          </w:p>
        </w:tc>
        <w:tc>
          <w:tcPr>
            <w:tcW w:w="508" w:type="dxa"/>
            <w:shd w:val="clear" w:color="auto" w:fill="ECECEC"/>
          </w:tcPr>
          <w:p w:rsidR="005F56E0">
            <w:pPr>
              <w:pStyle w:val="TableParagraph"/>
              <w:rPr>
                <w:rFonts w:ascii="Times New Roman"/>
              </w:rPr>
            </w:pPr>
          </w:p>
        </w:tc>
        <w:tc>
          <w:tcPr>
            <w:tcW w:w="1843" w:type="dxa"/>
            <w:shd w:val="clear" w:color="auto" w:fill="DBE4F0"/>
          </w:tcPr>
          <w:p w:rsidR="005F56E0">
            <w:pPr>
              <w:pStyle w:val="TableParagraph"/>
              <w:rPr>
                <w:rFonts w:ascii="Times New Roman"/>
              </w:rPr>
            </w:pPr>
          </w:p>
        </w:tc>
        <w:tc>
          <w:tcPr>
            <w:tcW w:w="2127" w:type="dxa"/>
            <w:shd w:val="clear" w:color="auto" w:fill="E1EED9"/>
          </w:tcPr>
          <w:p w:rsidR="005F56E0">
            <w:pPr>
              <w:pStyle w:val="TableParagraph"/>
              <w:rPr>
                <w:rFonts w:ascii="Times New Roman"/>
              </w:rPr>
            </w:pPr>
          </w:p>
        </w:tc>
      </w:tr>
      <w:tr>
        <w:tblPrEx>
          <w:tblW w:w="0" w:type="auto"/>
          <w:tblInd w:w="140" w:type="dxa"/>
          <w:tblLayout w:type="fixed"/>
          <w:tblCellMar>
            <w:left w:w="0" w:type="dxa"/>
            <w:right w:w="0" w:type="dxa"/>
          </w:tblCellMar>
          <w:tblLook w:val="01E0"/>
        </w:tblPrEx>
        <w:trPr>
          <w:trHeight w:val="733"/>
        </w:trPr>
        <w:tc>
          <w:tcPr>
            <w:tcW w:w="629" w:type="dxa"/>
          </w:tcPr>
          <w:p w:rsidR="005F56E0">
            <w:pPr>
              <w:pStyle w:val="TableParagraph"/>
              <w:spacing w:before="4"/>
              <w:rPr>
                <w:rFonts w:ascii="Arial"/>
                <w:sz w:val="21"/>
              </w:rPr>
            </w:pPr>
          </w:p>
          <w:p w:rsidR="005F56E0">
            <w:pPr>
              <w:pStyle w:val="TableParagraph"/>
              <w:spacing w:line="240" w:lineRule="atLeast"/>
              <w:ind w:left="177" w:right="95" w:hanging="63"/>
              <w:rPr>
                <w:b/>
                <w:sz w:val="20"/>
              </w:rPr>
            </w:pPr>
            <w:r>
              <w:rPr>
                <w:b/>
                <w:color w:val="1F3863"/>
                <w:sz w:val="20"/>
              </w:rPr>
              <w:t xml:space="preserve">Prim </w:t>
            </w:r>
            <w:r>
              <w:rPr>
                <w:b/>
                <w:color w:val="1F3863"/>
                <w:sz w:val="20"/>
              </w:rPr>
              <w:t>ary</w:t>
            </w:r>
          </w:p>
        </w:tc>
        <w:tc>
          <w:tcPr>
            <w:tcW w:w="480" w:type="dxa"/>
          </w:tcPr>
          <w:p w:rsidR="005F56E0">
            <w:pPr>
              <w:pStyle w:val="TableParagraph"/>
              <w:rPr>
                <w:rFonts w:ascii="Times New Roman"/>
              </w:rPr>
            </w:pPr>
          </w:p>
        </w:tc>
        <w:tc>
          <w:tcPr>
            <w:tcW w:w="740" w:type="dxa"/>
          </w:tcPr>
          <w:p w:rsidR="005F56E0">
            <w:pPr>
              <w:pStyle w:val="TableParagraph"/>
              <w:spacing w:before="1"/>
              <w:ind w:left="179" w:right="175"/>
              <w:jc w:val="center"/>
              <w:rPr>
                <w:b/>
              </w:rPr>
            </w:pPr>
            <w:r>
              <w:rPr>
                <w:b/>
                <w:color w:val="1F3863"/>
              </w:rPr>
              <w:t>318</w:t>
            </w:r>
          </w:p>
        </w:tc>
        <w:tc>
          <w:tcPr>
            <w:tcW w:w="428" w:type="dxa"/>
          </w:tcPr>
          <w:p w:rsidR="005F56E0">
            <w:pPr>
              <w:pStyle w:val="TableParagraph"/>
              <w:spacing w:before="1"/>
              <w:jc w:val="center"/>
            </w:pPr>
            <w:r>
              <w:t>9</w:t>
            </w:r>
          </w:p>
        </w:tc>
        <w:tc>
          <w:tcPr>
            <w:tcW w:w="418" w:type="dxa"/>
          </w:tcPr>
          <w:p w:rsidR="005F56E0">
            <w:pPr>
              <w:pStyle w:val="TableParagraph"/>
              <w:spacing w:before="1"/>
              <w:jc w:val="center"/>
            </w:pPr>
            <w:r>
              <w:t>9</w:t>
            </w:r>
          </w:p>
        </w:tc>
        <w:tc>
          <w:tcPr>
            <w:tcW w:w="524" w:type="dxa"/>
          </w:tcPr>
          <w:p w:rsidR="005F56E0">
            <w:pPr>
              <w:pStyle w:val="TableParagraph"/>
              <w:spacing w:before="1"/>
              <w:ind w:right="143"/>
              <w:jc w:val="right"/>
            </w:pPr>
            <w:r>
              <w:t>62</w:t>
            </w:r>
          </w:p>
        </w:tc>
        <w:tc>
          <w:tcPr>
            <w:tcW w:w="528" w:type="dxa"/>
          </w:tcPr>
          <w:p w:rsidR="005F56E0">
            <w:pPr>
              <w:pStyle w:val="TableParagraph"/>
              <w:spacing w:before="1"/>
              <w:ind w:left="151"/>
            </w:pPr>
            <w:r>
              <w:t>10</w:t>
            </w:r>
          </w:p>
        </w:tc>
        <w:tc>
          <w:tcPr>
            <w:tcW w:w="528" w:type="dxa"/>
          </w:tcPr>
          <w:p w:rsidR="005F56E0">
            <w:pPr>
              <w:pStyle w:val="TableParagraph"/>
              <w:spacing w:before="1"/>
              <w:ind w:left="127" w:right="127"/>
              <w:jc w:val="center"/>
            </w:pPr>
            <w:r>
              <w:t>34</w:t>
            </w:r>
          </w:p>
          <w:p w:rsidR="005F56E0">
            <w:pPr>
              <w:pStyle w:val="TableParagraph"/>
              <w:ind w:left="3"/>
              <w:jc w:val="center"/>
            </w:pPr>
            <w:r>
              <w:t>3</w:t>
            </w:r>
          </w:p>
        </w:tc>
        <w:tc>
          <w:tcPr>
            <w:tcW w:w="513" w:type="dxa"/>
          </w:tcPr>
          <w:p w:rsidR="005F56E0">
            <w:pPr>
              <w:pStyle w:val="TableParagraph"/>
              <w:spacing w:before="1"/>
              <w:ind w:left="142"/>
            </w:pPr>
            <w:r>
              <w:t>19</w:t>
            </w:r>
          </w:p>
        </w:tc>
        <w:tc>
          <w:tcPr>
            <w:tcW w:w="239" w:type="dxa"/>
            <w:shd w:val="clear" w:color="auto" w:fill="ECECEC"/>
          </w:tcPr>
          <w:p w:rsidR="005F56E0">
            <w:pPr>
              <w:pStyle w:val="TableParagraph"/>
              <w:rPr>
                <w:rFonts w:ascii="Times New Roman"/>
              </w:rPr>
            </w:pPr>
          </w:p>
        </w:tc>
        <w:tc>
          <w:tcPr>
            <w:tcW w:w="508" w:type="dxa"/>
            <w:shd w:val="clear" w:color="auto" w:fill="ECECEC"/>
          </w:tcPr>
          <w:p w:rsidR="005F56E0">
            <w:pPr>
              <w:pStyle w:val="TableParagraph"/>
              <w:rPr>
                <w:rFonts w:ascii="Times New Roman"/>
              </w:rPr>
            </w:pPr>
          </w:p>
        </w:tc>
        <w:tc>
          <w:tcPr>
            <w:tcW w:w="1843" w:type="dxa"/>
            <w:shd w:val="clear" w:color="auto" w:fill="DBE4F0"/>
          </w:tcPr>
          <w:p w:rsidR="005F56E0">
            <w:pPr>
              <w:pStyle w:val="TableParagraph"/>
              <w:spacing w:before="1"/>
              <w:ind w:left="643" w:right="644"/>
              <w:jc w:val="center"/>
            </w:pPr>
            <w:r>
              <w:rPr>
                <w:color w:val="006FC0"/>
              </w:rPr>
              <w:t>770</w:t>
            </w:r>
          </w:p>
        </w:tc>
        <w:tc>
          <w:tcPr>
            <w:tcW w:w="2127" w:type="dxa"/>
            <w:shd w:val="clear" w:color="auto" w:fill="E1EED9"/>
          </w:tcPr>
          <w:p w:rsidR="005F56E0">
            <w:pPr>
              <w:pStyle w:val="TableParagraph"/>
              <w:spacing w:before="1"/>
              <w:ind w:left="787" w:right="782"/>
              <w:jc w:val="center"/>
            </w:pPr>
            <w:r>
              <w:rPr>
                <w:color w:val="006FC0"/>
              </w:rPr>
              <w:t>770</w:t>
            </w:r>
          </w:p>
        </w:tc>
      </w:tr>
      <w:tr>
        <w:tblPrEx>
          <w:tblW w:w="0" w:type="auto"/>
          <w:tblInd w:w="140" w:type="dxa"/>
          <w:tblLayout w:type="fixed"/>
          <w:tblCellMar>
            <w:left w:w="0" w:type="dxa"/>
            <w:right w:w="0" w:type="dxa"/>
          </w:tblCellMar>
          <w:tblLook w:val="01E0"/>
        </w:tblPrEx>
        <w:trPr>
          <w:trHeight w:val="979"/>
        </w:trPr>
        <w:tc>
          <w:tcPr>
            <w:tcW w:w="629" w:type="dxa"/>
          </w:tcPr>
          <w:p w:rsidR="005F56E0">
            <w:pPr>
              <w:pStyle w:val="TableParagraph"/>
              <w:spacing w:before="4"/>
              <w:rPr>
                <w:rFonts w:ascii="Arial"/>
                <w:sz w:val="21"/>
              </w:rPr>
            </w:pPr>
          </w:p>
          <w:p w:rsidR="005F56E0">
            <w:pPr>
              <w:pStyle w:val="TableParagraph"/>
              <w:ind w:left="119"/>
              <w:rPr>
                <w:b/>
                <w:sz w:val="20"/>
              </w:rPr>
            </w:pPr>
            <w:r>
              <w:rPr>
                <w:b/>
                <w:color w:val="1F3863"/>
                <w:sz w:val="20"/>
              </w:rPr>
              <w:t>Seco</w:t>
            </w:r>
          </w:p>
          <w:p w:rsidR="005F56E0">
            <w:pPr>
              <w:pStyle w:val="TableParagraph"/>
              <w:spacing w:before="2" w:line="240" w:lineRule="atLeast"/>
              <w:ind w:left="263" w:right="95" w:hanging="144"/>
              <w:rPr>
                <w:b/>
                <w:sz w:val="20"/>
              </w:rPr>
            </w:pPr>
            <w:r>
              <w:rPr>
                <w:b/>
                <w:color w:val="1F3863"/>
                <w:sz w:val="20"/>
              </w:rPr>
              <w:t>ndar</w:t>
            </w:r>
            <w:r>
              <w:rPr>
                <w:b/>
                <w:color w:val="1F3863"/>
                <w:sz w:val="20"/>
              </w:rPr>
              <w:t xml:space="preserve"> y</w:t>
            </w:r>
          </w:p>
        </w:tc>
        <w:tc>
          <w:tcPr>
            <w:tcW w:w="480" w:type="dxa"/>
          </w:tcPr>
          <w:p w:rsidR="005F56E0">
            <w:pPr>
              <w:pStyle w:val="TableParagraph"/>
              <w:rPr>
                <w:rFonts w:ascii="Times New Roman"/>
              </w:rPr>
            </w:pPr>
          </w:p>
        </w:tc>
        <w:tc>
          <w:tcPr>
            <w:tcW w:w="740" w:type="dxa"/>
          </w:tcPr>
          <w:p w:rsidR="005F56E0">
            <w:pPr>
              <w:pStyle w:val="TableParagraph"/>
              <w:spacing w:before="1"/>
              <w:ind w:left="179" w:right="175"/>
              <w:jc w:val="center"/>
              <w:rPr>
                <w:b/>
              </w:rPr>
            </w:pPr>
            <w:r>
              <w:rPr>
                <w:b/>
                <w:color w:val="1F3863"/>
              </w:rPr>
              <w:t>117</w:t>
            </w:r>
          </w:p>
        </w:tc>
        <w:tc>
          <w:tcPr>
            <w:tcW w:w="428" w:type="dxa"/>
          </w:tcPr>
          <w:p w:rsidR="005F56E0">
            <w:pPr>
              <w:pStyle w:val="TableParagraph"/>
              <w:spacing w:before="1"/>
              <w:ind w:right="1"/>
              <w:jc w:val="center"/>
            </w:pPr>
            <w:r>
              <w:t>*</w:t>
            </w:r>
          </w:p>
        </w:tc>
        <w:tc>
          <w:tcPr>
            <w:tcW w:w="418" w:type="dxa"/>
          </w:tcPr>
          <w:p w:rsidR="005F56E0">
            <w:pPr>
              <w:pStyle w:val="TableParagraph"/>
              <w:spacing w:before="1"/>
              <w:jc w:val="center"/>
            </w:pPr>
            <w:r>
              <w:t>*</w:t>
            </w:r>
          </w:p>
        </w:tc>
        <w:tc>
          <w:tcPr>
            <w:tcW w:w="524" w:type="dxa"/>
          </w:tcPr>
          <w:p w:rsidR="005F56E0">
            <w:pPr>
              <w:pStyle w:val="TableParagraph"/>
              <w:spacing w:before="1"/>
              <w:ind w:right="143"/>
              <w:jc w:val="right"/>
            </w:pPr>
            <w:r>
              <w:t>39</w:t>
            </w:r>
          </w:p>
        </w:tc>
        <w:tc>
          <w:tcPr>
            <w:tcW w:w="528" w:type="dxa"/>
          </w:tcPr>
          <w:p w:rsidR="005F56E0">
            <w:pPr>
              <w:pStyle w:val="TableParagraph"/>
              <w:spacing w:before="1"/>
              <w:ind w:left="209"/>
            </w:pPr>
            <w:r>
              <w:t>*</w:t>
            </w:r>
          </w:p>
        </w:tc>
        <w:tc>
          <w:tcPr>
            <w:tcW w:w="528" w:type="dxa"/>
          </w:tcPr>
          <w:p w:rsidR="005F56E0">
            <w:pPr>
              <w:pStyle w:val="TableParagraph"/>
              <w:spacing w:before="1"/>
              <w:ind w:left="127" w:right="127"/>
              <w:jc w:val="center"/>
            </w:pPr>
            <w:r>
              <w:t>23</w:t>
            </w:r>
          </w:p>
          <w:p w:rsidR="005F56E0">
            <w:pPr>
              <w:pStyle w:val="TableParagraph"/>
              <w:ind w:left="3"/>
              <w:jc w:val="center"/>
            </w:pPr>
            <w:r>
              <w:t>5</w:t>
            </w:r>
          </w:p>
        </w:tc>
        <w:tc>
          <w:tcPr>
            <w:tcW w:w="513" w:type="dxa"/>
          </w:tcPr>
          <w:p w:rsidR="005F56E0">
            <w:pPr>
              <w:pStyle w:val="TableParagraph"/>
              <w:spacing w:before="1"/>
              <w:ind w:left="121" w:right="118"/>
              <w:jc w:val="center"/>
            </w:pPr>
            <w:r>
              <w:t>12</w:t>
            </w:r>
          </w:p>
          <w:p w:rsidR="005F56E0">
            <w:pPr>
              <w:pStyle w:val="TableParagraph"/>
              <w:ind w:left="9"/>
              <w:jc w:val="center"/>
            </w:pPr>
            <w:r>
              <w:t>3</w:t>
            </w:r>
          </w:p>
        </w:tc>
        <w:tc>
          <w:tcPr>
            <w:tcW w:w="239" w:type="dxa"/>
            <w:shd w:val="clear" w:color="auto" w:fill="ECECEC"/>
          </w:tcPr>
          <w:p w:rsidR="005F56E0">
            <w:pPr>
              <w:pStyle w:val="TableParagraph"/>
              <w:rPr>
                <w:rFonts w:ascii="Times New Roman"/>
              </w:rPr>
            </w:pPr>
          </w:p>
        </w:tc>
        <w:tc>
          <w:tcPr>
            <w:tcW w:w="508" w:type="dxa"/>
            <w:shd w:val="clear" w:color="auto" w:fill="ECECEC"/>
          </w:tcPr>
          <w:p w:rsidR="005F56E0">
            <w:pPr>
              <w:pStyle w:val="TableParagraph"/>
              <w:rPr>
                <w:rFonts w:ascii="Times New Roman"/>
              </w:rPr>
            </w:pPr>
          </w:p>
        </w:tc>
        <w:tc>
          <w:tcPr>
            <w:tcW w:w="1843" w:type="dxa"/>
            <w:shd w:val="clear" w:color="auto" w:fill="DBE4F0"/>
          </w:tcPr>
          <w:p w:rsidR="005F56E0">
            <w:pPr>
              <w:pStyle w:val="TableParagraph"/>
              <w:spacing w:before="1"/>
              <w:ind w:left="643" w:right="644"/>
              <w:jc w:val="center"/>
            </w:pPr>
            <w:r>
              <w:rPr>
                <w:color w:val="006FC0"/>
              </w:rPr>
              <w:t>527</w:t>
            </w:r>
          </w:p>
        </w:tc>
        <w:tc>
          <w:tcPr>
            <w:tcW w:w="2127" w:type="dxa"/>
            <w:shd w:val="clear" w:color="auto" w:fill="E1EED9"/>
          </w:tcPr>
          <w:p w:rsidR="005F56E0">
            <w:pPr>
              <w:pStyle w:val="TableParagraph"/>
              <w:spacing w:before="1"/>
              <w:ind w:left="787" w:right="782"/>
              <w:jc w:val="center"/>
            </w:pPr>
            <w:r>
              <w:rPr>
                <w:color w:val="006FC0"/>
              </w:rPr>
              <w:t>527</w:t>
            </w:r>
          </w:p>
        </w:tc>
      </w:tr>
      <w:tr>
        <w:tblPrEx>
          <w:tblW w:w="0" w:type="auto"/>
          <w:tblInd w:w="140" w:type="dxa"/>
          <w:tblLayout w:type="fixed"/>
          <w:tblCellMar>
            <w:left w:w="0" w:type="dxa"/>
            <w:right w:w="0" w:type="dxa"/>
          </w:tblCellMar>
          <w:tblLook w:val="01E0"/>
        </w:tblPrEx>
        <w:trPr>
          <w:trHeight w:val="728"/>
        </w:trPr>
        <w:tc>
          <w:tcPr>
            <w:tcW w:w="629" w:type="dxa"/>
          </w:tcPr>
          <w:p w:rsidR="005F56E0">
            <w:pPr>
              <w:pStyle w:val="TableParagraph"/>
              <w:spacing w:before="10"/>
              <w:rPr>
                <w:rFonts w:ascii="Arial"/>
                <w:sz w:val="20"/>
              </w:rPr>
            </w:pPr>
          </w:p>
          <w:p w:rsidR="005F56E0">
            <w:pPr>
              <w:pStyle w:val="TableParagraph"/>
              <w:spacing w:before="1" w:line="240" w:lineRule="atLeast"/>
              <w:ind w:left="211" w:right="93" w:hanging="92"/>
              <w:rPr>
                <w:b/>
                <w:sz w:val="20"/>
              </w:rPr>
            </w:pPr>
            <w:r>
              <w:rPr>
                <w:b/>
                <w:color w:val="1F3863"/>
                <w:sz w:val="20"/>
              </w:rPr>
              <w:t xml:space="preserve">Spec </w:t>
            </w:r>
            <w:r>
              <w:rPr>
                <w:b/>
                <w:color w:val="1F3863"/>
                <w:sz w:val="20"/>
              </w:rPr>
              <w:t>ial</w:t>
            </w:r>
          </w:p>
        </w:tc>
        <w:tc>
          <w:tcPr>
            <w:tcW w:w="480" w:type="dxa"/>
          </w:tcPr>
          <w:p w:rsidR="005F56E0">
            <w:pPr>
              <w:pStyle w:val="TableParagraph"/>
              <w:rPr>
                <w:rFonts w:ascii="Times New Roman"/>
              </w:rPr>
            </w:pPr>
          </w:p>
        </w:tc>
        <w:tc>
          <w:tcPr>
            <w:tcW w:w="740" w:type="dxa"/>
          </w:tcPr>
          <w:p w:rsidR="005F56E0">
            <w:pPr>
              <w:pStyle w:val="TableParagraph"/>
              <w:rPr>
                <w:rFonts w:ascii="Times New Roman"/>
              </w:rPr>
            </w:pPr>
          </w:p>
        </w:tc>
        <w:tc>
          <w:tcPr>
            <w:tcW w:w="428" w:type="dxa"/>
          </w:tcPr>
          <w:p w:rsidR="005F56E0">
            <w:pPr>
              <w:pStyle w:val="TableParagraph"/>
              <w:rPr>
                <w:rFonts w:ascii="Times New Roman"/>
              </w:rPr>
            </w:pPr>
          </w:p>
        </w:tc>
        <w:tc>
          <w:tcPr>
            <w:tcW w:w="418" w:type="dxa"/>
          </w:tcPr>
          <w:p w:rsidR="005F56E0">
            <w:pPr>
              <w:pStyle w:val="TableParagraph"/>
              <w:rPr>
                <w:rFonts w:ascii="Times New Roman"/>
              </w:rPr>
            </w:pPr>
          </w:p>
        </w:tc>
        <w:tc>
          <w:tcPr>
            <w:tcW w:w="524" w:type="dxa"/>
          </w:tcPr>
          <w:p w:rsidR="005F56E0">
            <w:pPr>
              <w:pStyle w:val="TableParagraph"/>
              <w:rPr>
                <w:rFonts w:ascii="Times New Roman"/>
              </w:rPr>
            </w:pPr>
          </w:p>
        </w:tc>
        <w:tc>
          <w:tcPr>
            <w:tcW w:w="528" w:type="dxa"/>
          </w:tcPr>
          <w:p w:rsidR="005F56E0">
            <w:pPr>
              <w:pStyle w:val="TableParagraph"/>
              <w:rPr>
                <w:rFonts w:ascii="Times New Roman"/>
              </w:rPr>
            </w:pPr>
          </w:p>
        </w:tc>
        <w:tc>
          <w:tcPr>
            <w:tcW w:w="528" w:type="dxa"/>
          </w:tcPr>
          <w:p w:rsidR="005F56E0">
            <w:pPr>
              <w:pStyle w:val="TableParagraph"/>
              <w:rPr>
                <w:rFonts w:ascii="Times New Roman"/>
              </w:rPr>
            </w:pPr>
          </w:p>
        </w:tc>
        <w:tc>
          <w:tcPr>
            <w:tcW w:w="513" w:type="dxa"/>
          </w:tcPr>
          <w:p w:rsidR="005F56E0">
            <w:pPr>
              <w:pStyle w:val="TableParagraph"/>
              <w:rPr>
                <w:rFonts w:ascii="Times New Roman"/>
              </w:rPr>
            </w:pPr>
          </w:p>
        </w:tc>
        <w:tc>
          <w:tcPr>
            <w:tcW w:w="239" w:type="dxa"/>
            <w:shd w:val="clear" w:color="auto" w:fill="ECECEC"/>
          </w:tcPr>
          <w:p w:rsidR="005F56E0">
            <w:pPr>
              <w:pStyle w:val="TableParagraph"/>
              <w:rPr>
                <w:rFonts w:ascii="Times New Roman"/>
              </w:rPr>
            </w:pPr>
          </w:p>
        </w:tc>
        <w:tc>
          <w:tcPr>
            <w:tcW w:w="508" w:type="dxa"/>
            <w:shd w:val="clear" w:color="auto" w:fill="ECECEC"/>
          </w:tcPr>
          <w:p w:rsidR="005F56E0">
            <w:pPr>
              <w:pStyle w:val="TableParagraph"/>
              <w:rPr>
                <w:rFonts w:ascii="Times New Roman"/>
              </w:rPr>
            </w:pPr>
          </w:p>
        </w:tc>
        <w:tc>
          <w:tcPr>
            <w:tcW w:w="1843" w:type="dxa"/>
            <w:shd w:val="clear" w:color="auto" w:fill="DBE4F0"/>
          </w:tcPr>
          <w:p w:rsidR="005F56E0">
            <w:pPr>
              <w:pStyle w:val="TableParagraph"/>
              <w:rPr>
                <w:rFonts w:ascii="Times New Roman"/>
              </w:rPr>
            </w:pPr>
          </w:p>
        </w:tc>
        <w:tc>
          <w:tcPr>
            <w:tcW w:w="2127" w:type="dxa"/>
            <w:shd w:val="clear" w:color="auto" w:fill="E1EED9"/>
          </w:tcPr>
          <w:p w:rsidR="005F56E0">
            <w:pPr>
              <w:pStyle w:val="TableParagraph"/>
              <w:rPr>
                <w:rFonts w:ascii="Times New Roman"/>
              </w:rPr>
            </w:pPr>
          </w:p>
        </w:tc>
      </w:tr>
      <w:tr>
        <w:tblPrEx>
          <w:tblW w:w="0" w:type="auto"/>
          <w:tblInd w:w="140" w:type="dxa"/>
          <w:tblLayout w:type="fixed"/>
          <w:tblCellMar>
            <w:left w:w="0" w:type="dxa"/>
            <w:right w:w="0" w:type="dxa"/>
          </w:tblCellMar>
          <w:tblLook w:val="01E0"/>
        </w:tblPrEx>
        <w:trPr>
          <w:trHeight w:val="805"/>
        </w:trPr>
        <w:tc>
          <w:tcPr>
            <w:tcW w:w="629" w:type="dxa"/>
            <w:shd w:val="clear" w:color="auto" w:fill="DBE4F0"/>
          </w:tcPr>
          <w:p w:rsidR="005F56E0">
            <w:pPr>
              <w:pStyle w:val="TableParagraph"/>
              <w:spacing w:before="3"/>
              <w:rPr>
                <w:rFonts w:ascii="Arial"/>
                <w:sz w:val="23"/>
              </w:rPr>
            </w:pPr>
          </w:p>
          <w:p w:rsidR="005F56E0">
            <w:pPr>
              <w:pStyle w:val="TableParagraph"/>
              <w:spacing w:before="1" w:line="270" w:lineRule="atLeast"/>
              <w:ind w:left="230" w:right="137" w:hanging="72"/>
              <w:rPr>
                <w:b/>
              </w:rPr>
            </w:pPr>
            <w:r>
              <w:rPr>
                <w:b/>
                <w:color w:val="006FC0"/>
              </w:rPr>
              <w:t>Tot al</w:t>
            </w:r>
          </w:p>
        </w:tc>
        <w:tc>
          <w:tcPr>
            <w:tcW w:w="480" w:type="dxa"/>
            <w:shd w:val="clear" w:color="auto" w:fill="DBE4F0"/>
          </w:tcPr>
          <w:p w:rsidR="005F56E0">
            <w:pPr>
              <w:pStyle w:val="TableParagraph"/>
              <w:rPr>
                <w:rFonts w:ascii="Times New Roman"/>
              </w:rPr>
            </w:pPr>
          </w:p>
        </w:tc>
        <w:tc>
          <w:tcPr>
            <w:tcW w:w="740" w:type="dxa"/>
            <w:shd w:val="clear" w:color="auto" w:fill="DBE4F0"/>
          </w:tcPr>
          <w:p w:rsidR="005F56E0">
            <w:pPr>
              <w:pStyle w:val="TableParagraph"/>
              <w:spacing w:before="1"/>
              <w:ind w:left="179" w:right="175"/>
              <w:jc w:val="center"/>
              <w:rPr>
                <w:b/>
              </w:rPr>
            </w:pPr>
            <w:r>
              <w:rPr>
                <w:b/>
                <w:color w:val="006FC0"/>
              </w:rPr>
              <w:t>435</w:t>
            </w:r>
          </w:p>
        </w:tc>
        <w:tc>
          <w:tcPr>
            <w:tcW w:w="428" w:type="dxa"/>
            <w:shd w:val="clear" w:color="auto" w:fill="DBE4F0"/>
          </w:tcPr>
          <w:p w:rsidR="005F56E0">
            <w:pPr>
              <w:pStyle w:val="TableParagraph"/>
              <w:rPr>
                <w:rFonts w:ascii="Times New Roman"/>
              </w:rPr>
            </w:pPr>
          </w:p>
        </w:tc>
        <w:tc>
          <w:tcPr>
            <w:tcW w:w="418" w:type="dxa"/>
            <w:shd w:val="clear" w:color="auto" w:fill="DBE4F0"/>
          </w:tcPr>
          <w:p w:rsidR="005F56E0">
            <w:pPr>
              <w:pStyle w:val="TableParagraph"/>
              <w:rPr>
                <w:rFonts w:ascii="Times New Roman"/>
              </w:rPr>
            </w:pPr>
          </w:p>
        </w:tc>
        <w:tc>
          <w:tcPr>
            <w:tcW w:w="524" w:type="dxa"/>
            <w:shd w:val="clear" w:color="auto" w:fill="DBE4F0"/>
          </w:tcPr>
          <w:p w:rsidR="005F56E0">
            <w:pPr>
              <w:pStyle w:val="TableParagraph"/>
              <w:spacing w:before="1"/>
              <w:ind w:left="126" w:right="125"/>
              <w:jc w:val="center"/>
            </w:pPr>
            <w:r>
              <w:t>10</w:t>
            </w:r>
          </w:p>
          <w:p w:rsidR="005F56E0">
            <w:pPr>
              <w:pStyle w:val="TableParagraph"/>
              <w:ind w:right="1"/>
              <w:jc w:val="center"/>
            </w:pPr>
            <w:r>
              <w:t>1</w:t>
            </w:r>
          </w:p>
        </w:tc>
        <w:tc>
          <w:tcPr>
            <w:tcW w:w="528" w:type="dxa"/>
            <w:shd w:val="clear" w:color="auto" w:fill="DBE4F0"/>
          </w:tcPr>
          <w:p w:rsidR="005F56E0">
            <w:pPr>
              <w:pStyle w:val="TableParagraph"/>
              <w:rPr>
                <w:rFonts w:ascii="Times New Roman"/>
              </w:rPr>
            </w:pPr>
          </w:p>
        </w:tc>
        <w:tc>
          <w:tcPr>
            <w:tcW w:w="528" w:type="dxa"/>
            <w:shd w:val="clear" w:color="auto" w:fill="DBE4F0"/>
          </w:tcPr>
          <w:p w:rsidR="005F56E0">
            <w:pPr>
              <w:pStyle w:val="TableParagraph"/>
              <w:spacing w:before="1"/>
              <w:ind w:left="127" w:right="127"/>
              <w:jc w:val="center"/>
            </w:pPr>
            <w:r>
              <w:t>57</w:t>
            </w:r>
          </w:p>
          <w:p w:rsidR="005F56E0">
            <w:pPr>
              <w:pStyle w:val="TableParagraph"/>
              <w:ind w:left="3"/>
              <w:jc w:val="center"/>
            </w:pPr>
            <w:r>
              <w:t>8</w:t>
            </w:r>
          </w:p>
        </w:tc>
        <w:tc>
          <w:tcPr>
            <w:tcW w:w="513" w:type="dxa"/>
            <w:shd w:val="clear" w:color="auto" w:fill="DBE4F0"/>
          </w:tcPr>
          <w:p w:rsidR="005F56E0">
            <w:pPr>
              <w:pStyle w:val="TableParagraph"/>
              <w:spacing w:before="1"/>
              <w:ind w:left="121" w:right="118"/>
              <w:jc w:val="center"/>
            </w:pPr>
            <w:r>
              <w:t>14</w:t>
            </w:r>
          </w:p>
          <w:p w:rsidR="005F56E0">
            <w:pPr>
              <w:pStyle w:val="TableParagraph"/>
              <w:ind w:left="9"/>
              <w:jc w:val="center"/>
            </w:pPr>
            <w:r>
              <w:t>2</w:t>
            </w:r>
          </w:p>
        </w:tc>
        <w:tc>
          <w:tcPr>
            <w:tcW w:w="239" w:type="dxa"/>
            <w:shd w:val="clear" w:color="auto" w:fill="ECECEC"/>
          </w:tcPr>
          <w:p w:rsidR="005F56E0">
            <w:pPr>
              <w:pStyle w:val="TableParagraph"/>
              <w:rPr>
                <w:rFonts w:ascii="Times New Roman"/>
              </w:rPr>
            </w:pPr>
          </w:p>
        </w:tc>
        <w:tc>
          <w:tcPr>
            <w:tcW w:w="508" w:type="dxa"/>
            <w:shd w:val="clear" w:color="auto" w:fill="ECECEC"/>
          </w:tcPr>
          <w:p w:rsidR="005F56E0">
            <w:pPr>
              <w:pStyle w:val="TableParagraph"/>
              <w:rPr>
                <w:rFonts w:ascii="Times New Roman"/>
              </w:rPr>
            </w:pPr>
          </w:p>
        </w:tc>
        <w:tc>
          <w:tcPr>
            <w:tcW w:w="1843" w:type="dxa"/>
            <w:shd w:val="clear" w:color="auto" w:fill="DBE4F0"/>
          </w:tcPr>
          <w:p w:rsidR="005F56E0">
            <w:pPr>
              <w:pStyle w:val="TableParagraph"/>
              <w:spacing w:before="1"/>
              <w:ind w:left="648" w:right="644"/>
              <w:jc w:val="center"/>
            </w:pPr>
            <w:r>
              <w:rPr>
                <w:color w:val="006FC0"/>
              </w:rPr>
              <w:t>1,297</w:t>
            </w:r>
          </w:p>
        </w:tc>
        <w:tc>
          <w:tcPr>
            <w:tcW w:w="2127" w:type="dxa"/>
            <w:shd w:val="clear" w:color="auto" w:fill="E1EED9"/>
          </w:tcPr>
          <w:p w:rsidR="005F56E0">
            <w:pPr>
              <w:pStyle w:val="TableParagraph"/>
              <w:spacing w:before="1"/>
              <w:ind w:left="793" w:right="782"/>
              <w:jc w:val="center"/>
            </w:pPr>
            <w:r>
              <w:rPr>
                <w:color w:val="006FC0"/>
              </w:rPr>
              <w:t>1,297</w:t>
            </w:r>
          </w:p>
        </w:tc>
      </w:tr>
    </w:tbl>
    <w:p w:rsidR="005F56E0">
      <w:pPr>
        <w:spacing w:before="1"/>
        <w:ind w:left="140"/>
        <w:rPr>
          <w:rFonts w:ascii="Calibri" w:hAnsi="Calibri"/>
          <w:sz w:val="20"/>
        </w:rPr>
      </w:pPr>
      <w:r>
        <w:pict>
          <v:line id="_x0000_i1030" style="mso-left-percent:-10001;mso-position-horizontal-relative:char;mso-position-vertical-relative:line;mso-top-percent:-10001" from="0,0" to="89.3pt,0" strokeweight="0.72pt">
            <w10:wrap type="none"/>
          </v:line>
        </w:pict>
      </w:r>
      <w:r>
        <w:rPr>
          <w:rFonts w:ascii="Calibri" w:hAnsi="Calibri"/>
        </w:rPr>
        <w:t xml:space="preserve">Table One: </w:t>
      </w:r>
      <w:r>
        <w:rPr>
          <w:rFonts w:ascii="Calibri" w:hAnsi="Calibri"/>
          <w:b/>
          <w:i/>
          <w:sz w:val="20"/>
        </w:rPr>
        <w:t xml:space="preserve">ADES – DATA Collection Exercise- </w:t>
      </w:r>
      <w:r>
        <w:rPr>
          <w:rFonts w:ascii="Calibri" w:hAnsi="Calibri"/>
          <w:b/>
          <w:i/>
          <w:sz w:val="20"/>
        </w:rPr>
        <w:t>SEEMiS</w:t>
      </w:r>
      <w:r>
        <w:rPr>
          <w:rFonts w:ascii="Calibri" w:hAnsi="Calibri"/>
          <w:b/>
          <w:i/>
          <w:sz w:val="20"/>
        </w:rPr>
        <w:t xml:space="preserve"> – Armed Forces Indicator tab </w:t>
      </w:r>
      <w:r>
        <w:rPr>
          <w:rFonts w:ascii="Calibri" w:hAnsi="Calibri"/>
          <w:sz w:val="20"/>
        </w:rPr>
        <w:t>(as of 1</w:t>
      </w:r>
      <w:r>
        <w:rPr>
          <w:rFonts w:ascii="Calibri" w:hAnsi="Calibri"/>
          <w:sz w:val="20"/>
          <w:vertAlign w:val="superscript"/>
        </w:rPr>
        <w:t>st</w:t>
      </w:r>
      <w:r>
        <w:rPr>
          <w:rFonts w:ascii="Calibri" w:hAnsi="Calibri"/>
          <w:sz w:val="20"/>
        </w:rPr>
        <w:t xml:space="preserve"> October 2021)</w:t>
      </w:r>
    </w:p>
    <w:p w:rsidR="005F56E0">
      <w:pPr>
        <w:pStyle w:val="BodyText"/>
        <w:ind w:left="0"/>
        <w:rPr>
          <w:rFonts w:ascii="Calibri"/>
          <w:sz w:val="20"/>
        </w:rPr>
      </w:pPr>
    </w:p>
    <w:p w:rsidR="005F56E0">
      <w:pPr>
        <w:pStyle w:val="BodyText"/>
        <w:spacing w:before="11"/>
        <w:ind w:left="0"/>
        <w:rPr>
          <w:rFonts w:ascii="Calibri"/>
          <w:sz w:val="25"/>
        </w:rPr>
      </w:pPr>
      <w:r>
        <w:pict>
          <v:shape id="_x0000_s1031" type="#_x0000_t202" style="height:28.1pt;margin-left:88.6pt;margin-top:17.05pt;mso-position-horizontal-relative:page;mso-wrap-distance-left:0;mso-wrap-distance-right:0;position:absolute;width:436.25pt;z-index:-251653120" fillcolor="#f8f6fb">
            <v:textbox inset="0,0,0,0">
              <w:txbxContent>
                <w:p w:rsidR="005F56E0">
                  <w:pPr>
                    <w:numPr>
                      <w:ilvl w:val="0"/>
                      <w:numId w:val="1"/>
                    </w:numPr>
                    <w:tabs>
                      <w:tab w:val="left" w:pos="389"/>
                      <w:tab w:val="left" w:pos="390"/>
                    </w:tabs>
                    <w:spacing w:line="247" w:lineRule="auto"/>
                    <w:ind w:right="341"/>
                    <w:rPr>
                      <w:b/>
                      <w:sz w:val="24"/>
                    </w:rPr>
                  </w:pPr>
                  <w:r>
                    <w:rPr>
                      <w:b/>
                      <w:sz w:val="24"/>
                    </w:rPr>
                    <w:t>Should the UK Government offer any additional support to individuals and communities</w:t>
                  </w:r>
                  <w:r>
                    <w:rPr>
                      <w:b/>
                      <w:spacing w:val="3"/>
                      <w:sz w:val="24"/>
                    </w:rPr>
                    <w:t xml:space="preserve"> </w:t>
                  </w:r>
                  <w:r>
                    <w:rPr>
                      <w:b/>
                      <w:sz w:val="24"/>
                    </w:rPr>
                    <w:t>affected?</w:t>
                  </w:r>
                </w:p>
              </w:txbxContent>
            </v:textbox>
            <w10:wrap type="topAndBottom"/>
          </v:shape>
        </w:pict>
      </w:r>
    </w:p>
    <w:p w:rsidR="005F56E0">
      <w:pPr>
        <w:rPr>
          <w:rFonts w:ascii="Calibri"/>
          <w:sz w:val="25"/>
        </w:rPr>
        <w:sectPr w:rsidSect="005812B3">
          <w:pgSz w:w="11910" w:h="16840"/>
          <w:pgMar w:top="1360" w:right="840" w:bottom="709" w:left="1300" w:header="720" w:footer="720" w:gutter="0"/>
          <w:cols w:space="720"/>
        </w:sectPr>
      </w:pPr>
    </w:p>
    <w:p w:rsidR="005F56E0">
      <w:pPr>
        <w:pStyle w:val="BodyText"/>
        <w:spacing w:before="80" w:line="295" w:lineRule="auto"/>
        <w:ind w:right="713"/>
      </w:pPr>
      <w:r>
        <w:t>Fife Council is committed to providing fair and accessible services to all members of our community. This includes members/reservists of the armed forces and their families.</w:t>
      </w:r>
    </w:p>
    <w:p w:rsidR="005F56E0">
      <w:pPr>
        <w:pStyle w:val="BodyText"/>
        <w:spacing w:before="3"/>
        <w:ind w:left="0"/>
        <w:rPr>
          <w:sz w:val="21"/>
        </w:rPr>
      </w:pPr>
    </w:p>
    <w:p w:rsidR="005F56E0">
      <w:pPr>
        <w:pStyle w:val="BodyText"/>
      </w:pPr>
      <w:r>
        <w:t>This commitment was reinforced through the Council having signed up to</w:t>
      </w:r>
    </w:p>
    <w:p w:rsidR="005F56E0">
      <w:pPr>
        <w:pStyle w:val="BodyText"/>
        <w:spacing w:before="60" w:line="295" w:lineRule="auto"/>
        <w:ind w:right="872"/>
      </w:pPr>
      <w:r>
        <w:t xml:space="preserve">the </w:t>
      </w:r>
      <w:r>
        <w:fldChar w:fldCharType="begin"/>
      </w:r>
      <w:r>
        <w:instrText xml:space="preserve"> HYPERLINK "https://www.gov.uk/defence-and-armed-forces/armed-forces-covenant" </w:instrText>
      </w:r>
      <w:r>
        <w:fldChar w:fldCharType="separate"/>
      </w:r>
      <w:r>
        <w:rPr>
          <w:b/>
          <w:u w:val="thick"/>
        </w:rPr>
        <w:t>Armed Forces Covenant</w:t>
      </w:r>
      <w:r>
        <w:fldChar w:fldCharType="end"/>
      </w:r>
      <w:r>
        <w:t>. This is in addition to the Community Covenant that, as part of the Fife Partnership, we made a pledge to in 2011.</w:t>
      </w:r>
    </w:p>
    <w:p w:rsidR="005F56E0">
      <w:pPr>
        <w:pStyle w:val="BodyText"/>
        <w:spacing w:before="1"/>
        <w:ind w:left="0"/>
        <w:rPr>
          <w:sz w:val="21"/>
        </w:rPr>
      </w:pPr>
    </w:p>
    <w:p w:rsidR="005F56E0">
      <w:pPr>
        <w:pStyle w:val="BodyText"/>
        <w:spacing w:line="292" w:lineRule="auto"/>
        <w:ind w:right="751"/>
      </w:pPr>
      <w:r>
        <w:t>The principles of this support extend to e</w:t>
      </w:r>
      <w:r>
        <w:t>nsuring that the needs of serving personal, and an increasing number of veterans in Fife, through strong partnership linkages, including an elected member Armed Forces Champion, himself a former serving officer.</w:t>
      </w:r>
    </w:p>
    <w:p w:rsidR="005F56E0">
      <w:pPr>
        <w:pStyle w:val="BodyText"/>
        <w:spacing w:before="11"/>
        <w:ind w:left="0"/>
        <w:rPr>
          <w:sz w:val="21"/>
        </w:rPr>
      </w:pPr>
    </w:p>
    <w:p w:rsidR="005F56E0">
      <w:pPr>
        <w:pStyle w:val="BodyText"/>
        <w:spacing w:line="292" w:lineRule="auto"/>
        <w:ind w:right="751"/>
      </w:pPr>
      <w:r>
        <w:t>Fife Council works closely not only with Fo</w:t>
      </w:r>
      <w:r>
        <w:t xml:space="preserve">rces support </w:t>
      </w:r>
      <w:r>
        <w:t>organisations</w:t>
      </w:r>
      <w:r>
        <w:t xml:space="preserve"> and military welfare offices, but through linkages to the third sector to provide specific support in access to finance, welfare support, employability </w:t>
      </w:r>
      <w:r>
        <w:t>programmes</w:t>
      </w:r>
      <w:r>
        <w:t xml:space="preserve"> which </w:t>
      </w:r>
      <w:r>
        <w:t>recognise</w:t>
      </w:r>
      <w:r>
        <w:t xml:space="preserve"> veterans and their transferable skills, including </w:t>
      </w:r>
      <w:r>
        <w:t xml:space="preserve">the Scottish Government’s No One Left Behind </w:t>
      </w:r>
      <w:r>
        <w:t>programme</w:t>
      </w:r>
      <w:r>
        <w:t>, the Council’s Fife Job Contract and through partnering arrangements with the Department for Work and Pensions.</w:t>
      </w:r>
    </w:p>
    <w:p w:rsidR="005F56E0">
      <w:pPr>
        <w:pStyle w:val="BodyText"/>
        <w:spacing w:before="5"/>
        <w:ind w:left="0"/>
        <w:rPr>
          <w:sz w:val="21"/>
        </w:rPr>
      </w:pPr>
    </w:p>
    <w:p w:rsidR="005F56E0">
      <w:pPr>
        <w:pStyle w:val="BodyText"/>
        <w:spacing w:line="292" w:lineRule="auto"/>
        <w:ind w:right="737"/>
      </w:pPr>
      <w:r>
        <w:t xml:space="preserve">Fife Council is of the view that addressing the needs of personnel and veterans is best </w:t>
      </w:r>
      <w:r>
        <w:t>delivered through these partnership arrangements at a local level, in line with the principles set out in the Local Outcome Improvement Plan, the Plan4Fife, with a focus on local people and place leadership. The Council would therefore encourage UK Governm</w:t>
      </w:r>
      <w:r>
        <w:t>ent to channel support activity through existing local provision.</w:t>
      </w:r>
    </w:p>
    <w:p w:rsidR="005F56E0">
      <w:pPr>
        <w:pStyle w:val="BodyText"/>
        <w:spacing w:before="9"/>
        <w:ind w:left="0"/>
        <w:rPr>
          <w:sz w:val="21"/>
        </w:rPr>
      </w:pPr>
    </w:p>
    <w:p w:rsidR="005F56E0">
      <w:pPr>
        <w:pStyle w:val="BodyText"/>
        <w:spacing w:before="1" w:line="292" w:lineRule="auto"/>
        <w:ind w:right="599"/>
      </w:pPr>
      <w:r>
        <w:t xml:space="preserve">Where there is a risk of redundancies arising from base closures, the Council would request that MOD works with the established Partnership Action for Continuing Employment (PACE) </w:t>
      </w:r>
      <w:r>
        <w:t>process, led by Skills Development Scotland, with sufficient time to deliver upskilling and reskilling for personnel and contractors affected by such closures. Many Fife firms welcome the transferable skills offered by former serving personnel, including m</w:t>
      </w:r>
      <w:r>
        <w:t xml:space="preserve">ajor employers such as Amazon, who have a significant presence in Fife, </w:t>
      </w:r>
      <w:r>
        <w:t>utilising</w:t>
      </w:r>
      <w:r>
        <w:t xml:space="preserve"> the Career Transition Partnership to recruit to operational and senior permanent roles.</w:t>
      </w:r>
    </w:p>
    <w:p w:rsidR="00BB0635">
      <w:pPr>
        <w:pStyle w:val="BodyText"/>
        <w:spacing w:before="1" w:line="292" w:lineRule="auto"/>
        <w:ind w:right="599"/>
      </w:pPr>
    </w:p>
    <w:p w:rsidR="00BB0635" w:rsidRPr="00BB0635">
      <w:pPr>
        <w:pStyle w:val="BodyText"/>
        <w:spacing w:before="1" w:line="292" w:lineRule="auto"/>
        <w:ind w:right="599"/>
        <w:rPr>
          <w:i/>
          <w:iCs/>
        </w:rPr>
      </w:pPr>
      <w:r w:rsidRPr="00BB0635">
        <w:rPr>
          <w:i/>
          <w:iCs/>
        </w:rPr>
        <w:t>October 2021</w:t>
      </w:r>
    </w:p>
    <w:sectPr>
      <w:pgSz w:w="11910" w:h="16840"/>
      <w:pgMar w:top="1400" w:right="8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0"/>
    <w:multiLevelType w:val="hybridMultilevel"/>
    <w:tmpl w:val="00000000"/>
    <w:lvl w:ilvl="0">
      <w:start w:val="0"/>
      <w:numFmt w:val="bullet"/>
      <w:lvlText w:val=""/>
      <w:lvlJc w:val="left"/>
      <w:pPr>
        <w:ind w:left="389" w:hanging="361"/>
      </w:pPr>
      <w:rPr>
        <w:rFonts w:ascii="Symbol" w:eastAsia="Symbol" w:hAnsi="Symbol" w:cs="Symbol" w:hint="default"/>
        <w:w w:val="100"/>
        <w:sz w:val="20"/>
        <w:szCs w:val="20"/>
      </w:rPr>
    </w:lvl>
    <w:lvl w:ilvl="1">
      <w:start w:val="0"/>
      <w:numFmt w:val="bullet"/>
      <w:lvlText w:val="•"/>
      <w:lvlJc w:val="left"/>
      <w:pPr>
        <w:ind w:left="1214" w:hanging="361"/>
      </w:pPr>
      <w:rPr>
        <w:rFonts w:hint="default"/>
      </w:rPr>
    </w:lvl>
    <w:lvl w:ilvl="2">
      <w:start w:val="0"/>
      <w:numFmt w:val="bullet"/>
      <w:lvlText w:val="•"/>
      <w:lvlJc w:val="left"/>
      <w:pPr>
        <w:ind w:left="2049" w:hanging="361"/>
      </w:pPr>
      <w:rPr>
        <w:rFonts w:hint="default"/>
      </w:rPr>
    </w:lvl>
    <w:lvl w:ilvl="3">
      <w:start w:val="0"/>
      <w:numFmt w:val="bullet"/>
      <w:lvlText w:val="•"/>
      <w:lvlJc w:val="left"/>
      <w:pPr>
        <w:ind w:left="2883" w:hanging="361"/>
      </w:pPr>
      <w:rPr>
        <w:rFonts w:hint="default"/>
      </w:rPr>
    </w:lvl>
    <w:lvl w:ilvl="4">
      <w:start w:val="0"/>
      <w:numFmt w:val="bullet"/>
      <w:lvlText w:val="•"/>
      <w:lvlJc w:val="left"/>
      <w:pPr>
        <w:ind w:left="3718" w:hanging="361"/>
      </w:pPr>
      <w:rPr>
        <w:rFonts w:hint="default"/>
      </w:rPr>
    </w:lvl>
    <w:lvl w:ilvl="5">
      <w:start w:val="0"/>
      <w:numFmt w:val="bullet"/>
      <w:lvlText w:val="•"/>
      <w:lvlJc w:val="left"/>
      <w:pPr>
        <w:ind w:left="4552" w:hanging="361"/>
      </w:pPr>
      <w:rPr>
        <w:rFonts w:hint="default"/>
      </w:rPr>
    </w:lvl>
    <w:lvl w:ilvl="6">
      <w:start w:val="0"/>
      <w:numFmt w:val="bullet"/>
      <w:lvlText w:val="•"/>
      <w:lvlJc w:val="left"/>
      <w:pPr>
        <w:ind w:left="5387" w:hanging="361"/>
      </w:pPr>
      <w:rPr>
        <w:rFonts w:hint="default"/>
      </w:rPr>
    </w:lvl>
    <w:lvl w:ilvl="7">
      <w:start w:val="0"/>
      <w:numFmt w:val="bullet"/>
      <w:lvlText w:val="•"/>
      <w:lvlJc w:val="left"/>
      <w:pPr>
        <w:ind w:left="6221" w:hanging="361"/>
      </w:pPr>
      <w:rPr>
        <w:rFonts w:hint="default"/>
      </w:rPr>
    </w:lvl>
    <w:lvl w:ilvl="8">
      <w:start w:val="0"/>
      <w:numFmt w:val="bullet"/>
      <w:lvlText w:val="•"/>
      <w:lvlJc w:val="left"/>
      <w:pPr>
        <w:ind w:left="7056"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drawingGridHorizontalSpacing w:val="110"/>
  <w:displayHorizontalDrawingGridEvery w:val="2"/>
  <w:characterSpacingControl w:val="doNotCompress"/>
  <w:compat>
    <w:ulTrailSpace/>
    <w:shapeLayoutLikeWW8/>
    <w:compatSetting w:name="compatibilityMode" w:uri="http://schemas.microsoft.com/office/word" w:val="15"/>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40"/>
    </w:pPr>
    <w:rPr>
      <w:sz w:val="24"/>
      <w:szCs w:val="24"/>
    </w:rPr>
  </w:style>
  <w:style w:type="paragraph" w:customStyle="1" w:styleId="Heading11">
    <w:name w:val="Heading 11"/>
    <w:basedOn w:val="Normal"/>
    <w:uiPriority w:val="1"/>
    <w:qFormat/>
    <w:pPr>
      <w:ind w:left="28"/>
      <w:outlineLvl w:val="1"/>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isit xmlns="0606af38-29d8-407d-826d-7a0cb9d9f4ed" xsi:nil="true"/>
    <cd0fc526a5c840319a97fd94028e9904 xmlns="4600776d-0a3c-44b4-bff2-0ceaafb13046">
      <Terms xmlns="http://schemas.microsoft.com/office/infopath/2007/PartnerControls"/>
    </cd0fc526a5c840319a97fd94028e9904>
    <Related_x0020_Document xmlns="78a21a5f-a3ba-4cbf-9fd5-97a15faad296">
      <Url xsi:nil="true"/>
      <Description xsi:nil="true"/>
    </Related_x0020_Document>
    <Status_x0020_of_x0020_correspondence xmlns="78a21a5f-a3ba-4cbf-9fd5-97a15faad296" xsi:nil="true"/>
    <n78ca1497cf6442fb3babdda785c85ae xmlns="78a21a5f-a3ba-4cbf-9fd5-97a15faad296">
      <Terms xmlns="http://schemas.microsoft.com/office/infopath/2007/PartnerControls"/>
    </n78ca1497cf6442fb3babdda785c85ae>
    <Specialist_x0020_Adviser xmlns="0606af38-29d8-407d-826d-7a0cb9d9f4ed" xsi:nil="true"/>
    <TransfertoArchives xmlns="4600776d-0a3c-44b4-bff2-0ceaafb13046">false</TransfertoArchives>
    <Allocated_x0020_to xmlns="78a21a5f-a3ba-4cbf-9fd5-97a15faad296">
      <UserInfo>
        <DisplayName/>
        <AccountId xsi:nil="true"/>
        <AccountType/>
      </UserInfo>
    </Allocated_x0020_to>
    <Date xmlns="78a21a5f-a3ba-4cbf-9fd5-97a15faad296" xsi:nil="true"/>
    <Publication_x0020_Date xmlns="78a21a5f-a3ba-4cbf-9fd5-97a15faad296" xsi:nil="true"/>
    <Department xmlns="78a21a5f-a3ba-4cbf-9fd5-97a15faad296" xsi:nil="true"/>
    <Notes0 xmlns="78a21a5f-a3ba-4cbf-9fd5-97a15faad296" xsi:nil="true"/>
    <j6c5b17cd04246da82e5604daf08bc68 xmlns="4600776d-0a3c-44b4-bff2-0ceaafb13046">
      <Terms xmlns="http://schemas.microsoft.com/office/infopath/2007/PartnerControls"/>
    </j6c5b17cd04246da82e5604daf08bc68>
    <k5b153ee974a4a57a7568e533217f2cb xmlns="4600776d-0a3c-44b4-bff2-0ceaafb13046">
      <Terms xmlns="http://schemas.microsoft.com/office/infopath/2007/PartnerControls"/>
    </k5b153ee974a4a57a7568e533217f2cb>
    <Meeting_x0020_Date xmlns="78a21a5f-a3ba-4cbf-9fd5-97a15faad296" xsi:nil="true"/>
    <Circulation_x0020_Date xmlns="78a21a5f-a3ba-4cbf-9fd5-97a15faad296"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2021-22</TermName>
          <TermId xmlns="http://schemas.microsoft.com/office/infopath/2007/PartnerControls">96b889cb-bf30-4d4e-a7d4-109b091b8c4a</TermId>
        </TermInfo>
      </Terms>
    </e6f926d7f5b14a74bee86c3452d91372>
    <Document_x0020_Status xmlns="78a21a5f-a3ba-4cbf-9fd5-97a15faad296" xsi:nil="true"/>
    <EndofSessionDate xmlns="4600776d-0a3c-44b4-bff2-0ceaafb13046" xsi:nil="true"/>
    <Useful_x0020_Docs xmlns="78a21a5f-a3ba-4cbf-9fd5-97a15faad29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cordNumber xmlns="4600776d-0a3c-44b4-bff2-0ceaafb13046" xsi:nil="true"/>
    <ja5e4d000da44b5490ce6b4249309924 xmlns="c86d72e2-090a-4e7d-987e-218d8a0db591">
      <Terms xmlns="http://schemas.microsoft.com/office/infopath/2007/PartnerControls"/>
    </ja5e4d000da44b5490ce6b4249309924>
    <Brief_x0020_status xmlns="78a21a5f-a3ba-4cbf-9fd5-97a15faad296" xsi:nil="true"/>
    <DateSent xmlns="4600776d-0a3c-44b4-bff2-0ceaafb13046" xsi:nil="true"/>
    <g3ef09377e3444258679b6035a1ff93a xmlns="4600776d-0a3c-44b4-bff2-0ceaafb13046">
      <Terms xmlns="http://schemas.microsoft.com/office/infopath/2007/PartnerControls"/>
    </g3ef09377e3444258679b6035a1ff93a>
    <j3dc9349b3384741bd6025ba1321f3a9 xmlns="78a21a5f-a3ba-4cbf-9fd5-97a15faad296">
      <Terms xmlns="http://schemas.microsoft.com/office/infopath/2007/PartnerControls"/>
    </j3dc9349b3384741bd6025ba1321f3a9>
    <Additional_x0020_category xmlns="78a21a5f-a3ba-4cbf-9fd5-97a15faad296" xsi:nil="true"/>
    <Deadline xmlns="78a21a5f-a3ba-4cbf-9fd5-97a15faad296" xsi:nil="true"/>
    <Witness xmlns="0606af38-29d8-407d-826d-7a0cb9d9f4ed" xsi:nil="true"/>
    <TaxCatchAll xmlns="4600776d-0a3c-44b4-bff2-0ceaafb13046">
      <Value>2</Value>
      <Value>102</Value>
    </TaxCatchAll>
    <DateReceived xmlns="4600776d-0a3c-44b4-bff2-0ceaafb130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2277DC231C6F4F8B813250BF939800" ma:contentTypeVersion="48" ma:contentTypeDescription="Create a new document." ma:contentTypeScope="" ma:versionID="ae12ee71f369d4ee5cb7a33a8bd66123">
  <xsd:schema xmlns:xsd="http://www.w3.org/2001/XMLSchema" xmlns:xs="http://www.w3.org/2001/XMLSchema" xmlns:p="http://schemas.microsoft.com/office/2006/metadata/properties" xmlns:ns2="78a21a5f-a3ba-4cbf-9fd5-97a15faad296" xmlns:ns3="0606af38-29d8-407d-826d-7a0cb9d9f4ed" xmlns:ns4="4600776d-0a3c-44b4-bff2-0ceaafb13046" xmlns:ns5="c86d72e2-090a-4e7d-987e-218d8a0db591" xmlns:ns6="6ab18433-7710-49bd-9bb4-0bb85747556a" targetNamespace="http://schemas.microsoft.com/office/2006/metadata/properties" ma:root="true" ma:fieldsID="a219105cdfe14138a5486def0ea559e5" ns2:_="" ns3:_="" ns4:_="" ns5:_="" ns6:_="">
    <xsd:import namespace="78a21a5f-a3ba-4cbf-9fd5-97a15faad296"/>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2:j3dc9349b3384741bd6025ba1321f3a9" minOccurs="0"/>
                <xsd:element ref="ns5: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6:_dlc_DocIdUrl" minOccurs="0"/>
                <xsd:element ref="ns6:_dlc_DocIdPersistId" minOccurs="0"/>
                <xsd:element ref="ns4:e6f926d7f5b14a74bee86c3452d91372" minOccurs="0"/>
                <xsd:element ref="ns4:k5b153ee974a4a57a7568e533217f2cb" minOccurs="0"/>
                <xsd:element ref="ns4:TaxCatchAll" minOccurs="0"/>
                <xsd:element ref="ns4:TaxCatchAllLabel" minOccurs="0"/>
                <xsd:element ref="ns2:n78ca1497cf6442fb3babdda785c85ae" minOccurs="0"/>
                <xsd:element ref="ns4:c4838c65c76546ae93d5703426802f7f" minOccurs="0"/>
                <xsd:element ref="ns3:Specialist_x0020_Adviser_x003a_Full_x0020_Name" minOccurs="0"/>
                <xsd:element ref="ns4:j6c5b17cd04246da82e5604daf08bc68" minOccurs="0"/>
                <xsd:element ref="ns4:g3ef09377e3444258679b6035a1ff93a" minOccurs="0"/>
                <xsd:element ref="ns4:cd0fc526a5c840319a97fd94028e9904" minOccurs="0"/>
                <xsd:element ref="ns6:_dlc_DocId" minOccurs="0"/>
                <xsd:element ref="ns3:Specialist_x0020_Adviser_x003a_First_x0020_Name" minOccurs="0"/>
                <xsd:element ref="ns6:SharedWithUsers" minOccurs="0"/>
                <xsd:element ref="ns6:SharedWithDetails" minOccurs="0"/>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1a5f-a3ba-4cbf-9fd5-97a15faad296"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dexed="true"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50"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62" nillable="true" ma:displayName="MediaServiceMetadata" ma:description="" ma:hidden="true" ma:internalName="MediaServiceMetadata" ma:readOnly="true">
      <xsd:simpleType>
        <xsd:restriction base="dms:Note"/>
      </xsd:simpleType>
    </xsd:element>
    <xsd:element name="MediaServiceFastMetadata" ma:index="63" nillable="true" ma:displayName="MediaServiceFastMetadata" ma:description="" ma:hidden="true" ma:internalName="MediaServiceFastMetadata" ma:readOnly="true">
      <xsd:simpleType>
        <xsd:restriction base="dms:Note"/>
      </xsd:simpleType>
    </xsd:element>
    <xsd:element name="MediaServiceDateTaken" ma:index="64" nillable="true" ma:displayName="MediaServiceDateTaken" ma:hidden="true" ma:internalName="MediaServiceDateTaken" ma:readOnly="true">
      <xsd:simpleType>
        <xsd:restriction base="dms:Text"/>
      </xsd:simpleType>
    </xsd:element>
    <xsd:element name="MediaServiceAutoTags" ma:index="65" nillable="true" ma:displayName="MediaServiceAutoTags" ma:internalName="MediaServiceAutoTags" ma:readOnly="true">
      <xsd:simpleType>
        <xsd:restriction base="dms:Text"/>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GenerationTime" ma:index="67" nillable="true" ma:displayName="MediaServiceGenerationTime" ma:hidden="true" ma:internalName="MediaServiceGenerationTime" ma:readOnly="true">
      <xsd:simpleType>
        <xsd:restriction base="dms:Text"/>
      </xsd:simpleType>
    </xsd:element>
    <xsd:element name="MediaServiceOCR" ma:index="68" nillable="true" ma:displayName="Extracted Text" ma:internalName="MediaServiceOCR" ma:readOnly="true">
      <xsd:simpleType>
        <xsd:restriction base="dms:Note">
          <xsd:maxLength value="255"/>
        </xsd:restriction>
      </xsd:simpleType>
    </xsd:element>
    <xsd:element name="MediaServiceLocation" ma:index="69" nillable="true" ma:displayName="Location" ma:internalName="MediaServiceLocation" ma:readOnly="true">
      <xsd:simpleType>
        <xsd:restriction base="dms:Text"/>
      </xsd:simpleType>
    </xsd:element>
    <xsd:element name="MediaServiceAutoKeyPoints" ma:index="70" nillable="true" ma:displayName="MediaServiceAutoKeyPoints" ma:hidden="true" ma:internalName="MediaServiceAutoKeyPoints" ma:readOnly="true">
      <xsd:simpleType>
        <xsd:restriction base="dms:Note"/>
      </xsd:simpleType>
    </xsd:element>
    <xsd:element name="MediaServiceKeyPoints" ma:index="7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afe8bd55-a0fb-4cae-be78-f6e7131ee63c}" ma:internalName="Visit" ma:showField="Title" ma:web="0606af38-29d8-407d-826d-7a0cb9d9f4ed">
      <xsd:simpleType>
        <xsd:restriction base="dms:Lookup"/>
      </xsd:simpleType>
    </xsd:element>
    <xsd:element name="Specialist_x0020_Adviser" ma:index="17" nillable="true" ma:displayName="Specialist Adviser" ma:list="{5f0f316a-c464-4688-8884-64a2ac9db88c}" ma:internalName="Specialist_x0020_Adviser" ma:showField="Title" ma:web="0606af38-29d8-407d-826d-7a0cb9d9f4ed">
      <xsd:simpleType>
        <xsd:restriction base="dms:Lookup"/>
      </xsd:simpleType>
    </xsd:element>
    <xsd:element name="Witness" ma:index="18" nillable="true" ma:displayName="Witness" ma:list="{41c53827-be01-44a9-8212-472216e50bf9}" ma:internalName="Witness" ma:showField="Title" ma:web="0606af38-29d8-407d-826d-7a0cb9d9f4ed">
      <xsd:simpleType>
        <xsd:restriction base="dms:Lookup"/>
      </xsd:simpleType>
    </xsd:element>
    <xsd:element name="Visit_x003a_Start_x0020_Time" ma:index="38" nillable="true" ma:displayName="Visit:Start Time" ma:list="{afe8bd55-a0fb-4cae-be78-f6e7131ee63c}"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afe8bd55-a0fb-4cae-be78-f6e7131ee63c}"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41c53827-be01-44a9-8212-472216e50bf9}"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41c53827-be01-44a9-8212-472216e50bf9}"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41c53827-be01-44a9-8212-472216e50bf9}" ma:internalName="Witness_x003a_Job_x0020_Title" ma:readOnly="true" ma:showField="Job_x0020_Title" ma:web="0606af38-29d8-407d-826d-7a0cb9d9f4ed">
      <xsd:simpleType>
        <xsd:restriction base="dms:Lookup"/>
      </xsd:simpleType>
    </xsd:element>
    <xsd:element name="Specialist_x0020_Adviser_x003a_Full_x0020_Name" ma:index="52" nillable="true" ma:displayName="Specialist Adviser:Full Name" ma:list="{5f0f316a-c464-4688-8884-64a2ac9db88c}" ma:internalName="Specialist_x0020_Adviser_x003a_Full_x0020_Name" ma:readOnly="true" ma:showField="FullName" ma:web="0606af38-29d8-407d-826d-7a0cb9d9f4ed">
      <xsd:simpleType>
        <xsd:restriction base="dms:Lookup"/>
      </xsd:simpleType>
    </xsd:element>
    <xsd:element name="Specialist_x0020_Adviser_x003a_First_x0020_Name" ma:index="59" nillable="true" ma:displayName="Specialist Adviser:First Name" ma:list="{5f0f316a-c464-4688-8884-64a2ac9db88c}" ma:internalName="Specialist_x0020_Adviser_x003a_First_x0020_Name" ma:readOnly="true" ma:showField="First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1" nillable="true" ma:displayName="Record Number" ma:indexed="true" ma:internalName="RecordNumber">
      <xsd:simpleType>
        <xsd:restriction base="dms:Text">
          <xsd:maxLength value="255"/>
        </xsd:restriction>
      </xsd:simpleType>
    </xsd:element>
    <xsd:element name="e6f926d7f5b14a74bee86c3452d91372" ma:index="46" nillable="true" ma:taxonomy="true" ma:internalName="e6f926d7f5b14a74bee86c3452d91372" ma:taxonomyFieldName="Sessions" ma:displayName="Session" ma:default="102;#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k5b153ee974a4a57a7568e533217f2cb" ma:index="47"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48" nillable="true" ma:displayName="Taxonomy Catch All Column" ma:description="" ma:hidden="true" ma:list="{25151384-0c62-407f-92a9-074e2371d64c}"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9" nillable="true" ma:displayName="Taxonomy Catch All Column1" ma:description="" ma:hidden="true" ma:list="{25151384-0c62-407f-92a9-074e2371d64c}"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51"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53"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5"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7"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5b0a02d5-2754-4c2f-b1de-2692213ebfa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5" nillable="true" ma:displayName="Persist ID" ma:description="Keep ID on add." ma:hidden="true" ma:internalName="_dlc_DocIdPersistId" ma:readOnly="true">
      <xsd:simpleType>
        <xsd:restriction base="dms:Boolean"/>
      </xsd:simpleType>
    </xsd:element>
    <xsd:element name="_dlc_DocId" ma:index="58" nillable="true" ma:displayName="Document ID Value" ma:description="The value of the document ID assigned to this item." ma:internalName="_dlc_DocId" ma:readOnly="true">
      <xsd:simpleType>
        <xsd:restriction base="dms:Text"/>
      </xsd:simpleType>
    </xsd:element>
    <xsd:element name="SharedWithUsers" ma:index="6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803CB00F-D53A-4CEF-9936-43B40AD6734F}">
  <ds:schemaRefs/>
</ds:datastoreItem>
</file>

<file path=customXml/itemProps2.xml><?xml version="1.0" encoding="utf-8"?>
<ds:datastoreItem xmlns:ds="http://schemas.openxmlformats.org/officeDocument/2006/customXml" ds:itemID="{A395417E-112D-4C6C-AA96-8C0230B5BE8C}">
  <ds:schemaRefs/>
</ds:datastoreItem>
</file>

<file path=customXml/itemProps3.xml><?xml version="1.0" encoding="utf-8"?>
<ds:datastoreItem xmlns:ds="http://schemas.openxmlformats.org/officeDocument/2006/customXml" ds:itemID="{E8B4DC8C-3FE3-4C73-900F-D23BA13DDF4D}">
  <ds:schemaRefs/>
</ds:datastoreItem>
</file>

<file path=customXml/itemProps4.xml><?xml version="1.0" encoding="utf-8"?>
<ds:datastoreItem xmlns:ds="http://schemas.openxmlformats.org/officeDocument/2006/customXml" ds:itemID="{3E22908E-AE77-4AF1-A467-5DAF4EF11C66}">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