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110F" w:rsidRPr="00EF3423" w:rsidP="0081110F">
      <w:pPr>
        <w:pStyle w:val="Heading1"/>
        <w:rPr>
          <w:rFonts w:asciiTheme="minorHAnsi" w:hAnsiTheme="minorHAnsi" w:cstheme="minorHAnsi"/>
          <w:lang w:eastAsia="en-GB"/>
        </w:rPr>
      </w:pPr>
      <w:bookmarkStart w:id="0" w:name="_Hlk100737136"/>
      <w:bookmarkEnd w:id="0"/>
      <w:r w:rsidRPr="00EF3423">
        <w:rPr>
          <w:rFonts w:asciiTheme="minorHAnsi" w:hAnsiTheme="minorHAnsi" w:cstheme="minorHAnsi"/>
          <w:lang w:eastAsia="en-GB"/>
        </w:rPr>
        <w:t>Department for Education</w:t>
      </w:r>
    </w:p>
    <w:p w:rsidR="0081110F" w:rsidP="0081110F">
      <w:pPr>
        <w:pStyle w:val="Heading1"/>
        <w:rPr>
          <w:rFonts w:asciiTheme="minorHAnsi" w:hAnsiTheme="minorHAnsi" w:cstheme="minorHAnsi"/>
        </w:rPr>
      </w:pPr>
      <w:r>
        <w:rPr>
          <w:rFonts w:asciiTheme="minorHAnsi" w:hAnsiTheme="minorHAnsi" w:cstheme="minorHAnsi"/>
        </w:rPr>
        <w:t>Main Estimate</w:t>
      </w:r>
      <w:r w:rsidR="00AA4811">
        <w:rPr>
          <w:rFonts w:asciiTheme="minorHAnsi" w:hAnsiTheme="minorHAnsi" w:cstheme="minorHAnsi"/>
        </w:rPr>
        <w:t>s</w:t>
      </w:r>
      <w:r>
        <w:rPr>
          <w:rFonts w:asciiTheme="minorHAnsi" w:hAnsiTheme="minorHAnsi" w:cstheme="minorHAnsi"/>
        </w:rPr>
        <w:t xml:space="preserve"> 202</w:t>
      </w:r>
      <w:r w:rsidR="00CC67EA">
        <w:rPr>
          <w:rFonts w:asciiTheme="minorHAnsi" w:hAnsiTheme="minorHAnsi" w:cstheme="minorHAnsi"/>
        </w:rPr>
        <w:t>3</w:t>
      </w:r>
      <w:r>
        <w:rPr>
          <w:rFonts w:asciiTheme="minorHAnsi" w:hAnsiTheme="minorHAnsi" w:cstheme="minorHAnsi"/>
        </w:rPr>
        <w:t>-2</w:t>
      </w:r>
      <w:r w:rsidR="00CC67EA">
        <w:rPr>
          <w:rFonts w:asciiTheme="minorHAnsi" w:hAnsiTheme="minorHAnsi" w:cstheme="minorHAnsi"/>
        </w:rPr>
        <w:t>4</w:t>
      </w:r>
      <w:r w:rsidRPr="00EF3423">
        <w:rPr>
          <w:rFonts w:asciiTheme="minorHAnsi" w:hAnsiTheme="minorHAnsi" w:cstheme="minorHAnsi"/>
        </w:rPr>
        <w:t xml:space="preserve">: Estimates </w:t>
      </w:r>
      <w:r w:rsidRPr="00EF3423" w:rsidR="008A519F">
        <w:rPr>
          <w:rFonts w:asciiTheme="minorHAnsi" w:hAnsiTheme="minorHAnsi" w:cstheme="minorHAnsi"/>
        </w:rPr>
        <w:t>memorandum.</w:t>
      </w:r>
      <w:r w:rsidRPr="00EF3423">
        <w:rPr>
          <w:rFonts w:asciiTheme="minorHAnsi" w:hAnsiTheme="minorHAnsi" w:cstheme="minorHAnsi"/>
        </w:rPr>
        <w:t xml:space="preserve"> </w:t>
      </w:r>
    </w:p>
    <w:p w:rsidR="00791AB3" w:rsidRPr="00791AB3" w:rsidP="00791AB3"/>
    <w:p w:rsidR="0081110F" w:rsidRPr="008D0A1B" w:rsidP="0081110F">
      <w:pPr>
        <w:pStyle w:val="Heading2"/>
        <w:rPr>
          <w:rFonts w:asciiTheme="minorHAnsi" w:hAnsiTheme="minorHAnsi" w:cstheme="minorHAnsi"/>
        </w:rPr>
      </w:pPr>
      <w:r w:rsidRPr="008D0A1B">
        <w:rPr>
          <w:rFonts w:asciiTheme="minorHAnsi" w:hAnsiTheme="minorHAnsi" w:cstheme="minorHAnsi"/>
        </w:rPr>
        <w:t>1</w:t>
      </w:r>
      <w:r w:rsidRPr="008D0A1B">
        <w:rPr>
          <w:rFonts w:asciiTheme="minorHAnsi" w:hAnsiTheme="minorHAnsi" w:cstheme="minorHAnsi"/>
        </w:rPr>
        <w:tab/>
        <w:t>Overview</w:t>
      </w:r>
    </w:p>
    <w:p w:rsidR="0081110F" w:rsidRPr="008D0A1B" w:rsidP="00DA756E">
      <w:pPr>
        <w:pStyle w:val="Heading2"/>
        <w:tabs>
          <w:tab w:val="left" w:pos="720"/>
          <w:tab w:val="left" w:pos="1440"/>
          <w:tab w:val="center" w:pos="4513"/>
        </w:tabs>
        <w:rPr>
          <w:rFonts w:asciiTheme="minorHAnsi" w:hAnsiTheme="minorHAnsi" w:cstheme="minorHAnsi"/>
        </w:rPr>
      </w:pPr>
      <w:r w:rsidRPr="008D0A1B">
        <w:rPr>
          <w:rFonts w:asciiTheme="minorHAnsi" w:hAnsiTheme="minorHAnsi" w:cstheme="minorHAnsi"/>
        </w:rPr>
        <w:t xml:space="preserve">1.1 </w:t>
      </w:r>
      <w:r w:rsidRPr="008D0A1B">
        <w:rPr>
          <w:rFonts w:asciiTheme="minorHAnsi" w:hAnsiTheme="minorHAnsi" w:cstheme="minorHAnsi"/>
        </w:rPr>
        <w:tab/>
        <w:t>Objectives</w:t>
      </w:r>
      <w:r w:rsidR="00DA756E">
        <w:rPr>
          <w:rFonts w:asciiTheme="minorHAnsi" w:hAnsiTheme="minorHAnsi" w:cstheme="minorHAnsi"/>
        </w:rPr>
        <w:tab/>
      </w:r>
    </w:p>
    <w:p w:rsidR="00305834" w:rsidRPr="007B6959" w:rsidP="00305834">
      <w:bookmarkStart w:id="1" w:name="_Hlk67921192"/>
      <w:r w:rsidRPr="007B6959">
        <w:t xml:space="preserve">The Department for Education </w:t>
      </w:r>
      <w:r w:rsidRPr="007B6959" w:rsidR="00842B46">
        <w:t xml:space="preserve">(DfE) </w:t>
      </w:r>
      <w:r w:rsidRPr="007B6959">
        <w:t>is responsible for children’s services and education, including early years, schools, further and higher education, apprenticeships and wider skills in England.</w:t>
      </w:r>
      <w:r w:rsidRPr="007B6959" w:rsidR="007A0A24">
        <w:t xml:space="preserve"> </w:t>
      </w:r>
    </w:p>
    <w:p w:rsidR="004925B5" w:rsidP="00882DA8">
      <w:pPr>
        <w:rPr>
          <w:color w:val="FF0000"/>
        </w:rPr>
      </w:pPr>
      <w:r w:rsidRPr="007B6959">
        <w:t>DfE enables children and students to thrive, by protecting the vulnerable and ensuring the delivery of excellent standards of education, training and care. This helps realise everyone's potential –powering our economy, strengthening society, and increasing fairness.</w:t>
      </w:r>
    </w:p>
    <w:p w:rsidR="004925B5" w:rsidP="004925B5">
      <w:r>
        <w:t xml:space="preserve">All departments produced a draft Outcome Delivery Plan (ODP) for 2022-23. However, with the announcement of Civil Service 2025 in May 2022, Cabinet Office and HM Treasury Ministers agreed to pause the publication of ODPs to ensure that the ODPs could reflect any workforce changes. </w:t>
      </w:r>
    </w:p>
    <w:p w:rsidR="004925B5" w:rsidP="004925B5">
      <w:r>
        <w:t>On 17 November 2022, the Chancellor of the Exchequer delivered the Autumn Statement and this needs to be reflected in plans. The government has agreed that departments will not be required to publish ODPs for 2022-23 but to concentrate on the production of ODPs for 2023-24.</w:t>
      </w:r>
    </w:p>
    <w:p w:rsidR="00DE51B9" w:rsidRPr="007B6959" w:rsidP="007B6959">
      <w:r w:rsidRPr="007B6959">
        <w:t xml:space="preserve">For 2023-24 DFE </w:t>
      </w:r>
      <w:r w:rsidRPr="007B6959" w:rsidR="00016320">
        <w:t>has the following priority outcomes</w:t>
      </w:r>
      <w:r w:rsidR="00C9798A">
        <w:t>:</w:t>
      </w:r>
      <w:r w:rsidRPr="007B6959" w:rsidR="00016320">
        <w:t xml:space="preserve"> </w:t>
      </w:r>
      <w:bookmarkEnd w:id="1"/>
    </w:p>
    <w:p w:rsidR="004925B5" w:rsidP="004925B5">
      <w:r>
        <w:t xml:space="preserve">Skills - Level up productivity and employment by improving the skills pipeline and supporting people to </w:t>
      </w:r>
      <w:r>
        <w:t>work;</w:t>
      </w:r>
    </w:p>
    <w:p w:rsidR="004925B5" w:rsidP="004925B5">
      <w:r>
        <w:t xml:space="preserve">Schools - Level up education standards in every part of the country, and support children and young people to recover from the Covid-19 pandemic; and </w:t>
      </w:r>
    </w:p>
    <w:p w:rsidR="00DE51B9" w:rsidRPr="007B6959" w:rsidP="007B6959">
      <w:pPr>
        <w:rPr>
          <w:color w:val="FF0000"/>
        </w:rPr>
      </w:pPr>
      <w:r>
        <w:t>Families - Support families and protect young people through high quality local services, early education and childcare.</w:t>
      </w:r>
    </w:p>
    <w:p w:rsidR="00393CE1" w:rsidRPr="007B6959" w:rsidP="00DE51B9">
      <w:r w:rsidRPr="007B6959">
        <w:t xml:space="preserve">The </w:t>
      </w:r>
      <w:r w:rsidRPr="007B6959">
        <w:t>Outcome Delivery Plan will be published later in 202</w:t>
      </w:r>
      <w:r w:rsidRPr="007B6959">
        <w:t>3</w:t>
      </w:r>
      <w:r w:rsidRPr="007B6959">
        <w:t>.</w:t>
      </w:r>
    </w:p>
    <w:p w:rsidR="00FD5BCD" w:rsidRPr="008D0A1B" w:rsidP="000B34E6">
      <w:pPr>
        <w:pStyle w:val="Heading2"/>
        <w:rPr>
          <w:rFonts w:asciiTheme="minorHAnsi" w:hAnsiTheme="minorHAnsi" w:cstheme="minorHAnsi"/>
        </w:rPr>
      </w:pPr>
      <w:r w:rsidRPr="008D0A1B">
        <w:rPr>
          <w:rFonts w:asciiTheme="minorHAnsi" w:hAnsiTheme="minorHAnsi" w:cstheme="minorHAnsi"/>
        </w:rPr>
        <w:t>1.2 Spending controls</w:t>
      </w:r>
    </w:p>
    <w:p w:rsidR="0081110F" w:rsidRPr="008D0A1B" w:rsidP="00FD5BCD">
      <w:pPr>
        <w:rPr>
          <w:rFonts w:cstheme="minorHAnsi"/>
        </w:rPr>
      </w:pPr>
      <w:r w:rsidRPr="008D0A1B">
        <w:t>DfE’s spending is broken down into several different spending totals, for which Parliament’s approval is sought</w:t>
      </w:r>
      <w:r w:rsidRPr="008D0A1B">
        <w:rPr>
          <w:rFonts w:cstheme="minorHAnsi"/>
        </w:rPr>
        <w:t xml:space="preserve">. </w:t>
      </w:r>
      <w:r w:rsidRPr="008D0A1B" w:rsidR="0058591A">
        <w:rPr>
          <w:rFonts w:cstheme="minorHAnsi"/>
        </w:rPr>
        <w:t>Parliament votes</w:t>
      </w:r>
      <w:r w:rsidR="0058591A">
        <w:rPr>
          <w:rFonts w:cstheme="minorHAnsi"/>
        </w:rPr>
        <w:t xml:space="preserve"> the following</w:t>
      </w:r>
      <w:r w:rsidRPr="008D0A1B" w:rsidR="0058591A">
        <w:rPr>
          <w:rFonts w:cstheme="minorHAnsi"/>
        </w:rPr>
        <w:t xml:space="preserve"> spending totals</w:t>
      </w:r>
      <w:r w:rsidRPr="008D0A1B">
        <w:rPr>
          <w:rFonts w:cstheme="minorHAnsi"/>
        </w:rPr>
        <w:t>:</w:t>
      </w:r>
    </w:p>
    <w:p w:rsidR="00791185" w:rsidRPr="008D0A1B" w:rsidP="00791185">
      <w:pPr>
        <w:pStyle w:val="ListParagraph"/>
        <w:numPr>
          <w:ilvl w:val="0"/>
          <w:numId w:val="1"/>
        </w:numPr>
        <w:jc w:val="both"/>
        <w:rPr>
          <w:rFonts w:cstheme="minorHAnsi"/>
        </w:rPr>
      </w:pPr>
      <w:r w:rsidRPr="008D0A1B">
        <w:rPr>
          <w:rFonts w:cstheme="minorHAnsi"/>
        </w:rPr>
        <w:t>Resource Departmental Expenditure Limit (“</w:t>
      </w:r>
      <w:r w:rsidRPr="008D0A1B">
        <w:rPr>
          <w:rFonts w:cstheme="minorHAnsi"/>
          <w:b/>
        </w:rPr>
        <w:t>Resource DEL</w:t>
      </w:r>
      <w:r w:rsidRPr="008D0A1B">
        <w:rPr>
          <w:rFonts w:cstheme="minorHAnsi"/>
        </w:rPr>
        <w:t>”) - day to day running costs</w:t>
      </w:r>
      <w:r>
        <w:rPr>
          <w:rFonts w:cstheme="minorHAnsi"/>
        </w:rPr>
        <w:t>. This includes Programme DEL, which goes to the sectors DfE works with and also covers</w:t>
      </w:r>
      <w:r w:rsidR="006F7AFC">
        <w:rPr>
          <w:rFonts w:cstheme="minorHAnsi"/>
        </w:rPr>
        <w:t xml:space="preserve"> a portion of </w:t>
      </w:r>
      <w:r>
        <w:rPr>
          <w:rFonts w:cstheme="minorHAnsi"/>
        </w:rPr>
        <w:t>the impairment charge for Student Loans, and Administration DEL, which relates to the running of the Department and its agencies</w:t>
      </w:r>
      <w:r w:rsidRPr="008D0A1B">
        <w:rPr>
          <w:rFonts w:cstheme="minorHAnsi"/>
        </w:rPr>
        <w:t>;</w:t>
      </w:r>
    </w:p>
    <w:p w:rsidR="0081110F" w:rsidRPr="00421528" w:rsidP="005015E2">
      <w:pPr>
        <w:pStyle w:val="ListParagraph"/>
        <w:numPr>
          <w:ilvl w:val="0"/>
          <w:numId w:val="1"/>
        </w:numPr>
        <w:jc w:val="both"/>
        <w:rPr>
          <w:rFonts w:cstheme="minorHAnsi"/>
        </w:rPr>
      </w:pPr>
      <w:r w:rsidRPr="005015E2">
        <w:rPr>
          <w:rFonts w:cstheme="minorHAnsi"/>
        </w:rPr>
        <w:t>Capital Departmental Expenditure Limit (“</w:t>
      </w:r>
      <w:r w:rsidRPr="005015E2">
        <w:rPr>
          <w:rFonts w:cstheme="minorHAnsi"/>
          <w:b/>
        </w:rPr>
        <w:t>Capital DEL</w:t>
      </w:r>
      <w:r w:rsidRPr="00AD798A">
        <w:rPr>
          <w:rFonts w:cstheme="minorHAnsi"/>
        </w:rPr>
        <w:t xml:space="preserve">”) - investment in infrastructure; </w:t>
      </w:r>
    </w:p>
    <w:p w:rsidR="0081110F" w:rsidRPr="008D0A1B" w:rsidP="004E5A52">
      <w:pPr>
        <w:pStyle w:val="ListParagraph"/>
        <w:numPr>
          <w:ilvl w:val="0"/>
          <w:numId w:val="1"/>
        </w:numPr>
        <w:jc w:val="both"/>
        <w:rPr>
          <w:rFonts w:cstheme="minorHAnsi"/>
        </w:rPr>
      </w:pPr>
      <w:r w:rsidRPr="008D0A1B">
        <w:rPr>
          <w:rFonts w:cstheme="minorHAnsi"/>
        </w:rPr>
        <w:t>Resource Annually Managed Expenditure (“</w:t>
      </w:r>
      <w:r w:rsidRPr="008D0A1B">
        <w:rPr>
          <w:rFonts w:cstheme="minorHAnsi"/>
          <w:b/>
        </w:rPr>
        <w:t>Resource AME</w:t>
      </w:r>
      <w:r w:rsidRPr="008D0A1B" w:rsidR="00603A3E">
        <w:rPr>
          <w:rFonts w:cstheme="minorHAnsi"/>
        </w:rPr>
        <w:t>”) - in Df</w:t>
      </w:r>
      <w:r w:rsidRPr="008D0A1B">
        <w:rPr>
          <w:rFonts w:cstheme="minorHAnsi"/>
        </w:rPr>
        <w:t xml:space="preserve">E’s case, </w:t>
      </w:r>
      <w:r w:rsidR="00AD798A">
        <w:rPr>
          <w:rFonts w:cstheme="minorHAnsi"/>
        </w:rPr>
        <w:t xml:space="preserve">this is </w:t>
      </w:r>
      <w:r w:rsidRPr="008D0A1B">
        <w:rPr>
          <w:rFonts w:cstheme="minorHAnsi"/>
        </w:rPr>
        <w:t xml:space="preserve">mainly repayments of interest by students on their loans, and </w:t>
      </w:r>
      <w:r w:rsidR="00AD798A">
        <w:rPr>
          <w:rFonts w:cstheme="minorHAnsi"/>
        </w:rPr>
        <w:t xml:space="preserve">changes </w:t>
      </w:r>
      <w:r w:rsidRPr="008D0A1B">
        <w:rPr>
          <w:rFonts w:cstheme="minorHAnsi"/>
        </w:rPr>
        <w:t>in the estimated value of the student loan book</w:t>
      </w:r>
      <w:r w:rsidRPr="00B32650">
        <w:rPr>
          <w:rFonts w:cstheme="minorHAnsi"/>
        </w:rPr>
        <w:t>; and</w:t>
      </w:r>
    </w:p>
    <w:p w:rsidR="0081110F" w:rsidRPr="008D0A1B" w:rsidP="004E5A52">
      <w:pPr>
        <w:pStyle w:val="ListParagraph"/>
        <w:numPr>
          <w:ilvl w:val="0"/>
          <w:numId w:val="1"/>
        </w:numPr>
        <w:jc w:val="both"/>
        <w:rPr>
          <w:rFonts w:cstheme="minorHAnsi"/>
        </w:rPr>
      </w:pPr>
      <w:r w:rsidRPr="008D0A1B">
        <w:rPr>
          <w:rFonts w:cstheme="minorHAnsi"/>
        </w:rPr>
        <w:t>Capital Annually Managed Expenditure (“</w:t>
      </w:r>
      <w:r w:rsidRPr="008D0A1B">
        <w:rPr>
          <w:rFonts w:cstheme="minorHAnsi"/>
          <w:b/>
        </w:rPr>
        <w:t>Capital AME</w:t>
      </w:r>
      <w:r w:rsidRPr="008D0A1B" w:rsidR="00603A3E">
        <w:rPr>
          <w:rFonts w:cstheme="minorHAnsi"/>
        </w:rPr>
        <w:t>”) - in Df</w:t>
      </w:r>
      <w:r w:rsidRPr="008D0A1B">
        <w:rPr>
          <w:rFonts w:cstheme="minorHAnsi"/>
        </w:rPr>
        <w:t xml:space="preserve">E’s case, </w:t>
      </w:r>
      <w:r w:rsidR="00421528">
        <w:rPr>
          <w:rFonts w:cstheme="minorHAnsi"/>
        </w:rPr>
        <w:t xml:space="preserve">this covers </w:t>
      </w:r>
      <w:r w:rsidRPr="008D0A1B">
        <w:rPr>
          <w:rFonts w:cstheme="minorHAnsi"/>
        </w:rPr>
        <w:t>payments of loans to students</w:t>
      </w:r>
      <w:r w:rsidR="00543649">
        <w:rPr>
          <w:rFonts w:cstheme="minorHAnsi"/>
        </w:rPr>
        <w:t xml:space="preserve"> and interest added to students’ balances</w:t>
      </w:r>
      <w:r w:rsidRPr="008D0A1B">
        <w:rPr>
          <w:rFonts w:cstheme="minorHAnsi"/>
        </w:rPr>
        <w:t>, less capital repayments from past students.</w:t>
      </w:r>
    </w:p>
    <w:p w:rsidR="0014035D" w:rsidRPr="008D0A1B" w:rsidP="004E5A52">
      <w:pPr>
        <w:pStyle w:val="ListParagraph"/>
        <w:numPr>
          <w:ilvl w:val="0"/>
          <w:numId w:val="1"/>
        </w:numPr>
        <w:jc w:val="both"/>
        <w:rPr>
          <w:rFonts w:cstheme="minorHAnsi"/>
        </w:rPr>
      </w:pPr>
      <w:r w:rsidRPr="008D0A1B">
        <w:rPr>
          <w:rFonts w:cstheme="minorHAnsi"/>
        </w:rPr>
        <w:t>The aggregate of the above categories is known as Total Managed Expenditure (</w:t>
      </w:r>
      <w:r w:rsidRPr="008D0A1B" w:rsidR="00016320">
        <w:rPr>
          <w:rFonts w:cstheme="minorHAnsi"/>
        </w:rPr>
        <w:t>“</w:t>
      </w:r>
      <w:r w:rsidRPr="00140606">
        <w:rPr>
          <w:rFonts w:cstheme="minorHAnsi"/>
          <w:b/>
          <w:bCs/>
        </w:rPr>
        <w:t>TME</w:t>
      </w:r>
      <w:r w:rsidRPr="008D0A1B" w:rsidR="00016320">
        <w:rPr>
          <w:rFonts w:cstheme="minorHAnsi"/>
        </w:rPr>
        <w:t>”</w:t>
      </w:r>
      <w:r w:rsidRPr="008D0A1B">
        <w:rPr>
          <w:rFonts w:cstheme="minorHAnsi"/>
        </w:rPr>
        <w:t>).</w:t>
      </w:r>
    </w:p>
    <w:p w:rsidR="0081110F" w:rsidRPr="008D0A1B" w:rsidP="0081110F">
      <w:pPr>
        <w:jc w:val="both"/>
        <w:rPr>
          <w:rFonts w:cstheme="minorHAnsi"/>
        </w:rPr>
      </w:pPr>
      <w:r w:rsidRPr="008D0A1B">
        <w:rPr>
          <w:rFonts w:cstheme="minorHAnsi"/>
        </w:rPr>
        <w:t>In addition, Parliament votes a net cash requirement, designed to cover the elements of the above budgets which require DfE to pay out cash during the year.</w:t>
      </w:r>
    </w:p>
    <w:p w:rsidR="00791AB3" w:rsidRPr="008D0A1B" w:rsidP="00140606">
      <w:pPr>
        <w:spacing w:after="0" w:line="240" w:lineRule="auto"/>
        <w:rPr>
          <w:rFonts w:cstheme="minorHAnsi"/>
          <w:b/>
          <w:i/>
          <w:sz w:val="16"/>
          <w:szCs w:val="16"/>
        </w:rPr>
      </w:pPr>
    </w:p>
    <w:p w:rsidR="00A73C0C">
      <w:pPr>
        <w:spacing w:after="0" w:line="240" w:lineRule="auto"/>
        <w:rPr>
          <w:b/>
        </w:rPr>
      </w:pPr>
      <w:r w:rsidRPr="274629C6">
        <w:rPr>
          <w:b/>
        </w:rPr>
        <w:t xml:space="preserve">Spending totals: DfE </w:t>
      </w:r>
      <w:r w:rsidRPr="274629C6" w:rsidR="00C76A98">
        <w:rPr>
          <w:b/>
        </w:rPr>
        <w:t>Main</w:t>
      </w:r>
      <w:r w:rsidRPr="274629C6" w:rsidR="008F20F6">
        <w:rPr>
          <w:b/>
        </w:rPr>
        <w:t xml:space="preserve"> Estimate 202</w:t>
      </w:r>
      <w:r w:rsidRPr="274629C6" w:rsidR="00CC67EA">
        <w:rPr>
          <w:b/>
        </w:rPr>
        <w:t>3</w:t>
      </w:r>
      <w:r w:rsidRPr="274629C6" w:rsidR="008F20F6">
        <w:rPr>
          <w:b/>
        </w:rPr>
        <w:t>-2</w:t>
      </w:r>
      <w:r w:rsidRPr="274629C6" w:rsidR="00CC67EA">
        <w:rPr>
          <w:b/>
        </w:rPr>
        <w:t>4</w:t>
      </w:r>
      <w:r w:rsidRPr="274629C6" w:rsidR="00786D5F">
        <w:rPr>
          <w:b/>
        </w:rPr>
        <w:t xml:space="preserve"> </w:t>
      </w:r>
    </w:p>
    <w:p w:rsidR="00DC42FD">
      <w:pPr>
        <w:spacing w:after="0" w:line="240" w:lineRule="auto"/>
        <w:rPr>
          <w:rFonts w:cstheme="minorHAnsi"/>
          <w:bCs/>
        </w:rPr>
      </w:pPr>
    </w:p>
    <w:p w:rsidR="0058329F">
      <w:pPr>
        <w:spacing w:after="0" w:line="240" w:lineRule="auto"/>
        <w:rPr>
          <w:rFonts w:cstheme="minorHAnsi"/>
          <w:b/>
        </w:rPr>
      </w:pPr>
    </w:p>
    <w:p w:rsidR="007E5CDE">
      <w:pPr>
        <w:spacing w:after="0" w:line="240" w:lineRule="auto"/>
        <w:rPr>
          <w:rFonts w:cstheme="minorHAnsi"/>
          <w:b/>
        </w:rPr>
      </w:pPr>
    </w:p>
    <w:p w:rsidR="007E5CDE">
      <w:pPr>
        <w:spacing w:after="0" w:line="240" w:lineRule="auto"/>
      </w:pPr>
      <w:r>
        <w:rPr>
          <w:noProof/>
        </w:rPr>
        <w:drawing>
          <wp:inline distT="0" distB="0" distL="0" distR="0">
            <wp:extent cx="4572000" cy="2457450"/>
            <wp:effectExtent l="0" t="0" r="0" b="0"/>
            <wp:docPr id="1635406076" name="Picture 1635406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4572000" cy="2457450"/>
                    </a:xfrm>
                    <a:prstGeom prst="rect">
                      <a:avLst/>
                    </a:prstGeom>
                  </pic:spPr>
                </pic:pic>
              </a:graphicData>
            </a:graphic>
          </wp:inline>
        </w:drawing>
      </w:r>
    </w:p>
    <w:p w:rsidR="00467B40">
      <w:pPr>
        <w:spacing w:after="0" w:line="240" w:lineRule="auto"/>
        <w:rPr>
          <w:rFonts w:cstheme="minorHAnsi"/>
          <w:b/>
        </w:rPr>
      </w:pPr>
    </w:p>
    <w:p w:rsidR="008609C6" w:rsidRPr="008D0A1B" w:rsidP="00140606">
      <w:pPr>
        <w:spacing w:after="0" w:line="240" w:lineRule="auto"/>
        <w:rPr>
          <w:rFonts w:cstheme="minorHAnsi"/>
          <w:b/>
        </w:rPr>
      </w:pPr>
    </w:p>
    <w:p w:rsidR="002137B6" w:rsidP="00140606">
      <w:pPr>
        <w:spacing w:after="0" w:line="240" w:lineRule="auto"/>
        <w:rPr>
          <w:rFonts w:cstheme="minorHAnsi"/>
        </w:rPr>
      </w:pPr>
    </w:p>
    <w:p w:rsidR="0081110F" w:rsidRPr="008D0A1B" w:rsidP="00140606">
      <w:pPr>
        <w:pStyle w:val="Heading2"/>
        <w:spacing w:before="0" w:line="240" w:lineRule="auto"/>
        <w:rPr>
          <w:rFonts w:asciiTheme="minorHAnsi" w:hAnsiTheme="minorHAnsi" w:cstheme="minorHAnsi"/>
        </w:rPr>
      </w:pPr>
      <w:r w:rsidRPr="0016612A">
        <w:rPr>
          <w:rFonts w:cstheme="minorHAnsi"/>
        </w:rPr>
        <w:t xml:space="preserve"> </w:t>
      </w:r>
      <w:r w:rsidRPr="008D0A1B">
        <w:rPr>
          <w:rFonts w:asciiTheme="minorHAnsi" w:hAnsiTheme="minorHAnsi" w:cstheme="minorHAnsi"/>
        </w:rPr>
        <w:t>1.3</w:t>
      </w:r>
      <w:r w:rsidRPr="008D0A1B">
        <w:rPr>
          <w:rFonts w:asciiTheme="minorHAnsi" w:hAnsiTheme="minorHAnsi" w:cstheme="minorHAnsi"/>
        </w:rPr>
        <w:tab/>
        <w:t>Main areas of spending</w:t>
      </w:r>
    </w:p>
    <w:p w:rsidR="00BC6C37" w:rsidP="00140606">
      <w:pPr>
        <w:spacing w:after="0" w:line="240" w:lineRule="auto"/>
        <w:jc w:val="both"/>
        <w:rPr>
          <w:rFonts w:cstheme="minorHAnsi"/>
        </w:rPr>
      </w:pPr>
    </w:p>
    <w:p w:rsidR="00150DE1" w:rsidRPr="008D0A1B" w:rsidP="00140606">
      <w:pPr>
        <w:spacing w:after="0" w:line="240" w:lineRule="auto"/>
        <w:jc w:val="both"/>
        <w:rPr>
          <w:rFonts w:cstheme="minorHAnsi"/>
        </w:rPr>
      </w:pPr>
      <w:r w:rsidRPr="008D0A1B">
        <w:rPr>
          <w:rFonts w:cstheme="minorHAnsi"/>
        </w:rPr>
        <w:t xml:space="preserve">The graphic </w:t>
      </w:r>
      <w:r w:rsidRPr="008D0A1B">
        <w:t>below</w:t>
      </w:r>
      <w:r w:rsidRPr="008D0A1B">
        <w:rPr>
          <w:rFonts w:cstheme="minorHAnsi"/>
        </w:rPr>
        <w:t xml:space="preserve"> shows the main components of DfE’s proposed budget, included in the latest Estimate, and the proportions spent on its main activities.</w:t>
      </w:r>
      <w:r w:rsidRPr="008D0A1B" w:rsidR="00B3727C">
        <w:rPr>
          <w:rFonts w:cstheme="minorHAnsi"/>
        </w:rPr>
        <w:t xml:space="preserve"> </w:t>
      </w:r>
      <w:r w:rsidRPr="008D0A1B" w:rsidR="002F6757">
        <w:rPr>
          <w:rFonts w:cstheme="minorHAnsi"/>
        </w:rPr>
        <w:t>Further details of budget by programme can be found in Annex A</w:t>
      </w:r>
      <w:r w:rsidR="00D02349">
        <w:rPr>
          <w:rFonts w:cstheme="minorHAnsi"/>
        </w:rPr>
        <w:t xml:space="preserve">.  </w:t>
      </w:r>
      <w:bookmarkStart w:id="2" w:name="_Hlk69886604"/>
      <w:r w:rsidRPr="003B4707" w:rsidR="00D02349">
        <w:rPr>
          <w:rFonts w:cstheme="minorHAnsi"/>
        </w:rPr>
        <w:t>Further descriptions of the activities within each estimate line are included in section 3.1</w:t>
      </w:r>
      <w:bookmarkEnd w:id="2"/>
      <w:r w:rsidRPr="003B4707" w:rsidR="00D02349">
        <w:rPr>
          <w:rFonts w:cstheme="minorHAnsi"/>
        </w:rPr>
        <w:t>.</w:t>
      </w:r>
      <w:r w:rsidRPr="008D0A1B" w:rsidR="002F6757">
        <w:rPr>
          <w:rFonts w:cstheme="minorHAnsi"/>
        </w:rPr>
        <w:t xml:space="preserve"> </w:t>
      </w:r>
    </w:p>
    <w:p w:rsidR="0016612A">
      <w:pPr>
        <w:pStyle w:val="Caption"/>
        <w:spacing w:after="0"/>
        <w:rPr>
          <w:b/>
          <w:i w:val="0"/>
          <w:color w:val="auto"/>
          <w:sz w:val="22"/>
          <w:szCs w:val="22"/>
        </w:rPr>
      </w:pPr>
    </w:p>
    <w:p w:rsidR="00702141">
      <w:pPr>
        <w:rPr>
          <w:b/>
          <w:iCs/>
        </w:rPr>
      </w:pPr>
      <w:r>
        <w:rPr>
          <w:b/>
          <w:i/>
        </w:rPr>
        <w:br w:type="page"/>
      </w:r>
    </w:p>
    <w:p w:rsidR="00930E06" w:rsidRPr="00930E06" w:rsidP="00930E06">
      <w:pPr>
        <w:rPr>
          <w:rFonts w:ascii="Calibri" w:hAnsi="Calibri" w:cs="Calibri"/>
          <w:b/>
          <w:color w:val="000000" w:themeColor="text1"/>
        </w:rPr>
      </w:pPr>
      <w:r w:rsidRPr="00930E06">
        <w:rPr>
          <w:rFonts w:ascii="Calibri" w:hAnsi="Calibri" w:cs="Calibri"/>
          <w:b/>
          <w:color w:val="000000" w:themeColor="text1"/>
        </w:rPr>
        <w:t xml:space="preserve">Table </w:t>
      </w:r>
      <w:r w:rsidRPr="00930E06">
        <w:rPr>
          <w:rFonts w:ascii="Calibri" w:hAnsi="Calibri" w:cs="Calibri"/>
          <w:b/>
          <w:color w:val="000000" w:themeColor="text1"/>
        </w:rPr>
        <w:fldChar w:fldCharType="begin"/>
      </w:r>
      <w:r w:rsidRPr="00930E06">
        <w:rPr>
          <w:rFonts w:ascii="Calibri" w:hAnsi="Calibri" w:cs="Calibri"/>
          <w:b/>
          <w:color w:val="000000" w:themeColor="text1"/>
        </w:rPr>
        <w:instrText xml:space="preserve"> SEQ Table \* ARABIC </w:instrText>
      </w:r>
      <w:r w:rsidRPr="00930E06">
        <w:rPr>
          <w:rFonts w:ascii="Calibri" w:hAnsi="Calibri" w:cs="Calibri"/>
          <w:b/>
          <w:color w:val="000000" w:themeColor="text1"/>
        </w:rPr>
        <w:fldChar w:fldCharType="separate"/>
      </w:r>
      <w:r w:rsidR="00A720CC">
        <w:rPr>
          <w:rFonts w:ascii="Calibri" w:hAnsi="Calibri" w:cs="Calibri"/>
          <w:b/>
          <w:noProof/>
          <w:color w:val="000000" w:themeColor="text1"/>
        </w:rPr>
        <w:t>1</w:t>
      </w:r>
      <w:r w:rsidRPr="00930E06">
        <w:rPr>
          <w:rFonts w:ascii="Calibri" w:hAnsi="Calibri" w:cs="Calibri"/>
          <w:b/>
          <w:color w:val="000000" w:themeColor="text1"/>
        </w:rPr>
        <w:fldChar w:fldCharType="end"/>
      </w:r>
      <w:r w:rsidRPr="00930E06">
        <w:rPr>
          <w:rFonts w:ascii="Calibri" w:hAnsi="Calibri" w:cs="Calibri"/>
          <w:b/>
          <w:color w:val="000000" w:themeColor="text1"/>
        </w:rPr>
        <w:t>:</w:t>
      </w:r>
      <w:r w:rsidRPr="00930E06">
        <w:rPr>
          <w:rFonts w:ascii="Calibri" w:hAnsi="Calibri" w:cs="Calibri"/>
          <w:bCs/>
          <w:color w:val="000000" w:themeColor="text1"/>
        </w:rPr>
        <w:t xml:space="preserve"> RDEL </w:t>
      </w:r>
      <w:r w:rsidRPr="00930E06" w:rsidR="008F20F6">
        <w:rPr>
          <w:rFonts w:ascii="Calibri" w:hAnsi="Calibri" w:cs="Calibri"/>
          <w:bCs/>
          <w:color w:val="000000" w:themeColor="text1"/>
        </w:rPr>
        <w:t>Main</w:t>
      </w:r>
      <w:r w:rsidRPr="00930E06" w:rsidR="00F55F0B">
        <w:rPr>
          <w:rFonts w:ascii="Calibri" w:hAnsi="Calibri" w:cs="Calibri"/>
          <w:bCs/>
          <w:color w:val="000000" w:themeColor="text1"/>
        </w:rPr>
        <w:t xml:space="preserve"> Estimate </w:t>
      </w:r>
      <w:r w:rsidRPr="00930E06" w:rsidR="008F20F6">
        <w:rPr>
          <w:rFonts w:ascii="Calibri" w:hAnsi="Calibri" w:cs="Calibri"/>
          <w:bCs/>
          <w:color w:val="000000" w:themeColor="text1"/>
        </w:rPr>
        <w:t>202</w:t>
      </w:r>
      <w:r w:rsidRPr="00930E06" w:rsidR="00CC67EA">
        <w:rPr>
          <w:rFonts w:ascii="Calibri" w:hAnsi="Calibri" w:cs="Calibri"/>
          <w:bCs/>
          <w:color w:val="000000" w:themeColor="text1"/>
        </w:rPr>
        <w:t>3</w:t>
      </w:r>
      <w:r w:rsidRPr="00930E06" w:rsidR="008F20F6">
        <w:rPr>
          <w:rFonts w:ascii="Calibri" w:hAnsi="Calibri" w:cs="Calibri"/>
          <w:bCs/>
          <w:color w:val="000000" w:themeColor="text1"/>
        </w:rPr>
        <w:t>-2</w:t>
      </w:r>
      <w:r w:rsidRPr="00930E06" w:rsidR="00CC67EA">
        <w:rPr>
          <w:rFonts w:ascii="Calibri" w:hAnsi="Calibri" w:cs="Calibri"/>
          <w:bCs/>
          <w:color w:val="000000" w:themeColor="text1"/>
        </w:rPr>
        <w:t>4</w:t>
      </w:r>
      <w:r w:rsidRPr="00930E06" w:rsidR="00633F9D">
        <w:rPr>
          <w:rFonts w:ascii="Calibri" w:hAnsi="Calibri" w:cs="Calibri"/>
          <w:bCs/>
          <w:color w:val="000000" w:themeColor="text1"/>
        </w:rPr>
        <w:t xml:space="preserve"> </w:t>
      </w:r>
    </w:p>
    <w:p w:rsidR="00702141" w:rsidRPr="00702141" w:rsidP="00702141">
      <w:r>
        <w:rPr>
          <w:i/>
          <w:iCs/>
          <w:noProof/>
        </w:rPr>
        <w:drawing>
          <wp:inline distT="0" distB="0" distL="0" distR="0">
            <wp:extent cx="5731498" cy="3503198"/>
            <wp:effectExtent l="0" t="0" r="3175" b="2540"/>
            <wp:docPr id="955383285" name="Picture 4" descr="A picture containing text, screenshot, software, operating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83285" name="Picture 4" descr="A picture containing text, screenshot, software, operating system&#10;&#10;Description automatically generated"/>
                    <pic:cNvPicPr>
                      <a:picLocks noChangeAspect="1" noChangeArrowheads="1"/>
                    </pic:cNvPicPr>
                  </pic:nvPicPr>
                  <pic:blipFill>
                    <a:blip xmlns:r="http://schemas.openxmlformats.org/officeDocument/2006/relationships" r:embed="rId7">
                      <a:extLst>
                        <a:ext uri="{28A0092B-C50C-407E-A947-70E740481C1C}">
                          <a14:useLocalDpi xmlns:a14="http://schemas.microsoft.com/office/drawing/2010/main" val="0"/>
                        </a:ext>
                      </a:extLst>
                    </a:blip>
                    <a:srcRect/>
                    <a:stretch>
                      <a:fillRect/>
                    </a:stretch>
                  </pic:blipFill>
                  <pic:spPr bwMode="auto">
                    <a:xfrm>
                      <a:off x="0" y="0"/>
                      <a:ext cx="5765141" cy="3523761"/>
                    </a:xfrm>
                    <a:prstGeom prst="rect">
                      <a:avLst/>
                    </a:prstGeom>
                    <a:noFill/>
                  </pic:spPr>
                </pic:pic>
              </a:graphicData>
            </a:graphic>
          </wp:inline>
        </w:drawing>
      </w:r>
    </w:p>
    <w:p w:rsidR="00930E06" w:rsidP="00930E06">
      <w:pPr>
        <w:spacing w:after="0" w:line="240" w:lineRule="auto"/>
        <w:rPr>
          <w:rFonts w:ascii="Calibri" w:eastAsia="Times New Roman" w:hAnsi="Calibri" w:cs="Calibri"/>
          <w:i/>
          <w:iCs/>
          <w:color w:val="000000"/>
          <w:sz w:val="16"/>
          <w:szCs w:val="16"/>
          <w:lang w:eastAsia="en-GB"/>
        </w:rPr>
      </w:pPr>
      <w:r w:rsidRPr="00930E06">
        <w:rPr>
          <w:rFonts w:ascii="Calibri" w:eastAsia="Times New Roman" w:hAnsi="Calibri" w:cs="Calibri"/>
          <w:i/>
          <w:iCs/>
          <w:color w:val="000000"/>
          <w:sz w:val="16"/>
          <w:szCs w:val="16"/>
          <w:lang w:eastAsia="en-GB"/>
        </w:rPr>
        <w:t>* Other School Funding (Department)</w:t>
      </w:r>
    </w:p>
    <w:p w:rsidR="00930E06" w:rsidRPr="00930E06" w:rsidP="00930E06">
      <w:pPr>
        <w:spacing w:after="0" w:line="240" w:lineRule="auto"/>
        <w:rPr>
          <w:rFonts w:ascii="Calibri" w:eastAsia="Times New Roman" w:hAnsi="Calibri" w:cs="Calibri"/>
          <w:i/>
          <w:iCs/>
          <w:color w:val="000000"/>
          <w:sz w:val="16"/>
          <w:szCs w:val="16"/>
          <w:lang w:eastAsia="en-GB"/>
        </w:rPr>
      </w:pPr>
    </w:p>
    <w:p w:rsidR="00930E06" w:rsidRPr="00DC7AEA" w:rsidP="00930E06">
      <w:pPr>
        <w:rPr>
          <w:i/>
          <w:iCs/>
        </w:rPr>
      </w:pPr>
      <w:r w:rsidRPr="00DC7AEA">
        <w:rPr>
          <w:rFonts w:cstheme="minorHAnsi"/>
          <w:i/>
          <w:iCs/>
        </w:rPr>
        <w:t>Descriptions of the activities within each estimate line are included in section 3.1.</w:t>
      </w:r>
    </w:p>
    <w:p w:rsidR="009A0FAE">
      <w:pPr>
        <w:spacing w:after="0" w:line="240" w:lineRule="auto"/>
      </w:pPr>
    </w:p>
    <w:p w:rsidR="008A2D06" w:rsidP="006D424A">
      <w:pPr>
        <w:rPr>
          <w:b/>
        </w:rPr>
      </w:pPr>
      <w:r w:rsidRPr="2DFF3BB1">
        <w:rPr>
          <w:rFonts w:ascii="Calibri" w:hAnsi="Calibri" w:cs="Calibri"/>
          <w:b/>
          <w:color w:val="000000" w:themeColor="text1"/>
        </w:rPr>
        <w:t>Table 2</w:t>
      </w:r>
      <w:r w:rsidRPr="2DFF3BB1" w:rsidR="00016320">
        <w:rPr>
          <w:rFonts w:ascii="Calibri" w:hAnsi="Calibri" w:cs="Calibri"/>
          <w:b/>
          <w:color w:val="000000" w:themeColor="text1"/>
        </w:rPr>
        <w:t>:</w:t>
      </w:r>
      <w:r w:rsidRPr="2DFF3BB1">
        <w:rPr>
          <w:rFonts w:ascii="Calibri" w:hAnsi="Calibri" w:cs="Calibri"/>
          <w:b/>
          <w:color w:val="000000" w:themeColor="text1"/>
        </w:rPr>
        <w:t xml:space="preserve"> </w:t>
      </w:r>
      <w:r w:rsidRPr="2DFF3BB1">
        <w:rPr>
          <w:rFonts w:ascii="Calibri" w:hAnsi="Calibri" w:cs="Calibri"/>
          <w:color w:val="000000" w:themeColor="text1"/>
        </w:rPr>
        <w:t>Capital DEL Main Estimate 202</w:t>
      </w:r>
      <w:r w:rsidRPr="2DFF3BB1" w:rsidR="000B6CEC">
        <w:rPr>
          <w:rFonts w:ascii="Calibri" w:hAnsi="Calibri" w:cs="Calibri"/>
          <w:color w:val="000000" w:themeColor="text1"/>
        </w:rPr>
        <w:t>3</w:t>
      </w:r>
      <w:r w:rsidRPr="2DFF3BB1">
        <w:rPr>
          <w:rFonts w:ascii="Calibri" w:hAnsi="Calibri" w:cs="Calibri"/>
          <w:color w:val="000000" w:themeColor="text1"/>
        </w:rPr>
        <w:t>-2</w:t>
      </w:r>
      <w:r w:rsidRPr="2DFF3BB1" w:rsidR="000B6CEC">
        <w:rPr>
          <w:rFonts w:ascii="Calibri" w:hAnsi="Calibri" w:cs="Calibri"/>
          <w:color w:val="000000" w:themeColor="text1"/>
        </w:rPr>
        <w:t>4</w:t>
      </w:r>
      <w:r w:rsidRPr="2DFF3BB1">
        <w:rPr>
          <w:rFonts w:ascii="Calibri" w:hAnsi="Calibri" w:cs="Calibri"/>
          <w:b/>
          <w:color w:val="000000" w:themeColor="text1"/>
        </w:rPr>
        <w:t xml:space="preserve"> </w:t>
      </w:r>
      <w:r w:rsidR="00F72C23">
        <w:rPr>
          <w:b/>
        </w:rPr>
        <w:t xml:space="preserve"> </w:t>
      </w:r>
    </w:p>
    <w:p w:rsidR="003573CF" w:rsidP="006D424A">
      <w:pPr>
        <w:rPr>
          <w:b/>
        </w:rPr>
      </w:pPr>
      <w:r>
        <w:rPr>
          <w:b/>
          <w:noProof/>
        </w:rPr>
        <w:drawing>
          <wp:inline distT="0" distB="0" distL="0" distR="0">
            <wp:extent cx="5764425" cy="3094233"/>
            <wp:effectExtent l="0" t="0" r="8255" b="0"/>
            <wp:docPr id="16862790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5785491" cy="3105541"/>
                    </a:xfrm>
                    <a:prstGeom prst="rect">
                      <a:avLst/>
                    </a:prstGeom>
                    <a:noFill/>
                  </pic:spPr>
                </pic:pic>
              </a:graphicData>
            </a:graphic>
          </wp:inline>
        </w:drawing>
      </w:r>
    </w:p>
    <w:p w:rsidR="00B21366" w:rsidRPr="00DC7AEA" w:rsidP="00B21366">
      <w:pPr>
        <w:rPr>
          <w:i/>
          <w:iCs/>
        </w:rPr>
      </w:pPr>
      <w:r w:rsidRPr="00DC7AEA">
        <w:rPr>
          <w:rFonts w:cstheme="minorHAnsi"/>
          <w:i/>
          <w:iCs/>
        </w:rPr>
        <w:t>Descriptions of the activities within each estimate line are included in section 3.1.</w:t>
      </w:r>
    </w:p>
    <w:p w:rsidR="008A2D06" w:rsidP="005E70BA">
      <w:pPr>
        <w:shd w:val="clear" w:color="auto" w:fill="FFFFFF"/>
        <w:spacing w:before="60" w:after="60" w:line="288" w:lineRule="auto"/>
        <w:jc w:val="both"/>
        <w:rPr>
          <w:rFonts w:eastAsia="Times New Roman" w:cstheme="minorHAnsi"/>
          <w:color w:val="333333"/>
          <w:sz w:val="16"/>
          <w:szCs w:val="16"/>
          <w:lang w:eastAsia="en-GB"/>
        </w:rPr>
      </w:pPr>
    </w:p>
    <w:p w:rsidR="00202A21" w:rsidRPr="008D0A1B" w:rsidP="00D97FEB">
      <w:pPr>
        <w:pStyle w:val="Heading2"/>
        <w:rPr>
          <w:rFonts w:asciiTheme="minorHAnsi" w:hAnsiTheme="minorHAnsi" w:cstheme="minorBidi"/>
        </w:rPr>
      </w:pPr>
      <w:r w:rsidRPr="3F4728F1">
        <w:rPr>
          <w:rFonts w:asciiTheme="minorHAnsi" w:hAnsiTheme="minorHAnsi" w:cstheme="minorBidi"/>
        </w:rPr>
        <w:t>1.4 Comparison of spending totals sought</w:t>
      </w:r>
    </w:p>
    <w:p w:rsidR="00140606" w:rsidP="00140606">
      <w:pPr>
        <w:spacing w:before="120" w:after="120"/>
        <w:jc w:val="both"/>
        <w:rPr>
          <w:noProof/>
        </w:rPr>
      </w:pPr>
      <w:r w:rsidRPr="008D0A1B">
        <w:rPr>
          <w:noProof/>
        </w:rPr>
        <w:t xml:space="preserve">The </w:t>
      </w:r>
      <w:r w:rsidRPr="008D0A1B">
        <w:t>table</w:t>
      </w:r>
      <w:r w:rsidRPr="008D0A1B">
        <w:rPr>
          <w:noProof/>
        </w:rPr>
        <w:t xml:space="preserve"> and </w:t>
      </w:r>
      <w:r w:rsidRPr="008D0A1B">
        <w:t>graphic</w:t>
      </w:r>
      <w:r w:rsidRPr="008D0A1B" w:rsidR="005E5B01">
        <w:rPr>
          <w:noProof/>
        </w:rPr>
        <w:t xml:space="preserve"> below show how the </w:t>
      </w:r>
      <w:r w:rsidRPr="008D0A1B">
        <w:rPr>
          <w:noProof/>
        </w:rPr>
        <w:t>totals sought for the Department compare with last year. These figures are net of income:</w:t>
      </w:r>
      <w:r w:rsidR="00516BD1">
        <w:rPr>
          <w:noProof/>
        </w:rPr>
        <w:t xml:space="preserve"> </w:t>
      </w:r>
    </w:p>
    <w:p w:rsidR="00877FCE" w:rsidP="00140606">
      <w:pPr>
        <w:spacing w:before="120" w:after="120"/>
        <w:jc w:val="both"/>
        <w:rPr>
          <w:noProof/>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5"/>
        <w:gridCol w:w="1417"/>
        <w:gridCol w:w="1559"/>
        <w:gridCol w:w="1560"/>
        <w:gridCol w:w="1417"/>
        <w:gridCol w:w="1423"/>
      </w:tblGrid>
      <w:tr w:rsidTr="00780AFA">
        <w:tblPrEx>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0"/>
        </w:trPr>
        <w:tc>
          <w:tcPr>
            <w:tcW w:w="1555" w:type="dxa"/>
            <w:shd w:val="clear" w:color="auto" w:fill="auto"/>
          </w:tcPr>
          <w:p w:rsidR="00184E74"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Spending total</w:t>
            </w:r>
          </w:p>
        </w:tc>
        <w:tc>
          <w:tcPr>
            <w:tcW w:w="1417" w:type="dxa"/>
            <w:shd w:val="clear" w:color="auto" w:fill="auto"/>
          </w:tcPr>
          <w:p w:rsidR="00184E74"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 xml:space="preserve"> Amounts sought this year</w:t>
            </w:r>
            <w:r w:rsidRPr="00184E74">
              <w:rPr>
                <w:rFonts w:ascii="Calibri" w:eastAsia="Calibri" w:hAnsi="Calibri" w:cs="Calibri"/>
                <w:color w:val="000000" w:themeColor="text1"/>
                <w:sz w:val="20"/>
                <w:szCs w:val="20"/>
              </w:rPr>
              <w:br/>
            </w:r>
            <w:r w:rsidRPr="57663391">
              <w:rPr>
                <w:rFonts w:ascii="Calibri" w:eastAsia="Calibri" w:hAnsi="Calibri" w:cs="Calibri"/>
                <w:color w:val="000000" w:themeColor="text1"/>
                <w:sz w:val="20"/>
                <w:szCs w:val="20"/>
              </w:rPr>
              <w:t xml:space="preserve"> (Main Estimate 2023-24)</w:t>
            </w:r>
          </w:p>
        </w:tc>
        <w:tc>
          <w:tcPr>
            <w:tcW w:w="3119" w:type="dxa"/>
            <w:gridSpan w:val="2"/>
            <w:shd w:val="clear" w:color="auto" w:fill="auto"/>
          </w:tcPr>
          <w:p w:rsidR="00184E74"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Difference compared to final budget last year (Supplementary Estimate 2022-23)</w:t>
            </w:r>
          </w:p>
        </w:tc>
        <w:tc>
          <w:tcPr>
            <w:tcW w:w="2840" w:type="dxa"/>
            <w:gridSpan w:val="2"/>
            <w:shd w:val="clear" w:color="auto" w:fill="auto"/>
          </w:tcPr>
          <w:p w:rsidR="00184E74"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Difference compared to original budget last year (Main Estimate 2022-23)</w:t>
            </w:r>
          </w:p>
        </w:tc>
      </w:tr>
      <w:tr w:rsidTr="00780AFA">
        <w:tblPrEx>
          <w:tblW w:w="8931" w:type="dxa"/>
          <w:tblLook w:val="04A0"/>
        </w:tblPrEx>
        <w:trPr>
          <w:trHeight w:val="300"/>
        </w:trPr>
        <w:tc>
          <w:tcPr>
            <w:tcW w:w="1555" w:type="dxa"/>
            <w:shd w:val="clear" w:color="auto" w:fill="auto"/>
            <w:hideMark/>
          </w:tcPr>
          <w:p w:rsidR="57663391"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 xml:space="preserve"> </w:t>
            </w:r>
          </w:p>
        </w:tc>
        <w:tc>
          <w:tcPr>
            <w:tcW w:w="1417" w:type="dxa"/>
            <w:shd w:val="clear" w:color="auto" w:fill="auto"/>
            <w:hideMark/>
          </w:tcPr>
          <w:p w:rsidR="57663391"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£bn</w:t>
            </w:r>
          </w:p>
        </w:tc>
        <w:tc>
          <w:tcPr>
            <w:tcW w:w="1559" w:type="dxa"/>
            <w:shd w:val="clear" w:color="auto" w:fill="auto"/>
            <w:hideMark/>
          </w:tcPr>
          <w:p w:rsidR="57663391"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£bn</w:t>
            </w:r>
          </w:p>
        </w:tc>
        <w:tc>
          <w:tcPr>
            <w:tcW w:w="1560" w:type="dxa"/>
            <w:shd w:val="clear" w:color="auto" w:fill="auto"/>
            <w:hideMark/>
          </w:tcPr>
          <w:p w:rsidR="57663391"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w:t>
            </w:r>
          </w:p>
        </w:tc>
        <w:tc>
          <w:tcPr>
            <w:tcW w:w="1417" w:type="dxa"/>
            <w:shd w:val="clear" w:color="auto" w:fill="auto"/>
            <w:hideMark/>
          </w:tcPr>
          <w:p w:rsidR="57663391"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£bn</w:t>
            </w:r>
          </w:p>
        </w:tc>
        <w:tc>
          <w:tcPr>
            <w:tcW w:w="1423" w:type="dxa"/>
            <w:shd w:val="clear" w:color="auto" w:fill="auto"/>
            <w:hideMark/>
          </w:tcPr>
          <w:p w:rsidR="57663391" w:rsidRPr="57663391">
            <w:pPr>
              <w:jc w:val="center"/>
              <w:rPr>
                <w:rFonts w:ascii="Calibri" w:eastAsia="Calibri" w:hAnsi="Calibri" w:cs="Calibri"/>
                <w:color w:val="000000" w:themeColor="text1"/>
                <w:sz w:val="20"/>
                <w:szCs w:val="20"/>
              </w:rPr>
            </w:pPr>
            <w:r w:rsidRPr="57663391">
              <w:rPr>
                <w:rFonts w:ascii="Calibri" w:eastAsia="Calibri" w:hAnsi="Calibri" w:cs="Calibri"/>
                <w:color w:val="000000" w:themeColor="text1"/>
                <w:sz w:val="20"/>
                <w:szCs w:val="20"/>
              </w:rPr>
              <w:t>%</w:t>
            </w:r>
          </w:p>
        </w:tc>
      </w:tr>
      <w:tr w:rsidTr="00780AFA">
        <w:tblPrEx>
          <w:tblW w:w="8931" w:type="dxa"/>
          <w:tblLook w:val="04A0"/>
        </w:tblPrEx>
        <w:trPr>
          <w:trHeight w:val="300"/>
        </w:trPr>
        <w:tc>
          <w:tcPr>
            <w:tcW w:w="1555"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Resource DEL</w:t>
            </w:r>
          </w:p>
        </w:tc>
        <w:tc>
          <w:tcPr>
            <w:tcW w:w="1417"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86.0</w:t>
            </w:r>
          </w:p>
        </w:tc>
        <w:tc>
          <w:tcPr>
            <w:tcW w:w="1559"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10.2</w:t>
            </w:r>
          </w:p>
        </w:tc>
        <w:tc>
          <w:tcPr>
            <w:tcW w:w="1560"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13.5</w:t>
            </w:r>
          </w:p>
        </w:tc>
        <w:tc>
          <w:tcPr>
            <w:tcW w:w="1417"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14.1</w:t>
            </w:r>
          </w:p>
        </w:tc>
        <w:tc>
          <w:tcPr>
            <w:tcW w:w="1423"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19.6</w:t>
            </w:r>
          </w:p>
        </w:tc>
      </w:tr>
      <w:tr w:rsidTr="00780AFA">
        <w:tblPrEx>
          <w:tblW w:w="8931" w:type="dxa"/>
          <w:tblLook w:val="04A0"/>
        </w:tblPrEx>
        <w:trPr>
          <w:trHeight w:val="300"/>
        </w:trPr>
        <w:tc>
          <w:tcPr>
            <w:tcW w:w="1555"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Capital DEL</w:t>
            </w:r>
          </w:p>
        </w:tc>
        <w:tc>
          <w:tcPr>
            <w:tcW w:w="1417"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7.0</w:t>
            </w:r>
          </w:p>
        </w:tc>
        <w:tc>
          <w:tcPr>
            <w:tcW w:w="1559"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0.8</w:t>
            </w:r>
          </w:p>
        </w:tc>
        <w:tc>
          <w:tcPr>
            <w:tcW w:w="1560"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12.3</w:t>
            </w:r>
          </w:p>
        </w:tc>
        <w:tc>
          <w:tcPr>
            <w:tcW w:w="1417"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0.7</w:t>
            </w:r>
          </w:p>
        </w:tc>
        <w:tc>
          <w:tcPr>
            <w:tcW w:w="1423"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10.6</w:t>
            </w:r>
          </w:p>
        </w:tc>
      </w:tr>
      <w:tr w:rsidTr="00780AFA">
        <w:tblPrEx>
          <w:tblW w:w="8931" w:type="dxa"/>
          <w:tblLook w:val="04A0"/>
        </w:tblPrEx>
        <w:trPr>
          <w:trHeight w:val="300"/>
        </w:trPr>
        <w:tc>
          <w:tcPr>
            <w:tcW w:w="1555"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Resource AME</w:t>
            </w:r>
          </w:p>
        </w:tc>
        <w:tc>
          <w:tcPr>
            <w:tcW w:w="1417"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(4.4)</w:t>
            </w:r>
          </w:p>
        </w:tc>
        <w:tc>
          <w:tcPr>
            <w:tcW w:w="1559"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6.0</w:t>
            </w:r>
          </w:p>
        </w:tc>
        <w:tc>
          <w:tcPr>
            <w:tcW w:w="1560"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57.4</w:t>
            </w:r>
          </w:p>
        </w:tc>
        <w:tc>
          <w:tcPr>
            <w:tcW w:w="1417"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5.2</w:t>
            </w:r>
          </w:p>
        </w:tc>
        <w:tc>
          <w:tcPr>
            <w:tcW w:w="1423"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53.8</w:t>
            </w:r>
          </w:p>
        </w:tc>
      </w:tr>
      <w:tr w:rsidTr="00780AFA">
        <w:tblPrEx>
          <w:tblW w:w="8931" w:type="dxa"/>
          <w:tblLook w:val="04A0"/>
        </w:tblPrEx>
        <w:trPr>
          <w:trHeight w:val="315"/>
        </w:trPr>
        <w:tc>
          <w:tcPr>
            <w:tcW w:w="1555"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Capital AME</w:t>
            </w:r>
          </w:p>
        </w:tc>
        <w:tc>
          <w:tcPr>
            <w:tcW w:w="1417"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34.4</w:t>
            </w:r>
          </w:p>
        </w:tc>
        <w:tc>
          <w:tcPr>
            <w:tcW w:w="1559"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7.2</w:t>
            </w:r>
          </w:p>
        </w:tc>
        <w:tc>
          <w:tcPr>
            <w:tcW w:w="1560"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26.3</w:t>
            </w:r>
          </w:p>
        </w:tc>
        <w:tc>
          <w:tcPr>
            <w:tcW w:w="1417"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5.7</w:t>
            </w:r>
          </w:p>
        </w:tc>
        <w:tc>
          <w:tcPr>
            <w:tcW w:w="1423" w:type="dxa"/>
            <w:shd w:val="clear" w:color="auto" w:fill="auto"/>
            <w:hideMark/>
          </w:tcPr>
          <w:p w:rsidR="57663391" w:rsidRPr="57663391">
            <w:pPr>
              <w:rPr>
                <w:rFonts w:ascii="Calibri" w:eastAsia="Calibri" w:hAnsi="Calibri" w:cs="Calibri"/>
                <w:color w:val="333333"/>
                <w:sz w:val="20"/>
                <w:szCs w:val="20"/>
              </w:rPr>
            </w:pPr>
            <w:r w:rsidRPr="57663391">
              <w:rPr>
                <w:rFonts w:ascii="Calibri" w:eastAsia="Calibri" w:hAnsi="Calibri" w:cs="Calibri"/>
                <w:color w:val="333333"/>
                <w:sz w:val="20"/>
                <w:szCs w:val="20"/>
              </w:rPr>
              <w:t>19.8</w:t>
            </w:r>
          </w:p>
        </w:tc>
      </w:tr>
    </w:tbl>
    <w:p w:rsidR="00516BD1" w:rsidP="003B4707">
      <w:pPr>
        <w:rPr>
          <w:rFonts w:cstheme="minorHAnsi"/>
          <w:bCs/>
        </w:rPr>
      </w:pPr>
    </w:p>
    <w:p w:rsidR="008609C6" w:rsidP="00DF798D">
      <w:pPr>
        <w:shd w:val="clear" w:color="auto" w:fill="FFFFFF"/>
        <w:spacing w:after="180" w:line="288" w:lineRule="auto"/>
        <w:rPr>
          <w:rFonts w:ascii="Verdana" w:eastAsia="Times New Roman" w:hAnsi="Verdana" w:cs="Times New Roman"/>
          <w:iCs/>
          <w:color w:val="333333"/>
          <w:sz w:val="19"/>
          <w:szCs w:val="19"/>
          <w:lang w:eastAsia="en-GB"/>
        </w:rPr>
      </w:pPr>
    </w:p>
    <w:p w:rsidR="00A6199B" w:rsidP="0060F87D">
      <w:pPr>
        <w:spacing w:after="180" w:line="288" w:lineRule="auto"/>
      </w:pPr>
      <w:r>
        <w:rPr>
          <w:noProof/>
        </w:rPr>
        <w:drawing>
          <wp:inline distT="0" distB="0" distL="0" distR="0">
            <wp:extent cx="4572000" cy="2419350"/>
            <wp:effectExtent l="0" t="0" r="0" b="0"/>
            <wp:docPr id="1826121165" name="Picture 182612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4572000" cy="2419350"/>
                    </a:xfrm>
                    <a:prstGeom prst="rect">
                      <a:avLst/>
                    </a:prstGeom>
                  </pic:spPr>
                </pic:pic>
              </a:graphicData>
            </a:graphic>
          </wp:inline>
        </w:drawing>
      </w:r>
    </w:p>
    <w:p w:rsidR="005749C6" w:rsidP="00DF798D">
      <w:pPr>
        <w:shd w:val="clear" w:color="auto" w:fill="FFFFFF"/>
        <w:spacing w:after="180" w:line="288" w:lineRule="auto"/>
        <w:rPr>
          <w:rFonts w:ascii="Verdana" w:eastAsia="Times New Roman" w:hAnsi="Verdana" w:cs="Times New Roman"/>
          <w:iCs/>
          <w:color w:val="333333"/>
          <w:sz w:val="19"/>
          <w:szCs w:val="19"/>
          <w:lang w:eastAsia="en-GB"/>
        </w:rPr>
      </w:pPr>
    </w:p>
    <w:p w:rsidR="008915CF" w:rsidRPr="008D0A1B" w:rsidP="008915CF">
      <w:pPr>
        <w:pStyle w:val="Heading2"/>
        <w:rPr>
          <w:rFonts w:asciiTheme="minorHAnsi" w:hAnsiTheme="minorHAnsi" w:cstheme="minorHAnsi"/>
        </w:rPr>
      </w:pPr>
      <w:r w:rsidRPr="008D0A1B">
        <w:rPr>
          <w:rFonts w:asciiTheme="minorHAnsi" w:hAnsiTheme="minorHAnsi" w:cstheme="minorHAnsi"/>
        </w:rPr>
        <w:t>1.5</w:t>
      </w:r>
      <w:r w:rsidRPr="008D0A1B">
        <w:rPr>
          <w:rFonts w:asciiTheme="minorHAnsi" w:hAnsiTheme="minorHAnsi" w:cstheme="minorHAnsi"/>
        </w:rPr>
        <w:tab/>
        <w:t>Key drivers of spending changes since last year</w:t>
      </w:r>
    </w:p>
    <w:p w:rsidR="00516BD1" w:rsidRPr="00CA240D" w:rsidP="005E70BA">
      <w:pPr>
        <w:spacing w:before="120" w:after="120"/>
        <w:jc w:val="both"/>
        <w:rPr>
          <w:b/>
          <w:lang w:eastAsia="en-GB"/>
        </w:rPr>
      </w:pPr>
      <w:bookmarkStart w:id="3" w:name="_Hlk69820168"/>
      <w:bookmarkStart w:id="4" w:name="_Hlk100331465"/>
      <w:r w:rsidRPr="00CA240D">
        <w:rPr>
          <w:b/>
          <w:lang w:eastAsia="en-GB"/>
        </w:rPr>
        <w:t>Changes since the 202</w:t>
      </w:r>
      <w:r w:rsidRPr="00CA240D" w:rsidR="00E2767F">
        <w:rPr>
          <w:b/>
          <w:lang w:eastAsia="en-GB"/>
        </w:rPr>
        <w:t>2</w:t>
      </w:r>
      <w:r w:rsidRPr="00CA240D">
        <w:rPr>
          <w:b/>
          <w:lang w:eastAsia="en-GB"/>
        </w:rPr>
        <w:t>-2</w:t>
      </w:r>
      <w:r w:rsidRPr="00CA240D" w:rsidR="00E2767F">
        <w:rPr>
          <w:b/>
          <w:lang w:eastAsia="en-GB"/>
        </w:rPr>
        <w:t>3</w:t>
      </w:r>
      <w:r w:rsidRPr="00CA240D">
        <w:rPr>
          <w:b/>
          <w:lang w:eastAsia="en-GB"/>
        </w:rPr>
        <w:t xml:space="preserve"> Supplementary Estimate</w:t>
      </w:r>
    </w:p>
    <w:p w:rsidR="00240ADD" w:rsidRPr="0000355B" w:rsidP="00240ADD">
      <w:pPr>
        <w:spacing w:before="120" w:after="120"/>
        <w:rPr>
          <w:rStyle w:val="text"/>
          <w:rFonts w:asciiTheme="minorHAnsi" w:hAnsiTheme="minorHAnsi" w:cstheme="minorHAnsi"/>
        </w:rPr>
      </w:pPr>
      <w:r w:rsidRPr="0000355B">
        <w:rPr>
          <w:rStyle w:val="text"/>
          <w:rFonts w:asciiTheme="minorHAnsi" w:hAnsiTheme="minorHAnsi" w:cstheme="minorHAnsi"/>
        </w:rPr>
        <w:t>The £</w:t>
      </w:r>
      <w:r w:rsidRPr="0000355B" w:rsidR="00CA240D">
        <w:rPr>
          <w:rStyle w:val="text"/>
          <w:rFonts w:asciiTheme="minorHAnsi" w:hAnsiTheme="minorHAnsi" w:cstheme="minorHAnsi"/>
        </w:rPr>
        <w:t>10.2</w:t>
      </w:r>
      <w:r w:rsidRPr="0000355B">
        <w:rPr>
          <w:rStyle w:val="text"/>
          <w:rFonts w:asciiTheme="minorHAnsi" w:hAnsiTheme="minorHAnsi" w:cstheme="minorHAnsi"/>
        </w:rPr>
        <w:t xml:space="preserve"> billion </w:t>
      </w:r>
      <w:r w:rsidRPr="0000355B" w:rsidR="00CA240D">
        <w:rPr>
          <w:rStyle w:val="text"/>
          <w:rFonts w:asciiTheme="minorHAnsi" w:hAnsiTheme="minorHAnsi" w:cstheme="minorHAnsi"/>
        </w:rPr>
        <w:t xml:space="preserve">increase </w:t>
      </w:r>
      <w:r w:rsidRPr="0000355B">
        <w:rPr>
          <w:rStyle w:val="text"/>
          <w:rFonts w:asciiTheme="minorHAnsi" w:hAnsiTheme="minorHAnsi" w:cstheme="minorHAnsi"/>
        </w:rPr>
        <w:t>in Resource DEL since the 202</w:t>
      </w:r>
      <w:r w:rsidRPr="0000355B" w:rsidR="00CA240D">
        <w:rPr>
          <w:rStyle w:val="text"/>
          <w:rFonts w:asciiTheme="minorHAnsi" w:hAnsiTheme="minorHAnsi" w:cstheme="minorHAnsi"/>
        </w:rPr>
        <w:t>2</w:t>
      </w:r>
      <w:r w:rsidRPr="0000355B">
        <w:rPr>
          <w:rStyle w:val="text"/>
          <w:rFonts w:asciiTheme="minorHAnsi" w:hAnsiTheme="minorHAnsi" w:cstheme="minorHAnsi"/>
        </w:rPr>
        <w:t>-2</w:t>
      </w:r>
      <w:r w:rsidRPr="0000355B" w:rsidR="00CA240D">
        <w:rPr>
          <w:rStyle w:val="text"/>
          <w:rFonts w:asciiTheme="minorHAnsi" w:hAnsiTheme="minorHAnsi" w:cstheme="minorHAnsi"/>
        </w:rPr>
        <w:t>3</w:t>
      </w:r>
      <w:r w:rsidRPr="0000355B">
        <w:rPr>
          <w:rStyle w:val="text"/>
          <w:rFonts w:asciiTheme="minorHAnsi" w:hAnsiTheme="minorHAnsi" w:cstheme="minorHAnsi"/>
        </w:rPr>
        <w:t xml:space="preserve"> Supplementary Estimate is primarily driven by:</w:t>
      </w:r>
    </w:p>
    <w:p w:rsidR="00E61EAF" w:rsidP="00016320">
      <w:pPr>
        <w:pStyle w:val="ListParagraph"/>
        <w:numPr>
          <w:ilvl w:val="0"/>
          <w:numId w:val="42"/>
        </w:numPr>
        <w:spacing w:before="120" w:after="120" w:line="252" w:lineRule="auto"/>
        <w:rPr>
          <w:rStyle w:val="text"/>
          <w:rFonts w:asciiTheme="minorHAnsi" w:hAnsiTheme="minorHAnsi" w:cstheme="minorHAnsi"/>
        </w:rPr>
      </w:pPr>
      <w:r w:rsidRPr="0000355B">
        <w:rPr>
          <w:rStyle w:val="text"/>
          <w:rFonts w:asciiTheme="minorHAnsi" w:hAnsiTheme="minorHAnsi" w:cstheme="minorHAnsi"/>
        </w:rPr>
        <w:t>a net increase in Resource DEL funding set out at the 2021 Spending Review (SR21</w:t>
      </w:r>
      <w:r w:rsidRPr="0000355B" w:rsidR="006B4732">
        <w:rPr>
          <w:rStyle w:val="text"/>
          <w:rFonts w:asciiTheme="minorHAnsi" w:hAnsiTheme="minorHAnsi" w:cstheme="minorHAnsi"/>
        </w:rPr>
        <w:t>)</w:t>
      </w:r>
      <w:r w:rsidR="006B4732">
        <w:rPr>
          <w:rStyle w:val="text"/>
          <w:rFonts w:asciiTheme="minorHAnsi" w:hAnsiTheme="minorHAnsi" w:cstheme="minorHAnsi"/>
        </w:rPr>
        <w:t xml:space="preserve"> </w:t>
      </w:r>
      <w:r w:rsidRPr="0000355B" w:rsidR="006B4732">
        <w:rPr>
          <w:rStyle w:val="text"/>
          <w:rFonts w:asciiTheme="minorHAnsi" w:hAnsiTheme="minorHAnsi" w:cstheme="minorHAnsi"/>
        </w:rPr>
        <w:t>including</w:t>
      </w:r>
      <w:r w:rsidRPr="0000355B">
        <w:rPr>
          <w:rStyle w:val="text"/>
          <w:rFonts w:asciiTheme="minorHAnsi" w:hAnsiTheme="minorHAnsi" w:cstheme="minorHAnsi"/>
        </w:rPr>
        <w:t xml:space="preserve"> an uplift to the core schools budget; </w:t>
      </w:r>
    </w:p>
    <w:p w:rsidR="00016320" w:rsidRPr="0000355B" w:rsidP="00016320">
      <w:pPr>
        <w:pStyle w:val="ListParagraph"/>
        <w:numPr>
          <w:ilvl w:val="0"/>
          <w:numId w:val="42"/>
        </w:numPr>
        <w:spacing w:before="120" w:after="120" w:line="252" w:lineRule="auto"/>
        <w:rPr>
          <w:rStyle w:val="text"/>
          <w:rFonts w:asciiTheme="minorHAnsi" w:hAnsiTheme="minorHAnsi" w:cstheme="minorHAnsi"/>
        </w:rPr>
      </w:pPr>
      <w:r>
        <w:rPr>
          <w:rStyle w:val="text"/>
          <w:rFonts w:asciiTheme="minorHAnsi" w:hAnsiTheme="minorHAnsi" w:cstheme="minorHAnsi"/>
        </w:rPr>
        <w:t xml:space="preserve">an increase in the </w:t>
      </w:r>
      <w:r w:rsidR="009972F6">
        <w:rPr>
          <w:rStyle w:val="text"/>
          <w:rFonts w:asciiTheme="minorHAnsi" w:hAnsiTheme="minorHAnsi" w:cstheme="minorHAnsi"/>
        </w:rPr>
        <w:t xml:space="preserve">Resource DEL </w:t>
      </w:r>
      <w:r w:rsidR="0015701C">
        <w:rPr>
          <w:rStyle w:val="text"/>
          <w:rFonts w:asciiTheme="minorHAnsi" w:hAnsiTheme="minorHAnsi" w:cstheme="minorHAnsi"/>
        </w:rPr>
        <w:t xml:space="preserve">funding for core schools and </w:t>
      </w:r>
      <w:r w:rsidR="00E765F9">
        <w:rPr>
          <w:rStyle w:val="text"/>
          <w:rFonts w:asciiTheme="minorHAnsi" w:hAnsiTheme="minorHAnsi" w:cstheme="minorHAnsi"/>
        </w:rPr>
        <w:t xml:space="preserve">childcare announced in </w:t>
      </w:r>
      <w:r w:rsidR="00694927">
        <w:rPr>
          <w:rStyle w:val="text"/>
          <w:rFonts w:asciiTheme="minorHAnsi" w:hAnsiTheme="minorHAnsi" w:cstheme="minorHAnsi"/>
        </w:rPr>
        <w:t xml:space="preserve">the Autumn </w:t>
      </w:r>
      <w:r w:rsidR="00C40B07">
        <w:rPr>
          <w:rStyle w:val="text"/>
          <w:rFonts w:asciiTheme="minorHAnsi" w:hAnsiTheme="minorHAnsi" w:cstheme="minorHAnsi"/>
        </w:rPr>
        <w:t>Statement 2022</w:t>
      </w:r>
      <w:r w:rsidR="00694927">
        <w:rPr>
          <w:rStyle w:val="text"/>
          <w:rFonts w:asciiTheme="minorHAnsi" w:hAnsiTheme="minorHAnsi" w:cstheme="minorHAnsi"/>
        </w:rPr>
        <w:t xml:space="preserve"> and Spring Budget</w:t>
      </w:r>
      <w:r w:rsidR="00C40B07">
        <w:rPr>
          <w:rStyle w:val="text"/>
          <w:rFonts w:asciiTheme="minorHAnsi" w:hAnsiTheme="minorHAnsi" w:cstheme="minorHAnsi"/>
        </w:rPr>
        <w:t xml:space="preserve"> 2023</w:t>
      </w:r>
      <w:r w:rsidR="00AD0243">
        <w:rPr>
          <w:rStyle w:val="text"/>
          <w:rFonts w:asciiTheme="minorHAnsi" w:hAnsiTheme="minorHAnsi" w:cstheme="minorHAnsi"/>
        </w:rPr>
        <w:t xml:space="preserve">; and </w:t>
      </w:r>
    </w:p>
    <w:p w:rsidR="00016320" w:rsidRPr="0000355B" w:rsidP="00016320">
      <w:pPr>
        <w:pStyle w:val="ListParagraph"/>
        <w:numPr>
          <w:ilvl w:val="0"/>
          <w:numId w:val="42"/>
        </w:numPr>
        <w:spacing w:before="120" w:after="120" w:line="252" w:lineRule="auto"/>
        <w:rPr>
          <w:rStyle w:val="text"/>
          <w:rFonts w:asciiTheme="minorHAnsi" w:hAnsiTheme="minorHAnsi" w:cstheme="minorHAnsi"/>
        </w:rPr>
      </w:pPr>
      <w:r>
        <w:rPr>
          <w:rStyle w:val="text"/>
          <w:rFonts w:asciiTheme="minorHAnsi" w:hAnsiTheme="minorHAnsi" w:cstheme="minorHAnsi"/>
        </w:rPr>
        <w:t>a</w:t>
      </w:r>
      <w:r w:rsidRPr="0000355B" w:rsidR="00CA240D">
        <w:rPr>
          <w:rStyle w:val="text"/>
          <w:rFonts w:asciiTheme="minorHAnsi" w:hAnsiTheme="minorHAnsi" w:cstheme="minorHAnsi"/>
        </w:rPr>
        <w:t xml:space="preserve">n increase in the </w:t>
      </w:r>
      <w:r w:rsidRPr="0000355B">
        <w:rPr>
          <w:rStyle w:val="text"/>
          <w:rFonts w:asciiTheme="minorHAnsi" w:hAnsiTheme="minorHAnsi" w:cstheme="minorHAnsi"/>
        </w:rPr>
        <w:t>initial budget for costs associated with the student loan book (a</w:t>
      </w:r>
      <w:r w:rsidRPr="0000355B" w:rsidR="0000355B">
        <w:rPr>
          <w:rStyle w:val="text"/>
          <w:rFonts w:asciiTheme="minorHAnsi" w:hAnsiTheme="minorHAnsi" w:cstheme="minorHAnsi"/>
        </w:rPr>
        <w:t>n</w:t>
      </w:r>
      <w:r w:rsidRPr="0000355B">
        <w:rPr>
          <w:rStyle w:val="text"/>
          <w:rFonts w:asciiTheme="minorHAnsi" w:hAnsiTheme="minorHAnsi" w:cstheme="minorHAnsi"/>
        </w:rPr>
        <w:t xml:space="preserve"> </w:t>
      </w:r>
      <w:r w:rsidRPr="0000355B" w:rsidR="00CA240D">
        <w:rPr>
          <w:rStyle w:val="text"/>
          <w:rFonts w:asciiTheme="minorHAnsi" w:hAnsiTheme="minorHAnsi" w:cstheme="minorHAnsi"/>
        </w:rPr>
        <w:t xml:space="preserve">increase </w:t>
      </w:r>
      <w:r w:rsidRPr="0000355B">
        <w:rPr>
          <w:rStyle w:val="text"/>
          <w:rFonts w:asciiTheme="minorHAnsi" w:hAnsiTheme="minorHAnsi" w:cstheme="minorHAnsi"/>
        </w:rPr>
        <w:t>of £</w:t>
      </w:r>
      <w:r w:rsidRPr="0000355B" w:rsidR="00CA240D">
        <w:rPr>
          <w:rStyle w:val="text"/>
          <w:rFonts w:asciiTheme="minorHAnsi" w:hAnsiTheme="minorHAnsi" w:cstheme="minorHAnsi"/>
        </w:rPr>
        <w:t>5.5</w:t>
      </w:r>
      <w:r w:rsidRPr="0000355B" w:rsidR="00EE3210">
        <w:rPr>
          <w:rStyle w:val="text"/>
          <w:rFonts w:asciiTheme="minorHAnsi" w:hAnsiTheme="minorHAnsi" w:cstheme="minorHAnsi"/>
        </w:rPr>
        <w:t xml:space="preserve"> </w:t>
      </w:r>
      <w:r w:rsidRPr="0000355B">
        <w:rPr>
          <w:rStyle w:val="text"/>
          <w:rFonts w:asciiTheme="minorHAnsi" w:hAnsiTheme="minorHAnsi" w:cstheme="minorHAnsi"/>
        </w:rPr>
        <w:t>b</w:t>
      </w:r>
      <w:r w:rsidRPr="0000355B" w:rsidR="00EE3210">
        <w:rPr>
          <w:rStyle w:val="text"/>
          <w:rFonts w:asciiTheme="minorHAnsi" w:hAnsiTheme="minorHAnsi" w:cstheme="minorHAnsi"/>
        </w:rPr>
        <w:t>illion compared to the Supplementary Estimate</w:t>
      </w:r>
      <w:r w:rsidR="00636904">
        <w:rPr>
          <w:rStyle w:val="text"/>
          <w:rFonts w:asciiTheme="minorHAnsi" w:hAnsiTheme="minorHAnsi" w:cstheme="minorHAnsi"/>
        </w:rPr>
        <w:t xml:space="preserve"> 2022-23</w:t>
      </w:r>
      <w:r w:rsidRPr="0000355B" w:rsidR="00EE3210">
        <w:rPr>
          <w:rStyle w:val="text"/>
          <w:rFonts w:asciiTheme="minorHAnsi" w:hAnsiTheme="minorHAnsi" w:cstheme="minorHAnsi"/>
        </w:rPr>
        <w:t>)</w:t>
      </w:r>
      <w:r w:rsidRPr="0000355B">
        <w:rPr>
          <w:rStyle w:val="text"/>
          <w:rFonts w:asciiTheme="minorHAnsi" w:hAnsiTheme="minorHAnsi" w:cstheme="minorHAnsi"/>
        </w:rPr>
        <w:t xml:space="preserve"> including the annual revaluation and impairment charge. This is a highly variable area sensitive to wider economic </w:t>
      </w:r>
      <w:r w:rsidRPr="0000355B">
        <w:rPr>
          <w:rStyle w:val="text"/>
          <w:rFonts w:asciiTheme="minorHAnsi" w:hAnsiTheme="minorHAnsi" w:cstheme="minorHAnsi"/>
        </w:rPr>
        <w:t>variables</w:t>
      </w:r>
      <w:r w:rsidR="00B877FB">
        <w:rPr>
          <w:rStyle w:val="text"/>
          <w:rFonts w:asciiTheme="minorHAnsi" w:hAnsiTheme="minorHAnsi" w:cstheme="minorHAnsi"/>
        </w:rPr>
        <w:t xml:space="preserve">.  The budget for 2023-24 has been set in line with the department’s current forecasts and will be </w:t>
      </w:r>
      <w:r w:rsidRPr="0000355B">
        <w:rPr>
          <w:rStyle w:val="text"/>
          <w:rFonts w:asciiTheme="minorHAnsi" w:hAnsiTheme="minorHAnsi" w:cstheme="minorHAnsi"/>
        </w:rPr>
        <w:t xml:space="preserve">reviewed at Supplementary Estimate to ensure appropriate budget cover for the remainder of the year. </w:t>
      </w:r>
    </w:p>
    <w:p w:rsidR="00407CCE" w:rsidRPr="00407CCE" w:rsidP="00407CCE">
      <w:pPr>
        <w:spacing w:before="120" w:after="120"/>
        <w:jc w:val="both"/>
      </w:pPr>
      <w:r w:rsidRPr="00407CCE">
        <w:t>The budget for Capital DEL is £0.</w:t>
      </w:r>
      <w:r>
        <w:t>8</w:t>
      </w:r>
      <w:r w:rsidRPr="00407CCE">
        <w:t xml:space="preserve"> billion higher than the 2022-23 </w:t>
      </w:r>
      <w:r>
        <w:t>Supplementary</w:t>
      </w:r>
      <w:r w:rsidRPr="00407CCE">
        <w:t xml:space="preserve"> Estimate in line with the settlement agreed at SR21.</w:t>
      </w:r>
    </w:p>
    <w:p w:rsidR="00240ADD" w:rsidRPr="00EF21F5" w:rsidP="0068514F">
      <w:pPr>
        <w:spacing w:before="120" w:after="120"/>
        <w:jc w:val="both"/>
        <w:rPr>
          <w:color w:val="FF0000"/>
          <w:lang w:eastAsia="en-GB"/>
        </w:rPr>
      </w:pPr>
    </w:p>
    <w:p w:rsidR="0068514F" w:rsidRPr="006251AD" w:rsidP="0068514F">
      <w:pPr>
        <w:spacing w:before="120" w:after="120"/>
        <w:jc w:val="both"/>
      </w:pPr>
      <w:r w:rsidRPr="0080551F">
        <w:rPr>
          <w:rStyle w:val="text"/>
          <w:rFonts w:asciiTheme="minorHAnsi" w:hAnsiTheme="minorHAnsi" w:cstheme="minorHAnsi"/>
        </w:rPr>
        <w:t>The main driver of the £</w:t>
      </w:r>
      <w:r w:rsidR="00060BA8">
        <w:rPr>
          <w:rStyle w:val="text"/>
          <w:rFonts w:asciiTheme="minorHAnsi" w:hAnsiTheme="minorHAnsi" w:cstheme="minorHAnsi"/>
        </w:rPr>
        <w:t>6.0</w:t>
      </w:r>
      <w:r w:rsidR="002D1F66">
        <w:rPr>
          <w:rStyle w:val="text"/>
          <w:rFonts w:asciiTheme="minorHAnsi" w:hAnsiTheme="minorHAnsi" w:cstheme="minorHAnsi"/>
        </w:rPr>
        <w:t xml:space="preserve"> </w:t>
      </w:r>
      <w:r w:rsidRPr="0080551F">
        <w:rPr>
          <w:rStyle w:val="text"/>
          <w:rFonts w:asciiTheme="minorHAnsi" w:hAnsiTheme="minorHAnsi" w:cstheme="minorHAnsi"/>
        </w:rPr>
        <w:t xml:space="preserve">billion </w:t>
      </w:r>
      <w:r w:rsidRPr="0080551F" w:rsidR="0080551F">
        <w:rPr>
          <w:rStyle w:val="text"/>
          <w:rFonts w:asciiTheme="minorHAnsi" w:hAnsiTheme="minorHAnsi" w:cstheme="minorHAnsi"/>
        </w:rPr>
        <w:t xml:space="preserve">increase </w:t>
      </w:r>
      <w:r w:rsidRPr="0080551F">
        <w:rPr>
          <w:rStyle w:val="text"/>
          <w:rFonts w:asciiTheme="minorHAnsi" w:hAnsiTheme="minorHAnsi" w:cstheme="minorHAnsi"/>
        </w:rPr>
        <w:t xml:space="preserve">in Resource AME </w:t>
      </w:r>
      <w:r w:rsidRPr="0080551F" w:rsidR="0080551F">
        <w:rPr>
          <w:rStyle w:val="text"/>
          <w:rFonts w:asciiTheme="minorHAnsi" w:hAnsiTheme="minorHAnsi" w:cstheme="minorHAnsi"/>
        </w:rPr>
        <w:t xml:space="preserve">and £7.2 billion increase in Capital AME </w:t>
      </w:r>
      <w:r w:rsidRPr="0080551F">
        <w:rPr>
          <w:rStyle w:val="text"/>
          <w:rFonts w:asciiTheme="minorHAnsi" w:hAnsiTheme="minorHAnsi" w:cstheme="minorHAnsi"/>
        </w:rPr>
        <w:t>since the 20</w:t>
      </w:r>
      <w:r w:rsidRPr="0080551F" w:rsidR="00482B59">
        <w:rPr>
          <w:rStyle w:val="text"/>
          <w:rFonts w:asciiTheme="minorHAnsi" w:hAnsiTheme="minorHAnsi" w:cstheme="minorHAnsi"/>
        </w:rPr>
        <w:t>2</w:t>
      </w:r>
      <w:r w:rsidRPr="0080551F" w:rsidR="00E2767F">
        <w:rPr>
          <w:rStyle w:val="text"/>
          <w:rFonts w:asciiTheme="minorHAnsi" w:hAnsiTheme="minorHAnsi" w:cstheme="minorHAnsi"/>
        </w:rPr>
        <w:t>2</w:t>
      </w:r>
      <w:r w:rsidRPr="0080551F">
        <w:rPr>
          <w:rStyle w:val="text"/>
          <w:rFonts w:asciiTheme="minorHAnsi" w:hAnsiTheme="minorHAnsi" w:cstheme="minorHAnsi"/>
        </w:rPr>
        <w:t>-</w:t>
      </w:r>
      <w:r w:rsidRPr="0080551F" w:rsidR="00482B59">
        <w:rPr>
          <w:rStyle w:val="text"/>
          <w:rFonts w:asciiTheme="minorHAnsi" w:hAnsiTheme="minorHAnsi" w:cstheme="minorHAnsi"/>
        </w:rPr>
        <w:t>2</w:t>
      </w:r>
      <w:r w:rsidRPr="0080551F" w:rsidR="00E2767F">
        <w:rPr>
          <w:rStyle w:val="text"/>
          <w:rFonts w:asciiTheme="minorHAnsi" w:hAnsiTheme="minorHAnsi" w:cstheme="minorHAnsi"/>
        </w:rPr>
        <w:t>3</w:t>
      </w:r>
      <w:r w:rsidRPr="0080551F">
        <w:rPr>
          <w:rStyle w:val="text"/>
          <w:rFonts w:asciiTheme="minorHAnsi" w:hAnsiTheme="minorHAnsi" w:cstheme="minorHAnsi"/>
        </w:rPr>
        <w:t xml:space="preserve"> Supplementary Estimate </w:t>
      </w:r>
      <w:r w:rsidRPr="006251AD">
        <w:rPr>
          <w:rStyle w:val="text"/>
          <w:rFonts w:asciiTheme="minorHAnsi" w:hAnsiTheme="minorHAnsi" w:cstheme="minorHAnsi"/>
        </w:rPr>
        <w:t>is expenditure relating to the student loan book.</w:t>
      </w:r>
      <w:r w:rsidRPr="006251AD" w:rsidR="00EA035D">
        <w:rPr>
          <w:rStyle w:val="text"/>
          <w:rFonts w:asciiTheme="minorHAnsi" w:hAnsiTheme="minorHAnsi" w:cstheme="minorHAnsi"/>
        </w:rPr>
        <w:t xml:space="preserve"> </w:t>
      </w:r>
      <w:r w:rsidRPr="006251AD">
        <w:t>The budget required to cover the annual revaluation of the student loan book is highly variable and the final position for 202</w:t>
      </w:r>
      <w:r w:rsidR="00B877FB">
        <w:t>3</w:t>
      </w:r>
      <w:r w:rsidRPr="006251AD">
        <w:t>-2</w:t>
      </w:r>
      <w:r w:rsidR="00B877FB">
        <w:t>4</w:t>
      </w:r>
      <w:r w:rsidRPr="006251AD">
        <w:t xml:space="preserve"> is expected to be covered within the Supplementary Estimate, in line with usual practice.  </w:t>
      </w:r>
    </w:p>
    <w:p w:rsidR="00E64640" w:rsidRPr="00EF21F5" w:rsidP="005E70BA">
      <w:pPr>
        <w:spacing w:before="120" w:after="120"/>
        <w:jc w:val="both"/>
        <w:rPr>
          <w:color w:val="FF0000"/>
        </w:rPr>
      </w:pPr>
    </w:p>
    <w:p w:rsidR="00516BD1" w:rsidRPr="00B1319A" w:rsidP="00516BD1">
      <w:pPr>
        <w:spacing w:before="120" w:after="120"/>
        <w:jc w:val="both"/>
        <w:rPr>
          <w:b/>
        </w:rPr>
      </w:pPr>
      <w:r w:rsidRPr="00B1319A">
        <w:rPr>
          <w:b/>
        </w:rPr>
        <w:t>Changes since the 202</w:t>
      </w:r>
      <w:r w:rsidRPr="00B1319A" w:rsidR="00E2767F">
        <w:rPr>
          <w:b/>
        </w:rPr>
        <w:t>2</w:t>
      </w:r>
      <w:r w:rsidRPr="00B1319A">
        <w:rPr>
          <w:b/>
        </w:rPr>
        <w:t>-2</w:t>
      </w:r>
      <w:r w:rsidRPr="00B1319A" w:rsidR="00E2767F">
        <w:rPr>
          <w:b/>
        </w:rPr>
        <w:t>3</w:t>
      </w:r>
      <w:r w:rsidRPr="00B1319A">
        <w:rPr>
          <w:b/>
        </w:rPr>
        <w:t xml:space="preserve"> Main Estimate</w:t>
      </w:r>
    </w:p>
    <w:p w:rsidR="004C266A" w:rsidRPr="00B1319A" w:rsidP="004C266A">
      <w:pPr>
        <w:spacing w:before="120" w:after="120"/>
        <w:jc w:val="both"/>
      </w:pPr>
      <w:bookmarkEnd w:id="3"/>
      <w:r w:rsidRPr="00B1319A">
        <w:t>The year-on-year £</w:t>
      </w:r>
      <w:r w:rsidRPr="00B1319A" w:rsidR="0080551F">
        <w:t>14.1</w:t>
      </w:r>
      <w:r w:rsidRPr="00B1319A">
        <w:t xml:space="preserve"> billion </w:t>
      </w:r>
      <w:r w:rsidR="009222F4">
        <w:t>in</w:t>
      </w:r>
      <w:r w:rsidRPr="00B1319A" w:rsidR="009222F4">
        <w:t xml:space="preserve">crease </w:t>
      </w:r>
      <w:r w:rsidRPr="00B1319A">
        <w:t>in Resource DEL since the 202</w:t>
      </w:r>
      <w:r w:rsidR="009222F4">
        <w:t>2</w:t>
      </w:r>
      <w:r w:rsidRPr="00B1319A">
        <w:t>-2</w:t>
      </w:r>
      <w:r w:rsidR="009222F4">
        <w:t>3</w:t>
      </w:r>
      <w:r w:rsidRPr="00B1319A">
        <w:t xml:space="preserve"> Main Estimate is primarily driven by:</w:t>
      </w:r>
    </w:p>
    <w:p w:rsidR="00016320" w:rsidRPr="00B1319A" w:rsidP="00016320">
      <w:pPr>
        <w:pStyle w:val="ListParagraph"/>
        <w:numPr>
          <w:ilvl w:val="0"/>
          <w:numId w:val="44"/>
        </w:numPr>
        <w:spacing w:before="120" w:after="120"/>
        <w:jc w:val="both"/>
      </w:pPr>
      <w:r>
        <w:t xml:space="preserve">The </w:t>
      </w:r>
      <w:r w:rsidRPr="00B1319A">
        <w:t>net increase in Resource DEL funding set out at SR21</w:t>
      </w:r>
      <w:r w:rsidR="00903F17">
        <w:t>,</w:t>
      </w:r>
      <w:r>
        <w:t xml:space="preserve"> Autumn </w:t>
      </w:r>
      <w:r w:rsidR="00903F17">
        <w:t xml:space="preserve">Statement 2022 </w:t>
      </w:r>
      <w:r>
        <w:t>and Spring budget</w:t>
      </w:r>
      <w:r w:rsidR="00903F17">
        <w:t xml:space="preserve"> 2023</w:t>
      </w:r>
      <w:r w:rsidRPr="00B1319A">
        <w:t>, including an uplift to the core schools budget; and</w:t>
      </w:r>
    </w:p>
    <w:p w:rsidR="00016320" w:rsidRPr="00B1319A" w:rsidP="00016320">
      <w:pPr>
        <w:pStyle w:val="ListParagraph"/>
        <w:numPr>
          <w:ilvl w:val="0"/>
          <w:numId w:val="44"/>
        </w:numPr>
        <w:spacing w:before="120" w:after="120"/>
        <w:jc w:val="both"/>
      </w:pPr>
      <w:r>
        <w:t>i</w:t>
      </w:r>
      <w:r w:rsidRPr="00B1319A" w:rsidR="0080551F">
        <w:t xml:space="preserve">nclusion </w:t>
      </w:r>
      <w:r w:rsidRPr="00B1319A">
        <w:t>at the Main Estimate 202</w:t>
      </w:r>
      <w:r w:rsidRPr="00B1319A" w:rsidR="0080551F">
        <w:t>3</w:t>
      </w:r>
      <w:r w:rsidRPr="00B1319A">
        <w:t>-2</w:t>
      </w:r>
      <w:r w:rsidRPr="00B1319A" w:rsidR="0080551F">
        <w:t>4</w:t>
      </w:r>
      <w:r w:rsidRPr="00B1319A">
        <w:t xml:space="preserve"> of a</w:t>
      </w:r>
      <w:r w:rsidRPr="00B1319A" w:rsidR="0080551F">
        <w:t>n</w:t>
      </w:r>
      <w:r w:rsidRPr="00B1319A">
        <w:t xml:space="preserve"> </w:t>
      </w:r>
      <w:r w:rsidRPr="00B1319A" w:rsidR="0080551F">
        <w:t xml:space="preserve">increased </w:t>
      </w:r>
      <w:r w:rsidRPr="00B1319A">
        <w:t>initial budget for costs associated with the student loan book (a</w:t>
      </w:r>
      <w:r w:rsidRPr="00B1319A" w:rsidR="00B1319A">
        <w:t>n</w:t>
      </w:r>
      <w:r w:rsidRPr="00B1319A">
        <w:t xml:space="preserve"> </w:t>
      </w:r>
      <w:r w:rsidRPr="00B1319A" w:rsidR="00B1319A">
        <w:t xml:space="preserve">increase of £9.5 </w:t>
      </w:r>
      <w:r w:rsidRPr="00B1319A">
        <w:t>b</w:t>
      </w:r>
      <w:r w:rsidRPr="00B1319A" w:rsidR="00EE3210">
        <w:t>illion compared to the Main Estimate</w:t>
      </w:r>
      <w:r w:rsidR="00374BDA">
        <w:t xml:space="preserve"> 2022-23</w:t>
      </w:r>
      <w:r w:rsidRPr="00B1319A">
        <w:t>) including the annual revaluation and impairment charge. This budget will be reviewed at Supplementary Estimate 202</w:t>
      </w:r>
      <w:r w:rsidR="00374BDA">
        <w:t>3</w:t>
      </w:r>
      <w:r w:rsidRPr="00B1319A">
        <w:t>-2</w:t>
      </w:r>
      <w:r w:rsidR="00374BDA">
        <w:t>4</w:t>
      </w:r>
      <w:r w:rsidRPr="00B1319A">
        <w:t xml:space="preserve"> to ensure appropriate budget cover for the remainder of the year.  </w:t>
      </w:r>
    </w:p>
    <w:p w:rsidR="004C266A" w:rsidRPr="00407CCE" w:rsidP="004C266A">
      <w:pPr>
        <w:spacing w:before="120" w:after="120"/>
        <w:jc w:val="both"/>
      </w:pPr>
      <w:r w:rsidRPr="00407CCE">
        <w:t xml:space="preserve">The budget for Capital DEL is </w:t>
      </w:r>
      <w:r w:rsidRPr="00407CCE">
        <w:t xml:space="preserve">£0.7 billion </w:t>
      </w:r>
      <w:r w:rsidRPr="00407CCE">
        <w:t xml:space="preserve">higher than </w:t>
      </w:r>
      <w:r w:rsidRPr="00407CCE">
        <w:t xml:space="preserve">the </w:t>
      </w:r>
      <w:r w:rsidRPr="00407CCE">
        <w:t>2022</w:t>
      </w:r>
      <w:r w:rsidRPr="00407CCE">
        <w:t>-</w:t>
      </w:r>
      <w:r w:rsidRPr="00407CCE">
        <w:t xml:space="preserve">23 </w:t>
      </w:r>
      <w:r w:rsidRPr="00407CCE">
        <w:t xml:space="preserve">Main Estimate </w:t>
      </w:r>
      <w:r w:rsidRPr="00407CCE">
        <w:t>in line with the settlement agreed at SR21</w:t>
      </w:r>
      <w:r w:rsidRPr="00407CCE">
        <w:t>.</w:t>
      </w:r>
    </w:p>
    <w:p w:rsidR="008915CF" w:rsidRPr="00407CCE" w:rsidP="004C266A">
      <w:pPr>
        <w:spacing w:before="120" w:after="120"/>
        <w:jc w:val="both"/>
      </w:pPr>
      <w:bookmarkEnd w:id="4"/>
      <w:r w:rsidRPr="00407CCE">
        <w:t>Further detail</w:t>
      </w:r>
      <w:r w:rsidRPr="00407CCE" w:rsidR="005D7D1D">
        <w:t>s</w:t>
      </w:r>
      <w:r w:rsidRPr="00407CCE">
        <w:t xml:space="preserve"> </w:t>
      </w:r>
      <w:r w:rsidRPr="00407CCE" w:rsidR="005D7D1D">
        <w:t>are</w:t>
      </w:r>
      <w:r w:rsidRPr="00407CCE">
        <w:t xml:space="preserve"> </w:t>
      </w:r>
      <w:r w:rsidRPr="00407CCE" w:rsidR="00E15F2A">
        <w:t xml:space="preserve">set out </w:t>
      </w:r>
      <w:r w:rsidRPr="00407CCE">
        <w:t xml:space="preserve">in Section 2. </w:t>
      </w:r>
    </w:p>
    <w:p w:rsidR="00603A3E" w:rsidP="00140606">
      <w:pPr>
        <w:pStyle w:val="Heading2"/>
        <w:spacing w:before="120" w:after="120"/>
        <w:jc w:val="both"/>
        <w:rPr>
          <w:rFonts w:asciiTheme="minorHAnsi" w:hAnsiTheme="minorHAnsi" w:cstheme="minorHAnsi"/>
        </w:rPr>
      </w:pPr>
      <w:r w:rsidRPr="008D0A1B">
        <w:rPr>
          <w:rFonts w:asciiTheme="minorHAnsi" w:hAnsiTheme="minorHAnsi" w:cstheme="minorHAnsi"/>
        </w:rPr>
        <w:t>1.6 New policies and programmes; ambit changes</w:t>
      </w:r>
      <w:r w:rsidR="00A26FA5">
        <w:rPr>
          <w:rFonts w:asciiTheme="minorHAnsi" w:hAnsiTheme="minorHAnsi" w:cstheme="minorHAnsi"/>
        </w:rPr>
        <w:t xml:space="preserve"> </w:t>
      </w:r>
    </w:p>
    <w:p w:rsidR="00EE4240" w:rsidRPr="00B1319A" w:rsidP="004925B5">
      <w:pPr>
        <w:jc w:val="both"/>
        <w:rPr>
          <w:rFonts w:cstheme="minorHAnsi"/>
          <w:bCs/>
          <w:iCs/>
        </w:rPr>
      </w:pPr>
      <w:r w:rsidRPr="00B1319A">
        <w:rPr>
          <w:rFonts w:cstheme="minorHAnsi"/>
          <w:bCs/>
          <w:iCs/>
        </w:rPr>
        <w:t xml:space="preserve">The DfE </w:t>
      </w:r>
      <w:r w:rsidRPr="00B1319A" w:rsidR="00EA035D">
        <w:rPr>
          <w:rFonts w:cstheme="minorHAnsi"/>
          <w:bCs/>
          <w:iCs/>
        </w:rPr>
        <w:t xml:space="preserve">has updated </w:t>
      </w:r>
      <w:r w:rsidRPr="00B1319A">
        <w:rPr>
          <w:rFonts w:cstheme="minorHAnsi"/>
          <w:bCs/>
          <w:iCs/>
        </w:rPr>
        <w:t xml:space="preserve">its </w:t>
      </w:r>
      <w:r w:rsidRPr="00B1319A">
        <w:rPr>
          <w:rFonts w:cstheme="minorHAnsi"/>
          <w:bCs/>
          <w:iCs/>
        </w:rPr>
        <w:t>a</w:t>
      </w:r>
      <w:r w:rsidRPr="00B1319A">
        <w:rPr>
          <w:rFonts w:cstheme="minorHAnsi"/>
          <w:bCs/>
          <w:iCs/>
        </w:rPr>
        <w:t xml:space="preserve">mbit in line with </w:t>
      </w:r>
      <w:r w:rsidRPr="00B1319A" w:rsidR="00543C55">
        <w:rPr>
          <w:rFonts w:cstheme="minorHAnsi"/>
          <w:bCs/>
          <w:iCs/>
        </w:rPr>
        <w:t>the Supplementary</w:t>
      </w:r>
      <w:r w:rsidRPr="00B1319A">
        <w:rPr>
          <w:rFonts w:cstheme="minorHAnsi"/>
          <w:bCs/>
          <w:iCs/>
        </w:rPr>
        <w:t xml:space="preserve"> Estimate 202</w:t>
      </w:r>
      <w:r w:rsidRPr="00B1319A" w:rsidR="004925B5">
        <w:rPr>
          <w:rFonts w:cstheme="minorHAnsi"/>
          <w:bCs/>
          <w:iCs/>
        </w:rPr>
        <w:t>2</w:t>
      </w:r>
      <w:r w:rsidRPr="00B1319A">
        <w:rPr>
          <w:rFonts w:cstheme="minorHAnsi"/>
          <w:bCs/>
          <w:iCs/>
        </w:rPr>
        <w:t>-</w:t>
      </w:r>
      <w:r w:rsidRPr="00B1319A" w:rsidR="004925B5">
        <w:rPr>
          <w:rFonts w:cstheme="minorHAnsi"/>
          <w:bCs/>
          <w:iCs/>
        </w:rPr>
        <w:t>23</w:t>
      </w:r>
      <w:r w:rsidRPr="00B1319A">
        <w:rPr>
          <w:rFonts w:cstheme="minorHAnsi"/>
          <w:bCs/>
          <w:iCs/>
        </w:rPr>
        <w:t xml:space="preserve">. </w:t>
      </w:r>
      <w:r w:rsidRPr="00B1319A" w:rsidR="00B1319A">
        <w:rPr>
          <w:rFonts w:cstheme="minorHAnsi"/>
          <w:bCs/>
          <w:iCs/>
        </w:rPr>
        <w:t xml:space="preserve">These updates are to clarify wording and to reflect the reclassification of FE colleges to central government by the Office for National Statistics.  </w:t>
      </w:r>
    </w:p>
    <w:p w:rsidR="00B1319A" w:rsidRPr="00B1319A" w:rsidP="00B1319A">
      <w:pPr>
        <w:jc w:val="both"/>
        <w:rPr>
          <w:rFonts w:cstheme="minorHAnsi"/>
          <w:bCs/>
          <w:iCs/>
        </w:rPr>
      </w:pPr>
      <w:r w:rsidRPr="00B1319A">
        <w:rPr>
          <w:rFonts w:cstheme="minorHAnsi"/>
          <w:bCs/>
          <w:iCs/>
        </w:rPr>
        <w:t xml:space="preserve">The Estimate structure is based on the programme activities of Groups within the Department, with each Executive Agency having its own budget line. During 2022-23, DfE management accounting has been updated to reflect alterations in the responsibilities of individual Groups as set out in section 2.2 below. This </w:t>
      </w:r>
      <w:r>
        <w:rPr>
          <w:rFonts w:cstheme="minorHAnsi"/>
          <w:bCs/>
          <w:iCs/>
        </w:rPr>
        <w:t xml:space="preserve">is </w:t>
      </w:r>
      <w:r w:rsidR="0085076D">
        <w:rPr>
          <w:rFonts w:cstheme="minorHAnsi"/>
          <w:bCs/>
          <w:iCs/>
        </w:rPr>
        <w:t>now</w:t>
      </w:r>
      <w:r w:rsidRPr="00B1319A" w:rsidR="0085076D">
        <w:rPr>
          <w:rFonts w:cstheme="minorHAnsi"/>
          <w:bCs/>
          <w:iCs/>
        </w:rPr>
        <w:t xml:space="preserve"> reflected</w:t>
      </w:r>
      <w:r w:rsidRPr="00B1319A">
        <w:rPr>
          <w:rFonts w:cstheme="minorHAnsi"/>
          <w:bCs/>
          <w:iCs/>
        </w:rPr>
        <w:t xml:space="preserve"> in the format of the Estimate with the comparative figures for 202</w:t>
      </w:r>
      <w:r w:rsidR="00327B7F">
        <w:rPr>
          <w:rFonts w:cstheme="minorHAnsi"/>
          <w:bCs/>
          <w:iCs/>
        </w:rPr>
        <w:t>2</w:t>
      </w:r>
      <w:r w:rsidRPr="00B1319A">
        <w:rPr>
          <w:rFonts w:cstheme="minorHAnsi"/>
          <w:bCs/>
          <w:iCs/>
        </w:rPr>
        <w:t xml:space="preserve">-23 restated into the new estimate sections.  </w:t>
      </w:r>
    </w:p>
    <w:p w:rsidR="004925B5" w:rsidRPr="00B1319A" w:rsidP="004925B5">
      <w:pPr>
        <w:jc w:val="both"/>
        <w:rPr>
          <w:rFonts w:cstheme="minorHAnsi"/>
          <w:bCs/>
          <w:iCs/>
        </w:rPr>
      </w:pPr>
    </w:p>
    <w:p w:rsidR="00930E06">
      <w:pPr>
        <w:rPr>
          <w:rFonts w:eastAsiaTheme="majorEastAsia"/>
          <w:color w:val="2F5496" w:themeColor="accent1" w:themeShade="BF"/>
          <w:sz w:val="28"/>
          <w:szCs w:val="28"/>
        </w:rPr>
      </w:pPr>
      <w:r>
        <w:br w:type="page"/>
      </w:r>
    </w:p>
    <w:p w:rsidR="008915CF" w:rsidRPr="008D0A1B" w:rsidP="005E70BA">
      <w:pPr>
        <w:pStyle w:val="Heading2"/>
        <w:jc w:val="both"/>
        <w:rPr>
          <w:rFonts w:asciiTheme="minorHAnsi" w:hAnsiTheme="minorHAnsi" w:cstheme="minorBidi"/>
        </w:rPr>
      </w:pPr>
      <w:r w:rsidRPr="0060F87D">
        <w:rPr>
          <w:rFonts w:asciiTheme="minorHAnsi" w:hAnsiTheme="minorHAnsi" w:cstheme="minorBidi"/>
        </w:rPr>
        <w:t>1</w:t>
      </w:r>
      <w:r w:rsidRPr="0060F87D">
        <w:rPr>
          <w:rFonts w:asciiTheme="minorHAnsi" w:hAnsiTheme="minorHAnsi" w:cstheme="minorBidi"/>
        </w:rPr>
        <w:t>.7 Spending trends</w:t>
      </w:r>
      <w:r w:rsidRPr="0060F87D" w:rsidR="0027616F">
        <w:rPr>
          <w:rFonts w:asciiTheme="minorHAnsi" w:hAnsiTheme="minorHAnsi" w:cstheme="minorBidi"/>
        </w:rPr>
        <w:t xml:space="preserve"> </w:t>
      </w:r>
    </w:p>
    <w:p w:rsidR="008915CF" w:rsidP="005E70BA">
      <w:pPr>
        <w:spacing w:before="120" w:after="120"/>
        <w:jc w:val="both"/>
      </w:pPr>
      <w:r w:rsidRPr="008D0A1B">
        <w:t xml:space="preserve">The </w:t>
      </w:r>
      <w:r w:rsidRPr="008D0A1B">
        <w:rPr>
          <w:lang w:eastAsia="en-GB"/>
        </w:rPr>
        <w:t>charts</w:t>
      </w:r>
      <w:r w:rsidRPr="008D0A1B">
        <w:t xml:space="preserve"> below show overall spending trends for the last </w:t>
      </w:r>
      <w:r w:rsidR="00F62270">
        <w:t xml:space="preserve">six </w:t>
      </w:r>
      <w:r w:rsidRPr="008D0A1B">
        <w:t xml:space="preserve">years, </w:t>
      </w:r>
      <w:r w:rsidRPr="008D0A1B" w:rsidR="00AB02F7">
        <w:t>based on outturn data for years to 20</w:t>
      </w:r>
      <w:r w:rsidR="00A26FA5">
        <w:t>2</w:t>
      </w:r>
      <w:r w:rsidR="00EF21F5">
        <w:t>1</w:t>
      </w:r>
      <w:r w:rsidRPr="008D0A1B" w:rsidR="00AB02F7">
        <w:t>-</w:t>
      </w:r>
      <w:r w:rsidR="007A64A0">
        <w:t>2</w:t>
      </w:r>
      <w:r w:rsidR="00EF21F5">
        <w:t>2</w:t>
      </w:r>
      <w:r w:rsidRPr="008D0A1B">
        <w:t xml:space="preserve"> and Estimates for 20</w:t>
      </w:r>
      <w:r w:rsidR="007A64A0">
        <w:t>2</w:t>
      </w:r>
      <w:r w:rsidR="00EF21F5">
        <w:t>2</w:t>
      </w:r>
      <w:r w:rsidRPr="008D0A1B">
        <w:t>-2</w:t>
      </w:r>
      <w:r w:rsidR="00EF21F5">
        <w:t>3</w:t>
      </w:r>
      <w:r w:rsidRPr="008D0A1B" w:rsidR="008F20F6">
        <w:t xml:space="preserve"> and 202</w:t>
      </w:r>
      <w:r w:rsidR="00EF21F5">
        <w:t>3</w:t>
      </w:r>
      <w:r w:rsidRPr="008D0A1B" w:rsidR="008F20F6">
        <w:t>-2</w:t>
      </w:r>
      <w:r w:rsidR="00EF21F5">
        <w:t>4</w:t>
      </w:r>
      <w:r w:rsidRPr="008D0A1B">
        <w:t>.</w:t>
      </w:r>
    </w:p>
    <w:p w:rsidR="0027616F" w:rsidP="005E70BA">
      <w:pPr>
        <w:spacing w:before="120" w:after="120"/>
        <w:jc w:val="both"/>
      </w:pPr>
    </w:p>
    <w:p w:rsidR="00240ADD" w:rsidP="005E70BA">
      <w:pPr>
        <w:spacing w:before="120" w:after="120"/>
        <w:jc w:val="both"/>
      </w:pPr>
      <w:r>
        <w:rPr>
          <w:noProof/>
        </w:rPr>
        <w:drawing>
          <wp:inline distT="0" distB="0" distL="0" distR="0">
            <wp:extent cx="4572000" cy="1990725"/>
            <wp:effectExtent l="0" t="0" r="0" b="0"/>
            <wp:docPr id="473100677" name="Picture 473100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4572000" cy="1990725"/>
                    </a:xfrm>
                    <a:prstGeom prst="rect">
                      <a:avLst/>
                    </a:prstGeom>
                  </pic:spPr>
                </pic:pic>
              </a:graphicData>
            </a:graphic>
          </wp:inline>
        </w:drawing>
      </w:r>
    </w:p>
    <w:p w:rsidR="00B433B1" w:rsidRPr="00EA75D0" w:rsidP="00902FAC">
      <w:pPr>
        <w:pStyle w:val="ListParagraph"/>
        <w:spacing w:line="240" w:lineRule="auto"/>
        <w:ind w:left="0"/>
        <w:jc w:val="both"/>
        <w:rPr>
          <w:sz w:val="16"/>
          <w:szCs w:val="16"/>
          <w:lang w:eastAsia="en-GB"/>
        </w:rPr>
      </w:pPr>
    </w:p>
    <w:p w:rsidR="00D9792C" w:rsidRPr="00BE2DDC" w:rsidP="00902FAC">
      <w:pPr>
        <w:pStyle w:val="ListParagraph"/>
        <w:numPr>
          <w:ilvl w:val="0"/>
          <w:numId w:val="2"/>
        </w:numPr>
        <w:spacing w:line="240" w:lineRule="auto"/>
        <w:ind w:left="0"/>
        <w:jc w:val="both"/>
        <w:rPr>
          <w:lang w:eastAsia="en-GB"/>
        </w:rPr>
      </w:pPr>
      <w:r w:rsidRPr="00EA75D0">
        <w:rPr>
          <w:lang w:eastAsia="en-GB"/>
        </w:rPr>
        <w:t>The 201</w:t>
      </w:r>
      <w:r w:rsidR="00EF21F5">
        <w:rPr>
          <w:lang w:eastAsia="en-GB"/>
        </w:rPr>
        <w:t>8</w:t>
      </w:r>
      <w:r w:rsidRPr="00EA75D0">
        <w:rPr>
          <w:lang w:eastAsia="en-GB"/>
        </w:rPr>
        <w:t>-1</w:t>
      </w:r>
      <w:r w:rsidR="00EF21F5">
        <w:rPr>
          <w:lang w:eastAsia="en-GB"/>
        </w:rPr>
        <w:t>9</w:t>
      </w:r>
      <w:r w:rsidRPr="00EA75D0" w:rsidR="00AB02F7">
        <w:rPr>
          <w:lang w:eastAsia="en-GB"/>
        </w:rPr>
        <w:t xml:space="preserve"> to 20</w:t>
      </w:r>
      <w:r w:rsidRPr="00EA75D0" w:rsidR="00654580">
        <w:rPr>
          <w:lang w:eastAsia="en-GB"/>
        </w:rPr>
        <w:t>2</w:t>
      </w:r>
      <w:r w:rsidR="00EF21F5">
        <w:rPr>
          <w:lang w:eastAsia="en-GB"/>
        </w:rPr>
        <w:t>1</w:t>
      </w:r>
      <w:r w:rsidRPr="00EA75D0" w:rsidR="00AB02F7">
        <w:rPr>
          <w:lang w:eastAsia="en-GB"/>
        </w:rPr>
        <w:t>-</w:t>
      </w:r>
      <w:r w:rsidRPr="00EA75D0" w:rsidR="00BE2DDC">
        <w:rPr>
          <w:lang w:eastAsia="en-GB"/>
        </w:rPr>
        <w:t>2</w:t>
      </w:r>
      <w:r w:rsidR="00EF21F5">
        <w:rPr>
          <w:lang w:eastAsia="en-GB"/>
        </w:rPr>
        <w:t>2</w:t>
      </w:r>
      <w:r w:rsidRPr="00EA75D0" w:rsidR="00BE2DDC">
        <w:rPr>
          <w:lang w:eastAsia="en-GB"/>
        </w:rPr>
        <w:t xml:space="preserve"> </w:t>
      </w:r>
      <w:r w:rsidRPr="00EA75D0">
        <w:rPr>
          <w:lang w:eastAsia="en-GB"/>
        </w:rPr>
        <w:t xml:space="preserve">figures have been taken from the </w:t>
      </w:r>
      <w:r w:rsidRPr="00EA75D0" w:rsidR="00E55C55">
        <w:t>DfE</w:t>
      </w:r>
      <w:r w:rsidRPr="00EA75D0">
        <w:rPr>
          <w:lang w:eastAsia="en-GB"/>
        </w:rPr>
        <w:t>’s published core tables</w:t>
      </w:r>
      <w:r w:rsidR="006D63F7">
        <w:rPr>
          <w:lang w:eastAsia="en-GB"/>
        </w:rPr>
        <w:t xml:space="preserve"> as included in </w:t>
      </w:r>
      <w:r w:rsidR="000424AA">
        <w:rPr>
          <w:lang w:eastAsia="en-GB"/>
        </w:rPr>
        <w:t>DfE’s Annual Report and Accounts</w:t>
      </w:r>
      <w:r w:rsidR="009E438E">
        <w:rPr>
          <w:lang w:eastAsia="en-GB"/>
        </w:rPr>
        <w:t>.</w:t>
      </w:r>
      <w:r w:rsidRPr="00EA75D0" w:rsidR="00BE2DDC">
        <w:rPr>
          <w:lang w:eastAsia="en-GB"/>
        </w:rPr>
        <w:t xml:space="preserve"> </w:t>
      </w:r>
    </w:p>
    <w:p w:rsidR="00D9792C" w:rsidRPr="008D0A1B" w:rsidP="00902FAC">
      <w:pPr>
        <w:pStyle w:val="ListParagraph"/>
        <w:numPr>
          <w:ilvl w:val="0"/>
          <w:numId w:val="2"/>
        </w:numPr>
        <w:spacing w:line="240" w:lineRule="auto"/>
        <w:ind w:left="0"/>
        <w:jc w:val="both"/>
        <w:rPr>
          <w:lang w:eastAsia="en-GB"/>
        </w:rPr>
      </w:pPr>
      <w:r w:rsidRPr="008D0A1B">
        <w:rPr>
          <w:lang w:eastAsia="en-GB"/>
        </w:rPr>
        <w:t>Figures for</w:t>
      </w:r>
      <w:r w:rsidRPr="008D0A1B" w:rsidR="008F20F6">
        <w:rPr>
          <w:lang w:eastAsia="en-GB"/>
        </w:rPr>
        <w:t xml:space="preserve"> 202</w:t>
      </w:r>
      <w:r w:rsidR="00EF21F5">
        <w:rPr>
          <w:lang w:eastAsia="en-GB"/>
        </w:rPr>
        <w:t>3</w:t>
      </w:r>
      <w:r w:rsidRPr="008D0A1B" w:rsidR="008F20F6">
        <w:rPr>
          <w:lang w:eastAsia="en-GB"/>
        </w:rPr>
        <w:t>-2</w:t>
      </w:r>
      <w:r w:rsidR="00EF21F5">
        <w:rPr>
          <w:lang w:eastAsia="en-GB"/>
        </w:rPr>
        <w:t>4</w:t>
      </w:r>
      <w:r w:rsidRPr="008D0A1B" w:rsidR="008F20F6">
        <w:rPr>
          <w:lang w:eastAsia="en-GB"/>
        </w:rPr>
        <w:t xml:space="preserve"> are based on the DfE’s Main Estimate,</w:t>
      </w:r>
      <w:r w:rsidRPr="008D0A1B">
        <w:rPr>
          <w:lang w:eastAsia="en-GB"/>
        </w:rPr>
        <w:t xml:space="preserve"> </w:t>
      </w:r>
      <w:r w:rsidRPr="008D0A1B" w:rsidR="008F20F6">
        <w:rPr>
          <w:lang w:eastAsia="en-GB"/>
        </w:rPr>
        <w:t xml:space="preserve">figures for </w:t>
      </w:r>
      <w:r w:rsidRPr="008D0A1B">
        <w:rPr>
          <w:lang w:eastAsia="en-GB"/>
        </w:rPr>
        <w:t>20</w:t>
      </w:r>
      <w:r w:rsidR="00A97DB4">
        <w:rPr>
          <w:lang w:eastAsia="en-GB"/>
        </w:rPr>
        <w:t>2</w:t>
      </w:r>
      <w:r w:rsidR="00EF21F5">
        <w:rPr>
          <w:lang w:eastAsia="en-GB"/>
        </w:rPr>
        <w:t>2</w:t>
      </w:r>
      <w:r w:rsidRPr="008D0A1B">
        <w:rPr>
          <w:lang w:eastAsia="en-GB"/>
        </w:rPr>
        <w:t>-2</w:t>
      </w:r>
      <w:r w:rsidR="00EF21F5">
        <w:rPr>
          <w:lang w:eastAsia="en-GB"/>
        </w:rPr>
        <w:t>3</w:t>
      </w:r>
      <w:r w:rsidRPr="008D0A1B">
        <w:rPr>
          <w:lang w:eastAsia="en-GB"/>
        </w:rPr>
        <w:t xml:space="preserve"> are based on the DfE’s</w:t>
      </w:r>
      <w:r w:rsidRPr="008D0A1B" w:rsidR="00AB02F7">
        <w:rPr>
          <w:lang w:eastAsia="en-GB"/>
        </w:rPr>
        <w:t xml:space="preserve"> Supplementary</w:t>
      </w:r>
      <w:r w:rsidRPr="008D0A1B">
        <w:rPr>
          <w:lang w:eastAsia="en-GB"/>
        </w:rPr>
        <w:t xml:space="preserve"> Estima</w:t>
      </w:r>
      <w:r w:rsidRPr="008D0A1B" w:rsidR="00AB02F7">
        <w:rPr>
          <w:lang w:eastAsia="en-GB"/>
        </w:rPr>
        <w:t xml:space="preserve">te, whilst figures prior to </w:t>
      </w:r>
      <w:r w:rsidR="00E50302">
        <w:rPr>
          <w:lang w:eastAsia="en-GB"/>
        </w:rPr>
        <w:t xml:space="preserve">and including </w:t>
      </w:r>
      <w:r w:rsidRPr="008D0A1B" w:rsidR="00AB02F7">
        <w:rPr>
          <w:lang w:eastAsia="en-GB"/>
        </w:rPr>
        <w:t>20</w:t>
      </w:r>
      <w:r w:rsidR="00654580">
        <w:rPr>
          <w:lang w:eastAsia="en-GB"/>
        </w:rPr>
        <w:t>2</w:t>
      </w:r>
      <w:r w:rsidR="00EF21F5">
        <w:rPr>
          <w:lang w:eastAsia="en-GB"/>
        </w:rPr>
        <w:t>1</w:t>
      </w:r>
      <w:r w:rsidRPr="008D0A1B" w:rsidR="00AB02F7">
        <w:rPr>
          <w:lang w:eastAsia="en-GB"/>
        </w:rPr>
        <w:t>-2</w:t>
      </w:r>
      <w:r w:rsidR="00EF21F5">
        <w:rPr>
          <w:lang w:eastAsia="en-GB"/>
        </w:rPr>
        <w:t>2</w:t>
      </w:r>
      <w:r w:rsidRPr="008D0A1B">
        <w:rPr>
          <w:lang w:eastAsia="en-GB"/>
        </w:rPr>
        <w:t xml:space="preserve"> are based on </w:t>
      </w:r>
      <w:r w:rsidRPr="008D0A1B" w:rsidR="00F62270">
        <w:rPr>
          <w:lang w:eastAsia="en-GB"/>
        </w:rPr>
        <w:t>outturn.</w:t>
      </w:r>
    </w:p>
    <w:p w:rsidR="008915CF" w:rsidRPr="00BF41EA" w:rsidP="00902FAC">
      <w:pPr>
        <w:pStyle w:val="ListParagraph"/>
        <w:numPr>
          <w:ilvl w:val="0"/>
          <w:numId w:val="2"/>
        </w:numPr>
        <w:spacing w:line="240" w:lineRule="auto"/>
        <w:ind w:left="0" w:hanging="357"/>
        <w:jc w:val="both"/>
        <w:rPr>
          <w:lang w:eastAsia="en-GB"/>
        </w:rPr>
      </w:pPr>
      <w:r w:rsidRPr="00BF41EA">
        <w:rPr>
          <w:lang w:eastAsia="en-GB"/>
        </w:rPr>
        <w:t>Resource DEL for 202</w:t>
      </w:r>
      <w:r w:rsidR="009729D3">
        <w:rPr>
          <w:lang w:eastAsia="en-GB"/>
        </w:rPr>
        <w:t>0-21</w:t>
      </w:r>
      <w:r w:rsidRPr="00BF41EA">
        <w:rPr>
          <w:lang w:eastAsia="en-GB"/>
        </w:rPr>
        <w:t xml:space="preserve"> </w:t>
      </w:r>
      <w:r w:rsidRPr="00BF41EA" w:rsidR="00D21AF7">
        <w:rPr>
          <w:lang w:eastAsia="en-GB"/>
        </w:rPr>
        <w:t>shows a</w:t>
      </w:r>
      <w:r w:rsidR="009729D3">
        <w:rPr>
          <w:lang w:eastAsia="en-GB"/>
        </w:rPr>
        <w:t>n</w:t>
      </w:r>
      <w:r w:rsidRPr="00BF41EA" w:rsidR="00D21AF7">
        <w:rPr>
          <w:lang w:eastAsia="en-GB"/>
        </w:rPr>
        <w:t xml:space="preserve"> </w:t>
      </w:r>
      <w:r w:rsidR="009729D3">
        <w:rPr>
          <w:lang w:eastAsia="en-GB"/>
        </w:rPr>
        <w:t>increase</w:t>
      </w:r>
      <w:r w:rsidRPr="00BF41EA" w:rsidR="00D21AF7">
        <w:rPr>
          <w:lang w:eastAsia="en-GB"/>
        </w:rPr>
        <w:t xml:space="preserve">, </w:t>
      </w:r>
      <w:r w:rsidR="004E4B6F">
        <w:rPr>
          <w:lang w:eastAsia="en-GB"/>
        </w:rPr>
        <w:t>driven by an increase in impairments on the loan book due to changes in earnings forecasts</w:t>
      </w:r>
      <w:r w:rsidR="007E6793">
        <w:rPr>
          <w:lang w:eastAsia="en-GB"/>
        </w:rPr>
        <w:t>.</w:t>
      </w:r>
      <w:r w:rsidRPr="00BF41EA" w:rsidR="00F62270">
        <w:rPr>
          <w:lang w:eastAsia="en-GB"/>
        </w:rPr>
        <w:t xml:space="preserve"> </w:t>
      </w:r>
    </w:p>
    <w:p w:rsidR="002A25F8" w:rsidRPr="008D0A1B" w:rsidP="000E0F4E">
      <w:pPr>
        <w:pStyle w:val="Heading2"/>
        <w:rPr>
          <w:rFonts w:asciiTheme="minorHAnsi" w:hAnsiTheme="minorHAnsi" w:cstheme="minorBidi"/>
        </w:rPr>
      </w:pPr>
      <w:bookmarkStart w:id="5" w:name="_Hlk100575140"/>
      <w:bookmarkStart w:id="6" w:name="_Hlk100332262"/>
      <w:r w:rsidRPr="19B921A6">
        <w:rPr>
          <w:rFonts w:asciiTheme="minorHAnsi" w:hAnsiTheme="minorHAnsi" w:cstheme="minorBidi"/>
        </w:rPr>
        <w:t>1</w:t>
      </w:r>
      <w:r w:rsidRPr="19B921A6" w:rsidR="00740C96">
        <w:rPr>
          <w:rFonts w:asciiTheme="minorHAnsi" w:hAnsiTheme="minorHAnsi" w:cstheme="minorBidi"/>
        </w:rPr>
        <w:t>.</w:t>
      </w:r>
      <w:r w:rsidRPr="19B921A6" w:rsidR="00AA1B4A">
        <w:rPr>
          <w:rFonts w:asciiTheme="minorHAnsi" w:hAnsiTheme="minorHAnsi" w:cstheme="minorBidi"/>
        </w:rPr>
        <w:t>8</w:t>
      </w:r>
      <w:r w:rsidRPr="19B921A6">
        <w:rPr>
          <w:rFonts w:asciiTheme="minorHAnsi" w:hAnsiTheme="minorHAnsi" w:cstheme="minorBidi"/>
        </w:rPr>
        <w:t xml:space="preserve"> </w:t>
      </w:r>
      <w:r w:rsidRPr="19B921A6" w:rsidR="00594756">
        <w:rPr>
          <w:rFonts w:asciiTheme="minorHAnsi" w:hAnsiTheme="minorHAnsi" w:cstheme="minorBidi"/>
        </w:rPr>
        <w:t xml:space="preserve">Administration costs </w:t>
      </w:r>
    </w:p>
    <w:p w:rsidR="0021608B" w:rsidRPr="00E7172C" w:rsidP="00A26FA5">
      <w:pPr>
        <w:spacing w:before="120" w:after="120"/>
        <w:jc w:val="both"/>
        <w:rPr>
          <w:bCs/>
          <w:lang w:eastAsia="en-GB"/>
        </w:rPr>
      </w:pPr>
      <w:r w:rsidRPr="00E7172C">
        <w:rPr>
          <w:bCs/>
          <w:lang w:eastAsia="en-GB"/>
        </w:rPr>
        <w:t xml:space="preserve">Administration costs are set to </w:t>
      </w:r>
      <w:r w:rsidRPr="00407CCE" w:rsidR="006F04BB">
        <w:rPr>
          <w:lang w:eastAsia="en-GB"/>
        </w:rPr>
        <w:t>de</w:t>
      </w:r>
      <w:r w:rsidRPr="00407CCE">
        <w:rPr>
          <w:lang w:eastAsia="en-GB"/>
        </w:rPr>
        <w:t xml:space="preserve">crease by </w:t>
      </w:r>
      <w:r w:rsidRPr="00407CCE" w:rsidR="007B6959">
        <w:rPr>
          <w:lang w:eastAsia="en-GB"/>
        </w:rPr>
        <w:t>1.</w:t>
      </w:r>
      <w:r w:rsidRPr="00407CCE" w:rsidR="33E906A4">
        <w:rPr>
          <w:lang w:eastAsia="en-GB"/>
        </w:rPr>
        <w:t>6%</w:t>
      </w:r>
      <w:r w:rsidRPr="00E7172C">
        <w:rPr>
          <w:bCs/>
          <w:lang w:eastAsia="en-GB"/>
        </w:rPr>
        <w:t xml:space="preserve"> in 202</w:t>
      </w:r>
      <w:r w:rsidRPr="00E7172C" w:rsidR="0027616F">
        <w:rPr>
          <w:bCs/>
          <w:lang w:eastAsia="en-GB"/>
        </w:rPr>
        <w:t>3</w:t>
      </w:r>
      <w:r w:rsidRPr="00E7172C">
        <w:rPr>
          <w:bCs/>
          <w:lang w:eastAsia="en-GB"/>
        </w:rPr>
        <w:t>-2</w:t>
      </w:r>
      <w:r w:rsidRPr="00E7172C" w:rsidR="0027616F">
        <w:rPr>
          <w:bCs/>
          <w:lang w:eastAsia="en-GB"/>
        </w:rPr>
        <w:t>4</w:t>
      </w:r>
      <w:r w:rsidRPr="00E7172C">
        <w:rPr>
          <w:bCs/>
          <w:lang w:eastAsia="en-GB"/>
        </w:rPr>
        <w:t xml:space="preserve"> compared to last year’s final budget.</w:t>
      </w:r>
    </w:p>
    <w:p w:rsidR="0008701C" w:rsidP="00A26FA5">
      <w:pPr>
        <w:spacing w:before="120" w:after="120"/>
        <w:jc w:val="both"/>
        <w:rPr>
          <w:bCs/>
          <w:lang w:eastAsia="en-GB"/>
        </w:rPr>
      </w:pPr>
    </w:p>
    <w:tbl>
      <w:tblPr>
        <w:tblW w:w="7860" w:type="dxa"/>
        <w:tblLook w:val="04A0"/>
      </w:tblPr>
      <w:tblGrid>
        <w:gridCol w:w="1310"/>
        <w:gridCol w:w="1310"/>
        <w:gridCol w:w="1310"/>
        <w:gridCol w:w="1310"/>
        <w:gridCol w:w="1310"/>
        <w:gridCol w:w="1310"/>
      </w:tblGrid>
      <w:tr w:rsidTr="00002929">
        <w:tblPrEx>
          <w:tblW w:w="7860" w:type="dxa"/>
          <w:tblLook w:val="04A0"/>
        </w:tblPrEx>
        <w:trPr>
          <w:trHeight w:val="765"/>
        </w:trPr>
        <w:tc>
          <w:tcPr>
            <w:tcW w:w="2620" w:type="dxa"/>
            <w:gridSpan w:val="2"/>
            <w:tcBorders>
              <w:top w:val="single" w:sz="8" w:space="0" w:color="auto"/>
              <w:left w:val="single" w:sz="8" w:space="0" w:color="auto"/>
              <w:bottom w:val="single" w:sz="4" w:space="0" w:color="auto"/>
              <w:right w:val="single" w:sz="4" w:space="0" w:color="auto"/>
            </w:tcBorders>
            <w:shd w:val="clear" w:color="auto" w:fill="auto"/>
            <w:hideMark/>
          </w:tcPr>
          <w:p w:rsidR="0008701C" w:rsidRPr="0008701C" w:rsidP="0008701C">
            <w:pPr>
              <w:spacing w:after="0" w:line="240" w:lineRule="auto"/>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Spending total</w:t>
            </w:r>
            <w:r w:rsidRPr="0008701C">
              <w:rPr>
                <w:rFonts w:ascii="Calibri" w:eastAsia="Times New Roman" w:hAnsi="Calibri" w:cs="Calibri"/>
                <w:sz w:val="18"/>
                <w:szCs w:val="18"/>
                <w:lang w:eastAsia="en-GB"/>
              </w:rPr>
              <w:br/>
              <w:t xml:space="preserve">Amounts sought this year </w:t>
            </w:r>
            <w:r w:rsidRPr="0008701C">
              <w:rPr>
                <w:rFonts w:ascii="Calibri" w:eastAsia="Times New Roman" w:hAnsi="Calibri" w:cs="Calibri"/>
                <w:sz w:val="18"/>
                <w:szCs w:val="18"/>
                <w:lang w:eastAsia="en-GB"/>
              </w:rPr>
              <w:br/>
              <w:t>(Main Estimate 2023-24)</w:t>
            </w:r>
          </w:p>
        </w:tc>
        <w:tc>
          <w:tcPr>
            <w:tcW w:w="2620" w:type="dxa"/>
            <w:gridSpan w:val="2"/>
            <w:tcBorders>
              <w:top w:val="single" w:sz="8" w:space="0" w:color="auto"/>
              <w:left w:val="nil"/>
              <w:bottom w:val="single" w:sz="4" w:space="0" w:color="auto"/>
              <w:right w:val="single" w:sz="4" w:space="0" w:color="auto"/>
            </w:tcBorders>
            <w:shd w:val="clear" w:color="auto" w:fill="auto"/>
            <w:hideMark/>
          </w:tcPr>
          <w:p w:rsidR="0008701C" w:rsidRPr="0008701C" w:rsidP="0008701C">
            <w:pPr>
              <w:spacing w:after="0" w:line="240" w:lineRule="auto"/>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Difference compared to final budget last year (Supplementary Estimates 2022-23)</w:t>
            </w:r>
          </w:p>
        </w:tc>
        <w:tc>
          <w:tcPr>
            <w:tcW w:w="2620" w:type="dxa"/>
            <w:gridSpan w:val="2"/>
            <w:tcBorders>
              <w:top w:val="single" w:sz="8" w:space="0" w:color="auto"/>
              <w:left w:val="nil"/>
              <w:bottom w:val="single" w:sz="4" w:space="0" w:color="auto"/>
              <w:right w:val="single" w:sz="8" w:space="0" w:color="000000"/>
            </w:tcBorders>
            <w:shd w:val="clear" w:color="auto" w:fill="auto"/>
            <w:hideMark/>
          </w:tcPr>
          <w:p w:rsidR="0008701C" w:rsidRPr="0008701C" w:rsidP="0008701C">
            <w:pPr>
              <w:spacing w:after="0" w:line="240" w:lineRule="auto"/>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 xml:space="preserve">Difference compared to original budget last year (Main Estimates 2022-23) </w:t>
            </w:r>
          </w:p>
        </w:tc>
      </w:tr>
      <w:tr w:rsidTr="00002929">
        <w:tblPrEx>
          <w:tblW w:w="7860" w:type="dxa"/>
          <w:tblLook w:val="04A0"/>
        </w:tblPrEx>
        <w:trPr>
          <w:trHeight w:val="240"/>
        </w:trPr>
        <w:tc>
          <w:tcPr>
            <w:tcW w:w="1310" w:type="dxa"/>
            <w:tcBorders>
              <w:top w:val="nil"/>
              <w:left w:val="single" w:sz="8" w:space="0" w:color="auto"/>
              <w:bottom w:val="single" w:sz="4" w:space="0" w:color="auto"/>
              <w:right w:val="single" w:sz="4" w:space="0" w:color="auto"/>
            </w:tcBorders>
            <w:shd w:val="clear" w:color="auto" w:fill="auto"/>
            <w:hideMark/>
          </w:tcPr>
          <w:p w:rsidR="0008701C" w:rsidRPr="0008701C" w:rsidP="0008701C">
            <w:pPr>
              <w:spacing w:after="0" w:line="240" w:lineRule="auto"/>
              <w:jc w:val="center"/>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 </w:t>
            </w:r>
          </w:p>
        </w:tc>
        <w:tc>
          <w:tcPr>
            <w:tcW w:w="1310" w:type="dxa"/>
            <w:tcBorders>
              <w:top w:val="nil"/>
              <w:left w:val="nil"/>
              <w:bottom w:val="single" w:sz="4" w:space="0" w:color="auto"/>
              <w:right w:val="single" w:sz="4" w:space="0" w:color="auto"/>
            </w:tcBorders>
            <w:shd w:val="clear" w:color="auto" w:fill="auto"/>
            <w:hideMark/>
          </w:tcPr>
          <w:p w:rsidR="0008701C" w:rsidRPr="0008701C" w:rsidP="0008701C">
            <w:pPr>
              <w:spacing w:after="0" w:line="240" w:lineRule="auto"/>
              <w:jc w:val="center"/>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£m</w:t>
            </w:r>
          </w:p>
        </w:tc>
        <w:tc>
          <w:tcPr>
            <w:tcW w:w="1310" w:type="dxa"/>
            <w:tcBorders>
              <w:top w:val="nil"/>
              <w:left w:val="nil"/>
              <w:bottom w:val="single" w:sz="4" w:space="0" w:color="auto"/>
              <w:right w:val="single" w:sz="4" w:space="0" w:color="auto"/>
            </w:tcBorders>
            <w:shd w:val="clear" w:color="auto" w:fill="auto"/>
            <w:hideMark/>
          </w:tcPr>
          <w:p w:rsidR="0008701C" w:rsidRPr="0008701C" w:rsidP="0008701C">
            <w:pPr>
              <w:spacing w:after="0" w:line="240" w:lineRule="auto"/>
              <w:jc w:val="center"/>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£m</w:t>
            </w:r>
          </w:p>
        </w:tc>
        <w:tc>
          <w:tcPr>
            <w:tcW w:w="1310" w:type="dxa"/>
            <w:tcBorders>
              <w:top w:val="nil"/>
              <w:left w:val="nil"/>
              <w:bottom w:val="single" w:sz="4" w:space="0" w:color="auto"/>
              <w:right w:val="single" w:sz="4" w:space="0" w:color="auto"/>
            </w:tcBorders>
            <w:shd w:val="clear" w:color="auto" w:fill="auto"/>
            <w:hideMark/>
          </w:tcPr>
          <w:p w:rsidR="0008701C" w:rsidRPr="0008701C" w:rsidP="0008701C">
            <w:pPr>
              <w:spacing w:after="0" w:line="240" w:lineRule="auto"/>
              <w:jc w:val="center"/>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w:t>
            </w:r>
          </w:p>
        </w:tc>
        <w:tc>
          <w:tcPr>
            <w:tcW w:w="1310" w:type="dxa"/>
            <w:tcBorders>
              <w:top w:val="nil"/>
              <w:left w:val="nil"/>
              <w:bottom w:val="single" w:sz="4" w:space="0" w:color="auto"/>
              <w:right w:val="single" w:sz="4" w:space="0" w:color="auto"/>
            </w:tcBorders>
            <w:shd w:val="clear" w:color="auto" w:fill="auto"/>
            <w:hideMark/>
          </w:tcPr>
          <w:p w:rsidR="0008701C" w:rsidRPr="0008701C" w:rsidP="0008701C">
            <w:pPr>
              <w:spacing w:after="0" w:line="240" w:lineRule="auto"/>
              <w:jc w:val="center"/>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£m</w:t>
            </w:r>
          </w:p>
        </w:tc>
        <w:tc>
          <w:tcPr>
            <w:tcW w:w="1310" w:type="dxa"/>
            <w:tcBorders>
              <w:top w:val="nil"/>
              <w:left w:val="nil"/>
              <w:bottom w:val="single" w:sz="4" w:space="0" w:color="auto"/>
              <w:right w:val="single" w:sz="8" w:space="0" w:color="auto"/>
            </w:tcBorders>
            <w:shd w:val="clear" w:color="auto" w:fill="auto"/>
            <w:hideMark/>
          </w:tcPr>
          <w:p w:rsidR="0008701C" w:rsidRPr="0008701C" w:rsidP="0008701C">
            <w:pPr>
              <w:spacing w:after="0" w:line="240" w:lineRule="auto"/>
              <w:jc w:val="center"/>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w:t>
            </w:r>
          </w:p>
        </w:tc>
      </w:tr>
      <w:tr w:rsidTr="00002929">
        <w:tblPrEx>
          <w:tblW w:w="7860" w:type="dxa"/>
          <w:tblLook w:val="04A0"/>
        </w:tblPrEx>
        <w:trPr>
          <w:trHeight w:val="250"/>
        </w:trPr>
        <w:tc>
          <w:tcPr>
            <w:tcW w:w="1310" w:type="dxa"/>
            <w:tcBorders>
              <w:top w:val="nil"/>
              <w:left w:val="single" w:sz="8" w:space="0" w:color="auto"/>
              <w:bottom w:val="single" w:sz="8" w:space="0" w:color="auto"/>
              <w:right w:val="single" w:sz="4" w:space="0" w:color="auto"/>
            </w:tcBorders>
            <w:shd w:val="clear" w:color="auto" w:fill="auto"/>
            <w:hideMark/>
          </w:tcPr>
          <w:p w:rsidR="0008701C" w:rsidRPr="0008701C" w:rsidP="0008701C">
            <w:pPr>
              <w:spacing w:after="0" w:line="240" w:lineRule="auto"/>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Administration costs</w:t>
            </w:r>
          </w:p>
        </w:tc>
        <w:tc>
          <w:tcPr>
            <w:tcW w:w="1310" w:type="dxa"/>
            <w:tcBorders>
              <w:top w:val="nil"/>
              <w:left w:val="nil"/>
              <w:bottom w:val="single" w:sz="8" w:space="0" w:color="auto"/>
              <w:right w:val="single" w:sz="4" w:space="0" w:color="auto"/>
            </w:tcBorders>
            <w:shd w:val="clear" w:color="auto" w:fill="auto"/>
            <w:hideMark/>
          </w:tcPr>
          <w:p w:rsidR="0008701C" w:rsidRPr="0008701C" w:rsidP="0008701C">
            <w:pPr>
              <w:spacing w:after="0" w:line="240" w:lineRule="auto"/>
              <w:jc w:val="right"/>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561.2</w:t>
            </w:r>
          </w:p>
        </w:tc>
        <w:tc>
          <w:tcPr>
            <w:tcW w:w="1310" w:type="dxa"/>
            <w:tcBorders>
              <w:top w:val="nil"/>
              <w:left w:val="nil"/>
              <w:bottom w:val="single" w:sz="8" w:space="0" w:color="auto"/>
              <w:right w:val="single" w:sz="4" w:space="0" w:color="auto"/>
            </w:tcBorders>
            <w:shd w:val="clear" w:color="auto" w:fill="auto"/>
            <w:hideMark/>
          </w:tcPr>
          <w:p w:rsidR="0008701C" w:rsidRPr="0008701C" w:rsidP="0008701C">
            <w:pPr>
              <w:spacing w:after="0" w:line="240" w:lineRule="auto"/>
              <w:jc w:val="right"/>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(8.9)</w:t>
            </w:r>
          </w:p>
        </w:tc>
        <w:tc>
          <w:tcPr>
            <w:tcW w:w="1310" w:type="dxa"/>
            <w:tcBorders>
              <w:top w:val="nil"/>
              <w:left w:val="nil"/>
              <w:bottom w:val="single" w:sz="8" w:space="0" w:color="auto"/>
              <w:right w:val="single" w:sz="4" w:space="0" w:color="auto"/>
            </w:tcBorders>
            <w:shd w:val="clear" w:color="auto" w:fill="auto"/>
            <w:hideMark/>
          </w:tcPr>
          <w:p w:rsidR="0008701C" w:rsidRPr="0008701C" w:rsidP="0008701C">
            <w:pPr>
              <w:spacing w:after="0" w:line="240" w:lineRule="auto"/>
              <w:jc w:val="right"/>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(1.6)</w:t>
            </w:r>
          </w:p>
        </w:tc>
        <w:tc>
          <w:tcPr>
            <w:tcW w:w="1310" w:type="dxa"/>
            <w:tcBorders>
              <w:top w:val="nil"/>
              <w:left w:val="nil"/>
              <w:bottom w:val="single" w:sz="8" w:space="0" w:color="auto"/>
              <w:right w:val="single" w:sz="4" w:space="0" w:color="auto"/>
            </w:tcBorders>
            <w:shd w:val="clear" w:color="auto" w:fill="auto"/>
            <w:hideMark/>
          </w:tcPr>
          <w:p w:rsidR="0008701C" w:rsidRPr="0008701C" w:rsidP="0008701C">
            <w:pPr>
              <w:spacing w:after="0" w:line="240" w:lineRule="auto"/>
              <w:jc w:val="right"/>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7.8</w:t>
            </w:r>
          </w:p>
        </w:tc>
        <w:tc>
          <w:tcPr>
            <w:tcW w:w="1310" w:type="dxa"/>
            <w:tcBorders>
              <w:top w:val="nil"/>
              <w:left w:val="nil"/>
              <w:bottom w:val="single" w:sz="8" w:space="0" w:color="auto"/>
              <w:right w:val="single" w:sz="8" w:space="0" w:color="auto"/>
            </w:tcBorders>
            <w:shd w:val="clear" w:color="auto" w:fill="auto"/>
            <w:hideMark/>
          </w:tcPr>
          <w:p w:rsidR="0008701C" w:rsidRPr="0008701C" w:rsidP="0008701C">
            <w:pPr>
              <w:spacing w:after="0" w:line="240" w:lineRule="auto"/>
              <w:jc w:val="right"/>
              <w:rPr>
                <w:rFonts w:ascii="Calibri" w:eastAsia="Times New Roman" w:hAnsi="Calibri" w:cs="Calibri"/>
                <w:sz w:val="18"/>
                <w:szCs w:val="18"/>
                <w:lang w:eastAsia="en-GB"/>
              </w:rPr>
            </w:pPr>
            <w:r w:rsidRPr="0008701C">
              <w:rPr>
                <w:rFonts w:ascii="Calibri" w:eastAsia="Times New Roman" w:hAnsi="Calibri" w:cs="Calibri"/>
                <w:sz w:val="18"/>
                <w:szCs w:val="18"/>
                <w:lang w:eastAsia="en-GB"/>
              </w:rPr>
              <w:t>1.4</w:t>
            </w:r>
          </w:p>
        </w:tc>
      </w:tr>
    </w:tbl>
    <w:p w:rsidR="00D423AA" w:rsidRPr="00EF21F5" w:rsidP="00D423AA">
      <w:pPr>
        <w:spacing w:before="120" w:after="120"/>
        <w:jc w:val="both"/>
        <w:rPr>
          <w:rFonts w:eastAsiaTheme="majorEastAsia" w:cstheme="minorHAnsi"/>
          <w:color w:val="2F5496" w:themeColor="accent1" w:themeShade="BF"/>
          <w:sz w:val="24"/>
          <w:szCs w:val="24"/>
        </w:rPr>
      </w:pPr>
      <w:bookmarkStart w:id="7" w:name="_Hlk69820288"/>
      <w:r w:rsidRPr="00EF21F5">
        <w:rPr>
          <w:rFonts w:eastAsiaTheme="majorEastAsia" w:cstheme="minorHAnsi"/>
          <w:color w:val="2F5496" w:themeColor="accent1" w:themeShade="BF"/>
          <w:sz w:val="24"/>
          <w:szCs w:val="24"/>
        </w:rPr>
        <w:t>Changes since the 20</w:t>
      </w:r>
      <w:r w:rsidRPr="00EF21F5" w:rsidR="008A556E">
        <w:rPr>
          <w:rFonts w:eastAsiaTheme="majorEastAsia" w:cstheme="minorHAnsi"/>
          <w:color w:val="2F5496" w:themeColor="accent1" w:themeShade="BF"/>
          <w:sz w:val="24"/>
          <w:szCs w:val="24"/>
        </w:rPr>
        <w:t>2</w:t>
      </w:r>
      <w:r w:rsidR="00EF21F5">
        <w:rPr>
          <w:rFonts w:eastAsiaTheme="majorEastAsia" w:cstheme="minorHAnsi"/>
          <w:color w:val="2F5496" w:themeColor="accent1" w:themeShade="BF"/>
          <w:sz w:val="24"/>
          <w:szCs w:val="24"/>
        </w:rPr>
        <w:t>2</w:t>
      </w:r>
      <w:r w:rsidRPr="00EF21F5">
        <w:rPr>
          <w:rFonts w:eastAsiaTheme="majorEastAsia" w:cstheme="minorHAnsi"/>
          <w:color w:val="2F5496" w:themeColor="accent1" w:themeShade="BF"/>
          <w:sz w:val="24"/>
          <w:szCs w:val="24"/>
        </w:rPr>
        <w:t>-2</w:t>
      </w:r>
      <w:r w:rsidR="00EF21F5">
        <w:rPr>
          <w:rFonts w:eastAsiaTheme="majorEastAsia" w:cstheme="minorHAnsi"/>
          <w:color w:val="2F5496" w:themeColor="accent1" w:themeShade="BF"/>
          <w:sz w:val="24"/>
          <w:szCs w:val="24"/>
        </w:rPr>
        <w:t>3</w:t>
      </w:r>
      <w:r w:rsidRPr="00EF21F5">
        <w:rPr>
          <w:rFonts w:eastAsiaTheme="majorEastAsia" w:cstheme="minorHAnsi"/>
          <w:color w:val="2F5496" w:themeColor="accent1" w:themeShade="BF"/>
          <w:sz w:val="24"/>
          <w:szCs w:val="24"/>
        </w:rPr>
        <w:t xml:space="preserve"> </w:t>
      </w:r>
      <w:r w:rsidRPr="00EF21F5" w:rsidR="008F20F6">
        <w:rPr>
          <w:rFonts w:eastAsiaTheme="majorEastAsia" w:cstheme="minorHAnsi"/>
          <w:color w:val="2F5496" w:themeColor="accent1" w:themeShade="BF"/>
          <w:sz w:val="24"/>
          <w:szCs w:val="24"/>
        </w:rPr>
        <w:t>Supplementary</w:t>
      </w:r>
      <w:r w:rsidRPr="00EF21F5">
        <w:rPr>
          <w:rFonts w:eastAsiaTheme="majorEastAsia" w:cstheme="minorHAnsi"/>
          <w:color w:val="2F5496" w:themeColor="accent1" w:themeShade="BF"/>
          <w:sz w:val="24"/>
          <w:szCs w:val="24"/>
        </w:rPr>
        <w:t xml:space="preserve"> Estimate </w:t>
      </w:r>
    </w:p>
    <w:p w:rsidR="00311359" w:rsidRPr="0009190A" w:rsidP="00311359">
      <w:pPr>
        <w:spacing w:before="120" w:after="120"/>
        <w:jc w:val="both"/>
      </w:pPr>
      <w:bookmarkEnd w:id="5"/>
      <w:bookmarkEnd w:id="6"/>
      <w:bookmarkEnd w:id="7"/>
      <w:r w:rsidRPr="22DE683B">
        <w:t xml:space="preserve">There has been a slight decrease of </w:t>
      </w:r>
      <w:r w:rsidRPr="22DE683B" w:rsidR="007B6959">
        <w:t>1.</w:t>
      </w:r>
      <w:r w:rsidRPr="6A55D8D1" w:rsidR="394DFDE8">
        <w:t>6%</w:t>
      </w:r>
      <w:r w:rsidRPr="22DE683B">
        <w:t xml:space="preserve"> since the </w:t>
      </w:r>
      <w:r w:rsidRPr="22DE683B" w:rsidR="007B6959">
        <w:t>2022</w:t>
      </w:r>
      <w:r w:rsidRPr="22DE683B">
        <w:t>-</w:t>
      </w:r>
      <w:r w:rsidRPr="22DE683B" w:rsidR="007B6959">
        <w:t xml:space="preserve">23 </w:t>
      </w:r>
      <w:r w:rsidRPr="22DE683B">
        <w:t>Supplementary Estimate. This is primarily driven by</w:t>
      </w:r>
      <w:r w:rsidRPr="22DE683B" w:rsidR="005B3357">
        <w:t xml:space="preserve"> specific</w:t>
      </w:r>
      <w:r w:rsidRPr="22DE683B">
        <w:t xml:space="preserve"> </w:t>
      </w:r>
      <w:r w:rsidR="005371EF">
        <w:t xml:space="preserve">one-off </w:t>
      </w:r>
      <w:r w:rsidRPr="22DE683B">
        <w:t xml:space="preserve">increases that were included in the </w:t>
      </w:r>
      <w:r w:rsidRPr="22DE683B" w:rsidR="00E7172C">
        <w:t>2022</w:t>
      </w:r>
      <w:r w:rsidRPr="22DE683B">
        <w:t>-</w:t>
      </w:r>
      <w:r w:rsidRPr="22DE683B" w:rsidR="00E7172C">
        <w:t xml:space="preserve">23 </w:t>
      </w:r>
      <w:r w:rsidRPr="22DE683B">
        <w:t>Supplementary Estimate</w:t>
      </w:r>
      <w:r w:rsidRPr="22DE683B" w:rsidR="00E7172C">
        <w:t xml:space="preserve">, </w:t>
      </w:r>
      <w:r w:rsidR="009B3CE3">
        <w:t xml:space="preserve">and </w:t>
      </w:r>
      <w:r w:rsidRPr="22DE683B" w:rsidR="00E7172C">
        <w:t>a lower amount of Shared Outcomes Funding for 2023-24</w:t>
      </w:r>
      <w:r w:rsidR="00DA42ED">
        <w:t>, set against</w:t>
      </w:r>
      <w:r w:rsidRPr="22DE683B" w:rsidR="00E7172C">
        <w:t xml:space="preserve"> an increase in the administration budget for </w:t>
      </w:r>
      <w:r w:rsidRPr="22DE683B" w:rsidR="0009190A">
        <w:t>childcare</w:t>
      </w:r>
      <w:r w:rsidR="00A36CA9">
        <w:t xml:space="preserve"> policy and delivery</w:t>
      </w:r>
      <w:r w:rsidR="00DA42ED">
        <w:t xml:space="preserve"> in 2023-24</w:t>
      </w:r>
      <w:r w:rsidRPr="22DE683B">
        <w:t xml:space="preserve">. </w:t>
      </w:r>
    </w:p>
    <w:p w:rsidR="00311359" w:rsidRPr="00EF21F5" w:rsidP="00EF21F5">
      <w:pPr>
        <w:spacing w:before="120" w:after="120"/>
        <w:jc w:val="both"/>
        <w:rPr>
          <w:rFonts w:eastAsiaTheme="majorEastAsia" w:cstheme="minorHAnsi"/>
          <w:color w:val="2F5496" w:themeColor="accent1" w:themeShade="BF"/>
          <w:sz w:val="24"/>
          <w:szCs w:val="24"/>
        </w:rPr>
      </w:pPr>
      <w:r w:rsidRPr="00EF21F5">
        <w:rPr>
          <w:rFonts w:eastAsiaTheme="majorEastAsia" w:cstheme="minorHAnsi"/>
          <w:color w:val="2F5496" w:themeColor="accent1" w:themeShade="BF"/>
          <w:sz w:val="24"/>
          <w:szCs w:val="24"/>
        </w:rPr>
        <w:t>Changes since the 202</w:t>
      </w:r>
      <w:r w:rsidR="00EF21F5">
        <w:rPr>
          <w:rFonts w:eastAsiaTheme="majorEastAsia" w:cstheme="minorHAnsi"/>
          <w:color w:val="2F5496" w:themeColor="accent1" w:themeShade="BF"/>
          <w:sz w:val="24"/>
          <w:szCs w:val="24"/>
        </w:rPr>
        <w:t>2</w:t>
      </w:r>
      <w:r w:rsidRPr="00EF21F5">
        <w:rPr>
          <w:rFonts w:eastAsiaTheme="majorEastAsia" w:cstheme="minorHAnsi"/>
          <w:color w:val="2F5496" w:themeColor="accent1" w:themeShade="BF"/>
          <w:sz w:val="24"/>
          <w:szCs w:val="24"/>
        </w:rPr>
        <w:t>-2</w:t>
      </w:r>
      <w:r w:rsidR="00EF21F5">
        <w:rPr>
          <w:rFonts w:eastAsiaTheme="majorEastAsia" w:cstheme="minorHAnsi"/>
          <w:color w:val="2F5496" w:themeColor="accent1" w:themeShade="BF"/>
          <w:sz w:val="24"/>
          <w:szCs w:val="24"/>
        </w:rPr>
        <w:t>3</w:t>
      </w:r>
      <w:r w:rsidRPr="00EF21F5">
        <w:rPr>
          <w:rFonts w:eastAsiaTheme="majorEastAsia" w:cstheme="minorHAnsi"/>
          <w:color w:val="2F5496" w:themeColor="accent1" w:themeShade="BF"/>
          <w:sz w:val="24"/>
          <w:szCs w:val="24"/>
        </w:rPr>
        <w:t xml:space="preserve"> Main Estimate</w:t>
      </w:r>
    </w:p>
    <w:p w:rsidR="00311359" w:rsidRPr="00737F8A" w:rsidP="00311359">
      <w:pPr>
        <w:spacing w:before="120" w:after="120"/>
        <w:jc w:val="both"/>
        <w:rPr>
          <w:b/>
          <w:lang w:eastAsia="en-GB"/>
        </w:rPr>
      </w:pPr>
      <w:r w:rsidRPr="00737F8A">
        <w:rPr>
          <w:rFonts w:cstheme="minorHAnsi"/>
          <w:bCs/>
        </w:rPr>
        <w:t>DfE is committed to delivering efficiently. The increase in the year-on-year administration budget since the 202</w:t>
      </w:r>
      <w:r w:rsidRPr="00737F8A" w:rsidR="0009190A">
        <w:rPr>
          <w:rFonts w:cstheme="minorHAnsi"/>
          <w:bCs/>
        </w:rPr>
        <w:t>2</w:t>
      </w:r>
      <w:r w:rsidRPr="00737F8A">
        <w:rPr>
          <w:rFonts w:cstheme="minorHAnsi"/>
          <w:bCs/>
        </w:rPr>
        <w:t>-</w:t>
      </w:r>
      <w:r w:rsidRPr="00737F8A" w:rsidR="0009190A">
        <w:rPr>
          <w:rFonts w:cstheme="minorHAnsi"/>
          <w:bCs/>
        </w:rPr>
        <w:t xml:space="preserve">23 </w:t>
      </w:r>
      <w:r w:rsidRPr="00737F8A">
        <w:rPr>
          <w:rFonts w:cstheme="minorHAnsi"/>
          <w:bCs/>
        </w:rPr>
        <w:t>Main Estimate is due to the increases agreed as part of the</w:t>
      </w:r>
      <w:r w:rsidRPr="00737F8A" w:rsidR="0009190A">
        <w:rPr>
          <w:rFonts w:cstheme="minorHAnsi"/>
          <w:bCs/>
        </w:rPr>
        <w:t xml:space="preserve"> Spring Budget for </w:t>
      </w:r>
      <w:r w:rsidR="009F5731">
        <w:rPr>
          <w:rFonts w:cstheme="minorHAnsi"/>
          <w:bCs/>
        </w:rPr>
        <w:t>c</w:t>
      </w:r>
      <w:r w:rsidRPr="00737F8A" w:rsidR="0009190A">
        <w:rPr>
          <w:rFonts w:cstheme="minorHAnsi"/>
          <w:bCs/>
        </w:rPr>
        <w:t>hildcare</w:t>
      </w:r>
      <w:r w:rsidR="00E14A37">
        <w:rPr>
          <w:rFonts w:cstheme="minorHAnsi"/>
          <w:bCs/>
        </w:rPr>
        <w:t xml:space="preserve"> and changes in classification of </w:t>
      </w:r>
      <w:r w:rsidR="00BF71F1">
        <w:rPr>
          <w:rFonts w:cstheme="minorHAnsi"/>
          <w:bCs/>
        </w:rPr>
        <w:t xml:space="preserve">budgets, </w:t>
      </w:r>
      <w:r w:rsidR="00CB382A">
        <w:rPr>
          <w:rFonts w:cstheme="minorHAnsi"/>
          <w:bCs/>
        </w:rPr>
        <w:t xml:space="preserve">partially </w:t>
      </w:r>
      <w:r w:rsidR="00BF71F1">
        <w:rPr>
          <w:rFonts w:cstheme="minorHAnsi"/>
          <w:bCs/>
        </w:rPr>
        <w:t>offset with</w:t>
      </w:r>
      <w:r w:rsidR="00836BDA">
        <w:rPr>
          <w:rFonts w:cstheme="minorHAnsi"/>
          <w:bCs/>
        </w:rPr>
        <w:t xml:space="preserve"> a reduction in the budget for Shared Outcomes Fund</w:t>
      </w:r>
      <w:r w:rsidRPr="00737F8A" w:rsidR="0009190A">
        <w:rPr>
          <w:rFonts w:cstheme="minorHAnsi"/>
          <w:bCs/>
        </w:rPr>
        <w:t>.</w:t>
      </w:r>
      <w:r w:rsidRPr="00737F8A">
        <w:rPr>
          <w:rFonts w:cstheme="minorHAnsi"/>
          <w:bCs/>
        </w:rPr>
        <w:t xml:space="preserve"> </w:t>
      </w:r>
    </w:p>
    <w:p w:rsidR="00856373" w:rsidRPr="00856373" w:rsidP="00856373">
      <w:pPr>
        <w:autoSpaceDE w:val="0"/>
        <w:autoSpaceDN w:val="0"/>
        <w:spacing w:after="0" w:line="240" w:lineRule="auto"/>
        <w:rPr>
          <w:rFonts w:cstheme="minorHAnsi"/>
        </w:rPr>
      </w:pPr>
    </w:p>
    <w:p w:rsidR="008915CF" w:rsidRPr="00095C12" w:rsidP="005E70BA">
      <w:pPr>
        <w:pStyle w:val="Heading2"/>
        <w:jc w:val="both"/>
        <w:rPr>
          <w:rFonts w:asciiTheme="minorHAnsi" w:hAnsiTheme="minorHAnsi" w:cstheme="minorHAnsi"/>
          <w:lang w:eastAsia="en-GB"/>
        </w:rPr>
      </w:pPr>
      <w:r w:rsidRPr="00095C12">
        <w:rPr>
          <w:rFonts w:asciiTheme="minorHAnsi" w:hAnsiTheme="minorHAnsi" w:cstheme="minorHAnsi"/>
          <w:lang w:eastAsia="en-GB"/>
        </w:rPr>
        <w:t>1.9 Funding</w:t>
      </w:r>
      <w:r w:rsidRPr="00095C12">
        <w:rPr>
          <w:rFonts w:asciiTheme="minorHAnsi" w:hAnsiTheme="minorHAnsi" w:cstheme="minorHAnsi"/>
          <w:lang w:eastAsia="en-GB"/>
        </w:rPr>
        <w:t xml:space="preserve">: Spending Review and Budgets </w:t>
      </w:r>
    </w:p>
    <w:p w:rsidR="00BA28B7" w:rsidP="00C17390">
      <w:pPr>
        <w:jc w:val="both"/>
      </w:pPr>
      <w:r w:rsidRPr="00EB0155">
        <w:t>The level of DEL funding for DfE in 202</w:t>
      </w:r>
      <w:r w:rsidR="00695698">
        <w:t>2</w:t>
      </w:r>
      <w:r w:rsidRPr="00EB0155">
        <w:t>-2</w:t>
      </w:r>
      <w:r w:rsidR="00695698">
        <w:t>3</w:t>
      </w:r>
      <w:r w:rsidRPr="00EB0155">
        <w:t xml:space="preserve"> is based on the </w:t>
      </w:r>
      <w:r w:rsidR="004A0CE8">
        <w:t>three-year</w:t>
      </w:r>
      <w:r w:rsidRPr="00EB0155">
        <w:t xml:space="preserve"> Spending Review set out in 202</w:t>
      </w:r>
      <w:r w:rsidR="00695698">
        <w:t>1</w:t>
      </w:r>
      <w:r w:rsidRPr="00EB0155">
        <w:t xml:space="preserve"> (SR2</w:t>
      </w:r>
      <w:r w:rsidR="00695698">
        <w:t>1</w:t>
      </w:r>
      <w:r w:rsidRPr="00EB0155">
        <w:t>) to cover the financial year</w:t>
      </w:r>
      <w:r w:rsidR="00695698">
        <w:t>s 2022-23, 2023-24</w:t>
      </w:r>
      <w:r w:rsidR="004A0CE8">
        <w:t xml:space="preserve"> and</w:t>
      </w:r>
      <w:r w:rsidR="00695698">
        <w:t xml:space="preserve"> 2</w:t>
      </w:r>
      <w:r w:rsidR="004A0CE8">
        <w:t>024-25</w:t>
      </w:r>
      <w:r w:rsidRPr="00EB0155">
        <w:t>.</w:t>
      </w:r>
    </w:p>
    <w:p w:rsidR="009053DB" w:rsidRPr="00C17390" w:rsidP="00C17390">
      <w:pPr>
        <w:jc w:val="both"/>
        <w:rPr>
          <w:b/>
        </w:rPr>
      </w:pPr>
    </w:p>
    <w:p w:rsidR="00BC2993" w:rsidRPr="006D424A" w:rsidP="006D424A">
      <w:pPr>
        <w:pStyle w:val="Heading2"/>
        <w:rPr>
          <w:rFonts w:asciiTheme="minorHAnsi" w:hAnsiTheme="minorHAnsi" w:cstheme="minorHAnsi"/>
          <w:lang w:eastAsia="en-GB"/>
        </w:rPr>
      </w:pPr>
      <w:r w:rsidRPr="00140606">
        <w:rPr>
          <w:rFonts w:asciiTheme="minorHAnsi" w:hAnsiTheme="minorHAnsi" w:cstheme="minorHAnsi"/>
          <w:lang w:eastAsia="en-GB"/>
        </w:rPr>
        <w:t>1.10 Other funding announcements</w:t>
      </w:r>
      <w:bookmarkStart w:id="8" w:name="_Hlk68768846"/>
    </w:p>
    <w:p w:rsidR="00686D35" w:rsidP="00686D35">
      <w:pPr>
        <w:rPr>
          <w:rFonts w:cstheme="minorHAnsi"/>
        </w:rPr>
      </w:pPr>
      <w:r w:rsidRPr="00907A0A">
        <w:rPr>
          <w:rFonts w:cstheme="minorHAnsi"/>
        </w:rPr>
        <w:t>Since the Main Estimate 2022-23</w:t>
      </w:r>
      <w:r w:rsidR="00723EE9">
        <w:rPr>
          <w:rFonts w:cstheme="minorHAnsi"/>
        </w:rPr>
        <w:t>,</w:t>
      </w:r>
      <w:r w:rsidRPr="00907A0A">
        <w:rPr>
          <w:rFonts w:cstheme="minorHAnsi"/>
        </w:rPr>
        <w:t xml:space="preserve"> t</w:t>
      </w:r>
      <w:r w:rsidRPr="006377CE">
        <w:rPr>
          <w:rFonts w:cstheme="minorHAnsi"/>
        </w:rPr>
        <w:t>he</w:t>
      </w:r>
      <w:r w:rsidR="00E3079A">
        <w:rPr>
          <w:rFonts w:cstheme="minorHAnsi"/>
        </w:rPr>
        <w:t xml:space="preserve"> Chancellor announced in the</w:t>
      </w:r>
      <w:r w:rsidRPr="006377CE">
        <w:rPr>
          <w:rFonts w:cstheme="minorHAnsi"/>
        </w:rPr>
        <w:t xml:space="preserve"> Autumn Statement </w:t>
      </w:r>
      <w:r w:rsidR="00C536E3">
        <w:rPr>
          <w:rFonts w:cstheme="minorHAnsi"/>
        </w:rPr>
        <w:t>20</w:t>
      </w:r>
      <w:r w:rsidR="00DE5846">
        <w:rPr>
          <w:rFonts w:cstheme="minorHAnsi"/>
        </w:rPr>
        <w:t xml:space="preserve">22 </w:t>
      </w:r>
      <w:r w:rsidR="00E3079A">
        <w:rPr>
          <w:rFonts w:cstheme="minorHAnsi"/>
        </w:rPr>
        <w:t xml:space="preserve">that </w:t>
      </w:r>
      <w:r w:rsidRPr="006377CE">
        <w:rPr>
          <w:rFonts w:cstheme="minorHAnsi"/>
        </w:rPr>
        <w:t>the core schools’ budget will increase by £2 billion in each of 2023-24 and 2024</w:t>
      </w:r>
      <w:r w:rsidR="000B5188">
        <w:rPr>
          <w:rFonts w:cstheme="minorHAnsi"/>
        </w:rPr>
        <w:t>-</w:t>
      </w:r>
      <w:r w:rsidRPr="006377CE">
        <w:rPr>
          <w:rFonts w:cstheme="minorHAnsi"/>
        </w:rPr>
        <w:t>25, over and above totals announced at the 2021 Spending Review</w:t>
      </w:r>
      <w:r>
        <w:rPr>
          <w:rFonts w:cstheme="minorHAnsi"/>
        </w:rPr>
        <w:t xml:space="preserve">. </w:t>
      </w:r>
      <w:r w:rsidR="00681A39">
        <w:rPr>
          <w:rFonts w:cstheme="minorHAnsi"/>
        </w:rPr>
        <w:t xml:space="preserve"> In </w:t>
      </w:r>
      <w:r w:rsidR="005A4BF9">
        <w:rPr>
          <w:rFonts w:cstheme="minorHAnsi"/>
        </w:rPr>
        <w:t>addition,</w:t>
      </w:r>
      <w:r w:rsidR="00681A39">
        <w:rPr>
          <w:rFonts w:cstheme="minorHAnsi"/>
        </w:rPr>
        <w:t xml:space="preserve"> £2</w:t>
      </w:r>
      <w:r w:rsidR="009167FF">
        <w:rPr>
          <w:rFonts w:cstheme="minorHAnsi"/>
        </w:rPr>
        <w:t>10</w:t>
      </w:r>
      <w:r w:rsidR="00681A39">
        <w:rPr>
          <w:rFonts w:cstheme="minorHAnsi"/>
        </w:rPr>
        <w:t xml:space="preserve"> million announced as part of the spring budget </w:t>
      </w:r>
      <w:r w:rsidR="006B312E">
        <w:rPr>
          <w:rFonts w:cstheme="minorHAnsi"/>
        </w:rPr>
        <w:t xml:space="preserve">for childcare </w:t>
      </w:r>
      <w:r w:rsidR="00681A39">
        <w:rPr>
          <w:rFonts w:cstheme="minorHAnsi"/>
        </w:rPr>
        <w:t xml:space="preserve">has been included in this Estimate.  </w:t>
      </w:r>
    </w:p>
    <w:p w:rsidR="004523E6" w:rsidRPr="00681A39" w:rsidP="005E70BA">
      <w:pPr>
        <w:spacing w:before="120" w:after="120"/>
        <w:jc w:val="both"/>
        <w:rPr>
          <w:lang w:eastAsia="en-GB"/>
        </w:rPr>
      </w:pPr>
      <w:bookmarkEnd w:id="8"/>
      <w:r w:rsidRPr="00681A39">
        <w:rPr>
          <w:lang w:eastAsia="en-GB"/>
        </w:rPr>
        <w:t>In addition to the voted Parliamentary control totals detailed in this Memorandum, DfE’s resource budget includes the following additional amounts relating to the academy sector:</w:t>
      </w:r>
    </w:p>
    <w:p w:rsidR="00F179A4" w:rsidRPr="00681A39" w:rsidP="005E70BA">
      <w:pPr>
        <w:spacing w:before="120" w:after="120"/>
        <w:jc w:val="both"/>
        <w:rPr>
          <w:lang w:eastAsia="en-GB"/>
        </w:rPr>
      </w:pPr>
      <w:r w:rsidRPr="00681A39">
        <w:rPr>
          <w:b/>
          <w:lang w:eastAsia="en-GB"/>
        </w:rPr>
        <w:t>Resource DEL</w:t>
      </w:r>
      <w:r w:rsidRPr="00681A39">
        <w:rPr>
          <w:lang w:eastAsia="en-GB"/>
        </w:rPr>
        <w:t xml:space="preserve">: </w:t>
      </w:r>
      <w:r w:rsidRPr="00681A39" w:rsidR="00B149B9">
        <w:rPr>
          <w:lang w:eastAsia="en-GB"/>
        </w:rPr>
        <w:t xml:space="preserve"> </w:t>
      </w:r>
      <w:r w:rsidRPr="00681A39" w:rsidR="00A95043">
        <w:rPr>
          <w:lang w:eastAsia="en-GB"/>
        </w:rPr>
        <w:t>£1</w:t>
      </w:r>
      <w:r w:rsidRPr="00681A39" w:rsidR="001F7609">
        <w:rPr>
          <w:lang w:eastAsia="en-GB"/>
        </w:rPr>
        <w:t>,</w:t>
      </w:r>
      <w:r w:rsidRPr="00681A39" w:rsidR="00A95043">
        <w:rPr>
          <w:lang w:eastAsia="en-GB"/>
        </w:rPr>
        <w:t>906 million, covering academy sector depreciation. This</w:t>
      </w:r>
      <w:r w:rsidRPr="00681A39" w:rsidR="00FE2491">
        <w:rPr>
          <w:lang w:eastAsia="en-GB"/>
        </w:rPr>
        <w:t xml:space="preserve"> is the same</w:t>
      </w:r>
      <w:r w:rsidRPr="00681A39" w:rsidR="000133A9">
        <w:rPr>
          <w:lang w:eastAsia="en-GB"/>
        </w:rPr>
        <w:t xml:space="preserve"> amount</w:t>
      </w:r>
      <w:r w:rsidRPr="00681A39" w:rsidR="00FE2491">
        <w:rPr>
          <w:lang w:eastAsia="en-GB"/>
        </w:rPr>
        <w:t xml:space="preserve"> as </w:t>
      </w:r>
      <w:r w:rsidR="000A7DBE">
        <w:rPr>
          <w:lang w:eastAsia="en-GB"/>
        </w:rPr>
        <w:t xml:space="preserve">at the </w:t>
      </w:r>
      <w:r w:rsidRPr="00681A39" w:rsidR="00FE2491">
        <w:rPr>
          <w:lang w:eastAsia="en-GB"/>
        </w:rPr>
        <w:t>Main Estimate 202</w:t>
      </w:r>
      <w:r w:rsidRPr="00681A39" w:rsidR="00686D35">
        <w:rPr>
          <w:lang w:eastAsia="en-GB"/>
        </w:rPr>
        <w:t>2</w:t>
      </w:r>
      <w:r w:rsidRPr="00681A39" w:rsidR="00FE2491">
        <w:rPr>
          <w:lang w:eastAsia="en-GB"/>
        </w:rPr>
        <w:t>-2</w:t>
      </w:r>
      <w:r w:rsidRPr="00681A39" w:rsidR="00681A39">
        <w:rPr>
          <w:lang w:eastAsia="en-GB"/>
        </w:rPr>
        <w:t>3</w:t>
      </w:r>
      <w:r w:rsidRPr="00681A39" w:rsidR="00A95043">
        <w:rPr>
          <w:lang w:eastAsia="en-GB"/>
        </w:rPr>
        <w:t xml:space="preserve"> </w:t>
      </w:r>
      <w:r w:rsidRPr="00681A39" w:rsidR="000133A9">
        <w:rPr>
          <w:lang w:eastAsia="en-GB"/>
        </w:rPr>
        <w:t xml:space="preserve">and </w:t>
      </w:r>
      <w:r w:rsidRPr="00681A39" w:rsidR="00A95043">
        <w:rPr>
          <w:lang w:eastAsia="en-GB"/>
        </w:rPr>
        <w:t>will be reviewed at the 202</w:t>
      </w:r>
      <w:r w:rsidRPr="00681A39" w:rsidR="00681A39">
        <w:rPr>
          <w:lang w:eastAsia="en-GB"/>
        </w:rPr>
        <w:t>3</w:t>
      </w:r>
      <w:r w:rsidRPr="00681A39" w:rsidR="00A95043">
        <w:rPr>
          <w:lang w:eastAsia="en-GB"/>
        </w:rPr>
        <w:t>-2</w:t>
      </w:r>
      <w:r w:rsidRPr="00681A39" w:rsidR="00681A39">
        <w:rPr>
          <w:lang w:eastAsia="en-GB"/>
        </w:rPr>
        <w:t>4</w:t>
      </w:r>
      <w:r w:rsidRPr="00681A39" w:rsidR="00A95043">
        <w:rPr>
          <w:lang w:eastAsia="en-GB"/>
        </w:rPr>
        <w:t xml:space="preserve"> Supplementary Estimate.</w:t>
      </w:r>
      <w:r w:rsidRPr="00681A39" w:rsidR="00314ACB">
        <w:rPr>
          <w:lang w:eastAsia="en-GB"/>
        </w:rPr>
        <w:t xml:space="preserve"> Also, under the Academies Risk Sharing agreement, the budgetary impact of any excess of academy sector expenditure over grants received in </w:t>
      </w:r>
      <w:r w:rsidRPr="00681A39" w:rsidR="00681A39">
        <w:rPr>
          <w:lang w:eastAsia="en-GB"/>
        </w:rPr>
        <w:t>2023</w:t>
      </w:r>
      <w:r w:rsidRPr="00681A39" w:rsidR="00314ACB">
        <w:rPr>
          <w:lang w:eastAsia="en-GB"/>
        </w:rPr>
        <w:t>-2</w:t>
      </w:r>
      <w:r w:rsidRPr="00681A39" w:rsidR="00681A39">
        <w:rPr>
          <w:lang w:eastAsia="en-GB"/>
        </w:rPr>
        <w:t>4</w:t>
      </w:r>
      <w:r w:rsidRPr="00681A39" w:rsidR="00314ACB">
        <w:rPr>
          <w:lang w:eastAsia="en-GB"/>
        </w:rPr>
        <w:t xml:space="preserve"> would normally be shared between D</w:t>
      </w:r>
      <w:r w:rsidRPr="00681A39" w:rsidR="00605F24">
        <w:rPr>
          <w:lang w:eastAsia="en-GB"/>
        </w:rPr>
        <w:t>fE</w:t>
      </w:r>
      <w:r w:rsidRPr="00681A39" w:rsidR="00314ACB">
        <w:rPr>
          <w:lang w:eastAsia="en-GB"/>
        </w:rPr>
        <w:t xml:space="preserve"> and HM Treasury. </w:t>
      </w:r>
      <w:r w:rsidRPr="00681A39" w:rsidR="00BA28B7">
        <w:rPr>
          <w:lang w:eastAsia="en-GB"/>
        </w:rPr>
        <w:t xml:space="preserve"> </w:t>
      </w:r>
    </w:p>
    <w:p w:rsidR="00BA28B7" w:rsidRPr="00681A39" w:rsidP="005E70BA">
      <w:pPr>
        <w:spacing w:before="120" w:after="120"/>
        <w:jc w:val="both"/>
        <w:rPr>
          <w:lang w:eastAsia="en-GB"/>
        </w:rPr>
      </w:pPr>
      <w:r w:rsidRPr="00681A39">
        <w:rPr>
          <w:b/>
          <w:lang w:eastAsia="en-GB"/>
        </w:rPr>
        <w:t>Capital DEL</w:t>
      </w:r>
      <w:r w:rsidRPr="00681A39" w:rsidR="005E5B01">
        <w:rPr>
          <w:lang w:eastAsia="en-GB"/>
        </w:rPr>
        <w:t xml:space="preserve">: </w:t>
      </w:r>
      <w:r w:rsidR="00697DB2">
        <w:rPr>
          <w:lang w:eastAsia="en-GB"/>
        </w:rPr>
        <w:t xml:space="preserve"> </w:t>
      </w:r>
      <w:r w:rsidRPr="00681A39" w:rsidR="007C1651">
        <w:rPr>
          <w:lang w:eastAsia="en-GB"/>
        </w:rPr>
        <w:t xml:space="preserve">Under the Academies Risk Sharing agreement, the budgetary impact of any significant excess of academy sector expenditure over grants received in </w:t>
      </w:r>
      <w:r w:rsidRPr="00681A39" w:rsidR="00681A39">
        <w:rPr>
          <w:lang w:eastAsia="en-GB"/>
        </w:rPr>
        <w:t>2023</w:t>
      </w:r>
      <w:r w:rsidRPr="00681A39" w:rsidR="007C1651">
        <w:rPr>
          <w:lang w:eastAsia="en-GB"/>
        </w:rPr>
        <w:t>-</w:t>
      </w:r>
      <w:r w:rsidRPr="00681A39" w:rsidR="00681A39">
        <w:rPr>
          <w:lang w:eastAsia="en-GB"/>
        </w:rPr>
        <w:t xml:space="preserve">24 </w:t>
      </w:r>
      <w:r w:rsidRPr="00681A39" w:rsidR="007C1651">
        <w:rPr>
          <w:lang w:eastAsia="en-GB"/>
        </w:rPr>
        <w:t xml:space="preserve">would normally be shared between </w:t>
      </w:r>
      <w:r w:rsidRPr="00681A39" w:rsidR="005B3357">
        <w:rPr>
          <w:lang w:eastAsia="en-GB"/>
        </w:rPr>
        <w:t xml:space="preserve">DfE </w:t>
      </w:r>
      <w:r w:rsidRPr="00681A39" w:rsidR="007C1651">
        <w:rPr>
          <w:lang w:eastAsia="en-GB"/>
        </w:rPr>
        <w:t>and HM Treasury.</w:t>
      </w:r>
    </w:p>
    <w:p w:rsidR="005F1E13" w:rsidRPr="00681A39" w:rsidP="005F1E13">
      <w:pPr>
        <w:spacing w:before="120" w:after="120"/>
        <w:jc w:val="both"/>
        <w:rPr>
          <w:lang w:eastAsia="en-GB"/>
        </w:rPr>
      </w:pPr>
      <w:r w:rsidRPr="00681A39">
        <w:rPr>
          <w:b/>
          <w:lang w:eastAsia="en-GB"/>
        </w:rPr>
        <w:t>Resource AME:</w:t>
      </w:r>
      <w:r w:rsidRPr="00681A39" w:rsidR="00B149B9">
        <w:rPr>
          <w:b/>
          <w:lang w:eastAsia="en-GB"/>
        </w:rPr>
        <w:t xml:space="preserve"> </w:t>
      </w:r>
      <w:r w:rsidRPr="00681A39">
        <w:rPr>
          <w:lang w:eastAsia="en-GB"/>
        </w:rPr>
        <w:t xml:space="preserve"> </w:t>
      </w:r>
      <w:r w:rsidRPr="00681A39">
        <w:rPr>
          <w:lang w:eastAsia="en-GB"/>
        </w:rPr>
        <w:t>£</w:t>
      </w:r>
      <w:r w:rsidRPr="00681A39" w:rsidR="00681A39">
        <w:rPr>
          <w:lang w:eastAsia="en-GB"/>
        </w:rPr>
        <w:t>4,058</w:t>
      </w:r>
      <w:r w:rsidRPr="00681A39">
        <w:rPr>
          <w:lang w:eastAsia="en-GB"/>
        </w:rPr>
        <w:t xml:space="preserve"> million, primarily covering academy sector pension costs movement and land and buildings impairments. </w:t>
      </w:r>
      <w:r w:rsidRPr="00681A39" w:rsidR="00434844">
        <w:rPr>
          <w:lang w:eastAsia="en-GB"/>
        </w:rPr>
        <w:t>T</w:t>
      </w:r>
      <w:r w:rsidRPr="00681A39" w:rsidR="00AC42FD">
        <w:rPr>
          <w:lang w:eastAsia="en-GB"/>
        </w:rPr>
        <w:t xml:space="preserve">his </w:t>
      </w:r>
      <w:r w:rsidRPr="00681A39">
        <w:rPr>
          <w:lang w:eastAsia="en-GB"/>
        </w:rPr>
        <w:t>will be reviewed at the 202</w:t>
      </w:r>
      <w:r w:rsidR="00DB3167">
        <w:rPr>
          <w:lang w:eastAsia="en-GB"/>
        </w:rPr>
        <w:t>3</w:t>
      </w:r>
      <w:r w:rsidRPr="00681A39">
        <w:rPr>
          <w:lang w:eastAsia="en-GB"/>
        </w:rPr>
        <w:t>-2</w:t>
      </w:r>
      <w:r w:rsidR="00DB3167">
        <w:rPr>
          <w:lang w:eastAsia="en-GB"/>
        </w:rPr>
        <w:t>4</w:t>
      </w:r>
      <w:r w:rsidRPr="00681A39">
        <w:rPr>
          <w:lang w:eastAsia="en-GB"/>
        </w:rPr>
        <w:t xml:space="preserve"> Supplementary Estimate.</w:t>
      </w:r>
    </w:p>
    <w:p w:rsidR="008813D9" w:rsidP="005F1E13">
      <w:pPr>
        <w:spacing w:before="120" w:after="120"/>
        <w:jc w:val="both"/>
        <w:rPr>
          <w:lang w:eastAsia="en-GB"/>
        </w:rPr>
      </w:pPr>
      <w:r w:rsidRPr="00681A39">
        <w:rPr>
          <w:lang w:eastAsia="en-GB"/>
        </w:rPr>
        <w:t>The total adjustment to Parliamentary control totals at the 202</w:t>
      </w:r>
      <w:r w:rsidRPr="00681A39" w:rsidR="00681A39">
        <w:rPr>
          <w:lang w:eastAsia="en-GB"/>
        </w:rPr>
        <w:t>3</w:t>
      </w:r>
      <w:r w:rsidRPr="00681A39">
        <w:rPr>
          <w:lang w:eastAsia="en-GB"/>
        </w:rPr>
        <w:t>-2</w:t>
      </w:r>
      <w:r w:rsidRPr="00681A39" w:rsidR="00681A39">
        <w:rPr>
          <w:lang w:eastAsia="en-GB"/>
        </w:rPr>
        <w:t>4</w:t>
      </w:r>
      <w:r w:rsidRPr="00681A39">
        <w:rPr>
          <w:lang w:eastAsia="en-GB"/>
        </w:rPr>
        <w:t xml:space="preserve"> Main Estimate is an addition of £</w:t>
      </w:r>
      <w:r w:rsidRPr="00681A39" w:rsidR="00681A39">
        <w:rPr>
          <w:lang w:eastAsia="en-GB"/>
        </w:rPr>
        <w:t>5</w:t>
      </w:r>
      <w:r w:rsidR="00B21157">
        <w:rPr>
          <w:lang w:eastAsia="en-GB"/>
        </w:rPr>
        <w:t>,</w:t>
      </w:r>
      <w:r w:rsidRPr="00681A39" w:rsidR="00681A39">
        <w:rPr>
          <w:lang w:eastAsia="en-GB"/>
        </w:rPr>
        <w:t>964</w:t>
      </w:r>
      <w:r w:rsidRPr="00681A39">
        <w:rPr>
          <w:lang w:eastAsia="en-GB"/>
        </w:rPr>
        <w:t xml:space="preserve"> million (net). This represents the difference between DfE’s Parliamentary control totals and resource budget.</w:t>
      </w:r>
    </w:p>
    <w:p w:rsidR="00930E06">
      <w:pPr>
        <w:rPr>
          <w:lang w:eastAsia="en-GB"/>
        </w:rPr>
      </w:pPr>
      <w:r>
        <w:rPr>
          <w:lang w:eastAsia="en-GB"/>
        </w:rPr>
        <w:br w:type="page"/>
      </w:r>
    </w:p>
    <w:p w:rsidR="009D733F" w:rsidRPr="00681A39" w:rsidP="005F1E13">
      <w:pPr>
        <w:spacing w:before="120" w:after="120"/>
        <w:jc w:val="both"/>
        <w:rPr>
          <w:lang w:eastAsia="en-GB"/>
        </w:rPr>
      </w:pPr>
    </w:p>
    <w:p w:rsidR="008915CF" w:rsidP="00727618">
      <w:pPr>
        <w:pStyle w:val="Heading2"/>
        <w:rPr>
          <w:rFonts w:asciiTheme="minorHAnsi" w:hAnsiTheme="minorHAnsi" w:cstheme="minorHAnsi"/>
        </w:rPr>
      </w:pPr>
      <w:r w:rsidRPr="005E70BA">
        <w:rPr>
          <w:rFonts w:asciiTheme="minorHAnsi" w:hAnsiTheme="minorHAnsi" w:cstheme="minorHAnsi"/>
        </w:rPr>
        <w:t>2 Spending detail</w:t>
      </w:r>
    </w:p>
    <w:p w:rsidR="008915CF" w:rsidRPr="0041096A" w:rsidP="008915CF">
      <w:pPr>
        <w:pStyle w:val="Heading2"/>
        <w:rPr>
          <w:rFonts w:asciiTheme="minorHAnsi" w:hAnsiTheme="minorHAnsi" w:cstheme="minorHAnsi"/>
        </w:rPr>
      </w:pPr>
      <w:r w:rsidRPr="0041096A">
        <w:rPr>
          <w:rFonts w:asciiTheme="minorHAnsi" w:hAnsiTheme="minorHAnsi" w:cstheme="minorHAnsi"/>
        </w:rPr>
        <w:t xml:space="preserve">2.1 </w:t>
      </w:r>
      <w:r w:rsidRPr="0041096A">
        <w:rPr>
          <w:rFonts w:asciiTheme="minorHAnsi" w:hAnsiTheme="minorHAnsi" w:cstheme="minorHAnsi"/>
          <w:lang w:eastAsia="en-GB"/>
        </w:rPr>
        <w:t>Explanations</w:t>
      </w:r>
      <w:r w:rsidRPr="0041096A">
        <w:rPr>
          <w:rFonts w:asciiTheme="minorHAnsi" w:hAnsiTheme="minorHAnsi" w:cstheme="minorHAnsi"/>
        </w:rPr>
        <w:t xml:space="preserve"> of changes in spending </w:t>
      </w:r>
    </w:p>
    <w:p w:rsidR="008915CF" w:rsidRPr="005E70BA" w:rsidP="008915CF">
      <w:pPr>
        <w:pStyle w:val="Heading4"/>
        <w:rPr>
          <w:b/>
          <w:i w:val="0"/>
        </w:rPr>
      </w:pPr>
      <w:r w:rsidRPr="005E70BA">
        <w:rPr>
          <w:rFonts w:eastAsia="Times New Roman"/>
          <w:b/>
          <w:i w:val="0"/>
        </w:rPr>
        <w:t xml:space="preserve">Resource DEL </w:t>
      </w:r>
    </w:p>
    <w:p w:rsidR="008915CF" w:rsidRPr="00682ACB" w:rsidP="00682ACB">
      <w:pPr>
        <w:spacing w:before="120" w:after="120"/>
      </w:pPr>
      <w:r w:rsidRPr="00682ACB">
        <w:t xml:space="preserve">The table below shows how </w:t>
      </w:r>
      <w:r w:rsidRPr="00682ACB" w:rsidR="0041096A">
        <w:t xml:space="preserve">the </w:t>
      </w:r>
      <w:r w:rsidRPr="00682ACB">
        <w:t>DfE’s spending plans for Resource</w:t>
      </w:r>
      <w:r w:rsidRPr="00682ACB" w:rsidR="005B3357">
        <w:t xml:space="preserve"> DEL</w:t>
      </w:r>
      <w:r w:rsidRPr="00682ACB">
        <w:t xml:space="preserve"> </w:t>
      </w:r>
      <w:r w:rsidRPr="00682ACB" w:rsidR="000E5BF9">
        <w:t>compare with last year</w:t>
      </w:r>
      <w:r w:rsidRPr="00682ACB">
        <w:t xml:space="preserve">.  </w:t>
      </w:r>
    </w:p>
    <w:p w:rsidR="00980858" w:rsidRPr="00930E06" w:rsidP="00930E06">
      <w:pPr>
        <w:spacing w:before="120" w:after="120"/>
      </w:pPr>
      <w:r>
        <w:t>In 2022-23</w:t>
      </w:r>
      <w:r w:rsidRPr="00682ACB" w:rsidR="00AE74D8">
        <w:t xml:space="preserve"> DfE implemented an internal restructure. This created new groups: Families, Schools, Skills, Strategy, Operations and Infrastructure, and Regions. Alongside this, the Education and Skills Funding Agency (ESFA) </w:t>
      </w:r>
      <w:r w:rsidRPr="00682ACB" w:rsidR="00F85831">
        <w:t xml:space="preserve">was </w:t>
      </w:r>
      <w:r w:rsidRPr="00682ACB" w:rsidR="00AE74D8">
        <w:t>also restructured.</w:t>
      </w:r>
      <w:r w:rsidRPr="00682ACB" w:rsidR="00F85831">
        <w:t xml:space="preserve"> The Estimate lines used </w:t>
      </w:r>
      <w:r w:rsidRPr="00682ACB" w:rsidR="00682ACB">
        <w:t xml:space="preserve">have </w:t>
      </w:r>
      <w:r w:rsidRPr="00682ACB" w:rsidR="00F85831">
        <w:t>be</w:t>
      </w:r>
      <w:r w:rsidRPr="00682ACB" w:rsidR="00682ACB">
        <w:t>en</w:t>
      </w:r>
      <w:r w:rsidRPr="00682ACB" w:rsidR="00F85831">
        <w:t xml:space="preserve"> reviewed during 2022-23 </w:t>
      </w:r>
      <w:r w:rsidRPr="00682ACB" w:rsidR="00FB16A0">
        <w:t xml:space="preserve">and we </w:t>
      </w:r>
      <w:r w:rsidRPr="00682ACB" w:rsidR="00682ACB">
        <w:t xml:space="preserve">have </w:t>
      </w:r>
      <w:r w:rsidRPr="00682ACB" w:rsidR="00F85831">
        <w:t>amend</w:t>
      </w:r>
      <w:r w:rsidRPr="00682ACB" w:rsidR="00682ACB">
        <w:t>ed</w:t>
      </w:r>
      <w:r w:rsidRPr="00682ACB" w:rsidR="00F85831">
        <w:t xml:space="preserve"> the structure of the Estimate to reflect these changes in 2023-24.</w:t>
      </w:r>
      <w:r w:rsidRPr="00682ACB" w:rsidR="00682ACB">
        <w:t xml:space="preserve"> The prior year comparatives have been restated into the new structure.</w:t>
      </w:r>
      <w:r w:rsidRPr="00682ACB" w:rsidR="00F85831">
        <w:t xml:space="preserve">  </w:t>
      </w:r>
    </w:p>
    <w:tbl>
      <w:tblPr>
        <w:tblW w:w="9840" w:type="dxa"/>
        <w:tblLayout w:type="fixed"/>
        <w:tblLook w:val="04A0"/>
      </w:tblPr>
      <w:tblGrid>
        <w:gridCol w:w="1202"/>
        <w:gridCol w:w="2332"/>
        <w:gridCol w:w="1464"/>
        <w:gridCol w:w="1465"/>
        <w:gridCol w:w="1465"/>
        <w:gridCol w:w="991"/>
        <w:gridCol w:w="921"/>
      </w:tblGrid>
      <w:tr w:rsidTr="0090222D">
        <w:tblPrEx>
          <w:tblW w:w="9840" w:type="dxa"/>
          <w:tblLayout w:type="fixed"/>
          <w:tblLook w:val="04A0"/>
        </w:tblPrEx>
        <w:trPr>
          <w:trHeight w:val="795"/>
          <w:tblHeader/>
        </w:trPr>
        <w:tc>
          <w:tcPr>
            <w:tcW w:w="1202" w:type="dxa"/>
            <w:tcBorders>
              <w:top w:val="single" w:sz="8" w:space="0" w:color="auto"/>
              <w:left w:val="single" w:sz="8" w:space="0" w:color="auto"/>
              <w:bottom w:val="single" w:sz="4" w:space="0" w:color="auto"/>
              <w:right w:val="single" w:sz="4" w:space="0" w:color="auto"/>
            </w:tcBorders>
            <w:shd w:val="clear" w:color="000000" w:fill="FFFFFF"/>
            <w:noWrap/>
            <w:hideMark/>
          </w:tcPr>
          <w:p w:rsidR="002C7704" w:rsidRPr="00F31D1D" w:rsidP="00F31D1D">
            <w:pPr>
              <w:spacing w:after="0" w:line="240" w:lineRule="auto"/>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Resource DEL</w:t>
            </w:r>
          </w:p>
        </w:tc>
        <w:tc>
          <w:tcPr>
            <w:tcW w:w="2332" w:type="dxa"/>
            <w:tcBorders>
              <w:top w:val="single" w:sz="8" w:space="0" w:color="auto"/>
              <w:left w:val="nil"/>
              <w:bottom w:val="single" w:sz="4" w:space="0" w:color="auto"/>
              <w:right w:val="single" w:sz="4" w:space="0" w:color="auto"/>
            </w:tcBorders>
            <w:shd w:val="clear" w:color="000000" w:fill="FFFFFF"/>
            <w:hideMark/>
          </w:tcPr>
          <w:p w:rsidR="002C7704" w:rsidRPr="00F31D1D" w:rsidP="00F31D1D">
            <w:pPr>
              <w:spacing w:after="0" w:line="240" w:lineRule="auto"/>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 </w:t>
            </w:r>
          </w:p>
        </w:tc>
        <w:tc>
          <w:tcPr>
            <w:tcW w:w="1464" w:type="dxa"/>
            <w:tcBorders>
              <w:top w:val="single" w:sz="8" w:space="0" w:color="auto"/>
              <w:left w:val="nil"/>
              <w:bottom w:val="single" w:sz="4" w:space="0" w:color="auto"/>
              <w:right w:val="single" w:sz="4" w:space="0" w:color="auto"/>
            </w:tcBorders>
            <w:shd w:val="clear" w:color="000000" w:fill="FFFFFF"/>
            <w:hideMark/>
          </w:tcPr>
          <w:p w:rsidR="002C7704"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Main</w:t>
            </w:r>
            <w:r>
              <w:rPr>
                <w:rFonts w:ascii="Calibri" w:eastAsia="Times New Roman" w:hAnsi="Calibri" w:cs="Calibri"/>
                <w:b/>
                <w:bCs/>
                <w:sz w:val="18"/>
                <w:szCs w:val="18"/>
                <w:lang w:eastAsia="en-GB"/>
              </w:rPr>
              <w:t xml:space="preserve"> Estimate</w:t>
            </w:r>
            <w:r w:rsidRPr="00F31D1D">
              <w:rPr>
                <w:rFonts w:ascii="Calibri" w:eastAsia="Times New Roman" w:hAnsi="Calibri" w:cs="Calibri"/>
                <w:b/>
                <w:bCs/>
                <w:sz w:val="18"/>
                <w:szCs w:val="18"/>
                <w:lang w:eastAsia="en-GB"/>
              </w:rPr>
              <w:t xml:space="preserve"> 2023-24</w:t>
            </w:r>
          </w:p>
        </w:tc>
        <w:tc>
          <w:tcPr>
            <w:tcW w:w="1465" w:type="dxa"/>
            <w:tcBorders>
              <w:top w:val="single" w:sz="8" w:space="0" w:color="auto"/>
              <w:left w:val="nil"/>
              <w:bottom w:val="single" w:sz="4" w:space="0" w:color="auto"/>
              <w:right w:val="single" w:sz="4" w:space="0" w:color="auto"/>
            </w:tcBorders>
            <w:shd w:val="clear" w:color="000000" w:fill="FFFFFF"/>
            <w:hideMark/>
          </w:tcPr>
          <w:p w:rsidR="002C7704"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Supp</w:t>
            </w:r>
            <w:r>
              <w:rPr>
                <w:rFonts w:ascii="Calibri" w:eastAsia="Times New Roman" w:hAnsi="Calibri" w:cs="Calibri"/>
                <w:b/>
                <w:bCs/>
                <w:sz w:val="18"/>
                <w:szCs w:val="18"/>
                <w:lang w:eastAsia="en-GB"/>
              </w:rPr>
              <w:t>lementary Estimate</w:t>
            </w:r>
            <w:r w:rsidRPr="00F31D1D">
              <w:rPr>
                <w:rFonts w:ascii="Calibri" w:eastAsia="Times New Roman" w:hAnsi="Calibri" w:cs="Calibri"/>
                <w:b/>
                <w:bCs/>
                <w:sz w:val="18"/>
                <w:szCs w:val="18"/>
                <w:lang w:eastAsia="en-GB"/>
              </w:rPr>
              <w:t xml:space="preserve"> 2022-23 </w:t>
            </w:r>
          </w:p>
        </w:tc>
        <w:tc>
          <w:tcPr>
            <w:tcW w:w="2456" w:type="dxa"/>
            <w:gridSpan w:val="2"/>
            <w:tcBorders>
              <w:top w:val="single" w:sz="8" w:space="0" w:color="auto"/>
              <w:left w:val="nil"/>
              <w:bottom w:val="single" w:sz="4" w:space="0" w:color="auto"/>
              <w:right w:val="single" w:sz="4" w:space="0" w:color="auto"/>
            </w:tcBorders>
            <w:shd w:val="clear" w:color="000000" w:fill="FFFFFF"/>
            <w:hideMark/>
          </w:tcPr>
          <w:p w:rsidR="002C7704"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Change from Supp</w:t>
            </w:r>
            <w:r>
              <w:rPr>
                <w:rFonts w:ascii="Calibri" w:eastAsia="Times New Roman" w:hAnsi="Calibri" w:cs="Calibri"/>
                <w:b/>
                <w:bCs/>
                <w:sz w:val="18"/>
                <w:szCs w:val="18"/>
                <w:lang w:eastAsia="en-GB"/>
              </w:rPr>
              <w:t>lementary Estimate</w:t>
            </w:r>
            <w:r w:rsidRPr="00F31D1D">
              <w:rPr>
                <w:rFonts w:ascii="Calibri" w:eastAsia="Times New Roman" w:hAnsi="Calibri" w:cs="Calibri"/>
                <w:b/>
                <w:bCs/>
                <w:sz w:val="18"/>
                <w:szCs w:val="18"/>
                <w:lang w:eastAsia="en-GB"/>
              </w:rPr>
              <w:t xml:space="preserve"> 2022-23 (decrease in brackets)</w:t>
            </w:r>
          </w:p>
        </w:tc>
        <w:tc>
          <w:tcPr>
            <w:tcW w:w="921" w:type="dxa"/>
            <w:tcBorders>
              <w:top w:val="single" w:sz="8" w:space="0" w:color="auto"/>
              <w:left w:val="nil"/>
              <w:bottom w:val="single" w:sz="4" w:space="0" w:color="auto"/>
              <w:right w:val="single" w:sz="8" w:space="0" w:color="auto"/>
            </w:tcBorders>
            <w:shd w:val="clear" w:color="000000" w:fill="FFFFFF"/>
            <w:hideMark/>
          </w:tcPr>
          <w:p w:rsidR="002C7704"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Note number</w:t>
            </w:r>
          </w:p>
        </w:tc>
      </w:tr>
      <w:tr w:rsidTr="0090222D">
        <w:tblPrEx>
          <w:tblW w:w="9840" w:type="dxa"/>
          <w:tblLayout w:type="fixed"/>
          <w:tblLook w:val="04A0"/>
        </w:tblPrEx>
        <w:trPr>
          <w:trHeight w:val="249"/>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Sub-heading</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Description</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£m</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£m</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£m</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jc w:val="center"/>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A</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xml:space="preserve">Activities to </w:t>
            </w:r>
            <w:r w:rsidR="00EA5403">
              <w:rPr>
                <w:rFonts w:ascii="Calibri" w:eastAsia="Times New Roman" w:hAnsi="Calibri" w:cs="Calibri"/>
                <w:sz w:val="18"/>
                <w:szCs w:val="18"/>
                <w:lang w:eastAsia="en-GB"/>
              </w:rPr>
              <w:t>support</w:t>
            </w:r>
            <w:r w:rsidRPr="00F31D1D">
              <w:rPr>
                <w:rFonts w:ascii="Calibri" w:eastAsia="Times New Roman" w:hAnsi="Calibri" w:cs="Calibri"/>
                <w:sz w:val="18"/>
                <w:szCs w:val="18"/>
                <w:lang w:eastAsia="en-GB"/>
              </w:rPr>
              <w:t xml:space="preserve"> all Functions</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598.4</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564.2</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34.2</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6.1</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jc w:val="center"/>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B</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xml:space="preserve">Other School </w:t>
            </w:r>
            <w:r w:rsidRPr="00F31D1D">
              <w:rPr>
                <w:rFonts w:ascii="Calibri" w:eastAsia="Times New Roman" w:hAnsi="Calibri" w:cs="Calibri"/>
                <w:sz w:val="18"/>
                <w:szCs w:val="18"/>
                <w:lang w:eastAsia="en-GB"/>
              </w:rPr>
              <w:t>Funding  (</w:t>
            </w:r>
            <w:r w:rsidRPr="00F31D1D">
              <w:rPr>
                <w:rFonts w:ascii="Calibri" w:eastAsia="Times New Roman" w:hAnsi="Calibri" w:cs="Calibri"/>
                <w:sz w:val="18"/>
                <w:szCs w:val="18"/>
                <w:lang w:eastAsia="en-GB"/>
              </w:rPr>
              <w:t>Department)</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929.8</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1,111.0</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(181.2)</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(16.3)</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jc w:val="center"/>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C</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Other School Funding (ALB) (Net)</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7.6</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7.2</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0.4</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5.2</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D</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Families and Children</w:t>
            </w:r>
            <w:r w:rsidR="00D600BA">
              <w:rPr>
                <w:rFonts w:ascii="Calibri" w:eastAsia="Times New Roman" w:hAnsi="Calibri" w:cs="Calibri"/>
                <w:sz w:val="18"/>
                <w:szCs w:val="18"/>
                <w:lang w:eastAsia="en-GB"/>
              </w:rPr>
              <w:t>’s</w:t>
            </w:r>
            <w:r w:rsidRPr="00F31D1D">
              <w:rPr>
                <w:rFonts w:ascii="Calibri" w:eastAsia="Times New Roman" w:hAnsi="Calibri" w:cs="Calibri"/>
                <w:sz w:val="18"/>
                <w:szCs w:val="18"/>
                <w:lang w:eastAsia="en-GB"/>
              </w:rPr>
              <w:t xml:space="preserve"> Services (Department)</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981.1</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566.2</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414.9</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73.3</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jc w:val="center"/>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E</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Families and Children</w:t>
            </w:r>
            <w:r w:rsidR="00D600BA">
              <w:rPr>
                <w:rFonts w:ascii="Calibri" w:eastAsia="Times New Roman" w:hAnsi="Calibri" w:cs="Calibri"/>
                <w:sz w:val="18"/>
                <w:szCs w:val="18"/>
                <w:lang w:eastAsia="en-GB"/>
              </w:rPr>
              <w:t>’s</w:t>
            </w:r>
            <w:r w:rsidRPr="00F31D1D">
              <w:rPr>
                <w:rFonts w:ascii="Calibri" w:eastAsia="Times New Roman" w:hAnsi="Calibri" w:cs="Calibri"/>
                <w:sz w:val="18"/>
                <w:szCs w:val="18"/>
                <w:lang w:eastAsia="en-GB"/>
              </w:rPr>
              <w:t xml:space="preserve"> Services (ALB) (Net)</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16.0</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18.9</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(2.9)</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(15.3)</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F</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Standards and Testing Agency</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48.8</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45.8</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3.1</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6.7</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G</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Teaching Regulation Agency</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14.4</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11.3</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3.1</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27.7</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H</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Education and Skills Funding Agency (ESFA)</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92.5</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92.2</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0.3</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0.3</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jc w:val="center"/>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I</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Apprenticeships</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2,590.8</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2,562.3</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28.5</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1.1</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jc w:val="center"/>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J</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xml:space="preserve">Grants to LA Schools </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36,537.2</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33,753.9</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2,783.4</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8.2</w:t>
            </w:r>
          </w:p>
        </w:tc>
        <w:tc>
          <w:tcPr>
            <w:tcW w:w="921" w:type="dxa"/>
            <w:tcBorders>
              <w:top w:val="nil"/>
              <w:left w:val="nil"/>
              <w:bottom w:val="single" w:sz="4" w:space="0" w:color="auto"/>
              <w:right w:val="single" w:sz="8" w:space="0" w:color="auto"/>
            </w:tcBorders>
            <w:shd w:val="clear" w:color="000000" w:fill="FFFFFF"/>
            <w:vAlign w:val="center"/>
            <w:hideMark/>
          </w:tcPr>
          <w:p w:rsidR="00F31D1D" w:rsidRPr="00F31D1D" w:rsidP="00F31D1D">
            <w:pPr>
              <w:spacing w:after="0" w:line="240" w:lineRule="auto"/>
              <w:jc w:val="center"/>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K</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xml:space="preserve">Grants to Academies </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31,008.6</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29,725.5</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1,283.0</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4.3</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L</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Higher Education</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5,028.2</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(532.7)</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5,560.9</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1,043.9</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jc w:val="center"/>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w:t>
            </w:r>
          </w:p>
        </w:tc>
      </w:tr>
      <w:tr w:rsidTr="0090222D">
        <w:tblPrEx>
          <w:tblW w:w="9840" w:type="dxa"/>
          <w:tblLayout w:type="fixed"/>
          <w:tblLook w:val="04A0"/>
        </w:tblPrEx>
        <w:trPr>
          <w:trHeight w:val="283"/>
          <w:tblHeader/>
        </w:trPr>
        <w:tc>
          <w:tcPr>
            <w:tcW w:w="1202" w:type="dxa"/>
            <w:tcBorders>
              <w:top w:val="nil"/>
              <w:left w:val="single" w:sz="8" w:space="0" w:color="auto"/>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M</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Further Education</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6,403.5</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6,177.9</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225.5</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3.7</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nil"/>
              <w:left w:val="single" w:sz="8" w:space="0" w:color="auto"/>
              <w:bottom w:val="nil"/>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N</w:t>
            </w:r>
          </w:p>
        </w:tc>
        <w:tc>
          <w:tcPr>
            <w:tcW w:w="2332"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Higher Education (ALB) (net)</w:t>
            </w:r>
          </w:p>
        </w:tc>
        <w:tc>
          <w:tcPr>
            <w:tcW w:w="1464"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1,705.5</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1,664.4</w:t>
            </w:r>
          </w:p>
        </w:tc>
        <w:tc>
          <w:tcPr>
            <w:tcW w:w="1465"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41.1</w:t>
            </w:r>
          </w:p>
        </w:tc>
        <w:tc>
          <w:tcPr>
            <w:tcW w:w="991" w:type="dxa"/>
            <w:tcBorders>
              <w:top w:val="nil"/>
              <w:left w:val="nil"/>
              <w:bottom w:val="single" w:sz="4"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2.5</w:t>
            </w:r>
          </w:p>
        </w:tc>
        <w:tc>
          <w:tcPr>
            <w:tcW w:w="921" w:type="dxa"/>
            <w:tcBorders>
              <w:top w:val="nil"/>
              <w:left w:val="nil"/>
              <w:bottom w:val="single" w:sz="4" w:space="0" w:color="auto"/>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single" w:sz="4" w:space="0" w:color="auto"/>
              <w:left w:val="single" w:sz="8" w:space="0" w:color="auto"/>
              <w:bottom w:val="nil"/>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O</w:t>
            </w:r>
          </w:p>
        </w:tc>
        <w:tc>
          <w:tcPr>
            <w:tcW w:w="2332" w:type="dxa"/>
            <w:tcBorders>
              <w:top w:val="nil"/>
              <w:left w:val="nil"/>
              <w:bottom w:val="nil"/>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Further Education (ALB) (net)</w:t>
            </w:r>
          </w:p>
        </w:tc>
        <w:tc>
          <w:tcPr>
            <w:tcW w:w="1464" w:type="dxa"/>
            <w:tcBorders>
              <w:top w:val="nil"/>
              <w:left w:val="nil"/>
              <w:bottom w:val="nil"/>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30.8</w:t>
            </w:r>
          </w:p>
        </w:tc>
        <w:tc>
          <w:tcPr>
            <w:tcW w:w="1465" w:type="dxa"/>
            <w:tcBorders>
              <w:top w:val="nil"/>
              <w:left w:val="nil"/>
              <w:bottom w:val="nil"/>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29.2</w:t>
            </w:r>
          </w:p>
        </w:tc>
        <w:tc>
          <w:tcPr>
            <w:tcW w:w="1465" w:type="dxa"/>
            <w:tcBorders>
              <w:top w:val="nil"/>
              <w:left w:val="nil"/>
              <w:bottom w:val="nil"/>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1.6</w:t>
            </w:r>
          </w:p>
        </w:tc>
        <w:tc>
          <w:tcPr>
            <w:tcW w:w="991" w:type="dxa"/>
            <w:tcBorders>
              <w:top w:val="nil"/>
              <w:left w:val="nil"/>
              <w:bottom w:val="nil"/>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5.5</w:t>
            </w:r>
          </w:p>
        </w:tc>
        <w:tc>
          <w:tcPr>
            <w:tcW w:w="921" w:type="dxa"/>
            <w:tcBorders>
              <w:top w:val="nil"/>
              <w:left w:val="nil"/>
              <w:bottom w:val="nil"/>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r w:rsidTr="0090222D">
        <w:tblPrEx>
          <w:tblW w:w="9840" w:type="dxa"/>
          <w:tblLayout w:type="fixed"/>
          <w:tblLook w:val="04A0"/>
        </w:tblPrEx>
        <w:trPr>
          <w:trHeight w:val="283"/>
          <w:tblHeader/>
        </w:trPr>
        <w:tc>
          <w:tcPr>
            <w:tcW w:w="1202" w:type="dxa"/>
            <w:tcBorders>
              <w:top w:val="single" w:sz="8" w:space="0" w:color="auto"/>
              <w:left w:val="single" w:sz="8" w:space="0" w:color="auto"/>
              <w:bottom w:val="single" w:sz="8"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 </w:t>
            </w:r>
          </w:p>
        </w:tc>
        <w:tc>
          <w:tcPr>
            <w:tcW w:w="2332" w:type="dxa"/>
            <w:tcBorders>
              <w:top w:val="single" w:sz="8" w:space="0" w:color="auto"/>
              <w:left w:val="nil"/>
              <w:bottom w:val="single" w:sz="8" w:space="0" w:color="auto"/>
              <w:right w:val="single" w:sz="4" w:space="0" w:color="auto"/>
            </w:tcBorders>
            <w:shd w:val="clear" w:color="000000" w:fill="FFFFFF"/>
            <w:hideMark/>
          </w:tcPr>
          <w:p w:rsidR="00F31D1D" w:rsidRPr="00F31D1D" w:rsidP="00F31D1D">
            <w:pPr>
              <w:spacing w:after="0" w:line="240" w:lineRule="auto"/>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Total Resource DEL</w:t>
            </w:r>
          </w:p>
        </w:tc>
        <w:tc>
          <w:tcPr>
            <w:tcW w:w="1464" w:type="dxa"/>
            <w:tcBorders>
              <w:top w:val="single" w:sz="8" w:space="0" w:color="auto"/>
              <w:left w:val="nil"/>
              <w:bottom w:val="single" w:sz="8"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85,993.3</w:t>
            </w:r>
          </w:p>
        </w:tc>
        <w:tc>
          <w:tcPr>
            <w:tcW w:w="1465" w:type="dxa"/>
            <w:tcBorders>
              <w:top w:val="single" w:sz="8" w:space="0" w:color="auto"/>
              <w:left w:val="nil"/>
              <w:bottom w:val="single" w:sz="8"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75,797.4</w:t>
            </w:r>
          </w:p>
        </w:tc>
        <w:tc>
          <w:tcPr>
            <w:tcW w:w="1465" w:type="dxa"/>
            <w:tcBorders>
              <w:top w:val="single" w:sz="8" w:space="0" w:color="auto"/>
              <w:left w:val="nil"/>
              <w:bottom w:val="single" w:sz="8"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10,195.9</w:t>
            </w:r>
          </w:p>
        </w:tc>
        <w:tc>
          <w:tcPr>
            <w:tcW w:w="991" w:type="dxa"/>
            <w:tcBorders>
              <w:top w:val="single" w:sz="8" w:space="0" w:color="auto"/>
              <w:left w:val="nil"/>
              <w:bottom w:val="single" w:sz="8" w:space="0" w:color="auto"/>
              <w:right w:val="single" w:sz="4" w:space="0" w:color="auto"/>
            </w:tcBorders>
            <w:shd w:val="clear" w:color="000000" w:fill="FFFFFF"/>
            <w:hideMark/>
          </w:tcPr>
          <w:p w:rsidR="00F31D1D" w:rsidRPr="00F31D1D" w:rsidP="00F31D1D">
            <w:pPr>
              <w:spacing w:after="0" w:line="240" w:lineRule="auto"/>
              <w:jc w:val="right"/>
              <w:rPr>
                <w:rFonts w:ascii="Calibri" w:eastAsia="Times New Roman" w:hAnsi="Calibri" w:cs="Calibri"/>
                <w:b/>
                <w:bCs/>
                <w:sz w:val="18"/>
                <w:szCs w:val="18"/>
                <w:lang w:eastAsia="en-GB"/>
              </w:rPr>
            </w:pPr>
            <w:r w:rsidRPr="00F31D1D">
              <w:rPr>
                <w:rFonts w:ascii="Calibri" w:eastAsia="Times New Roman" w:hAnsi="Calibri" w:cs="Calibri"/>
                <w:b/>
                <w:bCs/>
                <w:sz w:val="18"/>
                <w:szCs w:val="18"/>
                <w:lang w:eastAsia="en-GB"/>
              </w:rPr>
              <w:t>13.5</w:t>
            </w:r>
          </w:p>
        </w:tc>
        <w:tc>
          <w:tcPr>
            <w:tcW w:w="921" w:type="dxa"/>
            <w:tcBorders>
              <w:top w:val="single" w:sz="8" w:space="0" w:color="auto"/>
              <w:left w:val="nil"/>
              <w:bottom w:val="single" w:sz="8" w:space="0" w:color="auto"/>
              <w:right w:val="single" w:sz="8" w:space="0" w:color="auto"/>
            </w:tcBorders>
            <w:shd w:val="clear" w:color="000000" w:fill="FFFFFF"/>
            <w:hideMark/>
          </w:tcPr>
          <w:p w:rsidR="00F31D1D" w:rsidRPr="00F31D1D" w:rsidP="00F31D1D">
            <w:pPr>
              <w:spacing w:after="0" w:line="240" w:lineRule="auto"/>
              <w:rPr>
                <w:rFonts w:ascii="Calibri" w:eastAsia="Times New Roman" w:hAnsi="Calibri" w:cs="Calibri"/>
                <w:sz w:val="18"/>
                <w:szCs w:val="18"/>
                <w:lang w:eastAsia="en-GB"/>
              </w:rPr>
            </w:pPr>
            <w:r w:rsidRPr="00F31D1D">
              <w:rPr>
                <w:rFonts w:ascii="Calibri" w:eastAsia="Times New Roman" w:hAnsi="Calibri" w:cs="Calibri"/>
                <w:sz w:val="18"/>
                <w:szCs w:val="18"/>
                <w:lang w:eastAsia="en-GB"/>
              </w:rPr>
              <w:t> </w:t>
            </w:r>
          </w:p>
        </w:tc>
      </w:tr>
    </w:tbl>
    <w:p w:rsidR="00871C85" w:rsidP="00980858">
      <w:pPr>
        <w:spacing w:before="120" w:after="120"/>
        <w:jc w:val="both"/>
        <w:rPr>
          <w:b/>
          <w:lang w:eastAsia="en-GB"/>
        </w:rPr>
      </w:pPr>
    </w:p>
    <w:p w:rsidR="00D47252" w:rsidP="00D47252">
      <w:pPr>
        <w:spacing w:before="120" w:after="120"/>
        <w:jc w:val="both"/>
      </w:pPr>
      <w:r>
        <w:t xml:space="preserve">The details of spend included in each Estimate line are explained in Section 3. </w:t>
      </w:r>
    </w:p>
    <w:p w:rsidR="00C863F2" w:rsidRPr="00C863F2" w:rsidP="00C863F2">
      <w:pPr>
        <w:spacing w:before="120" w:after="120"/>
        <w:jc w:val="both"/>
      </w:pPr>
      <w:r w:rsidRPr="00B3727C">
        <w:t xml:space="preserve">Differences of more than 10% which are more than £10 million are explained below. </w:t>
      </w:r>
      <w:r w:rsidR="00723EE9">
        <w:t>The n</w:t>
      </w:r>
      <w:r w:rsidRPr="00B3727C" w:rsidR="00723EE9">
        <w:t xml:space="preserve">umbers </w:t>
      </w:r>
      <w:r w:rsidRPr="00B3727C">
        <w:t>relate to the rel</w:t>
      </w:r>
      <w:r>
        <w:t xml:space="preserve">evant row in the table above.  </w:t>
      </w:r>
    </w:p>
    <w:p w:rsidR="008D2A75" w:rsidP="008D2A75">
      <w:pPr>
        <w:pStyle w:val="Heading5"/>
        <w:numPr>
          <w:ilvl w:val="0"/>
          <w:numId w:val="4"/>
        </w:numPr>
        <w:jc w:val="both"/>
        <w:rPr>
          <w:rFonts w:asciiTheme="minorHAnsi" w:hAnsiTheme="minorHAnsi" w:cstheme="minorHAnsi"/>
        </w:rPr>
      </w:pPr>
      <w:bookmarkStart w:id="9" w:name="_Hlk100323330"/>
      <w:bookmarkStart w:id="10" w:name="_Hlk67586752"/>
      <w:r>
        <w:rPr>
          <w:rFonts w:asciiTheme="minorHAnsi" w:hAnsiTheme="minorHAnsi" w:cstheme="minorHAnsi"/>
        </w:rPr>
        <w:t xml:space="preserve">Other </w:t>
      </w:r>
      <w:r w:rsidR="00CE114C">
        <w:rPr>
          <w:rFonts w:asciiTheme="minorHAnsi" w:hAnsiTheme="minorHAnsi" w:cstheme="minorHAnsi"/>
        </w:rPr>
        <w:t>S</w:t>
      </w:r>
      <w:r>
        <w:rPr>
          <w:rFonts w:asciiTheme="minorHAnsi" w:hAnsiTheme="minorHAnsi" w:cstheme="minorHAnsi"/>
        </w:rPr>
        <w:t>chool Funding</w:t>
      </w:r>
    </w:p>
    <w:p w:rsidR="002B7692" w:rsidRPr="002B7692" w:rsidP="009F5246">
      <w:pPr>
        <w:ind w:left="720"/>
      </w:pPr>
      <w:r w:rsidRPr="00AC70F9">
        <w:rPr>
          <w:rFonts w:cstheme="minorHAnsi"/>
        </w:rPr>
        <w:t xml:space="preserve">The </w:t>
      </w:r>
      <w:r w:rsidRPr="009F5246">
        <w:t xml:space="preserve">budget for this sub-head has </w:t>
      </w:r>
      <w:r w:rsidR="00AE6F1B">
        <w:t>de</w:t>
      </w:r>
      <w:r w:rsidRPr="009F5246">
        <w:t>creased by £1</w:t>
      </w:r>
      <w:r w:rsidR="00AE6F1B">
        <w:t>8</w:t>
      </w:r>
      <w:r w:rsidRPr="009F5246">
        <w:t>1.</w:t>
      </w:r>
      <w:r w:rsidR="00AE6F1B">
        <w:t>2</w:t>
      </w:r>
      <w:r w:rsidRPr="009F5246">
        <w:t xml:space="preserve"> million from £1,</w:t>
      </w:r>
      <w:r w:rsidRPr="009F5246" w:rsidR="00B14F77">
        <w:t>111</w:t>
      </w:r>
      <w:r w:rsidRPr="009F5246">
        <w:t>.</w:t>
      </w:r>
      <w:r w:rsidRPr="009F5246" w:rsidR="00B14F77">
        <w:t>0</w:t>
      </w:r>
      <w:r w:rsidRPr="009F5246">
        <w:t xml:space="preserve"> million in the 202</w:t>
      </w:r>
      <w:r w:rsidRPr="009F5246" w:rsidR="00B14F77">
        <w:t>2</w:t>
      </w:r>
      <w:r w:rsidRPr="009F5246">
        <w:t>-2</w:t>
      </w:r>
      <w:r w:rsidRPr="009F5246" w:rsidR="00B14F77">
        <w:t>3</w:t>
      </w:r>
      <w:r w:rsidRPr="009F5246">
        <w:t xml:space="preserve"> Supplementary Estimate to £</w:t>
      </w:r>
      <w:r w:rsidR="00FA64CE">
        <w:t>929.8</w:t>
      </w:r>
      <w:r w:rsidRPr="009F5246" w:rsidR="00B14F77">
        <w:t xml:space="preserve"> </w:t>
      </w:r>
      <w:r w:rsidRPr="009F5246">
        <w:t>million. </w:t>
      </w:r>
      <w:r w:rsidRPr="009F5246" w:rsidR="00061561">
        <w:t>This</w:t>
      </w:r>
      <w:r w:rsidRPr="009F5246" w:rsidR="006C1FF5">
        <w:t xml:space="preserve"> largely</w:t>
      </w:r>
      <w:r w:rsidRPr="009F5246" w:rsidR="00061561">
        <w:t xml:space="preserve"> relates to</w:t>
      </w:r>
      <w:r w:rsidRPr="009F5246">
        <w:t xml:space="preserve"> a reduction in the budgets for Homes for Ukraine and Afghan resettlement</w:t>
      </w:r>
      <w:r w:rsidR="00612EB5">
        <w:t>,</w:t>
      </w:r>
      <w:r w:rsidRPr="009F5246">
        <w:t xml:space="preserve"> offset with</w:t>
      </w:r>
      <w:r w:rsidRPr="009F5246" w:rsidR="00061561">
        <w:t xml:space="preserve"> </w:t>
      </w:r>
      <w:r w:rsidRPr="009F5246" w:rsidR="005B2E9A">
        <w:t>increases across several budgets</w:t>
      </w:r>
      <w:r w:rsidRPr="009F5246" w:rsidR="00445835">
        <w:t xml:space="preserve"> including I</w:t>
      </w:r>
      <w:r w:rsidR="008A4929">
        <w:t xml:space="preserve">nitial </w:t>
      </w:r>
      <w:r w:rsidRPr="009F5246" w:rsidR="00445835">
        <w:t>T</w:t>
      </w:r>
      <w:r w:rsidR="008A4929">
        <w:t xml:space="preserve">eacher </w:t>
      </w:r>
      <w:r w:rsidRPr="009F5246" w:rsidR="00445835">
        <w:t>T</w:t>
      </w:r>
      <w:r w:rsidR="008A4929">
        <w:t>raining</w:t>
      </w:r>
      <w:r w:rsidRPr="009F5246" w:rsidR="00445835">
        <w:t xml:space="preserve"> and </w:t>
      </w:r>
      <w:r w:rsidRPr="009F5246" w:rsidR="00FD2440">
        <w:t>priority areas</w:t>
      </w:r>
      <w:r w:rsidRPr="009F5246" w:rsidR="00854C1F">
        <w:t xml:space="preserve">.  </w:t>
      </w:r>
    </w:p>
    <w:p w:rsidR="008D2A75" w:rsidP="003A5FB3">
      <w:pPr>
        <w:pStyle w:val="Heading5"/>
        <w:numPr>
          <w:ilvl w:val="0"/>
          <w:numId w:val="4"/>
        </w:numPr>
        <w:ind w:left="714" w:hanging="357"/>
        <w:jc w:val="both"/>
        <w:rPr>
          <w:rFonts w:asciiTheme="minorHAnsi" w:hAnsiTheme="minorHAnsi" w:cstheme="minorHAnsi"/>
        </w:rPr>
      </w:pPr>
      <w:bookmarkStart w:id="11" w:name="_Hlk100312761"/>
      <w:bookmarkEnd w:id="9"/>
      <w:r>
        <w:rPr>
          <w:rFonts w:asciiTheme="minorHAnsi" w:hAnsiTheme="minorHAnsi" w:cstheme="minorHAnsi"/>
          <w:iCs/>
        </w:rPr>
        <w:t xml:space="preserve">Families and </w:t>
      </w:r>
      <w:r w:rsidRPr="00A050A0" w:rsidR="00A050A0">
        <w:rPr>
          <w:rFonts w:asciiTheme="minorHAnsi" w:hAnsiTheme="minorHAnsi" w:cstheme="minorHAnsi"/>
          <w:iCs/>
        </w:rPr>
        <w:t>Children’s Services</w:t>
      </w:r>
      <w:r>
        <w:rPr>
          <w:rFonts w:asciiTheme="minorHAnsi" w:hAnsiTheme="minorHAnsi" w:cstheme="minorHAnsi"/>
        </w:rPr>
        <w:t xml:space="preserve"> </w:t>
      </w:r>
    </w:p>
    <w:p w:rsidR="008D2A75" w:rsidP="00A050A0">
      <w:pPr>
        <w:ind w:left="720"/>
      </w:pPr>
      <w:r w:rsidRPr="00275CA8">
        <w:t xml:space="preserve">The budget for this sub-head has </w:t>
      </w:r>
      <w:r>
        <w:t xml:space="preserve">increased </w:t>
      </w:r>
      <w:r w:rsidRPr="00275CA8">
        <w:t>by £</w:t>
      </w:r>
      <w:r w:rsidRPr="00B14F77" w:rsidR="00B14F77">
        <w:t>414.9</w:t>
      </w:r>
      <w:r w:rsidR="00E74BEB">
        <w:t xml:space="preserve"> </w:t>
      </w:r>
      <w:r w:rsidRPr="00275CA8">
        <w:t>million from £</w:t>
      </w:r>
      <w:r w:rsidRPr="00B14F77" w:rsidR="00B14F77">
        <w:t>566.2</w:t>
      </w:r>
      <w:r w:rsidRPr="00275CA8">
        <w:t xml:space="preserve"> million in the 202</w:t>
      </w:r>
      <w:r w:rsidR="00E11375">
        <w:t>2</w:t>
      </w:r>
      <w:r w:rsidRPr="00275CA8">
        <w:t>-</w:t>
      </w:r>
      <w:r w:rsidRPr="00275CA8" w:rsidR="00E11375">
        <w:t>2</w:t>
      </w:r>
      <w:r w:rsidR="00E11375">
        <w:t>3</w:t>
      </w:r>
      <w:r w:rsidRPr="00275CA8" w:rsidR="00E11375">
        <w:t xml:space="preserve"> </w:t>
      </w:r>
      <w:r w:rsidRPr="00275CA8">
        <w:t>Supplementary Estimate to £</w:t>
      </w:r>
      <w:r w:rsidR="00B14F77">
        <w:t>981.1</w:t>
      </w:r>
      <w:r w:rsidRPr="00275CA8">
        <w:t xml:space="preserve"> million.</w:t>
      </w:r>
      <w:r>
        <w:t xml:space="preserve">  </w:t>
      </w:r>
      <w:r w:rsidR="007F36DB">
        <w:t xml:space="preserve">This includes </w:t>
      </w:r>
      <w:r w:rsidR="000F07C1">
        <w:t xml:space="preserve">the increase in childcare budget announced at the </w:t>
      </w:r>
      <w:r w:rsidR="0044522A">
        <w:t>S</w:t>
      </w:r>
      <w:r w:rsidR="000F07C1">
        <w:t xml:space="preserve">pring </w:t>
      </w:r>
      <w:r w:rsidR="0044522A">
        <w:t>B</w:t>
      </w:r>
      <w:r w:rsidR="000F07C1">
        <w:t xml:space="preserve">udget </w:t>
      </w:r>
      <w:r w:rsidR="0044522A">
        <w:t xml:space="preserve">2023 </w:t>
      </w:r>
      <w:r w:rsidR="000F07C1">
        <w:t>and other</w:t>
      </w:r>
      <w:r w:rsidR="00B03C2C">
        <w:t xml:space="preserve"> increases in budge</w:t>
      </w:r>
      <w:r w:rsidR="002E24D1">
        <w:t>t</w:t>
      </w:r>
      <w:r w:rsidR="00B03C2C">
        <w:t xml:space="preserve">s including </w:t>
      </w:r>
      <w:r w:rsidR="00031308">
        <w:t>F</w:t>
      </w:r>
      <w:r w:rsidR="004070AC">
        <w:t xml:space="preserve">amily </w:t>
      </w:r>
      <w:r w:rsidR="00031308">
        <w:t>H</w:t>
      </w:r>
      <w:r w:rsidR="004070AC">
        <w:t xml:space="preserve">ubs, </w:t>
      </w:r>
      <w:r w:rsidR="00031308">
        <w:t>S</w:t>
      </w:r>
      <w:r w:rsidR="004070AC">
        <w:t xml:space="preserve">tart for </w:t>
      </w:r>
      <w:r w:rsidR="00031308">
        <w:t>L</w:t>
      </w:r>
      <w:r w:rsidR="004070AC">
        <w:t>ife,</w:t>
      </w:r>
      <w:r w:rsidR="00CD4CD0">
        <w:t xml:space="preserve"> Supported Accommodation,</w:t>
      </w:r>
      <w:r w:rsidR="003D2CA2">
        <w:t xml:space="preserve"> </w:t>
      </w:r>
      <w:r w:rsidR="0016763B">
        <w:t xml:space="preserve">Staying Put and </w:t>
      </w:r>
      <w:r w:rsidR="003D2CA2">
        <w:t>Supporting families with disabled children</w:t>
      </w:r>
      <w:r w:rsidR="00093138">
        <w:t xml:space="preserve">.  </w:t>
      </w:r>
    </w:p>
    <w:p w:rsidR="008D2A75" w:rsidP="00966559">
      <w:pPr>
        <w:pStyle w:val="Heading5"/>
        <w:numPr>
          <w:ilvl w:val="0"/>
          <w:numId w:val="4"/>
        </w:numPr>
        <w:ind w:left="714" w:hanging="357"/>
        <w:jc w:val="both"/>
        <w:rPr>
          <w:rFonts w:asciiTheme="minorHAnsi" w:hAnsiTheme="minorHAnsi" w:cstheme="minorHAnsi"/>
          <w:lang w:eastAsia="en-GB"/>
        </w:rPr>
      </w:pPr>
      <w:bookmarkStart w:id="12" w:name="_Hlk100589730"/>
      <w:bookmarkEnd w:id="11"/>
      <w:r w:rsidRPr="00966559">
        <w:rPr>
          <w:rFonts w:asciiTheme="minorHAnsi" w:hAnsiTheme="minorHAnsi" w:cstheme="minorHAnsi"/>
        </w:rPr>
        <w:t>Higher</w:t>
      </w:r>
      <w:r>
        <w:rPr>
          <w:rFonts w:asciiTheme="minorHAnsi" w:hAnsiTheme="minorHAnsi" w:cstheme="minorHAnsi"/>
          <w:lang w:eastAsia="en-GB"/>
        </w:rPr>
        <w:t xml:space="preserve"> Education</w:t>
      </w:r>
    </w:p>
    <w:p w:rsidR="008D2A75" w:rsidRPr="00F32267" w:rsidP="00F32267">
      <w:pPr>
        <w:ind w:left="720"/>
        <w:rPr>
          <w:lang w:eastAsia="en-GB"/>
        </w:rPr>
      </w:pPr>
      <w:r w:rsidRPr="001431DA">
        <w:t xml:space="preserve">The budget for this sub-head has </w:t>
      </w:r>
      <w:r w:rsidR="00B14F77">
        <w:t>increased</w:t>
      </w:r>
      <w:r w:rsidRPr="001431DA" w:rsidR="00B14F77">
        <w:t xml:space="preserve"> </w:t>
      </w:r>
      <w:r w:rsidRPr="001431DA">
        <w:t>by £</w:t>
      </w:r>
      <w:r w:rsidRPr="00B14F77" w:rsidR="00B14F77">
        <w:t>5,560.9</w:t>
      </w:r>
      <w:r w:rsidR="00E11375">
        <w:t xml:space="preserve"> </w:t>
      </w:r>
      <w:r w:rsidRPr="001431DA">
        <w:t>m</w:t>
      </w:r>
      <w:r>
        <w:t>illion</w:t>
      </w:r>
      <w:r w:rsidRPr="001431DA">
        <w:t xml:space="preserve"> from </w:t>
      </w:r>
      <w:r w:rsidR="00B14F77">
        <w:t xml:space="preserve">minus </w:t>
      </w:r>
      <w:r w:rsidRPr="001431DA">
        <w:t>£</w:t>
      </w:r>
      <w:r w:rsidR="00B14F77">
        <w:t>532.7</w:t>
      </w:r>
      <w:r w:rsidRPr="001431DA">
        <w:t xml:space="preserve"> million in the 202</w:t>
      </w:r>
      <w:r w:rsidR="00E11375">
        <w:t>2</w:t>
      </w:r>
      <w:r w:rsidRPr="001431DA">
        <w:t>-2</w:t>
      </w:r>
      <w:r w:rsidR="0014359A">
        <w:t>3</w:t>
      </w:r>
      <w:r w:rsidRPr="001431DA">
        <w:t xml:space="preserve"> Supplementary Estimate to</w:t>
      </w:r>
      <w:r w:rsidR="00ED0BFD">
        <w:t xml:space="preserve"> a budget of </w:t>
      </w:r>
      <w:r w:rsidRPr="001431DA">
        <w:t>£</w:t>
      </w:r>
      <w:r w:rsidRPr="0000059A" w:rsidR="0000059A">
        <w:t>5,028.2</w:t>
      </w:r>
      <w:r w:rsidRPr="001431DA">
        <w:t xml:space="preserve"> million. </w:t>
      </w:r>
      <w:r w:rsidRPr="00966559" w:rsidR="00ED0BFD">
        <w:rPr>
          <w:lang w:eastAsia="en-GB"/>
        </w:rPr>
        <w:t>This</w:t>
      </w:r>
      <w:r w:rsidRPr="00966559" w:rsidR="004C2777">
        <w:rPr>
          <w:lang w:eastAsia="en-GB"/>
        </w:rPr>
        <w:t xml:space="preserve"> is mostly due to the </w:t>
      </w:r>
      <w:r w:rsidRPr="00966559" w:rsidR="00ED0BFD">
        <w:rPr>
          <w:lang w:eastAsia="en-GB"/>
        </w:rPr>
        <w:t xml:space="preserve">budget </w:t>
      </w:r>
      <w:r w:rsidRPr="00966559" w:rsidR="004D0BBB">
        <w:rPr>
          <w:lang w:eastAsia="en-GB"/>
        </w:rPr>
        <w:t xml:space="preserve">initially </w:t>
      </w:r>
      <w:r w:rsidRPr="00966559" w:rsidR="00ED0BFD">
        <w:rPr>
          <w:lang w:eastAsia="en-GB"/>
        </w:rPr>
        <w:t>allocated for</w:t>
      </w:r>
      <w:r w:rsidRPr="00966559" w:rsidR="004C0686">
        <w:rPr>
          <w:lang w:eastAsia="en-GB"/>
        </w:rPr>
        <w:t xml:space="preserve"> the RAB charge and</w:t>
      </w:r>
      <w:r w:rsidRPr="00966559" w:rsidR="00ED0BFD">
        <w:rPr>
          <w:lang w:eastAsia="en-GB"/>
        </w:rPr>
        <w:t xml:space="preserve"> changes in the valuation of the </w:t>
      </w:r>
      <w:r w:rsidRPr="00966559" w:rsidR="00F32267">
        <w:rPr>
          <w:lang w:eastAsia="en-GB"/>
        </w:rPr>
        <w:t>student loan book</w:t>
      </w:r>
      <w:r w:rsidR="004A0E3D">
        <w:rPr>
          <w:lang w:eastAsia="en-GB"/>
        </w:rPr>
        <w:t xml:space="preserve">, where a significant gain </w:t>
      </w:r>
      <w:r w:rsidR="00F1472E">
        <w:rPr>
          <w:lang w:eastAsia="en-GB"/>
        </w:rPr>
        <w:t>is expected for 202</w:t>
      </w:r>
      <w:r w:rsidR="001563E3">
        <w:rPr>
          <w:lang w:eastAsia="en-GB"/>
        </w:rPr>
        <w:t>3</w:t>
      </w:r>
      <w:r w:rsidR="00F1472E">
        <w:rPr>
          <w:lang w:eastAsia="en-GB"/>
        </w:rPr>
        <w:t>-2</w:t>
      </w:r>
      <w:r w:rsidR="001563E3">
        <w:rPr>
          <w:lang w:eastAsia="en-GB"/>
        </w:rPr>
        <w:t>4</w:t>
      </w:r>
      <w:r w:rsidR="00F1472E">
        <w:rPr>
          <w:lang w:eastAsia="en-GB"/>
        </w:rPr>
        <w:t xml:space="preserve"> due to a series of policy changes made</w:t>
      </w:r>
      <w:r w:rsidRPr="00966559" w:rsidR="00F32267">
        <w:rPr>
          <w:lang w:eastAsia="en-GB"/>
        </w:rPr>
        <w:t xml:space="preserve">. </w:t>
      </w:r>
      <w:r w:rsidRPr="00966559" w:rsidR="00ED0BFD">
        <w:rPr>
          <w:lang w:eastAsia="en-GB"/>
        </w:rPr>
        <w:t xml:space="preserve"> The final budget will be </w:t>
      </w:r>
      <w:r w:rsidRPr="00966559" w:rsidR="004D0BBB">
        <w:rPr>
          <w:lang w:eastAsia="en-GB"/>
        </w:rPr>
        <w:t xml:space="preserve">confirmed </w:t>
      </w:r>
      <w:r w:rsidRPr="00966559" w:rsidR="00ED0BFD">
        <w:rPr>
          <w:lang w:eastAsia="en-GB"/>
        </w:rPr>
        <w:t>at the Supplementary Estimate, in line with usual practice and the annual revaluation of the student loan book.</w:t>
      </w:r>
      <w:r w:rsidR="004C2777">
        <w:rPr>
          <w:lang w:eastAsia="en-GB"/>
        </w:rPr>
        <w:t xml:space="preserve"> </w:t>
      </w:r>
    </w:p>
    <w:p w:rsidR="00D3272A" w:rsidRPr="001A4C2B" w:rsidP="00EE1AAB">
      <w:pPr>
        <w:pStyle w:val="Heading4"/>
        <w:rPr>
          <w:i w:val="0"/>
        </w:rPr>
      </w:pPr>
      <w:bookmarkEnd w:id="10"/>
      <w:bookmarkEnd w:id="12"/>
      <w:r w:rsidRPr="00EE1AAB">
        <w:rPr>
          <w:rFonts w:eastAsia="Times New Roman"/>
          <w:b/>
          <w:i w:val="0"/>
        </w:rPr>
        <w:t>Capital DEL</w:t>
      </w:r>
      <w:r w:rsidRPr="001A4C2B" w:rsidR="00B176D0">
        <w:tab/>
      </w:r>
    </w:p>
    <w:p w:rsidR="00D3272A" w:rsidP="005E70BA">
      <w:pPr>
        <w:spacing w:before="120" w:after="120"/>
        <w:jc w:val="both"/>
      </w:pPr>
      <w:r w:rsidRPr="001A4C2B">
        <w:t xml:space="preserve">The table below shows how spending plans for </w:t>
      </w:r>
      <w:r w:rsidRPr="001A4C2B" w:rsidR="00EE5BFD">
        <w:t>Capital DEL</w:t>
      </w:r>
      <w:r w:rsidRPr="001A4C2B">
        <w:t xml:space="preserve"> compare with last year</w:t>
      </w:r>
      <w:r w:rsidRPr="001A4C2B" w:rsidR="00557D81">
        <w:t>:</w:t>
      </w:r>
    </w:p>
    <w:tbl>
      <w:tblPr>
        <w:tblW w:w="9800" w:type="dxa"/>
        <w:tblLook w:val="04A0"/>
      </w:tblPr>
      <w:tblGrid>
        <w:gridCol w:w="1266"/>
        <w:gridCol w:w="2410"/>
        <w:gridCol w:w="1464"/>
        <w:gridCol w:w="1465"/>
        <w:gridCol w:w="1465"/>
        <w:gridCol w:w="849"/>
        <w:gridCol w:w="881"/>
      </w:tblGrid>
      <w:tr>
        <w:tblPrEx>
          <w:tblW w:w="9800" w:type="dxa"/>
          <w:tblLook w:val="04A0"/>
        </w:tblPrEx>
        <w:trPr>
          <w:trHeight w:val="535"/>
        </w:trPr>
        <w:tc>
          <w:tcPr>
            <w:tcW w:w="1266" w:type="dxa"/>
            <w:tcBorders>
              <w:top w:val="single" w:sz="8" w:space="0" w:color="auto"/>
              <w:left w:val="single" w:sz="8" w:space="0" w:color="auto"/>
              <w:bottom w:val="single" w:sz="4" w:space="0" w:color="auto"/>
              <w:right w:val="single" w:sz="4" w:space="0" w:color="auto"/>
            </w:tcBorders>
            <w:shd w:val="clear" w:color="auto" w:fill="FFFFFF" w:themeFill="background1"/>
            <w:noWrap/>
            <w:hideMark/>
          </w:tcPr>
          <w:p w:rsidR="002C7704" w:rsidRPr="005575E6" w:rsidP="005575E6">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Capital DEL</w:t>
            </w:r>
          </w:p>
        </w:tc>
        <w:tc>
          <w:tcPr>
            <w:tcW w:w="2410" w:type="dxa"/>
            <w:tcBorders>
              <w:top w:val="single" w:sz="8" w:space="0" w:color="auto"/>
              <w:left w:val="nil"/>
              <w:bottom w:val="single" w:sz="4" w:space="0" w:color="auto"/>
              <w:right w:val="single" w:sz="4" w:space="0" w:color="auto"/>
            </w:tcBorders>
            <w:shd w:val="clear" w:color="auto" w:fill="FFFFFF" w:themeFill="background1"/>
            <w:hideMark/>
          </w:tcPr>
          <w:p w:rsidR="002C7704" w:rsidRPr="005575E6" w:rsidP="005575E6">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 </w:t>
            </w:r>
          </w:p>
        </w:tc>
        <w:tc>
          <w:tcPr>
            <w:tcW w:w="1464" w:type="dxa"/>
            <w:tcBorders>
              <w:top w:val="single" w:sz="8" w:space="0" w:color="auto"/>
              <w:left w:val="nil"/>
              <w:bottom w:val="single" w:sz="4" w:space="0" w:color="auto"/>
              <w:right w:val="single" w:sz="4" w:space="0" w:color="auto"/>
            </w:tcBorders>
            <w:shd w:val="clear" w:color="auto" w:fill="FFFFFF" w:themeFill="background1"/>
            <w:hideMark/>
          </w:tcPr>
          <w:p w:rsidR="002C7704" w:rsidRPr="005575E6" w:rsidP="005575E6">
            <w:pPr>
              <w:spacing w:after="0" w:line="240" w:lineRule="auto"/>
              <w:jc w:val="center"/>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Main</w:t>
            </w:r>
            <w:r>
              <w:rPr>
                <w:rFonts w:ascii="Calibri" w:eastAsia="Times New Roman" w:hAnsi="Calibri" w:cs="Calibri"/>
                <w:b/>
                <w:bCs/>
                <w:sz w:val="18"/>
                <w:szCs w:val="18"/>
                <w:lang w:eastAsia="en-GB"/>
              </w:rPr>
              <w:t xml:space="preserve"> Estimate</w:t>
            </w:r>
            <w:r w:rsidRPr="00C27462">
              <w:rPr>
                <w:rFonts w:ascii="Calibri" w:eastAsia="Times New Roman" w:hAnsi="Calibri" w:cs="Calibri"/>
                <w:b/>
                <w:bCs/>
                <w:sz w:val="18"/>
                <w:szCs w:val="18"/>
                <w:lang w:eastAsia="en-GB"/>
              </w:rPr>
              <w:t xml:space="preserve"> 202</w:t>
            </w:r>
            <w:r>
              <w:rPr>
                <w:rFonts w:ascii="Calibri" w:eastAsia="Times New Roman" w:hAnsi="Calibri" w:cs="Calibri"/>
                <w:b/>
                <w:bCs/>
                <w:sz w:val="18"/>
                <w:szCs w:val="18"/>
                <w:lang w:eastAsia="en-GB"/>
              </w:rPr>
              <w:t>3</w:t>
            </w:r>
            <w:r w:rsidRPr="00C27462">
              <w:rPr>
                <w:rFonts w:ascii="Calibri" w:eastAsia="Times New Roman" w:hAnsi="Calibri" w:cs="Calibri"/>
                <w:b/>
                <w:bCs/>
                <w:sz w:val="18"/>
                <w:szCs w:val="18"/>
                <w:lang w:eastAsia="en-GB"/>
              </w:rPr>
              <w:t>-2</w:t>
            </w:r>
            <w:r>
              <w:rPr>
                <w:rFonts w:ascii="Calibri" w:eastAsia="Times New Roman" w:hAnsi="Calibri" w:cs="Calibri"/>
                <w:b/>
                <w:bCs/>
                <w:sz w:val="18"/>
                <w:szCs w:val="18"/>
                <w:lang w:eastAsia="en-GB"/>
              </w:rPr>
              <w:t>4</w:t>
            </w:r>
          </w:p>
        </w:tc>
        <w:tc>
          <w:tcPr>
            <w:tcW w:w="1465" w:type="dxa"/>
            <w:tcBorders>
              <w:top w:val="single" w:sz="8" w:space="0" w:color="auto"/>
              <w:left w:val="nil"/>
              <w:bottom w:val="single" w:sz="4" w:space="0" w:color="auto"/>
              <w:right w:val="single" w:sz="4" w:space="0" w:color="auto"/>
            </w:tcBorders>
            <w:shd w:val="clear" w:color="auto" w:fill="FFFFFF" w:themeFill="background1"/>
            <w:hideMark/>
          </w:tcPr>
          <w:p w:rsidR="002C7704" w:rsidRPr="005575E6" w:rsidP="005575E6">
            <w:pPr>
              <w:spacing w:after="0" w:line="240" w:lineRule="auto"/>
              <w:jc w:val="center"/>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Supp</w:t>
            </w:r>
            <w:r>
              <w:rPr>
                <w:rFonts w:ascii="Calibri" w:eastAsia="Times New Roman" w:hAnsi="Calibri" w:cs="Calibri"/>
                <w:b/>
                <w:bCs/>
                <w:sz w:val="18"/>
                <w:szCs w:val="18"/>
                <w:lang w:eastAsia="en-GB"/>
              </w:rPr>
              <w:t>lementary</w:t>
            </w:r>
            <w:r w:rsidRPr="00C27462">
              <w:rPr>
                <w:rFonts w:ascii="Calibri" w:eastAsia="Times New Roman" w:hAnsi="Calibri" w:cs="Calibri"/>
                <w:b/>
                <w:bCs/>
                <w:sz w:val="18"/>
                <w:szCs w:val="18"/>
                <w:lang w:eastAsia="en-GB"/>
              </w:rPr>
              <w:t xml:space="preserve"> </w:t>
            </w:r>
            <w:r>
              <w:rPr>
                <w:rFonts w:ascii="Calibri" w:eastAsia="Times New Roman" w:hAnsi="Calibri" w:cs="Calibri"/>
                <w:b/>
                <w:bCs/>
                <w:sz w:val="18"/>
                <w:szCs w:val="18"/>
                <w:lang w:eastAsia="en-GB"/>
              </w:rPr>
              <w:t xml:space="preserve">Estimate </w:t>
            </w:r>
            <w:r w:rsidRPr="00C27462">
              <w:rPr>
                <w:rFonts w:ascii="Calibri" w:eastAsia="Times New Roman" w:hAnsi="Calibri" w:cs="Calibri"/>
                <w:b/>
                <w:bCs/>
                <w:sz w:val="18"/>
                <w:szCs w:val="18"/>
                <w:lang w:eastAsia="en-GB"/>
              </w:rPr>
              <w:t>202</w:t>
            </w:r>
            <w:r>
              <w:rPr>
                <w:rFonts w:ascii="Calibri" w:eastAsia="Times New Roman" w:hAnsi="Calibri" w:cs="Calibri"/>
                <w:b/>
                <w:bCs/>
                <w:sz w:val="18"/>
                <w:szCs w:val="18"/>
                <w:lang w:eastAsia="en-GB"/>
              </w:rPr>
              <w:t>2</w:t>
            </w:r>
            <w:r w:rsidRPr="00C27462">
              <w:rPr>
                <w:rFonts w:ascii="Calibri" w:eastAsia="Times New Roman" w:hAnsi="Calibri" w:cs="Calibri"/>
                <w:b/>
                <w:bCs/>
                <w:sz w:val="18"/>
                <w:szCs w:val="18"/>
                <w:lang w:eastAsia="en-GB"/>
              </w:rPr>
              <w:t>-2</w:t>
            </w:r>
            <w:r>
              <w:rPr>
                <w:rFonts w:ascii="Calibri" w:eastAsia="Times New Roman" w:hAnsi="Calibri" w:cs="Calibri"/>
                <w:b/>
                <w:bCs/>
                <w:sz w:val="18"/>
                <w:szCs w:val="18"/>
                <w:lang w:eastAsia="en-GB"/>
              </w:rPr>
              <w:t>3</w:t>
            </w:r>
            <w:r w:rsidRPr="00C27462">
              <w:rPr>
                <w:rFonts w:ascii="Calibri" w:eastAsia="Times New Roman" w:hAnsi="Calibri" w:cs="Calibri"/>
                <w:b/>
                <w:bCs/>
                <w:sz w:val="18"/>
                <w:szCs w:val="18"/>
                <w:lang w:eastAsia="en-GB"/>
              </w:rPr>
              <w:t xml:space="preserve"> </w:t>
            </w:r>
          </w:p>
        </w:tc>
        <w:tc>
          <w:tcPr>
            <w:tcW w:w="2314" w:type="dxa"/>
            <w:gridSpan w:val="2"/>
            <w:tcBorders>
              <w:top w:val="single" w:sz="8" w:space="0" w:color="auto"/>
              <w:left w:val="nil"/>
              <w:bottom w:val="single" w:sz="4" w:space="0" w:color="auto"/>
              <w:right w:val="single" w:sz="4" w:space="0" w:color="auto"/>
            </w:tcBorders>
            <w:shd w:val="clear" w:color="auto" w:fill="FFFFFF" w:themeFill="background1"/>
            <w:hideMark/>
          </w:tcPr>
          <w:p w:rsidR="002C7704" w:rsidRPr="005575E6" w:rsidP="005575E6">
            <w:pPr>
              <w:spacing w:after="0" w:line="240" w:lineRule="auto"/>
              <w:jc w:val="center"/>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Change from Supp</w:t>
            </w:r>
            <w:r>
              <w:rPr>
                <w:rFonts w:ascii="Calibri" w:eastAsia="Times New Roman" w:hAnsi="Calibri" w:cs="Calibri"/>
                <w:b/>
                <w:bCs/>
                <w:sz w:val="18"/>
                <w:szCs w:val="18"/>
                <w:lang w:eastAsia="en-GB"/>
              </w:rPr>
              <w:t>lementary Estimate</w:t>
            </w:r>
            <w:r w:rsidRPr="00C27462">
              <w:rPr>
                <w:rFonts w:ascii="Calibri" w:eastAsia="Times New Roman" w:hAnsi="Calibri" w:cs="Calibri"/>
                <w:b/>
                <w:bCs/>
                <w:sz w:val="18"/>
                <w:szCs w:val="18"/>
                <w:lang w:eastAsia="en-GB"/>
              </w:rPr>
              <w:t xml:space="preserve"> 202</w:t>
            </w:r>
            <w:r>
              <w:rPr>
                <w:rFonts w:ascii="Calibri" w:eastAsia="Times New Roman" w:hAnsi="Calibri" w:cs="Calibri"/>
                <w:b/>
                <w:bCs/>
                <w:sz w:val="18"/>
                <w:szCs w:val="18"/>
                <w:lang w:eastAsia="en-GB"/>
              </w:rPr>
              <w:t>2</w:t>
            </w:r>
            <w:r w:rsidR="00F021B4">
              <w:rPr>
                <w:rFonts w:ascii="Calibri" w:eastAsia="Times New Roman" w:hAnsi="Calibri" w:cs="Calibri"/>
                <w:b/>
                <w:bCs/>
                <w:sz w:val="18"/>
                <w:szCs w:val="18"/>
                <w:lang w:eastAsia="en-GB"/>
              </w:rPr>
              <w:t>-23</w:t>
            </w:r>
            <w:r w:rsidRPr="00C27462">
              <w:rPr>
                <w:rFonts w:ascii="Calibri" w:eastAsia="Times New Roman" w:hAnsi="Calibri" w:cs="Calibri"/>
                <w:b/>
                <w:bCs/>
                <w:sz w:val="18"/>
                <w:szCs w:val="18"/>
                <w:lang w:eastAsia="en-GB"/>
              </w:rPr>
              <w:t xml:space="preserve"> (decrease in brackets)</w:t>
            </w:r>
          </w:p>
        </w:tc>
        <w:tc>
          <w:tcPr>
            <w:tcW w:w="881" w:type="dxa"/>
            <w:tcBorders>
              <w:top w:val="single" w:sz="8" w:space="0" w:color="auto"/>
              <w:left w:val="nil"/>
              <w:bottom w:val="single" w:sz="4" w:space="0" w:color="auto"/>
              <w:right w:val="single" w:sz="8" w:space="0" w:color="auto"/>
            </w:tcBorders>
            <w:shd w:val="clear" w:color="auto" w:fill="FFFFFF" w:themeFill="background1"/>
            <w:hideMark/>
          </w:tcPr>
          <w:p w:rsidR="002C7704" w:rsidRPr="005575E6" w:rsidP="005575E6">
            <w:pPr>
              <w:spacing w:after="0" w:line="240" w:lineRule="auto"/>
              <w:jc w:val="center"/>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Note number</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Sub-headings</w:t>
            </w:r>
          </w:p>
        </w:tc>
        <w:tc>
          <w:tcPr>
            <w:tcW w:w="2410"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Description</w:t>
            </w:r>
          </w:p>
        </w:tc>
        <w:tc>
          <w:tcPr>
            <w:tcW w:w="1464"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849"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w:t>
            </w:r>
          </w:p>
        </w:tc>
        <w:tc>
          <w:tcPr>
            <w:tcW w:w="881" w:type="dxa"/>
            <w:tcBorders>
              <w:top w:val="nil"/>
              <w:left w:val="nil"/>
              <w:bottom w:val="single" w:sz="4" w:space="0" w:color="auto"/>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 </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A</w:t>
            </w:r>
          </w:p>
        </w:tc>
        <w:tc>
          <w:tcPr>
            <w:tcW w:w="2410"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Pr>
                <w:rFonts w:ascii="Calibri" w:hAnsi="Calibri" w:cs="Calibri"/>
                <w:sz w:val="18"/>
                <w:szCs w:val="18"/>
              </w:rPr>
              <w:t>Activities to Support all Functions</w:t>
            </w:r>
          </w:p>
        </w:tc>
        <w:tc>
          <w:tcPr>
            <w:tcW w:w="1464"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261.0</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128.0</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133.0</w:t>
            </w:r>
          </w:p>
        </w:tc>
        <w:tc>
          <w:tcPr>
            <w:tcW w:w="849"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103.9</w:t>
            </w:r>
          </w:p>
        </w:tc>
        <w:tc>
          <w:tcPr>
            <w:tcW w:w="881" w:type="dxa"/>
            <w:tcBorders>
              <w:top w:val="nil"/>
              <w:left w:val="nil"/>
              <w:bottom w:val="single" w:sz="4" w:space="0" w:color="auto"/>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r w:rsidR="008A61D2">
              <w:rPr>
                <w:rFonts w:ascii="Calibri" w:eastAsia="Times New Roman" w:hAnsi="Calibri" w:cs="Calibri"/>
                <w:sz w:val="18"/>
                <w:szCs w:val="18"/>
                <w:lang w:eastAsia="en-GB"/>
              </w:rPr>
              <w:t>4</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B</w:t>
            </w:r>
          </w:p>
        </w:tc>
        <w:tc>
          <w:tcPr>
            <w:tcW w:w="2410"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Pr>
                <w:rFonts w:ascii="Calibri" w:hAnsi="Calibri" w:cs="Calibri"/>
                <w:sz w:val="18"/>
                <w:szCs w:val="18"/>
              </w:rPr>
              <w:t>Other School Funding (Department)</w:t>
            </w:r>
          </w:p>
        </w:tc>
        <w:tc>
          <w:tcPr>
            <w:tcW w:w="1464"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1,616.1</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1,495.5</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120.6</w:t>
            </w:r>
          </w:p>
        </w:tc>
        <w:tc>
          <w:tcPr>
            <w:tcW w:w="849"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8.1</w:t>
            </w:r>
          </w:p>
        </w:tc>
        <w:tc>
          <w:tcPr>
            <w:tcW w:w="881" w:type="dxa"/>
            <w:tcBorders>
              <w:top w:val="nil"/>
              <w:left w:val="nil"/>
              <w:bottom w:val="single" w:sz="4" w:space="0" w:color="auto"/>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C</w:t>
            </w:r>
          </w:p>
        </w:tc>
        <w:tc>
          <w:tcPr>
            <w:tcW w:w="2410"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Pr>
                <w:rFonts w:ascii="Calibri" w:hAnsi="Calibri" w:cs="Calibri"/>
                <w:sz w:val="18"/>
                <w:szCs w:val="18"/>
              </w:rPr>
              <w:t>Other School Funding (ALB) (Net)</w:t>
            </w:r>
          </w:p>
        </w:tc>
        <w:tc>
          <w:tcPr>
            <w:tcW w:w="1464"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(9.2)</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(11.9)</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2.7</w:t>
            </w:r>
          </w:p>
        </w:tc>
        <w:tc>
          <w:tcPr>
            <w:tcW w:w="849"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23.0</w:t>
            </w:r>
          </w:p>
        </w:tc>
        <w:tc>
          <w:tcPr>
            <w:tcW w:w="881" w:type="dxa"/>
            <w:tcBorders>
              <w:top w:val="nil"/>
              <w:left w:val="nil"/>
              <w:bottom w:val="single" w:sz="4" w:space="0" w:color="auto"/>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D</w:t>
            </w:r>
          </w:p>
        </w:tc>
        <w:tc>
          <w:tcPr>
            <w:tcW w:w="2410"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Pr>
                <w:rFonts w:ascii="Calibri" w:hAnsi="Calibri" w:cs="Calibri"/>
                <w:sz w:val="18"/>
                <w:szCs w:val="18"/>
              </w:rPr>
              <w:t>Families and Children</w:t>
            </w:r>
            <w:r w:rsidR="00C83AC6">
              <w:rPr>
                <w:rFonts w:ascii="Calibri" w:hAnsi="Calibri" w:cs="Calibri"/>
                <w:sz w:val="18"/>
                <w:szCs w:val="18"/>
              </w:rPr>
              <w:t>’s</w:t>
            </w:r>
            <w:r>
              <w:rPr>
                <w:rFonts w:ascii="Calibri" w:hAnsi="Calibri" w:cs="Calibri"/>
                <w:sz w:val="18"/>
                <w:szCs w:val="18"/>
              </w:rPr>
              <w:t xml:space="preserve"> Services (Department)</w:t>
            </w:r>
          </w:p>
        </w:tc>
        <w:tc>
          <w:tcPr>
            <w:tcW w:w="1464"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102.4</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63.5</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38.9</w:t>
            </w:r>
          </w:p>
        </w:tc>
        <w:tc>
          <w:tcPr>
            <w:tcW w:w="849"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61.3</w:t>
            </w:r>
          </w:p>
        </w:tc>
        <w:tc>
          <w:tcPr>
            <w:tcW w:w="881" w:type="dxa"/>
            <w:tcBorders>
              <w:top w:val="nil"/>
              <w:left w:val="nil"/>
              <w:bottom w:val="single" w:sz="4" w:space="0" w:color="auto"/>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E</w:t>
            </w:r>
          </w:p>
        </w:tc>
        <w:tc>
          <w:tcPr>
            <w:tcW w:w="2410"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Pr>
                <w:rFonts w:ascii="Calibri" w:hAnsi="Calibri" w:cs="Calibri"/>
                <w:sz w:val="18"/>
                <w:szCs w:val="18"/>
              </w:rPr>
              <w:t>Families and Children</w:t>
            </w:r>
            <w:r w:rsidR="00C83AC6">
              <w:rPr>
                <w:rFonts w:ascii="Calibri" w:hAnsi="Calibri" w:cs="Calibri"/>
                <w:sz w:val="18"/>
                <w:szCs w:val="18"/>
              </w:rPr>
              <w:t>’s</w:t>
            </w:r>
            <w:r>
              <w:rPr>
                <w:rFonts w:ascii="Calibri" w:hAnsi="Calibri" w:cs="Calibri"/>
                <w:sz w:val="18"/>
                <w:szCs w:val="18"/>
              </w:rPr>
              <w:t xml:space="preserve"> Services (ALB) (Net)</w:t>
            </w:r>
          </w:p>
        </w:tc>
        <w:tc>
          <w:tcPr>
            <w:tcW w:w="1464"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2.2</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2.8</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(0.6)</w:t>
            </w:r>
          </w:p>
        </w:tc>
        <w:tc>
          <w:tcPr>
            <w:tcW w:w="849"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(20.9)</w:t>
            </w:r>
          </w:p>
        </w:tc>
        <w:tc>
          <w:tcPr>
            <w:tcW w:w="881" w:type="dxa"/>
            <w:tcBorders>
              <w:top w:val="nil"/>
              <w:left w:val="nil"/>
              <w:bottom w:val="single" w:sz="4" w:space="0" w:color="auto"/>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F</w:t>
            </w:r>
          </w:p>
        </w:tc>
        <w:tc>
          <w:tcPr>
            <w:tcW w:w="2410"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Pr>
                <w:rFonts w:ascii="Calibri" w:hAnsi="Calibri" w:cs="Calibri"/>
                <w:sz w:val="18"/>
                <w:szCs w:val="18"/>
              </w:rPr>
              <w:t>Standards and Testing Agency</w:t>
            </w:r>
          </w:p>
        </w:tc>
        <w:tc>
          <w:tcPr>
            <w:tcW w:w="1464"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4.8</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4.1</w:t>
            </w:r>
          </w:p>
        </w:tc>
        <w:tc>
          <w:tcPr>
            <w:tcW w:w="1465"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0.6</w:t>
            </w:r>
          </w:p>
        </w:tc>
        <w:tc>
          <w:tcPr>
            <w:tcW w:w="849" w:type="dxa"/>
            <w:tcBorders>
              <w:top w:val="nil"/>
              <w:left w:val="nil"/>
              <w:bottom w:val="single" w:sz="4"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15.0</w:t>
            </w:r>
          </w:p>
        </w:tc>
        <w:tc>
          <w:tcPr>
            <w:tcW w:w="881" w:type="dxa"/>
            <w:tcBorders>
              <w:top w:val="nil"/>
              <w:left w:val="nil"/>
              <w:bottom w:val="single" w:sz="4" w:space="0" w:color="auto"/>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r w:rsidTr="002C7704">
        <w:tblPrEx>
          <w:tblW w:w="9800" w:type="dxa"/>
          <w:tblLook w:val="04A0"/>
        </w:tblPrEx>
        <w:trPr>
          <w:trHeight w:val="57"/>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H</w:t>
            </w:r>
          </w:p>
        </w:tc>
        <w:tc>
          <w:tcPr>
            <w:tcW w:w="2410" w:type="dxa"/>
            <w:tcBorders>
              <w:top w:val="nil"/>
              <w:left w:val="nil"/>
              <w:bottom w:val="single" w:sz="4" w:space="0" w:color="auto"/>
              <w:right w:val="single" w:sz="4" w:space="0" w:color="auto"/>
            </w:tcBorders>
            <w:shd w:val="clear" w:color="auto" w:fill="FFFFFF" w:themeFill="background1"/>
          </w:tcPr>
          <w:p w:rsidR="00F62C77" w:rsidRPr="005575E6" w:rsidP="00F62C77">
            <w:pPr>
              <w:spacing w:after="0" w:line="240" w:lineRule="auto"/>
              <w:rPr>
                <w:rFonts w:ascii="Calibri" w:eastAsia="Times New Roman" w:hAnsi="Calibri" w:cs="Calibri"/>
                <w:sz w:val="18"/>
                <w:szCs w:val="18"/>
                <w:lang w:eastAsia="en-GB"/>
              </w:rPr>
            </w:pPr>
            <w:r>
              <w:rPr>
                <w:rFonts w:ascii="Calibri" w:hAnsi="Calibri" w:cs="Calibri"/>
                <w:sz w:val="18"/>
                <w:szCs w:val="18"/>
              </w:rPr>
              <w:t>Education and Skills Funding Agency (ESFA)</w:t>
            </w:r>
          </w:p>
        </w:tc>
        <w:tc>
          <w:tcPr>
            <w:tcW w:w="1464"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17.6</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7.1</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10.5</w:t>
            </w:r>
          </w:p>
        </w:tc>
        <w:tc>
          <w:tcPr>
            <w:tcW w:w="849"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148.2</w:t>
            </w:r>
          </w:p>
        </w:tc>
        <w:tc>
          <w:tcPr>
            <w:tcW w:w="881" w:type="dxa"/>
            <w:tcBorders>
              <w:top w:val="nil"/>
              <w:left w:val="nil"/>
              <w:bottom w:val="single" w:sz="4" w:space="0" w:color="auto"/>
              <w:right w:val="single" w:sz="8" w:space="0" w:color="auto"/>
            </w:tcBorders>
            <w:shd w:val="clear" w:color="auto" w:fill="FFFFFF" w:themeFill="background1"/>
            <w:hideMark/>
          </w:tcPr>
          <w:p w:rsidR="00F62C77" w:rsidRPr="005575E6" w:rsidP="00F62C77">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r>
              <w:rPr>
                <w:rFonts w:ascii="Calibri" w:eastAsia="Times New Roman" w:hAnsi="Calibri" w:cs="Calibri"/>
                <w:sz w:val="18"/>
                <w:szCs w:val="18"/>
                <w:lang w:eastAsia="en-GB"/>
              </w:rPr>
              <w:t>6</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I</w:t>
            </w:r>
          </w:p>
        </w:tc>
        <w:tc>
          <w:tcPr>
            <w:tcW w:w="2410"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Pr>
                <w:rFonts w:ascii="Calibri" w:hAnsi="Calibri" w:cs="Calibri"/>
                <w:sz w:val="18"/>
                <w:szCs w:val="18"/>
              </w:rPr>
              <w:t>Apprenticeships</w:t>
            </w:r>
          </w:p>
        </w:tc>
        <w:tc>
          <w:tcPr>
            <w:tcW w:w="1464"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5.0</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5.0</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0.0</w:t>
            </w:r>
          </w:p>
        </w:tc>
        <w:tc>
          <w:tcPr>
            <w:tcW w:w="849"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0.0</w:t>
            </w:r>
          </w:p>
        </w:tc>
        <w:tc>
          <w:tcPr>
            <w:tcW w:w="881" w:type="dxa"/>
            <w:tcBorders>
              <w:top w:val="nil"/>
              <w:left w:val="nil"/>
              <w:bottom w:val="single" w:sz="4" w:space="0" w:color="auto"/>
              <w:right w:val="single" w:sz="8" w:space="0" w:color="auto"/>
            </w:tcBorders>
            <w:shd w:val="clear" w:color="auto" w:fill="FFFFFF" w:themeFill="background1"/>
            <w:hideMark/>
          </w:tcPr>
          <w:p w:rsidR="00F62C77" w:rsidRPr="005575E6" w:rsidP="00F62C77">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J</w:t>
            </w:r>
          </w:p>
        </w:tc>
        <w:tc>
          <w:tcPr>
            <w:tcW w:w="2410"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Pr>
                <w:rFonts w:ascii="Calibri" w:hAnsi="Calibri" w:cs="Calibri"/>
                <w:sz w:val="18"/>
                <w:szCs w:val="18"/>
              </w:rPr>
              <w:t xml:space="preserve">Grants to LA Schools </w:t>
            </w:r>
          </w:p>
        </w:tc>
        <w:tc>
          <w:tcPr>
            <w:tcW w:w="1464"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2,343.5</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2,549.8</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(206.2)</w:t>
            </w:r>
          </w:p>
        </w:tc>
        <w:tc>
          <w:tcPr>
            <w:tcW w:w="849"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(8.1)</w:t>
            </w:r>
          </w:p>
        </w:tc>
        <w:tc>
          <w:tcPr>
            <w:tcW w:w="881" w:type="dxa"/>
            <w:tcBorders>
              <w:top w:val="nil"/>
              <w:left w:val="nil"/>
              <w:bottom w:val="single" w:sz="4" w:space="0" w:color="auto"/>
              <w:right w:val="single" w:sz="8" w:space="0" w:color="auto"/>
            </w:tcBorders>
            <w:shd w:val="clear" w:color="auto" w:fill="FFFFFF" w:themeFill="background1"/>
            <w:hideMark/>
          </w:tcPr>
          <w:p w:rsidR="00F62C77" w:rsidRPr="005575E6" w:rsidP="00F62C77">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K</w:t>
            </w:r>
          </w:p>
        </w:tc>
        <w:tc>
          <w:tcPr>
            <w:tcW w:w="2410"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Pr>
                <w:rFonts w:ascii="Calibri" w:hAnsi="Calibri" w:cs="Calibri"/>
                <w:sz w:val="18"/>
                <w:szCs w:val="18"/>
              </w:rPr>
              <w:t xml:space="preserve">Grants to Academies </w:t>
            </w:r>
          </w:p>
        </w:tc>
        <w:tc>
          <w:tcPr>
            <w:tcW w:w="1464"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1,175.1</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1,318.6</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(143.5)</w:t>
            </w:r>
          </w:p>
        </w:tc>
        <w:tc>
          <w:tcPr>
            <w:tcW w:w="849"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(10.9)</w:t>
            </w:r>
          </w:p>
        </w:tc>
        <w:tc>
          <w:tcPr>
            <w:tcW w:w="881" w:type="dxa"/>
            <w:tcBorders>
              <w:top w:val="nil"/>
              <w:left w:val="nil"/>
              <w:bottom w:val="single" w:sz="4" w:space="0" w:color="auto"/>
              <w:right w:val="single" w:sz="8" w:space="0" w:color="auto"/>
            </w:tcBorders>
            <w:shd w:val="clear" w:color="auto" w:fill="FFFFFF" w:themeFill="background1"/>
            <w:hideMark/>
          </w:tcPr>
          <w:p w:rsidR="00F62C77" w:rsidRPr="005575E6" w:rsidP="00F62C77">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r>
              <w:rPr>
                <w:rFonts w:ascii="Calibri" w:eastAsia="Times New Roman" w:hAnsi="Calibri" w:cs="Calibri"/>
                <w:sz w:val="18"/>
                <w:szCs w:val="18"/>
                <w:lang w:eastAsia="en-GB"/>
              </w:rPr>
              <w:t>7</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L</w:t>
            </w:r>
          </w:p>
        </w:tc>
        <w:tc>
          <w:tcPr>
            <w:tcW w:w="2410"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Pr>
                <w:rFonts w:ascii="Calibri" w:hAnsi="Calibri" w:cs="Calibri"/>
                <w:sz w:val="18"/>
                <w:szCs w:val="18"/>
              </w:rPr>
              <w:t>Higher Education</w:t>
            </w:r>
          </w:p>
        </w:tc>
        <w:tc>
          <w:tcPr>
            <w:tcW w:w="1464"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16.1</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21.2</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(5.1)</w:t>
            </w:r>
          </w:p>
        </w:tc>
        <w:tc>
          <w:tcPr>
            <w:tcW w:w="849"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(24.1)</w:t>
            </w:r>
          </w:p>
        </w:tc>
        <w:tc>
          <w:tcPr>
            <w:tcW w:w="881" w:type="dxa"/>
            <w:tcBorders>
              <w:top w:val="nil"/>
              <w:left w:val="nil"/>
              <w:bottom w:val="single" w:sz="4" w:space="0" w:color="auto"/>
              <w:right w:val="single" w:sz="8" w:space="0" w:color="auto"/>
            </w:tcBorders>
            <w:shd w:val="clear" w:color="auto" w:fill="FFFFFF" w:themeFill="background1"/>
            <w:hideMark/>
          </w:tcPr>
          <w:p w:rsidR="00F62C77" w:rsidRPr="005575E6" w:rsidP="00F62C77">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nil"/>
              <w:left w:val="single" w:sz="8" w:space="0" w:color="auto"/>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bookmarkStart w:id="13" w:name="_Hlk132619141"/>
            <w:r w:rsidRPr="005575E6">
              <w:rPr>
                <w:rFonts w:ascii="Calibri" w:eastAsia="Times New Roman" w:hAnsi="Calibri" w:cs="Calibri"/>
                <w:sz w:val="18"/>
                <w:szCs w:val="18"/>
                <w:lang w:eastAsia="en-GB"/>
              </w:rPr>
              <w:t>M</w:t>
            </w:r>
          </w:p>
        </w:tc>
        <w:tc>
          <w:tcPr>
            <w:tcW w:w="2410"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Pr>
                <w:rFonts w:ascii="Calibri" w:hAnsi="Calibri" w:cs="Calibri"/>
                <w:sz w:val="18"/>
                <w:szCs w:val="18"/>
              </w:rPr>
              <w:t>Further Education</w:t>
            </w:r>
          </w:p>
        </w:tc>
        <w:tc>
          <w:tcPr>
            <w:tcW w:w="1464"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1,206.1</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541.1</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9D697C">
            <w:pPr>
              <w:tabs>
                <w:tab w:val="center" w:pos="481"/>
                <w:tab w:val="right" w:pos="963"/>
              </w:tabs>
              <w:spacing w:after="0" w:line="240" w:lineRule="auto"/>
              <w:jc w:val="right"/>
              <w:rPr>
                <w:rFonts w:ascii="Calibri" w:eastAsia="Times New Roman" w:hAnsi="Calibri" w:cs="Calibri"/>
                <w:sz w:val="18"/>
                <w:szCs w:val="18"/>
                <w:lang w:eastAsia="en-GB"/>
              </w:rPr>
            </w:pPr>
            <w:r>
              <w:rPr>
                <w:rFonts w:ascii="Calibri" w:eastAsia="Times New Roman" w:hAnsi="Calibri" w:cs="Calibri"/>
                <w:sz w:val="18"/>
                <w:szCs w:val="18"/>
                <w:lang w:eastAsia="en-GB"/>
              </w:rPr>
              <w:tab/>
            </w:r>
            <w:r>
              <w:rPr>
                <w:rFonts w:ascii="Calibri" w:eastAsia="Times New Roman" w:hAnsi="Calibri" w:cs="Calibri"/>
                <w:sz w:val="18"/>
                <w:szCs w:val="18"/>
                <w:lang w:eastAsia="en-GB"/>
              </w:rPr>
              <w:tab/>
            </w:r>
            <w:r w:rsidRPr="005575E6">
              <w:rPr>
                <w:rFonts w:ascii="Calibri" w:eastAsia="Times New Roman" w:hAnsi="Calibri" w:cs="Calibri"/>
                <w:sz w:val="18"/>
                <w:szCs w:val="18"/>
                <w:lang w:eastAsia="en-GB"/>
              </w:rPr>
              <w:t>665.0</w:t>
            </w:r>
          </w:p>
        </w:tc>
        <w:tc>
          <w:tcPr>
            <w:tcW w:w="849"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122.9</w:t>
            </w:r>
          </w:p>
        </w:tc>
        <w:tc>
          <w:tcPr>
            <w:tcW w:w="881" w:type="dxa"/>
            <w:tcBorders>
              <w:top w:val="nil"/>
              <w:left w:val="nil"/>
              <w:bottom w:val="single" w:sz="4" w:space="0" w:color="auto"/>
              <w:right w:val="single" w:sz="8" w:space="0" w:color="auto"/>
            </w:tcBorders>
            <w:shd w:val="clear" w:color="auto" w:fill="FFFFFF" w:themeFill="background1"/>
            <w:hideMark/>
          </w:tcPr>
          <w:p w:rsidR="00F62C77" w:rsidRPr="005575E6" w:rsidP="00F62C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8</w:t>
            </w:r>
          </w:p>
        </w:tc>
      </w:tr>
      <w:tr w:rsidTr="002C7704">
        <w:tblPrEx>
          <w:tblW w:w="9800" w:type="dxa"/>
          <w:tblLook w:val="04A0"/>
        </w:tblPrEx>
        <w:trPr>
          <w:trHeight w:val="283"/>
        </w:trPr>
        <w:tc>
          <w:tcPr>
            <w:tcW w:w="1266" w:type="dxa"/>
            <w:tcBorders>
              <w:top w:val="nil"/>
              <w:left w:val="single" w:sz="8" w:space="0" w:color="auto"/>
              <w:bottom w:val="nil"/>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bookmarkEnd w:id="13"/>
            <w:r w:rsidRPr="005575E6">
              <w:rPr>
                <w:rFonts w:ascii="Calibri" w:eastAsia="Times New Roman" w:hAnsi="Calibri" w:cs="Calibri"/>
                <w:sz w:val="18"/>
                <w:szCs w:val="18"/>
                <w:lang w:eastAsia="en-GB"/>
              </w:rPr>
              <w:t>N</w:t>
            </w:r>
          </w:p>
        </w:tc>
        <w:tc>
          <w:tcPr>
            <w:tcW w:w="2410"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rPr>
                <w:rFonts w:ascii="Calibri" w:eastAsia="Times New Roman" w:hAnsi="Calibri" w:cs="Calibri"/>
                <w:sz w:val="18"/>
                <w:szCs w:val="18"/>
                <w:lang w:eastAsia="en-GB"/>
              </w:rPr>
            </w:pPr>
            <w:r>
              <w:rPr>
                <w:rFonts w:ascii="Calibri" w:hAnsi="Calibri" w:cs="Calibri"/>
                <w:sz w:val="18"/>
                <w:szCs w:val="18"/>
              </w:rPr>
              <w:t>Higher Education (ALB) (net)</w:t>
            </w:r>
          </w:p>
        </w:tc>
        <w:tc>
          <w:tcPr>
            <w:tcW w:w="1464"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295.3</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142.1</w:t>
            </w:r>
          </w:p>
        </w:tc>
        <w:tc>
          <w:tcPr>
            <w:tcW w:w="1465"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153.2</w:t>
            </w:r>
          </w:p>
        </w:tc>
        <w:tc>
          <w:tcPr>
            <w:tcW w:w="849" w:type="dxa"/>
            <w:tcBorders>
              <w:top w:val="nil"/>
              <w:left w:val="nil"/>
              <w:bottom w:val="single" w:sz="4" w:space="0" w:color="auto"/>
              <w:right w:val="single" w:sz="4" w:space="0" w:color="auto"/>
            </w:tcBorders>
            <w:shd w:val="clear" w:color="auto" w:fill="FFFFFF" w:themeFill="background1"/>
            <w:hideMark/>
          </w:tcPr>
          <w:p w:rsidR="00F62C77" w:rsidRPr="005575E6" w:rsidP="00F62C77">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107.8</w:t>
            </w:r>
          </w:p>
        </w:tc>
        <w:tc>
          <w:tcPr>
            <w:tcW w:w="881" w:type="dxa"/>
            <w:tcBorders>
              <w:top w:val="nil"/>
              <w:left w:val="nil"/>
              <w:bottom w:val="single" w:sz="4" w:space="0" w:color="auto"/>
              <w:right w:val="single" w:sz="8" w:space="0" w:color="auto"/>
            </w:tcBorders>
            <w:shd w:val="clear" w:color="auto" w:fill="FFFFFF" w:themeFill="background1"/>
            <w:hideMark/>
          </w:tcPr>
          <w:p w:rsidR="00F62C77" w:rsidRPr="005575E6" w:rsidP="00F62C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9</w:t>
            </w: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single" w:sz="4" w:space="0" w:color="auto"/>
              <w:left w:val="single" w:sz="8" w:space="0" w:color="auto"/>
              <w:bottom w:val="nil"/>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O</w:t>
            </w:r>
          </w:p>
        </w:tc>
        <w:tc>
          <w:tcPr>
            <w:tcW w:w="2410" w:type="dxa"/>
            <w:tcBorders>
              <w:top w:val="nil"/>
              <w:left w:val="nil"/>
              <w:bottom w:val="nil"/>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sz w:val="18"/>
                <w:szCs w:val="18"/>
                <w:lang w:eastAsia="en-GB"/>
              </w:rPr>
            </w:pPr>
            <w:r>
              <w:rPr>
                <w:rFonts w:ascii="Calibri" w:hAnsi="Calibri" w:cs="Calibri"/>
                <w:sz w:val="18"/>
                <w:szCs w:val="18"/>
              </w:rPr>
              <w:t xml:space="preserve">Further </w:t>
            </w:r>
            <w:r>
              <w:rPr>
                <w:rFonts w:ascii="Calibri" w:hAnsi="Calibri" w:cs="Calibri"/>
                <w:sz w:val="18"/>
                <w:szCs w:val="18"/>
              </w:rPr>
              <w:t>Education (ALB) (net)</w:t>
            </w:r>
          </w:p>
        </w:tc>
        <w:tc>
          <w:tcPr>
            <w:tcW w:w="1464" w:type="dxa"/>
            <w:tcBorders>
              <w:top w:val="nil"/>
              <w:left w:val="nil"/>
              <w:bottom w:val="nil"/>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1.9</w:t>
            </w:r>
          </w:p>
        </w:tc>
        <w:tc>
          <w:tcPr>
            <w:tcW w:w="1465" w:type="dxa"/>
            <w:tcBorders>
              <w:top w:val="nil"/>
              <w:left w:val="nil"/>
              <w:bottom w:val="nil"/>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1.9</w:t>
            </w:r>
          </w:p>
        </w:tc>
        <w:tc>
          <w:tcPr>
            <w:tcW w:w="1465" w:type="dxa"/>
            <w:tcBorders>
              <w:top w:val="nil"/>
              <w:left w:val="nil"/>
              <w:bottom w:val="nil"/>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0.0</w:t>
            </w:r>
          </w:p>
        </w:tc>
        <w:tc>
          <w:tcPr>
            <w:tcW w:w="849" w:type="dxa"/>
            <w:tcBorders>
              <w:top w:val="nil"/>
              <w:left w:val="nil"/>
              <w:bottom w:val="nil"/>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0.2</w:t>
            </w:r>
          </w:p>
        </w:tc>
        <w:tc>
          <w:tcPr>
            <w:tcW w:w="881" w:type="dxa"/>
            <w:tcBorders>
              <w:top w:val="nil"/>
              <w:left w:val="nil"/>
              <w:bottom w:val="nil"/>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r w:rsidTr="002C7704">
        <w:tblPrEx>
          <w:tblW w:w="9800" w:type="dxa"/>
          <w:tblLook w:val="04A0"/>
        </w:tblPrEx>
        <w:trPr>
          <w:trHeight w:val="283"/>
        </w:trPr>
        <w:tc>
          <w:tcPr>
            <w:tcW w:w="1266" w:type="dxa"/>
            <w:tcBorders>
              <w:top w:val="single" w:sz="8" w:space="0" w:color="auto"/>
              <w:left w:val="single" w:sz="8" w:space="0" w:color="auto"/>
              <w:bottom w:val="single" w:sz="8"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 </w:t>
            </w:r>
          </w:p>
        </w:tc>
        <w:tc>
          <w:tcPr>
            <w:tcW w:w="2410" w:type="dxa"/>
            <w:tcBorders>
              <w:top w:val="single" w:sz="8" w:space="0" w:color="auto"/>
              <w:left w:val="nil"/>
              <w:bottom w:val="single" w:sz="8" w:space="0" w:color="auto"/>
              <w:right w:val="single" w:sz="4" w:space="0" w:color="auto"/>
            </w:tcBorders>
            <w:shd w:val="clear" w:color="auto" w:fill="FFFFFF" w:themeFill="background1"/>
            <w:hideMark/>
          </w:tcPr>
          <w:p w:rsidR="005575E6" w:rsidRPr="005575E6" w:rsidP="005575E6">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Total Capital DEL</w:t>
            </w:r>
          </w:p>
        </w:tc>
        <w:tc>
          <w:tcPr>
            <w:tcW w:w="1464" w:type="dxa"/>
            <w:tcBorders>
              <w:top w:val="single" w:sz="8" w:space="0" w:color="auto"/>
              <w:left w:val="nil"/>
              <w:bottom w:val="single" w:sz="8"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7,037.9</w:t>
            </w:r>
          </w:p>
        </w:tc>
        <w:tc>
          <w:tcPr>
            <w:tcW w:w="1465" w:type="dxa"/>
            <w:tcBorders>
              <w:top w:val="single" w:sz="8" w:space="0" w:color="auto"/>
              <w:left w:val="nil"/>
              <w:bottom w:val="single" w:sz="8"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6,268.7</w:t>
            </w:r>
          </w:p>
        </w:tc>
        <w:tc>
          <w:tcPr>
            <w:tcW w:w="1465" w:type="dxa"/>
            <w:tcBorders>
              <w:top w:val="single" w:sz="8" w:space="0" w:color="auto"/>
              <w:left w:val="nil"/>
              <w:bottom w:val="single" w:sz="8"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769.2</w:t>
            </w:r>
          </w:p>
        </w:tc>
        <w:tc>
          <w:tcPr>
            <w:tcW w:w="849" w:type="dxa"/>
            <w:tcBorders>
              <w:top w:val="single" w:sz="8" w:space="0" w:color="auto"/>
              <w:left w:val="nil"/>
              <w:bottom w:val="single" w:sz="8" w:space="0" w:color="auto"/>
              <w:right w:val="single" w:sz="4" w:space="0" w:color="auto"/>
            </w:tcBorders>
            <w:shd w:val="clear" w:color="auto" w:fill="FFFFFF" w:themeFill="background1"/>
            <w:hideMark/>
          </w:tcPr>
          <w:p w:rsidR="005575E6" w:rsidRPr="005575E6" w:rsidP="005575E6">
            <w:pPr>
              <w:spacing w:after="0" w:line="240" w:lineRule="auto"/>
              <w:jc w:val="right"/>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12.3</w:t>
            </w:r>
          </w:p>
        </w:tc>
        <w:tc>
          <w:tcPr>
            <w:tcW w:w="881" w:type="dxa"/>
            <w:tcBorders>
              <w:top w:val="single" w:sz="8" w:space="0" w:color="auto"/>
              <w:left w:val="nil"/>
              <w:bottom w:val="single" w:sz="8" w:space="0" w:color="auto"/>
              <w:right w:val="single" w:sz="8" w:space="0" w:color="auto"/>
            </w:tcBorders>
            <w:shd w:val="clear" w:color="auto" w:fill="FFFFFF" w:themeFill="background1"/>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r>
    </w:tbl>
    <w:p w:rsidR="00885D7C" w:rsidP="005E70BA">
      <w:pPr>
        <w:jc w:val="both"/>
      </w:pPr>
    </w:p>
    <w:p w:rsidR="00D3272A" w:rsidP="005E70BA">
      <w:pPr>
        <w:jc w:val="both"/>
      </w:pPr>
      <w:r w:rsidRPr="00EE266D">
        <w:t>Differences of more than 10% which are more than £10 million are explained below.</w:t>
      </w:r>
    </w:p>
    <w:p w:rsidR="00740631" w:rsidP="005E70BA">
      <w:pPr>
        <w:jc w:val="both"/>
      </w:pPr>
    </w:p>
    <w:p w:rsidR="00277716" w:rsidP="005160E7">
      <w:pPr>
        <w:pStyle w:val="Heading5"/>
        <w:numPr>
          <w:ilvl w:val="0"/>
          <w:numId w:val="4"/>
        </w:numPr>
        <w:ind w:left="714" w:hanging="357"/>
        <w:jc w:val="both"/>
        <w:rPr>
          <w:rFonts w:ascii="Calibri" w:eastAsia="Times New Roman" w:hAnsi="Calibri" w:cs="Calibri"/>
        </w:rPr>
      </w:pPr>
      <w:bookmarkStart w:id="14" w:name="_Hlk100330592"/>
      <w:r>
        <w:rPr>
          <w:rFonts w:ascii="Calibri" w:eastAsia="Times New Roman" w:hAnsi="Calibri" w:cs="Calibri"/>
        </w:rPr>
        <w:t xml:space="preserve">Activities to </w:t>
      </w:r>
      <w:r w:rsidRPr="005160E7">
        <w:rPr>
          <w:rFonts w:asciiTheme="minorHAnsi" w:hAnsiTheme="minorHAnsi" w:cstheme="minorHAnsi"/>
        </w:rPr>
        <w:t>Support</w:t>
      </w:r>
      <w:r>
        <w:rPr>
          <w:rFonts w:ascii="Calibri" w:eastAsia="Times New Roman" w:hAnsi="Calibri" w:cs="Calibri"/>
        </w:rPr>
        <w:t xml:space="preserve"> all Functions </w:t>
      </w:r>
    </w:p>
    <w:p w:rsidR="00277716" w:rsidP="00277716">
      <w:pPr>
        <w:ind w:left="720"/>
        <w:rPr>
          <w:rFonts w:ascii="Calibri" w:hAnsi="Calibri" w:eastAsiaTheme="minorHAnsi" w:cs="Calibri"/>
        </w:rPr>
      </w:pPr>
      <w:r>
        <w:t xml:space="preserve">The </w:t>
      </w:r>
      <w:r w:rsidRPr="001431DA">
        <w:t xml:space="preserve">budget for this sub-head has </w:t>
      </w:r>
      <w:r>
        <w:t>increased</w:t>
      </w:r>
      <w:r w:rsidRPr="001431DA">
        <w:t xml:space="preserve"> by £</w:t>
      </w:r>
      <w:r w:rsidR="00BA35E7">
        <w:t>133</w:t>
      </w:r>
      <w:r>
        <w:t>.</w:t>
      </w:r>
      <w:r w:rsidR="00BA35E7">
        <w:t xml:space="preserve">0 </w:t>
      </w:r>
      <w:r w:rsidRPr="001431DA">
        <w:t>m</w:t>
      </w:r>
      <w:r>
        <w:t>illion</w:t>
      </w:r>
      <w:r w:rsidRPr="001431DA">
        <w:t xml:space="preserve"> from £</w:t>
      </w:r>
      <w:r w:rsidR="00BA35E7">
        <w:t>128.0</w:t>
      </w:r>
      <w:r>
        <w:t xml:space="preserve"> </w:t>
      </w:r>
      <w:r w:rsidRPr="001431DA">
        <w:t xml:space="preserve">million in the </w:t>
      </w:r>
      <w:r w:rsidRPr="001431DA" w:rsidR="004C620A">
        <w:t>202</w:t>
      </w:r>
      <w:r w:rsidR="004C620A">
        <w:t>2</w:t>
      </w:r>
      <w:r w:rsidRPr="001431DA">
        <w:t>-2</w:t>
      </w:r>
      <w:r w:rsidR="004C620A">
        <w:t>3</w:t>
      </w:r>
      <w:r w:rsidRPr="001431DA">
        <w:t xml:space="preserve"> Supplementary Estimate to £</w:t>
      </w:r>
      <w:r w:rsidR="00BA35E7">
        <w:t>261.0</w:t>
      </w:r>
      <w:r>
        <w:t xml:space="preserve"> million.</w:t>
      </w:r>
      <w:r w:rsidRPr="00CA53A2" w:rsidR="00465EA0">
        <w:t xml:space="preserve">  The main drivers of this </w:t>
      </w:r>
      <w:r w:rsidR="00824952">
        <w:t>are</w:t>
      </w:r>
      <w:r w:rsidRPr="00CA53A2" w:rsidR="00465EA0">
        <w:t xml:space="preserve"> </w:t>
      </w:r>
      <w:r w:rsidR="00824952">
        <w:t xml:space="preserve">increases </w:t>
      </w:r>
      <w:r w:rsidRPr="00CA53A2" w:rsidR="00465EA0">
        <w:t>in our budgets for broadband and fibre</w:t>
      </w:r>
      <w:r w:rsidRPr="00CA53A2" w:rsidR="00C305DE">
        <w:t xml:space="preserve"> in </w:t>
      </w:r>
      <w:r w:rsidRPr="00CA53A2" w:rsidR="00465EA0">
        <w:t>schools, sustainability and decarbonisation.</w:t>
      </w:r>
      <w:r w:rsidR="00C305DE">
        <w:t xml:space="preserve"> </w:t>
      </w:r>
    </w:p>
    <w:p w:rsidR="00277716" w:rsidP="005160E7">
      <w:pPr>
        <w:pStyle w:val="Heading5"/>
        <w:numPr>
          <w:ilvl w:val="0"/>
          <w:numId w:val="4"/>
        </w:numPr>
        <w:ind w:left="714" w:hanging="357"/>
        <w:jc w:val="both"/>
        <w:rPr>
          <w:rFonts w:ascii="Calibri" w:eastAsia="Times New Roman" w:hAnsi="Calibri" w:cs="Calibri"/>
        </w:rPr>
      </w:pPr>
      <w:r>
        <w:rPr>
          <w:rFonts w:ascii="Calibri" w:eastAsia="Times New Roman" w:hAnsi="Calibri" w:cs="Calibri"/>
        </w:rPr>
        <w:t xml:space="preserve">Families and </w:t>
      </w:r>
      <w:r>
        <w:rPr>
          <w:rFonts w:ascii="Calibri" w:eastAsia="Times New Roman" w:hAnsi="Calibri" w:cs="Calibri"/>
        </w:rPr>
        <w:t xml:space="preserve">Children’s Services </w:t>
      </w:r>
    </w:p>
    <w:p w:rsidR="00277716" w:rsidP="00277716">
      <w:pPr>
        <w:ind w:left="720"/>
        <w:rPr>
          <w:rFonts w:ascii="Calibri" w:hAnsi="Calibri" w:eastAsiaTheme="minorHAnsi" w:cs="Calibri"/>
        </w:rPr>
      </w:pPr>
      <w:r>
        <w:t xml:space="preserve">The </w:t>
      </w:r>
      <w:r w:rsidRPr="001431DA">
        <w:t xml:space="preserve">budget for this sub-head has </w:t>
      </w:r>
      <w:r>
        <w:t>increased</w:t>
      </w:r>
      <w:r w:rsidRPr="001431DA">
        <w:t xml:space="preserve"> by £</w:t>
      </w:r>
      <w:r w:rsidR="00E11375">
        <w:t>38.9</w:t>
      </w:r>
      <w:r>
        <w:t xml:space="preserve"> </w:t>
      </w:r>
      <w:r w:rsidRPr="001431DA">
        <w:t>m</w:t>
      </w:r>
      <w:r>
        <w:t>illion</w:t>
      </w:r>
      <w:r w:rsidRPr="001431DA">
        <w:t xml:space="preserve"> from £</w:t>
      </w:r>
      <w:r w:rsidR="00E11375">
        <w:t>63.5</w:t>
      </w:r>
      <w:r>
        <w:t xml:space="preserve"> </w:t>
      </w:r>
      <w:r w:rsidRPr="001431DA">
        <w:t>million in the 202</w:t>
      </w:r>
      <w:r w:rsidR="00E11375">
        <w:t>2</w:t>
      </w:r>
      <w:r w:rsidRPr="001431DA">
        <w:t>-</w:t>
      </w:r>
      <w:r w:rsidRPr="001431DA" w:rsidR="00E11375">
        <w:t>2</w:t>
      </w:r>
      <w:r w:rsidR="00E11375">
        <w:t>3</w:t>
      </w:r>
      <w:r w:rsidRPr="001431DA" w:rsidR="00E11375">
        <w:t xml:space="preserve"> </w:t>
      </w:r>
      <w:r w:rsidRPr="001431DA">
        <w:t>Supplementary Estimate to £</w:t>
      </w:r>
      <w:r w:rsidR="00E11375">
        <w:t>102.4</w:t>
      </w:r>
      <w:r>
        <w:t xml:space="preserve"> million.</w:t>
      </w:r>
      <w:r w:rsidRPr="00E20EDD" w:rsidR="00465EA0">
        <w:t xml:space="preserve">  The main drivers of this are increases to the secure children’s homes, open residential children’s </w:t>
      </w:r>
      <w:r w:rsidRPr="00E20EDD" w:rsidR="00465EA0">
        <w:t>homes</w:t>
      </w:r>
      <w:r w:rsidRPr="00E20EDD" w:rsidR="00465EA0">
        <w:t xml:space="preserve"> and family hubs budgets, due to the delivery profiles of the programmes.</w:t>
      </w:r>
      <w:r w:rsidR="00465EA0">
        <w:t> </w:t>
      </w:r>
      <w:r>
        <w:t xml:space="preserve"> </w:t>
      </w:r>
    </w:p>
    <w:p w:rsidR="008A61D2" w:rsidP="005160E7">
      <w:pPr>
        <w:pStyle w:val="Heading5"/>
        <w:numPr>
          <w:ilvl w:val="0"/>
          <w:numId w:val="4"/>
        </w:numPr>
        <w:ind w:left="714" w:hanging="357"/>
        <w:jc w:val="both"/>
        <w:rPr>
          <w:rFonts w:ascii="Calibri" w:eastAsia="Times New Roman" w:hAnsi="Calibri" w:cs="Calibri"/>
        </w:rPr>
      </w:pPr>
      <w:r>
        <w:rPr>
          <w:rFonts w:ascii="Calibri" w:eastAsia="Times New Roman" w:hAnsi="Calibri" w:cs="Calibri"/>
        </w:rPr>
        <w:t xml:space="preserve">Education and Skills Funding </w:t>
      </w:r>
      <w:r>
        <w:rPr>
          <w:rFonts w:ascii="Calibri" w:eastAsia="Times New Roman" w:hAnsi="Calibri" w:cs="Calibri"/>
        </w:rPr>
        <w:t xml:space="preserve">Agency </w:t>
      </w:r>
    </w:p>
    <w:p w:rsidR="008A61D2" w:rsidP="00465EA0">
      <w:pPr>
        <w:ind w:left="720"/>
        <w:rPr>
          <w:rFonts w:ascii="Calibri" w:hAnsi="Calibri" w:eastAsiaTheme="minorHAnsi" w:cs="Calibri"/>
        </w:rPr>
      </w:pPr>
      <w:r>
        <w:t xml:space="preserve">The </w:t>
      </w:r>
      <w:r w:rsidRPr="001431DA">
        <w:t xml:space="preserve">budget for this sub-head has </w:t>
      </w:r>
      <w:r w:rsidRPr="00444F1F">
        <w:t>increased by £</w:t>
      </w:r>
      <w:r w:rsidRPr="00444F1F" w:rsidR="00E11375">
        <w:t>10.5</w:t>
      </w:r>
      <w:r w:rsidRPr="00444F1F">
        <w:t xml:space="preserve"> million from £</w:t>
      </w:r>
      <w:r w:rsidRPr="00444F1F" w:rsidR="00E11375">
        <w:t>7.1</w:t>
      </w:r>
      <w:r w:rsidRPr="00444F1F">
        <w:t xml:space="preserve"> million in the 202</w:t>
      </w:r>
      <w:r w:rsidRPr="00444F1F" w:rsidR="00E11375">
        <w:t>2</w:t>
      </w:r>
      <w:r w:rsidRPr="00444F1F">
        <w:t>-</w:t>
      </w:r>
      <w:r w:rsidRPr="00444F1F" w:rsidR="00E11375">
        <w:t xml:space="preserve">23 </w:t>
      </w:r>
      <w:r w:rsidRPr="00444F1F">
        <w:t>Supplementary Estimate to £</w:t>
      </w:r>
      <w:r w:rsidRPr="00444F1F" w:rsidR="00E11375">
        <w:t>17.6</w:t>
      </w:r>
      <w:r w:rsidRPr="00444F1F">
        <w:t xml:space="preserve"> million.</w:t>
      </w:r>
      <w:r w:rsidRPr="00444F1F" w:rsidR="00465EA0">
        <w:t> </w:t>
      </w:r>
      <w:r w:rsidRPr="00444F1F">
        <w:t xml:space="preserve"> The main drivers of this are increases </w:t>
      </w:r>
      <w:r w:rsidRPr="00444F1F" w:rsidR="00465EA0">
        <w:t>in data budgets</w:t>
      </w:r>
      <w:r w:rsidRPr="00444F1F">
        <w:t xml:space="preserve"> and </w:t>
      </w:r>
      <w:r w:rsidRPr="00444F1F" w:rsidR="00465EA0">
        <w:t>S</w:t>
      </w:r>
      <w:r w:rsidRPr="00444F1F" w:rsidR="00391DC1">
        <w:t xml:space="preserve">chools </w:t>
      </w:r>
      <w:r w:rsidRPr="00444F1F" w:rsidR="00465EA0">
        <w:t>R</w:t>
      </w:r>
      <w:r w:rsidRPr="00444F1F" w:rsidR="00391DC1">
        <w:t xml:space="preserve">esource </w:t>
      </w:r>
      <w:r w:rsidRPr="00444F1F" w:rsidR="00465EA0">
        <w:t>M</w:t>
      </w:r>
      <w:r w:rsidRPr="00444F1F" w:rsidR="00444F1F">
        <w:t>anagement</w:t>
      </w:r>
      <w:r w:rsidRPr="00444F1F" w:rsidR="00465EA0">
        <w:t>.</w:t>
      </w:r>
    </w:p>
    <w:p w:rsidR="00277716" w:rsidP="005160E7">
      <w:pPr>
        <w:pStyle w:val="Heading5"/>
        <w:numPr>
          <w:ilvl w:val="0"/>
          <w:numId w:val="4"/>
        </w:numPr>
        <w:ind w:left="714" w:hanging="357"/>
        <w:jc w:val="both"/>
        <w:rPr>
          <w:rFonts w:ascii="Calibri" w:eastAsia="Times New Roman" w:hAnsi="Calibri" w:cs="Calibri"/>
        </w:rPr>
      </w:pPr>
      <w:r>
        <w:rPr>
          <w:rFonts w:ascii="Calibri" w:eastAsia="Times New Roman" w:hAnsi="Calibri" w:cs="Calibri"/>
        </w:rPr>
        <w:t xml:space="preserve">Grants to </w:t>
      </w:r>
      <w:r w:rsidR="00F62C77">
        <w:rPr>
          <w:rFonts w:ascii="Calibri" w:eastAsia="Times New Roman" w:hAnsi="Calibri" w:cs="Calibri"/>
        </w:rPr>
        <w:t>Academies</w:t>
      </w:r>
      <w:r>
        <w:rPr>
          <w:rFonts w:ascii="Calibri" w:eastAsia="Times New Roman" w:hAnsi="Calibri" w:cs="Calibri"/>
        </w:rPr>
        <w:t xml:space="preserve"> </w:t>
      </w:r>
    </w:p>
    <w:p w:rsidR="00277716" w:rsidP="00277716">
      <w:pPr>
        <w:ind w:left="720"/>
        <w:rPr>
          <w:rFonts w:ascii="Calibri" w:hAnsi="Calibri" w:eastAsiaTheme="minorHAnsi" w:cs="Calibri"/>
        </w:rPr>
      </w:pPr>
      <w:r>
        <w:t xml:space="preserve">The </w:t>
      </w:r>
      <w:r w:rsidRPr="001431DA">
        <w:t xml:space="preserve">budget for this sub-head has </w:t>
      </w:r>
      <w:r w:rsidR="00E11375">
        <w:t>reduced</w:t>
      </w:r>
      <w:r w:rsidRPr="001431DA" w:rsidR="00E11375">
        <w:t xml:space="preserve"> </w:t>
      </w:r>
      <w:r w:rsidRPr="001431DA">
        <w:t>by £</w:t>
      </w:r>
      <w:r w:rsidR="00E11375">
        <w:t>143.5</w:t>
      </w:r>
      <w:r>
        <w:t xml:space="preserve"> </w:t>
      </w:r>
      <w:r w:rsidRPr="001431DA">
        <w:t>m</w:t>
      </w:r>
      <w:r>
        <w:t>illion</w:t>
      </w:r>
      <w:r w:rsidRPr="001431DA">
        <w:t xml:space="preserve"> from £</w:t>
      </w:r>
      <w:r w:rsidRPr="00E11375" w:rsidR="00E11375">
        <w:t>1,318.6</w:t>
      </w:r>
      <w:r>
        <w:t xml:space="preserve"> </w:t>
      </w:r>
      <w:r w:rsidRPr="001431DA">
        <w:t>million in the 202</w:t>
      </w:r>
      <w:r w:rsidR="00E11375">
        <w:t>2</w:t>
      </w:r>
      <w:r w:rsidRPr="001431DA">
        <w:t>-</w:t>
      </w:r>
      <w:r w:rsidRPr="001431DA" w:rsidR="00E11375">
        <w:t>2</w:t>
      </w:r>
      <w:r w:rsidR="00E11375">
        <w:t>3</w:t>
      </w:r>
      <w:r w:rsidRPr="001431DA" w:rsidR="00E11375">
        <w:t xml:space="preserve"> </w:t>
      </w:r>
      <w:r w:rsidRPr="001431DA">
        <w:t>Supplementary Estimate to £</w:t>
      </w:r>
      <w:r w:rsidRPr="00E11375" w:rsidR="00E11375">
        <w:t>1,175.1</w:t>
      </w:r>
      <w:r w:rsidR="004C620A">
        <w:t xml:space="preserve"> </w:t>
      </w:r>
      <w:r>
        <w:t>million.</w:t>
      </w:r>
      <w:r w:rsidR="00465EA0">
        <w:t xml:space="preserve">  </w:t>
      </w:r>
      <w:r w:rsidRPr="00E20EDD" w:rsidR="00465EA0">
        <w:t xml:space="preserve">The main driver of this </w:t>
      </w:r>
      <w:r w:rsidR="00D34511">
        <w:t>one-off allocation in</w:t>
      </w:r>
      <w:r w:rsidR="00BA1354">
        <w:t xml:space="preserve"> </w:t>
      </w:r>
      <w:r w:rsidRPr="00E20EDD" w:rsidR="00512621">
        <w:t xml:space="preserve">2022-23 </w:t>
      </w:r>
      <w:r w:rsidR="00B40F76">
        <w:t>is</w:t>
      </w:r>
      <w:r w:rsidRPr="00E20EDD" w:rsidR="00B40F76">
        <w:t xml:space="preserve"> </w:t>
      </w:r>
      <w:r w:rsidRPr="00E20EDD" w:rsidR="00512621">
        <w:t>energy efficiency</w:t>
      </w:r>
      <w:r w:rsidR="00512621">
        <w:t>, partially offset by</w:t>
      </w:r>
      <w:r w:rsidRPr="00E20EDD" w:rsidR="00465EA0">
        <w:t xml:space="preserve"> increases in budgets for school condition.</w:t>
      </w:r>
      <w:r w:rsidR="00465EA0">
        <w:t> </w:t>
      </w:r>
      <w:r w:rsidR="002C47D6">
        <w:t xml:space="preserve"> </w:t>
      </w:r>
    </w:p>
    <w:p w:rsidR="008A61D2" w:rsidP="005160E7">
      <w:pPr>
        <w:pStyle w:val="Heading5"/>
        <w:numPr>
          <w:ilvl w:val="0"/>
          <w:numId w:val="4"/>
        </w:numPr>
        <w:ind w:left="714" w:hanging="357"/>
        <w:jc w:val="both"/>
        <w:rPr>
          <w:rFonts w:ascii="Calibri" w:eastAsia="Times New Roman" w:hAnsi="Calibri" w:cs="Calibri"/>
        </w:rPr>
      </w:pPr>
      <w:r>
        <w:rPr>
          <w:rFonts w:ascii="Calibri" w:eastAsia="Times New Roman" w:hAnsi="Calibri" w:cs="Calibri"/>
        </w:rPr>
        <w:t xml:space="preserve">Further </w:t>
      </w:r>
      <w:r>
        <w:rPr>
          <w:rFonts w:ascii="Calibri" w:eastAsia="Times New Roman" w:hAnsi="Calibri" w:cs="Calibri"/>
        </w:rPr>
        <w:t xml:space="preserve">Education </w:t>
      </w:r>
    </w:p>
    <w:p w:rsidR="00465EA0" w:rsidP="00010BCF">
      <w:pPr>
        <w:ind w:left="720"/>
      </w:pPr>
      <w:r>
        <w:t>The budget for this sub-head has increased by £665.0 million from £541.1 million in the 2022-23 Supplementary Estimate to £1,206.1 million.  The main drivers of this are increases in the budget relating to FE reclassification and</w:t>
      </w:r>
      <w:r w:rsidR="00135616">
        <w:t xml:space="preserve"> the FE </w:t>
      </w:r>
      <w:r w:rsidR="004A44B4">
        <w:t xml:space="preserve">capital </w:t>
      </w:r>
      <w:r w:rsidR="00322A9D">
        <w:t xml:space="preserve">transformation </w:t>
      </w:r>
      <w:r w:rsidR="00175388">
        <w:t>progr</w:t>
      </w:r>
      <w:r w:rsidR="00B9638F">
        <w:t>amme</w:t>
      </w:r>
      <w:r>
        <w:t xml:space="preserve">. </w:t>
      </w:r>
    </w:p>
    <w:p w:rsidR="00277716" w:rsidP="005160E7">
      <w:pPr>
        <w:pStyle w:val="Heading5"/>
        <w:numPr>
          <w:ilvl w:val="0"/>
          <w:numId w:val="4"/>
        </w:numPr>
        <w:ind w:left="714" w:hanging="357"/>
        <w:jc w:val="both"/>
        <w:rPr>
          <w:rFonts w:ascii="Calibri" w:eastAsia="Times New Roman" w:hAnsi="Calibri" w:cs="Calibri"/>
        </w:rPr>
      </w:pPr>
      <w:r>
        <w:rPr>
          <w:rFonts w:ascii="Calibri" w:eastAsia="Times New Roman" w:hAnsi="Calibri" w:cs="Calibri"/>
        </w:rPr>
        <w:t xml:space="preserve">Higher </w:t>
      </w:r>
      <w:r>
        <w:rPr>
          <w:rFonts w:ascii="Calibri" w:eastAsia="Times New Roman" w:hAnsi="Calibri" w:cs="Calibri"/>
        </w:rPr>
        <w:t xml:space="preserve">Education </w:t>
      </w:r>
      <w:r>
        <w:rPr>
          <w:rFonts w:ascii="Calibri" w:eastAsia="Times New Roman" w:hAnsi="Calibri" w:cs="Calibri"/>
        </w:rPr>
        <w:t>(ALB)</w:t>
      </w:r>
    </w:p>
    <w:p w:rsidR="00465EA0" w:rsidP="00465EA0">
      <w:pPr>
        <w:ind w:left="720"/>
        <w:rPr>
          <w:rFonts w:ascii="Calibri" w:hAnsi="Calibri" w:eastAsiaTheme="minorHAnsi" w:cs="Calibri"/>
        </w:rPr>
      </w:pPr>
      <w:bookmarkEnd w:id="14"/>
      <w:r>
        <w:t>The budget for this sub-head has increased by £153.2 million from £142.1 million in the 2022-23 Supplementary Estimate to £295.3million.  The main drivers of this are increases in the O</w:t>
      </w:r>
      <w:r w:rsidR="000F6E60">
        <w:t xml:space="preserve">ffice </w:t>
      </w:r>
      <w:r>
        <w:t>F</w:t>
      </w:r>
      <w:r w:rsidR="000F6E60">
        <w:t xml:space="preserve">or </w:t>
      </w:r>
      <w:r>
        <w:t>S</w:t>
      </w:r>
      <w:r w:rsidR="000F6E60">
        <w:t>tudents</w:t>
      </w:r>
      <w:r>
        <w:t xml:space="preserve"> and S</w:t>
      </w:r>
      <w:r w:rsidR="000F6E60">
        <w:t xml:space="preserve">tudent </w:t>
      </w:r>
      <w:r>
        <w:t>L</w:t>
      </w:r>
      <w:r w:rsidR="000F6E60">
        <w:t xml:space="preserve">oan </w:t>
      </w:r>
      <w:r>
        <w:t>C</w:t>
      </w:r>
      <w:r w:rsidR="000F6E60">
        <w:t>ompany</w:t>
      </w:r>
      <w:r>
        <w:t xml:space="preserve"> budgets. </w:t>
      </w:r>
    </w:p>
    <w:p w:rsidR="00534B77" w:rsidP="00676BE2">
      <w:pPr>
        <w:pStyle w:val="Heading5"/>
        <w:spacing w:before="0"/>
        <w:rPr>
          <w:rFonts w:cstheme="minorHAnsi"/>
        </w:rPr>
      </w:pPr>
    </w:p>
    <w:p w:rsidR="00E01C8C" w:rsidP="00534B77">
      <w:pPr>
        <w:pStyle w:val="Heading5"/>
        <w:spacing w:before="0"/>
        <w:ind w:left="720"/>
        <w:rPr>
          <w:rFonts w:cstheme="minorHAnsi"/>
        </w:rPr>
      </w:pPr>
      <w:r w:rsidRPr="00BE5E1E">
        <w:rPr>
          <w:rFonts w:cstheme="minorHAnsi"/>
        </w:rPr>
        <w:t xml:space="preserve"> </w:t>
      </w:r>
    </w:p>
    <w:p w:rsidR="00E675E2" w:rsidP="00EE1AAB">
      <w:pPr>
        <w:rPr>
          <w:rFonts w:cstheme="minorHAnsi"/>
        </w:rPr>
      </w:pPr>
      <w:r w:rsidRPr="00EE1AAB">
        <w:rPr>
          <w:rFonts w:eastAsia="Times New Roman" w:asciiTheme="majorHAnsi" w:hAnsiTheme="majorHAnsi" w:cstheme="majorBidi"/>
          <w:b/>
          <w:iCs/>
          <w:color w:val="2F5496" w:themeColor="accent1" w:themeShade="BF"/>
        </w:rPr>
        <w:t>Resource AME</w:t>
      </w:r>
    </w:p>
    <w:p w:rsidR="001E406F" w:rsidP="00411211">
      <w:pPr>
        <w:spacing w:after="0"/>
      </w:pPr>
      <w:r w:rsidRPr="00EE1AAB">
        <w:t>The table below shows how spending plans for Resource AME compare with</w:t>
      </w:r>
      <w:r w:rsidRPr="00EE1AAB" w:rsidR="000E5BF9">
        <w:t xml:space="preserve"> last year.</w:t>
      </w:r>
    </w:p>
    <w:p w:rsidR="00C564F0" w:rsidP="00EE1AAB">
      <w:pPr>
        <w:spacing w:after="0"/>
        <w:jc w:val="both"/>
      </w:pPr>
    </w:p>
    <w:tbl>
      <w:tblPr>
        <w:tblW w:w="8940" w:type="dxa"/>
        <w:tblLook w:val="04A0"/>
      </w:tblPr>
      <w:tblGrid>
        <w:gridCol w:w="1242"/>
        <w:gridCol w:w="1791"/>
        <w:gridCol w:w="1384"/>
        <w:gridCol w:w="1384"/>
        <w:gridCol w:w="1384"/>
        <w:gridCol w:w="872"/>
        <w:gridCol w:w="883"/>
      </w:tblGrid>
      <w:tr>
        <w:tblPrEx>
          <w:tblW w:w="8940" w:type="dxa"/>
          <w:tblLook w:val="04A0"/>
        </w:tblPrEx>
        <w:trPr>
          <w:trHeight w:val="1193"/>
        </w:trPr>
        <w:tc>
          <w:tcPr>
            <w:tcW w:w="1242" w:type="dxa"/>
            <w:tcBorders>
              <w:top w:val="single" w:sz="8" w:space="0" w:color="auto"/>
              <w:left w:val="single" w:sz="8" w:space="0" w:color="auto"/>
              <w:bottom w:val="single" w:sz="4" w:space="0" w:color="auto"/>
              <w:right w:val="single" w:sz="4" w:space="0" w:color="auto"/>
            </w:tcBorders>
            <w:shd w:val="clear" w:color="auto" w:fill="auto"/>
            <w:noWrap/>
            <w:hideMark/>
          </w:tcPr>
          <w:p w:rsidR="00C53137" w:rsidRPr="005575E6" w:rsidP="005575E6">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Resource AME</w:t>
            </w:r>
          </w:p>
        </w:tc>
        <w:tc>
          <w:tcPr>
            <w:tcW w:w="1791" w:type="dxa"/>
            <w:tcBorders>
              <w:top w:val="single" w:sz="8" w:space="0" w:color="auto"/>
              <w:left w:val="nil"/>
              <w:bottom w:val="single" w:sz="4" w:space="0" w:color="auto"/>
              <w:right w:val="single" w:sz="4" w:space="0" w:color="auto"/>
            </w:tcBorders>
            <w:shd w:val="clear" w:color="auto" w:fill="auto"/>
            <w:hideMark/>
          </w:tcPr>
          <w:p w:rsidR="00C53137" w:rsidRPr="005575E6" w:rsidP="005575E6">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 </w:t>
            </w:r>
          </w:p>
        </w:tc>
        <w:tc>
          <w:tcPr>
            <w:tcW w:w="1384" w:type="dxa"/>
            <w:tcBorders>
              <w:top w:val="single" w:sz="8" w:space="0" w:color="auto"/>
              <w:left w:val="nil"/>
              <w:bottom w:val="single" w:sz="4" w:space="0" w:color="auto"/>
              <w:right w:val="single" w:sz="4" w:space="0" w:color="auto"/>
            </w:tcBorders>
            <w:shd w:val="clear" w:color="auto" w:fill="auto"/>
            <w:hideMark/>
          </w:tcPr>
          <w:p w:rsidR="00C53137" w:rsidRPr="005575E6" w:rsidP="005575E6">
            <w:pPr>
              <w:spacing w:after="0" w:line="240" w:lineRule="auto"/>
              <w:jc w:val="center"/>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Main</w:t>
            </w:r>
            <w:r>
              <w:rPr>
                <w:rFonts w:ascii="Calibri" w:eastAsia="Times New Roman" w:hAnsi="Calibri" w:cs="Calibri"/>
                <w:b/>
                <w:bCs/>
                <w:sz w:val="18"/>
                <w:szCs w:val="18"/>
                <w:lang w:eastAsia="en-GB"/>
              </w:rPr>
              <w:t xml:space="preserve"> Estimate </w:t>
            </w:r>
            <w:r w:rsidRPr="00C27462">
              <w:rPr>
                <w:rFonts w:ascii="Calibri" w:eastAsia="Times New Roman" w:hAnsi="Calibri" w:cs="Calibri"/>
                <w:b/>
                <w:bCs/>
                <w:sz w:val="18"/>
                <w:szCs w:val="18"/>
                <w:lang w:eastAsia="en-GB"/>
              </w:rPr>
              <w:t>202</w:t>
            </w:r>
            <w:r>
              <w:rPr>
                <w:rFonts w:ascii="Calibri" w:eastAsia="Times New Roman" w:hAnsi="Calibri" w:cs="Calibri"/>
                <w:b/>
                <w:bCs/>
                <w:sz w:val="18"/>
                <w:szCs w:val="18"/>
                <w:lang w:eastAsia="en-GB"/>
              </w:rPr>
              <w:t>3</w:t>
            </w:r>
            <w:r w:rsidRPr="00C27462">
              <w:rPr>
                <w:rFonts w:ascii="Calibri" w:eastAsia="Times New Roman" w:hAnsi="Calibri" w:cs="Calibri"/>
                <w:b/>
                <w:bCs/>
                <w:sz w:val="18"/>
                <w:szCs w:val="18"/>
                <w:lang w:eastAsia="en-GB"/>
              </w:rPr>
              <w:t>-2</w:t>
            </w:r>
            <w:r>
              <w:rPr>
                <w:rFonts w:ascii="Calibri" w:eastAsia="Times New Roman" w:hAnsi="Calibri" w:cs="Calibri"/>
                <w:b/>
                <w:bCs/>
                <w:sz w:val="18"/>
                <w:szCs w:val="18"/>
                <w:lang w:eastAsia="en-GB"/>
              </w:rPr>
              <w:t>4</w:t>
            </w:r>
          </w:p>
        </w:tc>
        <w:tc>
          <w:tcPr>
            <w:tcW w:w="1384" w:type="dxa"/>
            <w:tcBorders>
              <w:top w:val="single" w:sz="8" w:space="0" w:color="auto"/>
              <w:left w:val="nil"/>
              <w:bottom w:val="single" w:sz="4" w:space="0" w:color="auto"/>
              <w:right w:val="single" w:sz="4" w:space="0" w:color="auto"/>
            </w:tcBorders>
            <w:shd w:val="clear" w:color="auto" w:fill="auto"/>
            <w:hideMark/>
          </w:tcPr>
          <w:p w:rsidR="00C53137" w:rsidRPr="005575E6" w:rsidP="005575E6">
            <w:pPr>
              <w:spacing w:after="0" w:line="240" w:lineRule="auto"/>
              <w:jc w:val="center"/>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Supp</w:t>
            </w:r>
            <w:r>
              <w:rPr>
                <w:rFonts w:ascii="Calibri" w:eastAsia="Times New Roman" w:hAnsi="Calibri" w:cs="Calibri"/>
                <w:b/>
                <w:bCs/>
                <w:sz w:val="18"/>
                <w:szCs w:val="18"/>
                <w:lang w:eastAsia="en-GB"/>
              </w:rPr>
              <w:t>lementary Estimate</w:t>
            </w:r>
            <w:r w:rsidRPr="00C27462">
              <w:rPr>
                <w:rFonts w:ascii="Calibri" w:eastAsia="Times New Roman" w:hAnsi="Calibri" w:cs="Calibri"/>
                <w:b/>
                <w:bCs/>
                <w:sz w:val="18"/>
                <w:szCs w:val="18"/>
                <w:lang w:eastAsia="en-GB"/>
              </w:rPr>
              <w:t xml:space="preserve"> 202</w:t>
            </w:r>
            <w:r>
              <w:rPr>
                <w:rFonts w:ascii="Calibri" w:eastAsia="Times New Roman" w:hAnsi="Calibri" w:cs="Calibri"/>
                <w:b/>
                <w:bCs/>
                <w:sz w:val="18"/>
                <w:szCs w:val="18"/>
                <w:lang w:eastAsia="en-GB"/>
              </w:rPr>
              <w:t>2</w:t>
            </w:r>
            <w:r w:rsidRPr="00C27462">
              <w:rPr>
                <w:rFonts w:ascii="Calibri" w:eastAsia="Times New Roman" w:hAnsi="Calibri" w:cs="Calibri"/>
                <w:b/>
                <w:bCs/>
                <w:sz w:val="18"/>
                <w:szCs w:val="18"/>
                <w:lang w:eastAsia="en-GB"/>
              </w:rPr>
              <w:t>-2</w:t>
            </w:r>
            <w:r>
              <w:rPr>
                <w:rFonts w:ascii="Calibri" w:eastAsia="Times New Roman" w:hAnsi="Calibri" w:cs="Calibri"/>
                <w:b/>
                <w:bCs/>
                <w:sz w:val="18"/>
                <w:szCs w:val="18"/>
                <w:lang w:eastAsia="en-GB"/>
              </w:rPr>
              <w:t>3</w:t>
            </w:r>
            <w:r w:rsidRPr="00C27462">
              <w:rPr>
                <w:rFonts w:ascii="Calibri" w:eastAsia="Times New Roman" w:hAnsi="Calibri" w:cs="Calibri"/>
                <w:b/>
                <w:bCs/>
                <w:sz w:val="18"/>
                <w:szCs w:val="18"/>
                <w:lang w:eastAsia="en-GB"/>
              </w:rPr>
              <w:t xml:space="preserve"> </w:t>
            </w:r>
          </w:p>
        </w:tc>
        <w:tc>
          <w:tcPr>
            <w:tcW w:w="2256" w:type="dxa"/>
            <w:gridSpan w:val="2"/>
            <w:tcBorders>
              <w:top w:val="single" w:sz="8" w:space="0" w:color="auto"/>
              <w:left w:val="nil"/>
              <w:bottom w:val="single" w:sz="4" w:space="0" w:color="auto"/>
              <w:right w:val="single" w:sz="4" w:space="0" w:color="auto"/>
            </w:tcBorders>
            <w:shd w:val="clear" w:color="auto" w:fill="auto"/>
            <w:hideMark/>
          </w:tcPr>
          <w:p w:rsidR="00C53137" w:rsidRPr="005575E6" w:rsidP="005575E6">
            <w:pPr>
              <w:spacing w:after="0" w:line="240" w:lineRule="auto"/>
              <w:jc w:val="center"/>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Change from Supp</w:t>
            </w:r>
            <w:r>
              <w:rPr>
                <w:rFonts w:ascii="Calibri" w:eastAsia="Times New Roman" w:hAnsi="Calibri" w:cs="Calibri"/>
                <w:b/>
                <w:bCs/>
                <w:sz w:val="18"/>
                <w:szCs w:val="18"/>
                <w:lang w:eastAsia="en-GB"/>
              </w:rPr>
              <w:t>lementary Estimate</w:t>
            </w:r>
            <w:r w:rsidRPr="00C27462">
              <w:rPr>
                <w:rFonts w:ascii="Calibri" w:eastAsia="Times New Roman" w:hAnsi="Calibri" w:cs="Calibri"/>
                <w:b/>
                <w:bCs/>
                <w:sz w:val="18"/>
                <w:szCs w:val="18"/>
                <w:lang w:eastAsia="en-GB"/>
              </w:rPr>
              <w:t xml:space="preserve"> 202</w:t>
            </w:r>
            <w:r>
              <w:rPr>
                <w:rFonts w:ascii="Calibri" w:eastAsia="Times New Roman" w:hAnsi="Calibri" w:cs="Calibri"/>
                <w:b/>
                <w:bCs/>
                <w:sz w:val="18"/>
                <w:szCs w:val="18"/>
                <w:lang w:eastAsia="en-GB"/>
              </w:rPr>
              <w:t>2</w:t>
            </w:r>
            <w:r w:rsidR="00F056A9">
              <w:rPr>
                <w:rFonts w:ascii="Calibri" w:eastAsia="Times New Roman" w:hAnsi="Calibri" w:cs="Calibri"/>
                <w:b/>
                <w:bCs/>
                <w:sz w:val="18"/>
                <w:szCs w:val="18"/>
                <w:lang w:eastAsia="en-GB"/>
              </w:rPr>
              <w:t>-23</w:t>
            </w:r>
            <w:r w:rsidRPr="00C27462">
              <w:rPr>
                <w:rFonts w:ascii="Calibri" w:eastAsia="Times New Roman" w:hAnsi="Calibri" w:cs="Calibri"/>
                <w:b/>
                <w:bCs/>
                <w:sz w:val="18"/>
                <w:szCs w:val="18"/>
                <w:lang w:eastAsia="en-GB"/>
              </w:rPr>
              <w:t xml:space="preserve"> (decrease in brackets)</w:t>
            </w:r>
          </w:p>
        </w:tc>
        <w:tc>
          <w:tcPr>
            <w:tcW w:w="883" w:type="dxa"/>
            <w:tcBorders>
              <w:top w:val="single" w:sz="8" w:space="0" w:color="auto"/>
              <w:left w:val="nil"/>
              <w:bottom w:val="single" w:sz="4" w:space="0" w:color="auto"/>
              <w:right w:val="single" w:sz="8" w:space="0" w:color="auto"/>
            </w:tcBorders>
            <w:shd w:val="clear" w:color="auto" w:fill="auto"/>
            <w:hideMark/>
          </w:tcPr>
          <w:p w:rsidR="00C53137" w:rsidRPr="005575E6" w:rsidP="005575E6">
            <w:pPr>
              <w:spacing w:after="0" w:line="240" w:lineRule="auto"/>
              <w:jc w:val="center"/>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Note number</w:t>
            </w:r>
          </w:p>
        </w:tc>
      </w:tr>
      <w:tr w:rsidTr="00DD6AD9">
        <w:tblPrEx>
          <w:tblW w:w="8940" w:type="dxa"/>
          <w:tblLook w:val="04A0"/>
        </w:tblPrEx>
        <w:trPr>
          <w:trHeight w:val="285"/>
        </w:trPr>
        <w:tc>
          <w:tcPr>
            <w:tcW w:w="1242" w:type="dxa"/>
            <w:tcBorders>
              <w:top w:val="nil"/>
              <w:left w:val="single" w:sz="8" w:space="0" w:color="auto"/>
              <w:bottom w:val="single" w:sz="4" w:space="0" w:color="auto"/>
              <w:right w:val="single" w:sz="4" w:space="0" w:color="auto"/>
            </w:tcBorders>
            <w:shd w:val="clear" w:color="auto" w:fill="auto"/>
            <w:hideMark/>
          </w:tcPr>
          <w:p w:rsidR="00595005" w:rsidRPr="005575E6" w:rsidP="00595005">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Sub-headings</w:t>
            </w:r>
          </w:p>
        </w:tc>
        <w:tc>
          <w:tcPr>
            <w:tcW w:w="1791" w:type="dxa"/>
            <w:tcBorders>
              <w:top w:val="nil"/>
              <w:left w:val="nil"/>
              <w:bottom w:val="single" w:sz="4" w:space="0" w:color="auto"/>
              <w:right w:val="single" w:sz="4" w:space="0" w:color="auto"/>
            </w:tcBorders>
            <w:shd w:val="clear" w:color="auto" w:fill="auto"/>
            <w:hideMark/>
          </w:tcPr>
          <w:p w:rsidR="00595005" w:rsidRPr="005575E6" w:rsidP="00595005">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Description</w:t>
            </w:r>
          </w:p>
        </w:tc>
        <w:tc>
          <w:tcPr>
            <w:tcW w:w="1384" w:type="dxa"/>
            <w:tcBorders>
              <w:top w:val="nil"/>
              <w:left w:val="nil"/>
              <w:bottom w:val="single" w:sz="4" w:space="0" w:color="auto"/>
              <w:right w:val="single" w:sz="4" w:space="0" w:color="auto"/>
            </w:tcBorders>
            <w:shd w:val="clear" w:color="auto" w:fill="auto"/>
            <w:hideMark/>
          </w:tcPr>
          <w:p w:rsidR="00595005" w:rsidRPr="005575E6" w:rsidP="00595005">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1384" w:type="dxa"/>
            <w:tcBorders>
              <w:top w:val="nil"/>
              <w:left w:val="nil"/>
              <w:bottom w:val="single" w:sz="4" w:space="0" w:color="auto"/>
              <w:right w:val="single" w:sz="4" w:space="0" w:color="auto"/>
            </w:tcBorders>
            <w:shd w:val="clear" w:color="auto" w:fill="auto"/>
            <w:hideMark/>
          </w:tcPr>
          <w:p w:rsidR="00595005" w:rsidRPr="005575E6" w:rsidP="00595005">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1384" w:type="dxa"/>
            <w:tcBorders>
              <w:top w:val="nil"/>
              <w:left w:val="nil"/>
              <w:bottom w:val="single" w:sz="4" w:space="0" w:color="auto"/>
              <w:right w:val="single" w:sz="4" w:space="0" w:color="auto"/>
            </w:tcBorders>
            <w:shd w:val="clear" w:color="auto" w:fill="auto"/>
            <w:hideMark/>
          </w:tcPr>
          <w:p w:rsidR="00595005" w:rsidRPr="005575E6" w:rsidP="00595005">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872" w:type="dxa"/>
            <w:tcBorders>
              <w:top w:val="nil"/>
              <w:left w:val="nil"/>
              <w:bottom w:val="single" w:sz="4" w:space="0" w:color="auto"/>
              <w:right w:val="single" w:sz="4" w:space="0" w:color="auto"/>
            </w:tcBorders>
            <w:shd w:val="clear" w:color="auto" w:fill="auto"/>
            <w:hideMark/>
          </w:tcPr>
          <w:p w:rsidR="00595005" w:rsidRPr="005575E6" w:rsidP="00595005">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w:t>
            </w:r>
          </w:p>
        </w:tc>
        <w:tc>
          <w:tcPr>
            <w:tcW w:w="883" w:type="dxa"/>
            <w:tcBorders>
              <w:top w:val="nil"/>
              <w:left w:val="nil"/>
              <w:bottom w:val="single" w:sz="4" w:space="0" w:color="auto"/>
              <w:right w:val="single" w:sz="8" w:space="0" w:color="auto"/>
            </w:tcBorders>
            <w:shd w:val="clear" w:color="auto" w:fill="auto"/>
            <w:hideMark/>
          </w:tcPr>
          <w:p w:rsidR="00595005" w:rsidRPr="005575E6" w:rsidP="00595005">
            <w:pPr>
              <w:spacing w:after="0" w:line="240" w:lineRule="auto"/>
              <w:jc w:val="center"/>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 </w:t>
            </w:r>
          </w:p>
        </w:tc>
      </w:tr>
      <w:tr w:rsidTr="00DD6AD9">
        <w:tblPrEx>
          <w:tblW w:w="8940" w:type="dxa"/>
          <w:tblLook w:val="04A0"/>
        </w:tblPrEx>
        <w:trPr>
          <w:trHeight w:val="285"/>
        </w:trPr>
        <w:tc>
          <w:tcPr>
            <w:tcW w:w="1242" w:type="dxa"/>
            <w:tcBorders>
              <w:top w:val="nil"/>
              <w:left w:val="single" w:sz="8" w:space="0" w:color="auto"/>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P</w:t>
            </w:r>
          </w:p>
        </w:tc>
        <w:tc>
          <w:tcPr>
            <w:tcW w:w="1791"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Activities to Support all Functions (Department)</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(7.0)</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10.8</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(17.8)</w:t>
            </w:r>
          </w:p>
        </w:tc>
        <w:tc>
          <w:tcPr>
            <w:tcW w:w="872"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(165.0)</w:t>
            </w:r>
          </w:p>
        </w:tc>
        <w:tc>
          <w:tcPr>
            <w:tcW w:w="883" w:type="dxa"/>
            <w:tcBorders>
              <w:top w:val="nil"/>
              <w:left w:val="nil"/>
              <w:bottom w:val="single" w:sz="4" w:space="0" w:color="auto"/>
              <w:right w:val="single" w:sz="8" w:space="0" w:color="auto"/>
            </w:tcBorders>
            <w:shd w:val="clear" w:color="auto" w:fill="auto"/>
          </w:tcPr>
          <w:p w:rsidR="005575E6" w:rsidRPr="001B16EB" w:rsidP="005575E6">
            <w:pPr>
              <w:spacing w:after="0" w:line="240" w:lineRule="auto"/>
              <w:jc w:val="center"/>
              <w:rPr>
                <w:rFonts w:ascii="Calibri" w:eastAsia="Times New Roman" w:hAnsi="Calibri" w:cs="Calibri"/>
                <w:sz w:val="18"/>
                <w:szCs w:val="18"/>
                <w:highlight w:val="red"/>
                <w:lang w:eastAsia="en-GB"/>
              </w:rPr>
            </w:pPr>
            <w:r>
              <w:rPr>
                <w:rFonts w:ascii="Calibri" w:hAnsi="Calibri" w:cs="Calibri"/>
                <w:sz w:val="18"/>
                <w:szCs w:val="18"/>
              </w:rPr>
              <w:t> </w:t>
            </w:r>
            <w:r w:rsidR="00C63CFD">
              <w:rPr>
                <w:rFonts w:ascii="Calibri" w:hAnsi="Calibri" w:cs="Calibri"/>
                <w:sz w:val="18"/>
                <w:szCs w:val="18"/>
              </w:rPr>
              <w:t>10</w:t>
            </w:r>
          </w:p>
        </w:tc>
      </w:tr>
      <w:tr w:rsidTr="00DD6AD9">
        <w:tblPrEx>
          <w:tblW w:w="8940" w:type="dxa"/>
          <w:tblLook w:val="04A0"/>
        </w:tblPrEx>
        <w:trPr>
          <w:trHeight w:val="285"/>
        </w:trPr>
        <w:tc>
          <w:tcPr>
            <w:tcW w:w="1242" w:type="dxa"/>
            <w:tcBorders>
              <w:top w:val="nil"/>
              <w:left w:val="single" w:sz="8" w:space="0" w:color="auto"/>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Q</w:t>
            </w:r>
          </w:p>
        </w:tc>
        <w:tc>
          <w:tcPr>
            <w:tcW w:w="1791"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Executive Agencies AME</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0.3</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0.4</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(0.1)</w:t>
            </w:r>
          </w:p>
        </w:tc>
        <w:tc>
          <w:tcPr>
            <w:tcW w:w="872"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(16.7)</w:t>
            </w:r>
          </w:p>
        </w:tc>
        <w:tc>
          <w:tcPr>
            <w:tcW w:w="883" w:type="dxa"/>
            <w:tcBorders>
              <w:top w:val="nil"/>
              <w:left w:val="nil"/>
              <w:bottom w:val="single" w:sz="4" w:space="0" w:color="auto"/>
              <w:right w:val="single" w:sz="8" w:space="0" w:color="auto"/>
            </w:tcBorders>
            <w:shd w:val="clear" w:color="auto" w:fill="auto"/>
          </w:tcPr>
          <w:p w:rsidR="005575E6" w:rsidRPr="001B16EB" w:rsidP="005575E6">
            <w:pPr>
              <w:spacing w:after="0" w:line="240" w:lineRule="auto"/>
              <w:jc w:val="center"/>
              <w:rPr>
                <w:rFonts w:ascii="Calibri" w:eastAsia="Times New Roman" w:hAnsi="Calibri" w:cs="Calibri"/>
                <w:sz w:val="18"/>
                <w:szCs w:val="18"/>
                <w:highlight w:val="red"/>
                <w:lang w:eastAsia="en-GB"/>
              </w:rPr>
            </w:pPr>
            <w:r>
              <w:rPr>
                <w:rFonts w:ascii="Calibri" w:hAnsi="Calibri" w:cs="Calibri"/>
                <w:sz w:val="18"/>
                <w:szCs w:val="18"/>
              </w:rPr>
              <w:t> </w:t>
            </w:r>
          </w:p>
        </w:tc>
      </w:tr>
      <w:tr w:rsidTr="00DD6AD9">
        <w:tblPrEx>
          <w:tblW w:w="8940" w:type="dxa"/>
          <w:tblLook w:val="04A0"/>
        </w:tblPrEx>
        <w:trPr>
          <w:trHeight w:val="285"/>
        </w:trPr>
        <w:tc>
          <w:tcPr>
            <w:tcW w:w="1242" w:type="dxa"/>
            <w:tcBorders>
              <w:top w:val="nil"/>
              <w:left w:val="single" w:sz="8" w:space="0" w:color="auto"/>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R</w:t>
            </w:r>
          </w:p>
        </w:tc>
        <w:tc>
          <w:tcPr>
            <w:tcW w:w="1791"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Higher Education AME</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(4,402.6)</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(10,350.6)</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5,948.0</w:t>
            </w:r>
          </w:p>
        </w:tc>
        <w:tc>
          <w:tcPr>
            <w:tcW w:w="872"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57.5</w:t>
            </w:r>
          </w:p>
        </w:tc>
        <w:tc>
          <w:tcPr>
            <w:tcW w:w="883" w:type="dxa"/>
            <w:tcBorders>
              <w:top w:val="nil"/>
              <w:left w:val="nil"/>
              <w:bottom w:val="single" w:sz="4" w:space="0" w:color="auto"/>
              <w:right w:val="single" w:sz="8" w:space="0" w:color="auto"/>
            </w:tcBorders>
            <w:shd w:val="clear" w:color="auto" w:fill="auto"/>
          </w:tcPr>
          <w:p w:rsidR="005575E6" w:rsidP="005575E6">
            <w:pPr>
              <w:spacing w:after="0" w:line="240" w:lineRule="auto"/>
              <w:jc w:val="center"/>
              <w:rPr>
                <w:rFonts w:ascii="Calibri" w:hAnsi="Calibri" w:cs="Calibri"/>
                <w:sz w:val="18"/>
                <w:szCs w:val="18"/>
              </w:rPr>
            </w:pPr>
            <w:r>
              <w:rPr>
                <w:rFonts w:ascii="Calibri" w:hAnsi="Calibri" w:cs="Calibri"/>
                <w:sz w:val="18"/>
                <w:szCs w:val="18"/>
              </w:rPr>
              <w:t> </w:t>
            </w:r>
            <w:r w:rsidR="00C63CFD">
              <w:rPr>
                <w:rFonts w:ascii="Calibri" w:hAnsi="Calibri" w:cs="Calibri"/>
                <w:sz w:val="18"/>
                <w:szCs w:val="18"/>
              </w:rPr>
              <w:t>11</w:t>
            </w:r>
          </w:p>
          <w:p w:rsidR="00C63CFD" w:rsidRPr="001B16EB" w:rsidP="00C63CFD">
            <w:pPr>
              <w:spacing w:after="0" w:line="240" w:lineRule="auto"/>
              <w:rPr>
                <w:rFonts w:ascii="Calibri" w:eastAsia="Times New Roman" w:hAnsi="Calibri" w:cs="Calibri"/>
                <w:sz w:val="18"/>
                <w:szCs w:val="18"/>
                <w:highlight w:val="red"/>
                <w:lang w:eastAsia="en-GB"/>
              </w:rPr>
            </w:pPr>
          </w:p>
        </w:tc>
      </w:tr>
      <w:tr w:rsidTr="00DD6AD9">
        <w:tblPrEx>
          <w:tblW w:w="8940" w:type="dxa"/>
          <w:tblLook w:val="04A0"/>
        </w:tblPrEx>
        <w:trPr>
          <w:trHeight w:val="285"/>
        </w:trPr>
        <w:tc>
          <w:tcPr>
            <w:tcW w:w="1242" w:type="dxa"/>
            <w:tcBorders>
              <w:top w:val="nil"/>
              <w:left w:val="single" w:sz="8" w:space="0" w:color="auto"/>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S</w:t>
            </w:r>
          </w:p>
        </w:tc>
        <w:tc>
          <w:tcPr>
            <w:tcW w:w="1791"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Further Education AME</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(0.5)</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(75.2)</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74.8</w:t>
            </w:r>
          </w:p>
        </w:tc>
        <w:tc>
          <w:tcPr>
            <w:tcW w:w="872"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99.4</w:t>
            </w:r>
          </w:p>
        </w:tc>
        <w:tc>
          <w:tcPr>
            <w:tcW w:w="883" w:type="dxa"/>
            <w:tcBorders>
              <w:top w:val="nil"/>
              <w:left w:val="nil"/>
              <w:bottom w:val="single" w:sz="4" w:space="0" w:color="auto"/>
              <w:right w:val="single" w:sz="8" w:space="0" w:color="auto"/>
            </w:tcBorders>
            <w:shd w:val="clear" w:color="auto" w:fill="auto"/>
          </w:tcPr>
          <w:p w:rsidR="005575E6" w:rsidRPr="001B16EB" w:rsidP="005575E6">
            <w:pPr>
              <w:spacing w:after="0" w:line="240" w:lineRule="auto"/>
              <w:jc w:val="center"/>
              <w:rPr>
                <w:rFonts w:ascii="Calibri" w:eastAsia="Times New Roman" w:hAnsi="Calibri" w:cs="Calibri"/>
                <w:sz w:val="18"/>
                <w:szCs w:val="18"/>
                <w:highlight w:val="red"/>
                <w:lang w:eastAsia="en-GB"/>
              </w:rPr>
            </w:pPr>
            <w:r>
              <w:rPr>
                <w:rFonts w:ascii="Calibri" w:hAnsi="Calibri" w:cs="Calibri"/>
                <w:sz w:val="18"/>
                <w:szCs w:val="18"/>
              </w:rPr>
              <w:t>12</w:t>
            </w:r>
          </w:p>
        </w:tc>
      </w:tr>
      <w:tr w:rsidTr="00DD6AD9">
        <w:tblPrEx>
          <w:tblW w:w="8940" w:type="dxa"/>
          <w:tblLook w:val="04A0"/>
        </w:tblPrEx>
        <w:trPr>
          <w:trHeight w:val="285"/>
        </w:trPr>
        <w:tc>
          <w:tcPr>
            <w:tcW w:w="1242" w:type="dxa"/>
            <w:tcBorders>
              <w:top w:val="nil"/>
              <w:left w:val="single" w:sz="8" w:space="0" w:color="auto"/>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T</w:t>
            </w:r>
          </w:p>
        </w:tc>
        <w:tc>
          <w:tcPr>
            <w:tcW w:w="1791"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Higher Education (ALB) (net) AME</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(26.7)</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0.6</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(27.3)</w:t>
            </w:r>
          </w:p>
        </w:tc>
        <w:tc>
          <w:tcPr>
            <w:tcW w:w="872"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(4,344.8)</w:t>
            </w:r>
          </w:p>
        </w:tc>
        <w:tc>
          <w:tcPr>
            <w:tcW w:w="883" w:type="dxa"/>
            <w:tcBorders>
              <w:top w:val="nil"/>
              <w:left w:val="nil"/>
              <w:bottom w:val="single" w:sz="4" w:space="0" w:color="auto"/>
              <w:right w:val="single" w:sz="8" w:space="0" w:color="auto"/>
            </w:tcBorders>
            <w:shd w:val="clear" w:color="auto" w:fill="auto"/>
          </w:tcPr>
          <w:p w:rsidR="005575E6" w:rsidRPr="001B16EB" w:rsidP="00470C35">
            <w:pPr>
              <w:spacing w:after="0" w:line="240" w:lineRule="auto"/>
              <w:jc w:val="center"/>
              <w:rPr>
                <w:rFonts w:ascii="Calibri" w:eastAsia="Times New Roman" w:hAnsi="Calibri" w:cs="Calibri"/>
                <w:sz w:val="18"/>
                <w:szCs w:val="18"/>
                <w:highlight w:val="red"/>
                <w:lang w:eastAsia="en-GB"/>
              </w:rPr>
            </w:pPr>
            <w:r>
              <w:rPr>
                <w:rFonts w:ascii="Calibri" w:hAnsi="Calibri" w:cs="Calibri"/>
                <w:sz w:val="18"/>
                <w:szCs w:val="18"/>
              </w:rPr>
              <w:t> </w:t>
            </w:r>
            <w:r w:rsidR="00C63CFD">
              <w:rPr>
                <w:rFonts w:ascii="Calibri" w:hAnsi="Calibri" w:cs="Calibri"/>
                <w:sz w:val="18"/>
                <w:szCs w:val="18"/>
              </w:rPr>
              <w:t>13</w:t>
            </w:r>
          </w:p>
        </w:tc>
      </w:tr>
      <w:tr w:rsidTr="00DD6AD9">
        <w:tblPrEx>
          <w:tblW w:w="8940" w:type="dxa"/>
          <w:tblLook w:val="04A0"/>
        </w:tblPrEx>
        <w:trPr>
          <w:trHeight w:val="285"/>
        </w:trPr>
        <w:tc>
          <w:tcPr>
            <w:tcW w:w="1242" w:type="dxa"/>
            <w:tcBorders>
              <w:top w:val="nil"/>
              <w:left w:val="single" w:sz="8" w:space="0" w:color="auto"/>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U</w:t>
            </w:r>
          </w:p>
        </w:tc>
        <w:tc>
          <w:tcPr>
            <w:tcW w:w="1791"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Further Education (ALB) (net) AME</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4.9</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22.6</w:t>
            </w:r>
          </w:p>
        </w:tc>
        <w:tc>
          <w:tcPr>
            <w:tcW w:w="1384"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(17.7)</w:t>
            </w:r>
          </w:p>
        </w:tc>
        <w:tc>
          <w:tcPr>
            <w:tcW w:w="872" w:type="dxa"/>
            <w:tcBorders>
              <w:top w:val="nil"/>
              <w:left w:val="nil"/>
              <w:bottom w:val="single" w:sz="4"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sz w:val="18"/>
                <w:szCs w:val="18"/>
                <w:highlight w:val="red"/>
                <w:lang w:eastAsia="en-GB"/>
              </w:rPr>
            </w:pPr>
            <w:r>
              <w:rPr>
                <w:rFonts w:ascii="Calibri" w:hAnsi="Calibri" w:cs="Calibri"/>
                <w:sz w:val="18"/>
                <w:szCs w:val="18"/>
              </w:rPr>
              <w:t>(78.3)</w:t>
            </w:r>
          </w:p>
        </w:tc>
        <w:tc>
          <w:tcPr>
            <w:tcW w:w="883" w:type="dxa"/>
            <w:tcBorders>
              <w:top w:val="nil"/>
              <w:left w:val="nil"/>
              <w:bottom w:val="single" w:sz="4" w:space="0" w:color="auto"/>
              <w:right w:val="single" w:sz="8" w:space="0" w:color="auto"/>
            </w:tcBorders>
            <w:shd w:val="clear" w:color="auto" w:fill="auto"/>
          </w:tcPr>
          <w:p w:rsidR="005575E6" w:rsidRPr="001B16EB" w:rsidP="00470C35">
            <w:pPr>
              <w:spacing w:after="0" w:line="240" w:lineRule="auto"/>
              <w:jc w:val="center"/>
              <w:rPr>
                <w:rFonts w:ascii="Calibri" w:eastAsia="Times New Roman" w:hAnsi="Calibri" w:cs="Calibri"/>
                <w:sz w:val="18"/>
                <w:szCs w:val="18"/>
                <w:highlight w:val="red"/>
                <w:lang w:eastAsia="en-GB"/>
              </w:rPr>
            </w:pPr>
            <w:r>
              <w:rPr>
                <w:rFonts w:ascii="Calibri" w:hAnsi="Calibri" w:cs="Calibri"/>
                <w:sz w:val="18"/>
                <w:szCs w:val="18"/>
              </w:rPr>
              <w:t> </w:t>
            </w:r>
            <w:r w:rsidR="00C63CFD">
              <w:rPr>
                <w:rFonts w:ascii="Calibri" w:hAnsi="Calibri" w:cs="Calibri"/>
                <w:sz w:val="18"/>
                <w:szCs w:val="18"/>
              </w:rPr>
              <w:t>14</w:t>
            </w:r>
          </w:p>
        </w:tc>
      </w:tr>
      <w:tr w:rsidTr="00DD6AD9">
        <w:tblPrEx>
          <w:tblW w:w="8940" w:type="dxa"/>
          <w:tblLook w:val="04A0"/>
        </w:tblPrEx>
        <w:trPr>
          <w:trHeight w:val="285"/>
        </w:trPr>
        <w:tc>
          <w:tcPr>
            <w:tcW w:w="1242" w:type="dxa"/>
            <w:tcBorders>
              <w:top w:val="single" w:sz="8" w:space="0" w:color="auto"/>
              <w:left w:val="single" w:sz="8" w:space="0" w:color="auto"/>
              <w:bottom w:val="single" w:sz="8"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b/>
                <w:bCs/>
                <w:sz w:val="18"/>
                <w:szCs w:val="18"/>
                <w:highlight w:val="red"/>
                <w:lang w:eastAsia="en-GB"/>
              </w:rPr>
            </w:pPr>
            <w:r>
              <w:rPr>
                <w:rFonts w:ascii="Calibri" w:hAnsi="Calibri" w:cs="Calibri"/>
                <w:b/>
                <w:bCs/>
                <w:sz w:val="18"/>
                <w:szCs w:val="18"/>
              </w:rPr>
              <w:t> </w:t>
            </w:r>
          </w:p>
        </w:tc>
        <w:tc>
          <w:tcPr>
            <w:tcW w:w="1791" w:type="dxa"/>
            <w:tcBorders>
              <w:top w:val="single" w:sz="8" w:space="0" w:color="auto"/>
              <w:left w:val="nil"/>
              <w:bottom w:val="single" w:sz="8" w:space="0" w:color="auto"/>
              <w:right w:val="single" w:sz="4" w:space="0" w:color="auto"/>
            </w:tcBorders>
            <w:shd w:val="clear" w:color="auto" w:fill="auto"/>
          </w:tcPr>
          <w:p w:rsidR="005575E6" w:rsidRPr="001B16EB" w:rsidP="005575E6">
            <w:pPr>
              <w:spacing w:after="0" w:line="240" w:lineRule="auto"/>
              <w:rPr>
                <w:rFonts w:ascii="Calibri" w:eastAsia="Times New Roman" w:hAnsi="Calibri" w:cs="Calibri"/>
                <w:b/>
                <w:bCs/>
                <w:sz w:val="18"/>
                <w:szCs w:val="18"/>
                <w:highlight w:val="red"/>
                <w:lang w:eastAsia="en-GB"/>
              </w:rPr>
            </w:pPr>
            <w:r>
              <w:rPr>
                <w:rFonts w:ascii="Calibri" w:hAnsi="Calibri" w:cs="Calibri"/>
                <w:b/>
                <w:bCs/>
                <w:sz w:val="18"/>
                <w:szCs w:val="18"/>
              </w:rPr>
              <w:t>Total Resource AME</w:t>
            </w:r>
          </w:p>
        </w:tc>
        <w:tc>
          <w:tcPr>
            <w:tcW w:w="1384" w:type="dxa"/>
            <w:tcBorders>
              <w:top w:val="single" w:sz="8" w:space="0" w:color="auto"/>
              <w:left w:val="nil"/>
              <w:bottom w:val="single" w:sz="8"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b/>
                <w:bCs/>
                <w:sz w:val="18"/>
                <w:szCs w:val="18"/>
                <w:highlight w:val="red"/>
                <w:lang w:eastAsia="en-GB"/>
              </w:rPr>
            </w:pPr>
            <w:r>
              <w:rPr>
                <w:rFonts w:ascii="Calibri" w:hAnsi="Calibri" w:cs="Calibri"/>
                <w:b/>
                <w:bCs/>
                <w:sz w:val="18"/>
                <w:szCs w:val="18"/>
              </w:rPr>
              <w:t>(4,431.6)</w:t>
            </w:r>
          </w:p>
        </w:tc>
        <w:tc>
          <w:tcPr>
            <w:tcW w:w="1384" w:type="dxa"/>
            <w:tcBorders>
              <w:top w:val="single" w:sz="8" w:space="0" w:color="auto"/>
              <w:left w:val="nil"/>
              <w:bottom w:val="single" w:sz="8"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b/>
                <w:bCs/>
                <w:sz w:val="18"/>
                <w:szCs w:val="18"/>
                <w:highlight w:val="red"/>
                <w:lang w:eastAsia="en-GB"/>
              </w:rPr>
            </w:pPr>
            <w:r>
              <w:rPr>
                <w:rFonts w:ascii="Calibri" w:hAnsi="Calibri" w:cs="Calibri"/>
                <w:b/>
                <w:bCs/>
                <w:sz w:val="18"/>
                <w:szCs w:val="18"/>
              </w:rPr>
              <w:t>(10,391.4)</w:t>
            </w:r>
          </w:p>
        </w:tc>
        <w:tc>
          <w:tcPr>
            <w:tcW w:w="1384" w:type="dxa"/>
            <w:tcBorders>
              <w:top w:val="single" w:sz="8" w:space="0" w:color="auto"/>
              <w:left w:val="nil"/>
              <w:bottom w:val="single" w:sz="8"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b/>
                <w:bCs/>
                <w:sz w:val="18"/>
                <w:szCs w:val="18"/>
                <w:highlight w:val="red"/>
                <w:lang w:eastAsia="en-GB"/>
              </w:rPr>
            </w:pPr>
            <w:r>
              <w:rPr>
                <w:rFonts w:ascii="Calibri" w:hAnsi="Calibri" w:cs="Calibri"/>
                <w:b/>
                <w:bCs/>
                <w:sz w:val="18"/>
                <w:szCs w:val="18"/>
              </w:rPr>
              <w:t>5,959.8</w:t>
            </w:r>
          </w:p>
        </w:tc>
        <w:tc>
          <w:tcPr>
            <w:tcW w:w="872" w:type="dxa"/>
            <w:tcBorders>
              <w:top w:val="single" w:sz="8" w:space="0" w:color="auto"/>
              <w:left w:val="nil"/>
              <w:bottom w:val="single" w:sz="8" w:space="0" w:color="auto"/>
              <w:right w:val="single" w:sz="4" w:space="0" w:color="auto"/>
            </w:tcBorders>
            <w:shd w:val="clear" w:color="auto" w:fill="auto"/>
          </w:tcPr>
          <w:p w:rsidR="005575E6" w:rsidRPr="001B16EB" w:rsidP="005575E6">
            <w:pPr>
              <w:spacing w:after="0" w:line="240" w:lineRule="auto"/>
              <w:jc w:val="right"/>
              <w:rPr>
                <w:rFonts w:ascii="Calibri" w:eastAsia="Times New Roman" w:hAnsi="Calibri" w:cs="Calibri"/>
                <w:b/>
                <w:bCs/>
                <w:sz w:val="18"/>
                <w:szCs w:val="18"/>
                <w:highlight w:val="red"/>
                <w:lang w:eastAsia="en-GB"/>
              </w:rPr>
            </w:pPr>
            <w:r>
              <w:rPr>
                <w:rFonts w:ascii="Calibri" w:hAnsi="Calibri" w:cs="Calibri"/>
                <w:b/>
                <w:bCs/>
                <w:sz w:val="18"/>
                <w:szCs w:val="18"/>
              </w:rPr>
              <w:t>(57.4)</w:t>
            </w:r>
          </w:p>
        </w:tc>
        <w:tc>
          <w:tcPr>
            <w:tcW w:w="883" w:type="dxa"/>
            <w:tcBorders>
              <w:top w:val="single" w:sz="8" w:space="0" w:color="auto"/>
              <w:left w:val="nil"/>
              <w:bottom w:val="single" w:sz="8" w:space="0" w:color="auto"/>
              <w:right w:val="single" w:sz="8" w:space="0" w:color="auto"/>
            </w:tcBorders>
            <w:shd w:val="clear" w:color="auto" w:fill="auto"/>
          </w:tcPr>
          <w:p w:rsidR="005575E6" w:rsidRPr="001B16EB" w:rsidP="005575E6">
            <w:pPr>
              <w:spacing w:after="0" w:line="240" w:lineRule="auto"/>
              <w:rPr>
                <w:rFonts w:ascii="Calibri" w:eastAsia="Times New Roman" w:hAnsi="Calibri" w:cs="Calibri"/>
                <w:sz w:val="18"/>
                <w:szCs w:val="18"/>
                <w:highlight w:val="red"/>
                <w:lang w:eastAsia="en-GB"/>
              </w:rPr>
            </w:pPr>
            <w:r>
              <w:rPr>
                <w:rFonts w:ascii="Calibri" w:hAnsi="Calibri" w:cs="Calibri"/>
                <w:sz w:val="18"/>
                <w:szCs w:val="18"/>
              </w:rPr>
              <w:t> </w:t>
            </w:r>
          </w:p>
        </w:tc>
      </w:tr>
    </w:tbl>
    <w:p w:rsidR="008663EB" w:rsidP="008663EB">
      <w:pPr>
        <w:jc w:val="both"/>
      </w:pPr>
    </w:p>
    <w:p w:rsidR="008663EB" w:rsidP="008663EB">
      <w:pPr>
        <w:jc w:val="both"/>
      </w:pPr>
      <w:r w:rsidRPr="00EE266D">
        <w:t>Differences of more than 10% which are more than £10 million are explained below.</w:t>
      </w:r>
    </w:p>
    <w:p w:rsidR="001E406F" w:rsidP="00AC55B5">
      <w:pPr>
        <w:spacing w:before="120" w:after="120"/>
        <w:jc w:val="both"/>
        <w:rPr>
          <w:lang w:eastAsia="en-GB"/>
        </w:rPr>
      </w:pPr>
    </w:p>
    <w:p w:rsidR="00270612" w:rsidP="005160E7">
      <w:pPr>
        <w:pStyle w:val="Heading5"/>
        <w:numPr>
          <w:ilvl w:val="0"/>
          <w:numId w:val="4"/>
        </w:numPr>
        <w:ind w:left="714" w:hanging="357"/>
        <w:jc w:val="both"/>
        <w:rPr>
          <w:rFonts w:asciiTheme="minorHAnsi" w:hAnsiTheme="minorHAnsi" w:cstheme="minorHAnsi"/>
        </w:rPr>
      </w:pPr>
      <w:r w:rsidRPr="005160E7">
        <w:rPr>
          <w:rFonts w:ascii="Calibri" w:eastAsia="Times New Roman" w:hAnsi="Calibri" w:cs="Calibri"/>
        </w:rPr>
        <w:t>Activities</w:t>
      </w:r>
      <w:r>
        <w:rPr>
          <w:rFonts w:asciiTheme="minorHAnsi" w:hAnsiTheme="minorHAnsi" w:cstheme="minorHAnsi"/>
        </w:rPr>
        <w:t xml:space="preserve"> to Support All Functions </w:t>
      </w:r>
    </w:p>
    <w:p w:rsidR="00270612" w:rsidP="00270612">
      <w:pPr>
        <w:ind w:left="720"/>
        <w:rPr>
          <w:lang w:eastAsia="en-GB"/>
        </w:rPr>
      </w:pPr>
      <w:r>
        <w:t xml:space="preserve">The </w:t>
      </w:r>
      <w:r w:rsidRPr="001431DA">
        <w:t xml:space="preserve">budget for this sub-head </w:t>
      </w:r>
      <w:r>
        <w:t>is forecast to change by</w:t>
      </w:r>
      <w:r w:rsidRPr="001431DA">
        <w:t xml:space="preserve"> £</w:t>
      </w:r>
      <w:r w:rsidR="004C620A">
        <w:t>17.8</w:t>
      </w:r>
      <w:r>
        <w:t xml:space="preserve"> </w:t>
      </w:r>
      <w:r w:rsidRPr="001431DA">
        <w:t>m</w:t>
      </w:r>
      <w:r>
        <w:t>illion</w:t>
      </w:r>
      <w:r w:rsidRPr="001431DA">
        <w:t xml:space="preserve"> from </w:t>
      </w:r>
      <w:r>
        <w:t>£</w:t>
      </w:r>
      <w:r w:rsidR="004C620A">
        <w:t>10</w:t>
      </w:r>
      <w:r>
        <w:t xml:space="preserve">.8 </w:t>
      </w:r>
      <w:r w:rsidRPr="001431DA">
        <w:t xml:space="preserve">million in the </w:t>
      </w:r>
      <w:r w:rsidRPr="001431DA" w:rsidR="00666F82">
        <w:t>202</w:t>
      </w:r>
      <w:r w:rsidR="00666F82">
        <w:t>2</w:t>
      </w:r>
      <w:r w:rsidRPr="001431DA">
        <w:t>-</w:t>
      </w:r>
      <w:r w:rsidRPr="001431DA" w:rsidR="00666F82">
        <w:t>2</w:t>
      </w:r>
      <w:r w:rsidR="00666F82">
        <w:t>3</w:t>
      </w:r>
      <w:r w:rsidRPr="001431DA" w:rsidR="00666F82">
        <w:t xml:space="preserve"> </w:t>
      </w:r>
      <w:r w:rsidRPr="001431DA">
        <w:t xml:space="preserve">Supplementary Estimate to </w:t>
      </w:r>
      <w:r w:rsidR="004C620A">
        <w:t xml:space="preserve">negative </w:t>
      </w:r>
      <w:r w:rsidR="004C23EA">
        <w:t>£</w:t>
      </w:r>
      <w:r w:rsidR="004C620A">
        <w:t>7.0</w:t>
      </w:r>
      <w:r>
        <w:t xml:space="preserve"> million.</w:t>
      </w:r>
      <w:r w:rsidRPr="00740631">
        <w:rPr>
          <w:lang w:eastAsia="en-GB"/>
        </w:rPr>
        <w:t xml:space="preserve"> </w:t>
      </w:r>
      <w:r>
        <w:rPr>
          <w:lang w:eastAsia="en-GB"/>
        </w:rPr>
        <w:t xml:space="preserve">This reflects changes in the budget requirements for provisions.  </w:t>
      </w:r>
    </w:p>
    <w:p w:rsidR="00573ACE" w:rsidP="005160E7">
      <w:pPr>
        <w:pStyle w:val="Heading5"/>
        <w:numPr>
          <w:ilvl w:val="0"/>
          <w:numId w:val="4"/>
        </w:numPr>
        <w:ind w:left="714" w:hanging="357"/>
        <w:jc w:val="both"/>
        <w:rPr>
          <w:rFonts w:asciiTheme="minorHAnsi" w:hAnsiTheme="minorHAnsi" w:cstheme="minorHAnsi"/>
        </w:rPr>
      </w:pPr>
      <w:r>
        <w:rPr>
          <w:rFonts w:asciiTheme="minorHAnsi" w:hAnsiTheme="minorHAnsi" w:cstheme="minorHAnsi"/>
        </w:rPr>
        <w:t xml:space="preserve">Higher </w:t>
      </w:r>
      <w:r w:rsidRPr="005160E7">
        <w:rPr>
          <w:rFonts w:ascii="Calibri" w:eastAsia="Times New Roman" w:hAnsi="Calibri" w:cs="Calibri"/>
        </w:rPr>
        <w:t>Education</w:t>
      </w:r>
      <w:r>
        <w:rPr>
          <w:rFonts w:asciiTheme="minorHAnsi" w:hAnsiTheme="minorHAnsi" w:cstheme="minorHAnsi"/>
        </w:rPr>
        <w:t xml:space="preserve"> </w:t>
      </w:r>
    </w:p>
    <w:p w:rsidR="00573ACE" w:rsidP="00573ACE">
      <w:pPr>
        <w:ind w:left="720"/>
        <w:rPr>
          <w:lang w:eastAsia="en-GB"/>
        </w:rPr>
      </w:pPr>
      <w:r>
        <w:t xml:space="preserve">The </w:t>
      </w:r>
      <w:r w:rsidRPr="001431DA">
        <w:t xml:space="preserve">budget for this sub-head </w:t>
      </w:r>
      <w:r w:rsidR="00B268A1">
        <w:t>is forecast to change by</w:t>
      </w:r>
      <w:r w:rsidRPr="001431DA">
        <w:t xml:space="preserve"> £</w:t>
      </w:r>
      <w:r w:rsidR="00666F82">
        <w:t>5</w:t>
      </w:r>
      <w:r w:rsidR="007A1AD0">
        <w:t>,</w:t>
      </w:r>
      <w:r w:rsidR="00666F82">
        <w:t>948.0</w:t>
      </w:r>
      <w:r>
        <w:t xml:space="preserve"> </w:t>
      </w:r>
      <w:r w:rsidRPr="001431DA">
        <w:t>m</w:t>
      </w:r>
      <w:r>
        <w:t>illion</w:t>
      </w:r>
      <w:r w:rsidRPr="001431DA">
        <w:t xml:space="preserve"> from </w:t>
      </w:r>
      <w:r w:rsidR="00666F82">
        <w:t xml:space="preserve">a </w:t>
      </w:r>
      <w:r w:rsidR="00B268A1">
        <w:t xml:space="preserve">net </w:t>
      </w:r>
      <w:r w:rsidR="00666F82">
        <w:t xml:space="preserve">income budget </w:t>
      </w:r>
      <w:r w:rsidR="00B268A1">
        <w:t xml:space="preserve">of </w:t>
      </w:r>
      <w:r w:rsidRPr="001431DA">
        <w:t>£</w:t>
      </w:r>
      <w:r w:rsidR="00666F82">
        <w:t>10,350.6</w:t>
      </w:r>
      <w:r>
        <w:t xml:space="preserve"> </w:t>
      </w:r>
      <w:r w:rsidRPr="001431DA">
        <w:t xml:space="preserve">million in the </w:t>
      </w:r>
      <w:r w:rsidRPr="001431DA" w:rsidR="00666F82">
        <w:t>202</w:t>
      </w:r>
      <w:r w:rsidR="00666F82">
        <w:t>2</w:t>
      </w:r>
      <w:r w:rsidRPr="001431DA">
        <w:t>-</w:t>
      </w:r>
      <w:r w:rsidRPr="001431DA" w:rsidR="00666F82">
        <w:t>2</w:t>
      </w:r>
      <w:r w:rsidR="00666F82">
        <w:t>3</w:t>
      </w:r>
      <w:r w:rsidRPr="001431DA" w:rsidR="00666F82">
        <w:t xml:space="preserve"> </w:t>
      </w:r>
      <w:r w:rsidRPr="001431DA">
        <w:t xml:space="preserve">Supplementary Estimate to </w:t>
      </w:r>
      <w:r w:rsidR="00595005">
        <w:t>a</w:t>
      </w:r>
      <w:r w:rsidR="006C0B6D">
        <w:t xml:space="preserve"> </w:t>
      </w:r>
      <w:r w:rsidR="00595005">
        <w:t>n</w:t>
      </w:r>
      <w:r w:rsidR="006C0B6D">
        <w:t>et</w:t>
      </w:r>
      <w:r w:rsidR="00595005">
        <w:t xml:space="preserve"> income budget of </w:t>
      </w:r>
      <w:r w:rsidRPr="001431DA">
        <w:t>£</w:t>
      </w:r>
      <w:r w:rsidR="00F165EF">
        <w:t>4,402.6</w:t>
      </w:r>
      <w:r>
        <w:t xml:space="preserve"> million</w:t>
      </w:r>
      <w:r w:rsidR="00595005">
        <w:t>.</w:t>
      </w:r>
      <w:r w:rsidRPr="00740631" w:rsidR="00740631">
        <w:rPr>
          <w:lang w:eastAsia="en-GB"/>
        </w:rPr>
        <w:t xml:space="preserve"> </w:t>
      </w:r>
      <w:r w:rsidR="00AC783B">
        <w:rPr>
          <w:lang w:eastAsia="en-GB"/>
        </w:rPr>
        <w:t xml:space="preserve">This </w:t>
      </w:r>
      <w:r w:rsidR="0046662F">
        <w:rPr>
          <w:lang w:eastAsia="en-GB"/>
        </w:rPr>
        <w:t>forecast</w:t>
      </w:r>
      <w:r w:rsidR="006F4FC6">
        <w:rPr>
          <w:lang w:eastAsia="en-GB"/>
        </w:rPr>
        <w:t xml:space="preserve"> is expected to reduce in 2023-24 due to reduced RPI forecasts</w:t>
      </w:r>
      <w:r w:rsidRPr="00526653" w:rsidR="00740631">
        <w:rPr>
          <w:lang w:eastAsia="en-GB"/>
        </w:rPr>
        <w:t>.</w:t>
      </w:r>
      <w:r w:rsidR="00261AF5">
        <w:t xml:space="preserve"> </w:t>
      </w:r>
      <w:r w:rsidR="00740631">
        <w:t xml:space="preserve"> </w:t>
      </w:r>
      <w:r w:rsidRPr="00526653" w:rsidR="00740631">
        <w:rPr>
          <w:lang w:eastAsia="en-GB"/>
        </w:rPr>
        <w:t xml:space="preserve">The final budget for Student Loan Resource AME will be completed at </w:t>
      </w:r>
      <w:r w:rsidR="0052398C">
        <w:rPr>
          <w:lang w:eastAsia="en-GB"/>
        </w:rPr>
        <w:t xml:space="preserve">the </w:t>
      </w:r>
      <w:r w:rsidRPr="00526653" w:rsidR="00740631">
        <w:rPr>
          <w:lang w:eastAsia="en-GB"/>
        </w:rPr>
        <w:t xml:space="preserve">Supplementary Estimate, in line with </w:t>
      </w:r>
      <w:r w:rsidR="00740631">
        <w:rPr>
          <w:lang w:eastAsia="en-GB"/>
        </w:rPr>
        <w:t xml:space="preserve">usual practice and </w:t>
      </w:r>
      <w:r w:rsidRPr="00526653" w:rsidR="00740631">
        <w:rPr>
          <w:lang w:eastAsia="en-GB"/>
        </w:rPr>
        <w:t>the annual revaluation of the student loan book.</w:t>
      </w:r>
    </w:p>
    <w:p w:rsidR="00595005" w:rsidP="005160E7">
      <w:pPr>
        <w:pStyle w:val="Heading5"/>
        <w:numPr>
          <w:ilvl w:val="0"/>
          <w:numId w:val="4"/>
        </w:numPr>
        <w:ind w:left="714" w:hanging="357"/>
        <w:jc w:val="both"/>
        <w:rPr>
          <w:rFonts w:asciiTheme="minorHAnsi" w:hAnsiTheme="minorHAnsi" w:cstheme="minorHAnsi"/>
        </w:rPr>
      </w:pPr>
      <w:r>
        <w:rPr>
          <w:rFonts w:asciiTheme="minorHAnsi" w:hAnsiTheme="minorHAnsi" w:cstheme="minorHAnsi"/>
        </w:rPr>
        <w:t xml:space="preserve">Further </w:t>
      </w:r>
      <w:r w:rsidRPr="005160E7">
        <w:rPr>
          <w:rFonts w:ascii="Calibri" w:eastAsia="Times New Roman" w:hAnsi="Calibri" w:cs="Calibri"/>
        </w:rPr>
        <w:t>Education</w:t>
      </w:r>
      <w:r>
        <w:rPr>
          <w:rFonts w:asciiTheme="minorHAnsi" w:hAnsiTheme="minorHAnsi" w:cstheme="minorHAnsi"/>
        </w:rPr>
        <w:t xml:space="preserve"> </w:t>
      </w:r>
    </w:p>
    <w:p w:rsidR="00595005" w:rsidP="00595005">
      <w:pPr>
        <w:ind w:left="720"/>
        <w:rPr>
          <w:lang w:eastAsia="en-GB"/>
        </w:rPr>
      </w:pPr>
      <w:r>
        <w:t xml:space="preserve">The </w:t>
      </w:r>
      <w:r w:rsidRPr="001431DA">
        <w:t xml:space="preserve">budget for this sub-head </w:t>
      </w:r>
      <w:r>
        <w:t>is forecast to change by</w:t>
      </w:r>
      <w:r w:rsidRPr="001431DA">
        <w:t xml:space="preserve"> £</w:t>
      </w:r>
      <w:r w:rsidR="00934981">
        <w:t>74.8</w:t>
      </w:r>
      <w:r>
        <w:t xml:space="preserve"> </w:t>
      </w:r>
      <w:r w:rsidRPr="001431DA">
        <w:t>m</w:t>
      </w:r>
      <w:r>
        <w:t>illion</w:t>
      </w:r>
      <w:r w:rsidRPr="001431DA">
        <w:t xml:space="preserve"> from </w:t>
      </w:r>
      <w:r w:rsidR="00934981">
        <w:t xml:space="preserve">an income budget </w:t>
      </w:r>
      <w:r>
        <w:t xml:space="preserve">of </w:t>
      </w:r>
      <w:r w:rsidRPr="001431DA">
        <w:t>£</w:t>
      </w:r>
      <w:r>
        <w:t xml:space="preserve">0.4 </w:t>
      </w:r>
      <w:r w:rsidRPr="001431DA">
        <w:t xml:space="preserve">million in the </w:t>
      </w:r>
      <w:r w:rsidRPr="001431DA" w:rsidR="00934981">
        <w:t>202</w:t>
      </w:r>
      <w:r w:rsidR="00934981">
        <w:t>2</w:t>
      </w:r>
      <w:r w:rsidRPr="001431DA">
        <w:t>-</w:t>
      </w:r>
      <w:r w:rsidRPr="001431DA" w:rsidR="00934981">
        <w:t>2</w:t>
      </w:r>
      <w:r w:rsidR="00934981">
        <w:t>3</w:t>
      </w:r>
      <w:r w:rsidRPr="001431DA" w:rsidR="00934981">
        <w:t xml:space="preserve"> </w:t>
      </w:r>
      <w:r w:rsidRPr="001431DA">
        <w:t xml:space="preserve">Supplementary Estimate to </w:t>
      </w:r>
      <w:r>
        <w:t xml:space="preserve">an income budget of </w:t>
      </w:r>
      <w:r w:rsidRPr="001431DA">
        <w:t>£</w:t>
      </w:r>
      <w:r w:rsidR="00934981">
        <w:t>0</w:t>
      </w:r>
      <w:r>
        <w:t>.5 million.</w:t>
      </w:r>
      <w:r w:rsidRPr="00740631">
        <w:rPr>
          <w:lang w:eastAsia="en-GB"/>
        </w:rPr>
        <w:t xml:space="preserve"> </w:t>
      </w:r>
      <w:r>
        <w:rPr>
          <w:lang w:eastAsia="en-GB"/>
        </w:rPr>
        <w:t xml:space="preserve"> </w:t>
      </w:r>
      <w:r w:rsidR="0052398C">
        <w:rPr>
          <w:lang w:eastAsia="en-GB"/>
        </w:rPr>
        <w:t xml:space="preserve">This reflects the current forecast for Advanced Learner Loans and will be reviewed at the Supplementary Estimate.   </w:t>
      </w:r>
    </w:p>
    <w:p w:rsidR="00C63CFD" w:rsidP="005160E7">
      <w:pPr>
        <w:pStyle w:val="Heading5"/>
        <w:numPr>
          <w:ilvl w:val="0"/>
          <w:numId w:val="4"/>
        </w:numPr>
        <w:ind w:left="714" w:hanging="357"/>
        <w:jc w:val="both"/>
        <w:rPr>
          <w:rFonts w:asciiTheme="minorHAnsi" w:hAnsiTheme="minorHAnsi" w:cstheme="minorHAnsi"/>
        </w:rPr>
      </w:pPr>
      <w:r>
        <w:rPr>
          <w:rFonts w:asciiTheme="minorHAnsi" w:hAnsiTheme="minorHAnsi" w:cstheme="minorHAnsi"/>
        </w:rPr>
        <w:t xml:space="preserve">Higher </w:t>
      </w:r>
      <w:r w:rsidRPr="005160E7">
        <w:rPr>
          <w:rFonts w:ascii="Calibri" w:eastAsia="Times New Roman" w:hAnsi="Calibri" w:cs="Calibri"/>
        </w:rPr>
        <w:t>Education</w:t>
      </w:r>
      <w:r>
        <w:rPr>
          <w:rFonts w:asciiTheme="minorHAnsi" w:hAnsiTheme="minorHAnsi" w:cstheme="minorHAnsi"/>
        </w:rPr>
        <w:t xml:space="preserve"> (ALB) </w:t>
      </w:r>
    </w:p>
    <w:p w:rsidR="00C63CFD" w:rsidP="00C63CFD">
      <w:pPr>
        <w:ind w:left="720"/>
        <w:rPr>
          <w:lang w:eastAsia="en-GB"/>
        </w:rPr>
      </w:pPr>
      <w:r>
        <w:t xml:space="preserve">The </w:t>
      </w:r>
      <w:r w:rsidRPr="001431DA">
        <w:t xml:space="preserve">budget for this sub-head </w:t>
      </w:r>
      <w:r>
        <w:t>is forecast to change by</w:t>
      </w:r>
      <w:r w:rsidRPr="001431DA">
        <w:t xml:space="preserve"> £</w:t>
      </w:r>
      <w:r w:rsidR="00934981">
        <w:t>27.3</w:t>
      </w:r>
      <w:r>
        <w:t xml:space="preserve"> </w:t>
      </w:r>
      <w:r w:rsidRPr="001431DA">
        <w:t>m</w:t>
      </w:r>
      <w:r>
        <w:t>illion</w:t>
      </w:r>
      <w:r w:rsidRPr="001431DA">
        <w:t xml:space="preserve"> from </w:t>
      </w:r>
      <w:r>
        <w:t xml:space="preserve">net expenditure of </w:t>
      </w:r>
      <w:r w:rsidRPr="001431DA">
        <w:t>£</w:t>
      </w:r>
      <w:r w:rsidR="00934981">
        <w:t>0.6</w:t>
      </w:r>
      <w:r>
        <w:t xml:space="preserve"> </w:t>
      </w:r>
      <w:r w:rsidRPr="001431DA">
        <w:t>million in the 202</w:t>
      </w:r>
      <w:r w:rsidR="001C3BFE">
        <w:t>2</w:t>
      </w:r>
      <w:r w:rsidRPr="001431DA">
        <w:t>-2</w:t>
      </w:r>
      <w:r w:rsidR="001C3BFE">
        <w:t>3</w:t>
      </w:r>
      <w:r w:rsidRPr="001431DA">
        <w:t xml:space="preserve"> Supplementary Estimate to </w:t>
      </w:r>
      <w:r>
        <w:t xml:space="preserve">an income budget of </w:t>
      </w:r>
      <w:r w:rsidRPr="001431DA">
        <w:t>£</w:t>
      </w:r>
      <w:r w:rsidR="00934981">
        <w:t>26.7</w:t>
      </w:r>
      <w:r>
        <w:t xml:space="preserve"> million</w:t>
      </w:r>
      <w:r w:rsidRPr="00934981" w:rsidR="00934981">
        <w:rPr>
          <w:lang w:eastAsia="en-GB"/>
        </w:rPr>
        <w:t xml:space="preserve"> </w:t>
      </w:r>
      <w:r w:rsidR="00934981">
        <w:rPr>
          <w:lang w:eastAsia="en-GB"/>
        </w:rPr>
        <w:t xml:space="preserve">This reflects changes in the budget requirements for provisions.  </w:t>
      </w:r>
    </w:p>
    <w:p w:rsidR="00C63CFD" w:rsidP="005160E7">
      <w:pPr>
        <w:pStyle w:val="Heading5"/>
        <w:numPr>
          <w:ilvl w:val="0"/>
          <w:numId w:val="4"/>
        </w:numPr>
        <w:ind w:left="714" w:hanging="357"/>
        <w:jc w:val="both"/>
        <w:rPr>
          <w:rFonts w:asciiTheme="minorHAnsi" w:hAnsiTheme="minorHAnsi" w:cstheme="minorHAnsi"/>
        </w:rPr>
      </w:pPr>
      <w:r>
        <w:rPr>
          <w:rFonts w:asciiTheme="minorHAnsi" w:hAnsiTheme="minorHAnsi" w:cstheme="minorHAnsi"/>
        </w:rPr>
        <w:t xml:space="preserve">Further </w:t>
      </w:r>
      <w:r w:rsidRPr="005160E7">
        <w:rPr>
          <w:rFonts w:ascii="Calibri" w:eastAsia="Times New Roman" w:hAnsi="Calibri" w:cs="Calibri"/>
        </w:rPr>
        <w:t>Education</w:t>
      </w:r>
      <w:r>
        <w:rPr>
          <w:rFonts w:asciiTheme="minorHAnsi" w:hAnsiTheme="minorHAnsi" w:cstheme="minorHAnsi"/>
        </w:rPr>
        <w:t xml:space="preserve"> (ALB) </w:t>
      </w:r>
    </w:p>
    <w:p w:rsidR="00C63CFD" w:rsidP="00C63CFD">
      <w:pPr>
        <w:ind w:left="720"/>
        <w:rPr>
          <w:lang w:eastAsia="en-GB"/>
        </w:rPr>
      </w:pPr>
      <w:r>
        <w:t xml:space="preserve">The </w:t>
      </w:r>
      <w:r w:rsidRPr="001431DA">
        <w:t xml:space="preserve">budget for this sub-head </w:t>
      </w:r>
      <w:r>
        <w:t>is forecast to change by</w:t>
      </w:r>
      <w:r w:rsidRPr="001431DA">
        <w:t xml:space="preserve"> £</w:t>
      </w:r>
      <w:r w:rsidRPr="00934981" w:rsidR="00934981">
        <w:t>17.7</w:t>
      </w:r>
      <w:r>
        <w:t xml:space="preserve"> </w:t>
      </w:r>
      <w:r w:rsidRPr="001431DA">
        <w:t>m</w:t>
      </w:r>
      <w:r>
        <w:t>illion</w:t>
      </w:r>
      <w:r w:rsidRPr="001431DA">
        <w:t xml:space="preserve"> from</w:t>
      </w:r>
      <w:r>
        <w:t xml:space="preserve"> </w:t>
      </w:r>
      <w:r w:rsidRPr="001431DA">
        <w:t>£</w:t>
      </w:r>
      <w:r w:rsidR="00934981">
        <w:t>22.6</w:t>
      </w:r>
      <w:r>
        <w:t xml:space="preserve"> </w:t>
      </w:r>
      <w:r w:rsidRPr="001431DA">
        <w:t xml:space="preserve">million in the </w:t>
      </w:r>
      <w:r w:rsidRPr="001431DA" w:rsidR="00934981">
        <w:t>202</w:t>
      </w:r>
      <w:r w:rsidR="00934981">
        <w:t>2</w:t>
      </w:r>
      <w:r w:rsidRPr="001431DA">
        <w:t>-</w:t>
      </w:r>
      <w:r w:rsidRPr="001431DA" w:rsidR="00934981">
        <w:t>2</w:t>
      </w:r>
      <w:r w:rsidR="00934981">
        <w:t>3</w:t>
      </w:r>
      <w:r w:rsidRPr="001431DA" w:rsidR="00934981">
        <w:t xml:space="preserve"> </w:t>
      </w:r>
      <w:r w:rsidRPr="001431DA">
        <w:t xml:space="preserve">Supplementary Estimate to </w:t>
      </w:r>
      <w:r w:rsidR="00934981">
        <w:t>a</w:t>
      </w:r>
      <w:r>
        <w:t xml:space="preserve"> budget of </w:t>
      </w:r>
      <w:r w:rsidRPr="001431DA">
        <w:t>£</w:t>
      </w:r>
      <w:r w:rsidR="00934981">
        <w:t>4.9</w:t>
      </w:r>
      <w:r>
        <w:t xml:space="preserve"> million.</w:t>
      </w:r>
      <w:r w:rsidRPr="00740631">
        <w:rPr>
          <w:lang w:eastAsia="en-GB"/>
        </w:rPr>
        <w:t xml:space="preserve"> </w:t>
      </w:r>
      <w:r>
        <w:rPr>
          <w:lang w:eastAsia="en-GB"/>
        </w:rPr>
        <w:t xml:space="preserve"> </w:t>
      </w:r>
      <w:r w:rsidRPr="009F5246">
        <w:rPr>
          <w:lang w:eastAsia="en-GB"/>
        </w:rPr>
        <w:t>This reflects the current forecast for Advanced Learner Loans and will be reviewed at the Supplementary Estimate.</w:t>
      </w:r>
      <w:r>
        <w:rPr>
          <w:lang w:eastAsia="en-GB"/>
        </w:rPr>
        <w:t xml:space="preserve">   </w:t>
      </w:r>
    </w:p>
    <w:p w:rsidR="00534B77" w:rsidRPr="00045566" w:rsidP="006B3FD3">
      <w:pPr>
        <w:jc w:val="both"/>
        <w:rPr>
          <w:iCs/>
          <w:lang w:eastAsia="en-GB"/>
        </w:rPr>
      </w:pPr>
    </w:p>
    <w:p w:rsidR="00AE679B" w:rsidRPr="00EE1AAB" w:rsidP="00EE1AAB">
      <w:pPr>
        <w:rPr>
          <w:rFonts w:eastAsia="Times New Roman" w:asciiTheme="majorHAnsi" w:hAnsiTheme="majorHAnsi" w:cstheme="majorBidi"/>
          <w:b/>
          <w:iCs/>
          <w:color w:val="2F5496" w:themeColor="accent1" w:themeShade="BF"/>
        </w:rPr>
      </w:pPr>
      <w:r w:rsidRPr="00EE1AAB">
        <w:rPr>
          <w:rFonts w:eastAsia="Times New Roman" w:asciiTheme="majorHAnsi" w:hAnsiTheme="majorHAnsi" w:cstheme="majorBidi"/>
          <w:b/>
          <w:iCs/>
          <w:color w:val="2F5496" w:themeColor="accent1" w:themeShade="BF"/>
        </w:rPr>
        <w:t xml:space="preserve">Capital </w:t>
      </w:r>
      <w:r w:rsidRPr="00EE1AAB">
        <w:rPr>
          <w:rFonts w:eastAsia="Times New Roman" w:asciiTheme="majorHAnsi" w:hAnsiTheme="majorHAnsi" w:cstheme="majorBidi"/>
          <w:b/>
          <w:iCs/>
          <w:color w:val="2F5496" w:themeColor="accent1" w:themeShade="BF"/>
        </w:rPr>
        <w:t>AME</w:t>
      </w:r>
    </w:p>
    <w:p w:rsidR="00796DDE" w:rsidP="00EF63D2">
      <w:r w:rsidRPr="0080737B">
        <w:t xml:space="preserve">The table below shows how spending plans for </w:t>
      </w:r>
      <w:r w:rsidRPr="0080737B" w:rsidR="00520C0B">
        <w:t>Capital</w:t>
      </w:r>
      <w:r w:rsidRPr="0080737B" w:rsidR="0041096A">
        <w:t xml:space="preserve"> AME compare with</w:t>
      </w:r>
      <w:r w:rsidR="0032406E">
        <w:t xml:space="preserve"> last year.</w:t>
      </w:r>
      <w:r w:rsidRPr="0080737B" w:rsidR="0041096A">
        <w:t xml:space="preserve"> </w:t>
      </w:r>
      <w:r w:rsidR="0032406E">
        <w:t xml:space="preserve"> </w:t>
      </w:r>
      <w:r w:rsidR="0080737B">
        <w:t xml:space="preserve"> </w:t>
      </w:r>
    </w:p>
    <w:p w:rsidR="00781D7B" w:rsidRPr="00FD6263" w:rsidP="00781D7B">
      <w:pPr>
        <w:spacing w:before="120" w:after="120"/>
        <w:jc w:val="both"/>
        <w:rPr>
          <w:b/>
          <w:lang w:eastAsia="en-GB"/>
        </w:rPr>
      </w:pPr>
    </w:p>
    <w:tbl>
      <w:tblPr>
        <w:tblW w:w="9006" w:type="dxa"/>
        <w:tblLayout w:type="fixed"/>
        <w:tblLook w:val="04A0"/>
      </w:tblPr>
      <w:tblGrid>
        <w:gridCol w:w="333"/>
        <w:gridCol w:w="2065"/>
        <w:gridCol w:w="1658"/>
        <w:gridCol w:w="1658"/>
        <w:gridCol w:w="1658"/>
        <w:gridCol w:w="787"/>
        <w:gridCol w:w="847"/>
      </w:tblGrid>
      <w:tr w:rsidTr="00C53137">
        <w:tblPrEx>
          <w:tblW w:w="9006" w:type="dxa"/>
          <w:tblLayout w:type="fixed"/>
          <w:tblLook w:val="04A0"/>
        </w:tblPrEx>
        <w:trPr>
          <w:trHeight w:val="1035"/>
        </w:trPr>
        <w:tc>
          <w:tcPr>
            <w:tcW w:w="2398" w:type="dxa"/>
            <w:gridSpan w:val="2"/>
            <w:tcBorders>
              <w:top w:val="single" w:sz="8" w:space="0" w:color="auto"/>
              <w:left w:val="single" w:sz="8" w:space="0" w:color="auto"/>
              <w:bottom w:val="single" w:sz="4" w:space="0" w:color="auto"/>
              <w:right w:val="single" w:sz="4" w:space="0" w:color="auto"/>
            </w:tcBorders>
            <w:shd w:val="clear" w:color="auto" w:fill="auto"/>
            <w:noWrap/>
            <w:hideMark/>
          </w:tcPr>
          <w:p w:rsidR="00C53137" w:rsidRPr="005575E6" w:rsidP="007D62FB">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Capital AME</w:t>
            </w:r>
            <w:r w:rsidRPr="005575E6">
              <w:rPr>
                <w:rFonts w:ascii="Calibri" w:eastAsia="Times New Roman" w:hAnsi="Calibri" w:cs="Calibri"/>
                <w:sz w:val="18"/>
                <w:szCs w:val="18"/>
                <w:lang w:eastAsia="en-GB"/>
              </w:rPr>
              <w:t> </w:t>
            </w:r>
          </w:p>
        </w:tc>
        <w:tc>
          <w:tcPr>
            <w:tcW w:w="1658" w:type="dxa"/>
            <w:tcBorders>
              <w:top w:val="single" w:sz="8" w:space="0" w:color="auto"/>
              <w:left w:val="nil"/>
              <w:bottom w:val="single" w:sz="4" w:space="0" w:color="auto"/>
              <w:right w:val="single" w:sz="4" w:space="0" w:color="auto"/>
            </w:tcBorders>
            <w:shd w:val="clear" w:color="auto" w:fill="auto"/>
            <w:hideMark/>
          </w:tcPr>
          <w:p w:rsidR="00C53137" w:rsidRPr="005575E6" w:rsidP="007D62FB">
            <w:pPr>
              <w:spacing w:after="0" w:line="240" w:lineRule="auto"/>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Main</w:t>
            </w:r>
            <w:r>
              <w:rPr>
                <w:rFonts w:ascii="Calibri" w:eastAsia="Times New Roman" w:hAnsi="Calibri" w:cs="Calibri"/>
                <w:b/>
                <w:bCs/>
                <w:sz w:val="18"/>
                <w:szCs w:val="18"/>
                <w:lang w:eastAsia="en-GB"/>
              </w:rPr>
              <w:t xml:space="preserve"> Estimate</w:t>
            </w:r>
            <w:r w:rsidRPr="00C27462">
              <w:rPr>
                <w:rFonts w:ascii="Calibri" w:eastAsia="Times New Roman" w:hAnsi="Calibri" w:cs="Calibri"/>
                <w:b/>
                <w:bCs/>
                <w:sz w:val="18"/>
                <w:szCs w:val="18"/>
                <w:lang w:eastAsia="en-GB"/>
              </w:rPr>
              <w:t xml:space="preserve"> 202</w:t>
            </w:r>
            <w:r>
              <w:rPr>
                <w:rFonts w:ascii="Calibri" w:eastAsia="Times New Roman" w:hAnsi="Calibri" w:cs="Calibri"/>
                <w:b/>
                <w:bCs/>
                <w:sz w:val="18"/>
                <w:szCs w:val="18"/>
                <w:lang w:eastAsia="en-GB"/>
              </w:rPr>
              <w:t>3</w:t>
            </w:r>
            <w:r w:rsidRPr="00C27462">
              <w:rPr>
                <w:rFonts w:ascii="Calibri" w:eastAsia="Times New Roman" w:hAnsi="Calibri" w:cs="Calibri"/>
                <w:b/>
                <w:bCs/>
                <w:sz w:val="18"/>
                <w:szCs w:val="18"/>
                <w:lang w:eastAsia="en-GB"/>
              </w:rPr>
              <w:t>-2</w:t>
            </w:r>
            <w:r>
              <w:rPr>
                <w:rFonts w:ascii="Calibri" w:eastAsia="Times New Roman" w:hAnsi="Calibri" w:cs="Calibri"/>
                <w:b/>
                <w:bCs/>
                <w:sz w:val="18"/>
                <w:szCs w:val="18"/>
                <w:lang w:eastAsia="en-GB"/>
              </w:rPr>
              <w:t>4</w:t>
            </w:r>
          </w:p>
        </w:tc>
        <w:tc>
          <w:tcPr>
            <w:tcW w:w="1658" w:type="dxa"/>
            <w:tcBorders>
              <w:top w:val="single" w:sz="8" w:space="0" w:color="auto"/>
              <w:left w:val="nil"/>
              <w:bottom w:val="single" w:sz="4" w:space="0" w:color="auto"/>
              <w:right w:val="single" w:sz="4" w:space="0" w:color="auto"/>
            </w:tcBorders>
            <w:shd w:val="clear" w:color="auto" w:fill="auto"/>
            <w:hideMark/>
          </w:tcPr>
          <w:p w:rsidR="00C53137" w:rsidRPr="005575E6" w:rsidP="007D62FB">
            <w:pPr>
              <w:spacing w:after="0" w:line="240" w:lineRule="auto"/>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Supp</w:t>
            </w:r>
            <w:r>
              <w:rPr>
                <w:rFonts w:ascii="Calibri" w:eastAsia="Times New Roman" w:hAnsi="Calibri" w:cs="Calibri"/>
                <w:b/>
                <w:bCs/>
                <w:sz w:val="18"/>
                <w:szCs w:val="18"/>
                <w:lang w:eastAsia="en-GB"/>
              </w:rPr>
              <w:t>lementary Estimate</w:t>
            </w:r>
            <w:r w:rsidRPr="00C27462">
              <w:rPr>
                <w:rFonts w:ascii="Calibri" w:eastAsia="Times New Roman" w:hAnsi="Calibri" w:cs="Calibri"/>
                <w:b/>
                <w:bCs/>
                <w:sz w:val="18"/>
                <w:szCs w:val="18"/>
                <w:lang w:eastAsia="en-GB"/>
              </w:rPr>
              <w:t xml:space="preserve"> 202</w:t>
            </w:r>
            <w:r>
              <w:rPr>
                <w:rFonts w:ascii="Calibri" w:eastAsia="Times New Roman" w:hAnsi="Calibri" w:cs="Calibri"/>
                <w:b/>
                <w:bCs/>
                <w:sz w:val="18"/>
                <w:szCs w:val="18"/>
                <w:lang w:eastAsia="en-GB"/>
              </w:rPr>
              <w:t>2</w:t>
            </w:r>
            <w:r w:rsidRPr="00C27462">
              <w:rPr>
                <w:rFonts w:ascii="Calibri" w:eastAsia="Times New Roman" w:hAnsi="Calibri" w:cs="Calibri"/>
                <w:b/>
                <w:bCs/>
                <w:sz w:val="18"/>
                <w:szCs w:val="18"/>
                <w:lang w:eastAsia="en-GB"/>
              </w:rPr>
              <w:t>-2</w:t>
            </w:r>
            <w:r>
              <w:rPr>
                <w:rFonts w:ascii="Calibri" w:eastAsia="Times New Roman" w:hAnsi="Calibri" w:cs="Calibri"/>
                <w:b/>
                <w:bCs/>
                <w:sz w:val="18"/>
                <w:szCs w:val="18"/>
                <w:lang w:eastAsia="en-GB"/>
              </w:rPr>
              <w:t>3</w:t>
            </w:r>
            <w:r w:rsidRPr="00C27462">
              <w:rPr>
                <w:rFonts w:ascii="Calibri" w:eastAsia="Times New Roman" w:hAnsi="Calibri" w:cs="Calibri"/>
                <w:b/>
                <w:bCs/>
                <w:sz w:val="18"/>
                <w:szCs w:val="18"/>
                <w:lang w:eastAsia="en-GB"/>
              </w:rPr>
              <w:t xml:space="preserve"> </w:t>
            </w:r>
          </w:p>
        </w:tc>
        <w:tc>
          <w:tcPr>
            <w:tcW w:w="1658" w:type="dxa"/>
            <w:tcBorders>
              <w:top w:val="single" w:sz="8" w:space="0" w:color="auto"/>
              <w:left w:val="nil"/>
              <w:bottom w:val="single" w:sz="4" w:space="0" w:color="auto"/>
              <w:right w:val="single" w:sz="4" w:space="0" w:color="auto"/>
            </w:tcBorders>
            <w:shd w:val="clear" w:color="auto" w:fill="auto"/>
            <w:hideMark/>
          </w:tcPr>
          <w:p w:rsidR="00C53137" w:rsidRPr="005575E6" w:rsidP="007D62FB">
            <w:pPr>
              <w:spacing w:after="0" w:line="240" w:lineRule="auto"/>
              <w:rPr>
                <w:rFonts w:ascii="Calibri" w:eastAsia="Times New Roman" w:hAnsi="Calibri" w:cs="Calibri"/>
                <w:b/>
                <w:bCs/>
                <w:sz w:val="18"/>
                <w:szCs w:val="18"/>
                <w:lang w:eastAsia="en-GB"/>
              </w:rPr>
            </w:pPr>
            <w:r w:rsidRPr="00C27462">
              <w:rPr>
                <w:rFonts w:ascii="Calibri" w:eastAsia="Times New Roman" w:hAnsi="Calibri" w:cs="Calibri"/>
                <w:b/>
                <w:bCs/>
                <w:sz w:val="18"/>
                <w:szCs w:val="18"/>
                <w:lang w:eastAsia="en-GB"/>
              </w:rPr>
              <w:t>Change from Supp</w:t>
            </w:r>
            <w:r>
              <w:rPr>
                <w:rFonts w:ascii="Calibri" w:eastAsia="Times New Roman" w:hAnsi="Calibri" w:cs="Calibri"/>
                <w:b/>
                <w:bCs/>
                <w:sz w:val="18"/>
                <w:szCs w:val="18"/>
                <w:lang w:eastAsia="en-GB"/>
              </w:rPr>
              <w:t>lementary Estimate</w:t>
            </w:r>
            <w:r w:rsidRPr="00C27462">
              <w:rPr>
                <w:rFonts w:ascii="Calibri" w:eastAsia="Times New Roman" w:hAnsi="Calibri" w:cs="Calibri"/>
                <w:b/>
                <w:bCs/>
                <w:sz w:val="18"/>
                <w:szCs w:val="18"/>
                <w:lang w:eastAsia="en-GB"/>
              </w:rPr>
              <w:t xml:space="preserve"> 202</w:t>
            </w:r>
            <w:r>
              <w:rPr>
                <w:rFonts w:ascii="Calibri" w:eastAsia="Times New Roman" w:hAnsi="Calibri" w:cs="Calibri"/>
                <w:b/>
                <w:bCs/>
                <w:sz w:val="18"/>
                <w:szCs w:val="18"/>
                <w:lang w:eastAsia="en-GB"/>
              </w:rPr>
              <w:t>2</w:t>
            </w:r>
            <w:r w:rsidR="003C753B">
              <w:rPr>
                <w:rFonts w:ascii="Calibri" w:eastAsia="Times New Roman" w:hAnsi="Calibri" w:cs="Calibri"/>
                <w:b/>
                <w:bCs/>
                <w:sz w:val="18"/>
                <w:szCs w:val="18"/>
                <w:lang w:eastAsia="en-GB"/>
              </w:rPr>
              <w:t>-</w:t>
            </w:r>
            <w:r w:rsidRPr="00C27462">
              <w:rPr>
                <w:rFonts w:ascii="Calibri" w:eastAsia="Times New Roman" w:hAnsi="Calibri" w:cs="Calibri"/>
                <w:b/>
                <w:bCs/>
                <w:sz w:val="18"/>
                <w:szCs w:val="18"/>
                <w:lang w:eastAsia="en-GB"/>
              </w:rPr>
              <w:t>2</w:t>
            </w:r>
            <w:r w:rsidR="003C753B">
              <w:rPr>
                <w:rFonts w:ascii="Calibri" w:eastAsia="Times New Roman" w:hAnsi="Calibri" w:cs="Calibri"/>
                <w:b/>
                <w:bCs/>
                <w:sz w:val="18"/>
                <w:szCs w:val="18"/>
                <w:lang w:eastAsia="en-GB"/>
              </w:rPr>
              <w:t>3</w:t>
            </w:r>
            <w:r w:rsidRPr="00C27462">
              <w:rPr>
                <w:rFonts w:ascii="Calibri" w:eastAsia="Times New Roman" w:hAnsi="Calibri" w:cs="Calibri"/>
                <w:b/>
                <w:bCs/>
                <w:sz w:val="18"/>
                <w:szCs w:val="18"/>
                <w:lang w:eastAsia="en-GB"/>
              </w:rPr>
              <w:t xml:space="preserve"> (decrease in brackets)</w:t>
            </w:r>
          </w:p>
        </w:tc>
        <w:tc>
          <w:tcPr>
            <w:tcW w:w="787" w:type="dxa"/>
            <w:tcBorders>
              <w:top w:val="single" w:sz="8" w:space="0" w:color="auto"/>
              <w:left w:val="nil"/>
              <w:bottom w:val="single" w:sz="4" w:space="0" w:color="auto"/>
              <w:right w:val="single" w:sz="4" w:space="0" w:color="auto"/>
            </w:tcBorders>
            <w:shd w:val="clear" w:color="auto" w:fill="auto"/>
          </w:tcPr>
          <w:p w:rsidR="00C53137" w:rsidRPr="005575E6" w:rsidP="007D62FB">
            <w:pPr>
              <w:spacing w:after="0" w:line="240" w:lineRule="auto"/>
              <w:rPr>
                <w:rFonts w:ascii="Calibri" w:eastAsia="Times New Roman" w:hAnsi="Calibri" w:cs="Calibri"/>
                <w:b/>
                <w:bCs/>
                <w:sz w:val="18"/>
                <w:szCs w:val="18"/>
                <w:lang w:eastAsia="en-GB"/>
              </w:rPr>
            </w:pPr>
          </w:p>
        </w:tc>
        <w:tc>
          <w:tcPr>
            <w:tcW w:w="847" w:type="dxa"/>
            <w:tcBorders>
              <w:top w:val="single" w:sz="8" w:space="0" w:color="auto"/>
              <w:left w:val="nil"/>
              <w:bottom w:val="single" w:sz="4" w:space="0" w:color="auto"/>
              <w:right w:val="single" w:sz="8" w:space="0" w:color="auto"/>
            </w:tcBorders>
            <w:shd w:val="clear" w:color="auto" w:fill="auto"/>
            <w:hideMark/>
          </w:tcPr>
          <w:p w:rsidR="00C53137" w:rsidRPr="005575E6" w:rsidP="007D62FB">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Note number</w:t>
            </w:r>
          </w:p>
        </w:tc>
      </w:tr>
      <w:tr w:rsidTr="00C53137">
        <w:tblPrEx>
          <w:tblW w:w="9006" w:type="dxa"/>
          <w:tblLayout w:type="fixed"/>
          <w:tblLook w:val="04A0"/>
        </w:tblPrEx>
        <w:trPr>
          <w:trHeight w:val="297"/>
        </w:trPr>
        <w:tc>
          <w:tcPr>
            <w:tcW w:w="333" w:type="dxa"/>
            <w:tcBorders>
              <w:top w:val="nil"/>
              <w:left w:val="single" w:sz="8" w:space="0" w:color="auto"/>
              <w:bottom w:val="single" w:sz="4" w:space="0" w:color="auto"/>
              <w:right w:val="single" w:sz="4" w:space="0" w:color="auto"/>
            </w:tcBorders>
            <w:shd w:val="clear" w:color="auto" w:fill="auto"/>
            <w:noWrap/>
            <w:hideMark/>
          </w:tcPr>
          <w:p w:rsidR="00FB7B1C" w:rsidRPr="005575E6" w:rsidP="00FB7B1C">
            <w:pPr>
              <w:spacing w:after="0" w:line="240" w:lineRule="auto"/>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 </w:t>
            </w:r>
          </w:p>
        </w:tc>
        <w:tc>
          <w:tcPr>
            <w:tcW w:w="2065" w:type="dxa"/>
            <w:tcBorders>
              <w:top w:val="nil"/>
              <w:left w:val="nil"/>
              <w:bottom w:val="single" w:sz="4" w:space="0" w:color="auto"/>
              <w:right w:val="single" w:sz="4" w:space="0" w:color="auto"/>
            </w:tcBorders>
            <w:shd w:val="clear" w:color="auto" w:fill="auto"/>
            <w:noWrap/>
            <w:hideMark/>
          </w:tcPr>
          <w:p w:rsidR="00FB7B1C" w:rsidRPr="005575E6" w:rsidP="00FB7B1C">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Description</w:t>
            </w:r>
          </w:p>
        </w:tc>
        <w:tc>
          <w:tcPr>
            <w:tcW w:w="1658" w:type="dxa"/>
            <w:tcBorders>
              <w:top w:val="nil"/>
              <w:left w:val="nil"/>
              <w:bottom w:val="single" w:sz="4" w:space="0" w:color="auto"/>
              <w:right w:val="single" w:sz="4" w:space="0" w:color="auto"/>
            </w:tcBorders>
            <w:shd w:val="clear" w:color="auto" w:fill="auto"/>
            <w:noWrap/>
            <w:hideMark/>
          </w:tcPr>
          <w:p w:rsidR="00FB7B1C" w:rsidRPr="005575E6" w:rsidP="00FB7B1C">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1658" w:type="dxa"/>
            <w:tcBorders>
              <w:top w:val="nil"/>
              <w:left w:val="nil"/>
              <w:bottom w:val="single" w:sz="4" w:space="0" w:color="auto"/>
              <w:right w:val="single" w:sz="4" w:space="0" w:color="auto"/>
            </w:tcBorders>
            <w:shd w:val="clear" w:color="auto" w:fill="auto"/>
            <w:noWrap/>
            <w:hideMark/>
          </w:tcPr>
          <w:p w:rsidR="00FB7B1C" w:rsidRPr="005575E6" w:rsidP="00FB7B1C">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1658" w:type="dxa"/>
            <w:tcBorders>
              <w:top w:val="nil"/>
              <w:left w:val="nil"/>
              <w:bottom w:val="single" w:sz="4" w:space="0" w:color="auto"/>
              <w:right w:val="single" w:sz="4" w:space="0" w:color="auto"/>
            </w:tcBorders>
            <w:shd w:val="clear" w:color="auto" w:fill="auto"/>
            <w:noWrap/>
            <w:hideMark/>
          </w:tcPr>
          <w:p w:rsidR="00FB7B1C" w:rsidRPr="005575E6" w:rsidP="00FB7B1C">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£m</w:t>
            </w:r>
          </w:p>
        </w:tc>
        <w:tc>
          <w:tcPr>
            <w:tcW w:w="787" w:type="dxa"/>
            <w:tcBorders>
              <w:top w:val="nil"/>
              <w:left w:val="nil"/>
              <w:bottom w:val="single" w:sz="4" w:space="0" w:color="auto"/>
              <w:right w:val="single" w:sz="4" w:space="0" w:color="auto"/>
            </w:tcBorders>
            <w:shd w:val="clear" w:color="auto" w:fill="auto"/>
            <w:noWrap/>
            <w:hideMark/>
          </w:tcPr>
          <w:p w:rsidR="00FB7B1C" w:rsidRPr="005575E6" w:rsidP="00FB7B1C">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w:t>
            </w:r>
          </w:p>
        </w:tc>
        <w:tc>
          <w:tcPr>
            <w:tcW w:w="847" w:type="dxa"/>
            <w:tcBorders>
              <w:top w:val="nil"/>
              <w:left w:val="nil"/>
              <w:bottom w:val="single" w:sz="4" w:space="0" w:color="auto"/>
              <w:right w:val="single" w:sz="8" w:space="0" w:color="auto"/>
            </w:tcBorders>
            <w:shd w:val="clear" w:color="auto" w:fill="auto"/>
            <w:noWrap/>
            <w:hideMark/>
          </w:tcPr>
          <w:p w:rsidR="00FB7B1C" w:rsidRPr="005575E6" w:rsidP="00FB7B1C">
            <w:pPr>
              <w:spacing w:after="0" w:line="240" w:lineRule="auto"/>
              <w:rPr>
                <w:rFonts w:ascii="Calibri" w:eastAsia="Times New Roman" w:hAnsi="Calibri" w:cs="Calibri"/>
                <w:b/>
                <w:bCs/>
                <w:sz w:val="18"/>
                <w:szCs w:val="18"/>
                <w:lang w:eastAsia="en-GB"/>
              </w:rPr>
            </w:pPr>
            <w:r w:rsidRPr="005575E6">
              <w:rPr>
                <w:rFonts w:ascii="Calibri" w:eastAsia="Times New Roman" w:hAnsi="Calibri" w:cs="Calibri"/>
                <w:b/>
                <w:bCs/>
                <w:sz w:val="18"/>
                <w:szCs w:val="18"/>
                <w:lang w:eastAsia="en-GB"/>
              </w:rPr>
              <w:t> </w:t>
            </w:r>
          </w:p>
        </w:tc>
      </w:tr>
      <w:tr w:rsidTr="00C53137">
        <w:tblPrEx>
          <w:tblW w:w="9006" w:type="dxa"/>
          <w:tblLayout w:type="fixed"/>
          <w:tblLook w:val="04A0"/>
        </w:tblPrEx>
        <w:trPr>
          <w:trHeight w:val="285"/>
        </w:trPr>
        <w:tc>
          <w:tcPr>
            <w:tcW w:w="333" w:type="dxa"/>
            <w:tcBorders>
              <w:top w:val="nil"/>
              <w:left w:val="single" w:sz="8" w:space="0" w:color="auto"/>
              <w:bottom w:val="single" w:sz="4" w:space="0" w:color="auto"/>
              <w:right w:val="single" w:sz="4" w:space="0" w:color="auto"/>
            </w:tcBorders>
            <w:shd w:val="clear" w:color="auto" w:fill="auto"/>
            <w:noWrap/>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hAnsi="Calibri" w:cs="Calibri"/>
                <w:sz w:val="18"/>
                <w:szCs w:val="18"/>
              </w:rPr>
              <w:t>R</w:t>
            </w:r>
          </w:p>
        </w:tc>
        <w:tc>
          <w:tcPr>
            <w:tcW w:w="2065"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hAnsi="Calibri" w:cs="Calibri"/>
                <w:color w:val="000000"/>
                <w:sz w:val="18"/>
                <w:szCs w:val="18"/>
              </w:rPr>
              <w:t xml:space="preserve">Higher Education </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34,297.5</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27,068.1</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7,229.4</w:t>
            </w:r>
          </w:p>
        </w:tc>
        <w:tc>
          <w:tcPr>
            <w:tcW w:w="787"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26.7</w:t>
            </w:r>
          </w:p>
        </w:tc>
        <w:tc>
          <w:tcPr>
            <w:tcW w:w="847" w:type="dxa"/>
            <w:tcBorders>
              <w:top w:val="nil"/>
              <w:left w:val="nil"/>
              <w:bottom w:val="single" w:sz="4" w:space="0" w:color="auto"/>
              <w:right w:val="single" w:sz="8" w:space="0" w:color="auto"/>
            </w:tcBorders>
            <w:shd w:val="clear" w:color="auto" w:fill="auto"/>
            <w:noWrap/>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w:t>
            </w:r>
            <w:r w:rsidR="00892F41">
              <w:rPr>
                <w:rFonts w:ascii="Calibri" w:eastAsia="Times New Roman" w:hAnsi="Calibri" w:cs="Calibri"/>
                <w:sz w:val="18"/>
                <w:szCs w:val="18"/>
                <w:lang w:eastAsia="en-GB"/>
              </w:rPr>
              <w:t>5</w:t>
            </w:r>
          </w:p>
        </w:tc>
      </w:tr>
      <w:tr w:rsidTr="00C53137">
        <w:tblPrEx>
          <w:tblW w:w="9006" w:type="dxa"/>
          <w:tblLayout w:type="fixed"/>
          <w:tblLook w:val="04A0"/>
        </w:tblPrEx>
        <w:trPr>
          <w:trHeight w:val="285"/>
        </w:trPr>
        <w:tc>
          <w:tcPr>
            <w:tcW w:w="333" w:type="dxa"/>
            <w:tcBorders>
              <w:top w:val="nil"/>
              <w:left w:val="single" w:sz="8" w:space="0" w:color="auto"/>
              <w:bottom w:val="single" w:sz="4" w:space="0" w:color="auto"/>
              <w:right w:val="single" w:sz="4" w:space="0" w:color="auto"/>
            </w:tcBorders>
            <w:shd w:val="clear" w:color="auto" w:fill="auto"/>
            <w:noWrap/>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hAnsi="Calibri" w:cs="Calibri"/>
                <w:sz w:val="18"/>
                <w:szCs w:val="18"/>
              </w:rPr>
              <w:t>S</w:t>
            </w:r>
          </w:p>
        </w:tc>
        <w:tc>
          <w:tcPr>
            <w:tcW w:w="2065"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hAnsi="Calibri" w:cs="Calibri"/>
                <w:color w:val="000000"/>
                <w:sz w:val="18"/>
                <w:szCs w:val="18"/>
              </w:rPr>
              <w:t xml:space="preserve">Further Education  </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128.7</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182.5</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(53.8)</w:t>
            </w:r>
          </w:p>
        </w:tc>
        <w:tc>
          <w:tcPr>
            <w:tcW w:w="787"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(29.5)</w:t>
            </w:r>
          </w:p>
        </w:tc>
        <w:tc>
          <w:tcPr>
            <w:tcW w:w="847" w:type="dxa"/>
            <w:tcBorders>
              <w:top w:val="nil"/>
              <w:left w:val="nil"/>
              <w:bottom w:val="single" w:sz="4" w:space="0" w:color="auto"/>
              <w:right w:val="single" w:sz="8" w:space="0" w:color="auto"/>
            </w:tcBorders>
            <w:shd w:val="clear" w:color="auto" w:fill="auto"/>
            <w:noWrap/>
            <w:hideMark/>
          </w:tcPr>
          <w:p w:rsidR="005575E6" w:rsidRPr="005575E6" w:rsidP="005575E6">
            <w:pPr>
              <w:spacing w:after="0" w:line="240" w:lineRule="auto"/>
              <w:jc w:val="center"/>
              <w:rPr>
                <w:rFonts w:ascii="Calibri" w:eastAsia="Times New Roman" w:hAnsi="Calibri" w:cs="Calibri"/>
                <w:sz w:val="18"/>
                <w:szCs w:val="18"/>
                <w:lang w:eastAsia="en-GB"/>
              </w:rPr>
            </w:pPr>
            <w:r w:rsidRPr="005575E6">
              <w:rPr>
                <w:rFonts w:ascii="Calibri" w:eastAsia="Times New Roman" w:hAnsi="Calibri" w:cs="Calibri"/>
                <w:sz w:val="18"/>
                <w:szCs w:val="18"/>
                <w:lang w:eastAsia="en-GB"/>
              </w:rPr>
              <w:t>1</w:t>
            </w:r>
            <w:r w:rsidR="00892F41">
              <w:rPr>
                <w:rFonts w:ascii="Calibri" w:eastAsia="Times New Roman" w:hAnsi="Calibri" w:cs="Calibri"/>
                <w:sz w:val="18"/>
                <w:szCs w:val="18"/>
                <w:lang w:eastAsia="en-GB"/>
              </w:rPr>
              <w:t>6</w:t>
            </w:r>
          </w:p>
        </w:tc>
      </w:tr>
      <w:tr w:rsidTr="00C53137">
        <w:tblPrEx>
          <w:tblW w:w="9006" w:type="dxa"/>
          <w:tblLayout w:type="fixed"/>
          <w:tblLook w:val="04A0"/>
        </w:tblPrEx>
        <w:trPr>
          <w:trHeight w:val="285"/>
        </w:trPr>
        <w:tc>
          <w:tcPr>
            <w:tcW w:w="333" w:type="dxa"/>
            <w:tcBorders>
              <w:top w:val="nil"/>
              <w:left w:val="single" w:sz="8" w:space="0" w:color="auto"/>
              <w:bottom w:val="single" w:sz="4" w:space="0" w:color="auto"/>
              <w:right w:val="single" w:sz="4" w:space="0" w:color="auto"/>
            </w:tcBorders>
            <w:shd w:val="clear" w:color="auto" w:fill="auto"/>
            <w:noWrap/>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hAnsi="Calibri" w:cs="Calibri"/>
                <w:sz w:val="18"/>
                <w:szCs w:val="18"/>
              </w:rPr>
              <w:t>U</w:t>
            </w:r>
          </w:p>
        </w:tc>
        <w:tc>
          <w:tcPr>
            <w:tcW w:w="2065"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hAnsi="Calibri" w:cs="Calibri"/>
                <w:color w:val="000000"/>
                <w:sz w:val="18"/>
                <w:szCs w:val="18"/>
              </w:rPr>
              <w:t>Further Education (ALB) (net)</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2.5</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2.6</w:t>
            </w:r>
          </w:p>
        </w:tc>
        <w:tc>
          <w:tcPr>
            <w:tcW w:w="1658"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(0.0)</w:t>
            </w:r>
          </w:p>
        </w:tc>
        <w:tc>
          <w:tcPr>
            <w:tcW w:w="787" w:type="dxa"/>
            <w:tcBorders>
              <w:top w:val="nil"/>
              <w:left w:val="nil"/>
              <w:bottom w:val="single" w:sz="4"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sz w:val="18"/>
                <w:szCs w:val="18"/>
                <w:lang w:eastAsia="en-GB"/>
              </w:rPr>
            </w:pPr>
            <w:r w:rsidRPr="005575E6">
              <w:rPr>
                <w:rFonts w:ascii="Calibri" w:hAnsi="Calibri" w:cs="Calibri"/>
                <w:sz w:val="18"/>
                <w:szCs w:val="18"/>
              </w:rPr>
              <w:t>(2.0)</w:t>
            </w:r>
          </w:p>
        </w:tc>
        <w:tc>
          <w:tcPr>
            <w:tcW w:w="847" w:type="dxa"/>
            <w:tcBorders>
              <w:top w:val="nil"/>
              <w:left w:val="nil"/>
              <w:bottom w:val="single" w:sz="4" w:space="0" w:color="auto"/>
              <w:right w:val="single" w:sz="8" w:space="0" w:color="auto"/>
            </w:tcBorders>
            <w:shd w:val="clear" w:color="auto" w:fill="auto"/>
            <w:noWrap/>
            <w:hideMark/>
          </w:tcPr>
          <w:p w:rsidR="005575E6" w:rsidRPr="005575E6" w:rsidP="00F97158">
            <w:pPr>
              <w:spacing w:after="0" w:line="240" w:lineRule="auto"/>
              <w:rPr>
                <w:rFonts w:ascii="Calibri" w:eastAsia="Times New Roman" w:hAnsi="Calibri" w:cs="Calibri"/>
                <w:sz w:val="18"/>
                <w:szCs w:val="18"/>
                <w:lang w:eastAsia="en-GB"/>
              </w:rPr>
            </w:pPr>
          </w:p>
        </w:tc>
      </w:tr>
      <w:tr w:rsidTr="00C53137">
        <w:tblPrEx>
          <w:tblW w:w="9006" w:type="dxa"/>
          <w:tblLayout w:type="fixed"/>
          <w:tblLook w:val="04A0"/>
        </w:tblPrEx>
        <w:trPr>
          <w:trHeight w:val="285"/>
        </w:trPr>
        <w:tc>
          <w:tcPr>
            <w:tcW w:w="333" w:type="dxa"/>
            <w:tcBorders>
              <w:top w:val="nil"/>
              <w:left w:val="single" w:sz="8" w:space="0" w:color="auto"/>
              <w:bottom w:val="single" w:sz="8" w:space="0" w:color="auto"/>
              <w:right w:val="single" w:sz="4" w:space="0" w:color="auto"/>
            </w:tcBorders>
            <w:shd w:val="clear" w:color="auto" w:fill="auto"/>
            <w:noWrap/>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hAnsi="Calibri" w:cs="Calibri"/>
                <w:sz w:val="18"/>
                <w:szCs w:val="18"/>
              </w:rPr>
              <w:t> </w:t>
            </w:r>
          </w:p>
        </w:tc>
        <w:tc>
          <w:tcPr>
            <w:tcW w:w="2065" w:type="dxa"/>
            <w:tcBorders>
              <w:top w:val="nil"/>
              <w:left w:val="nil"/>
              <w:bottom w:val="single" w:sz="8" w:space="0" w:color="auto"/>
              <w:right w:val="single" w:sz="4" w:space="0" w:color="auto"/>
            </w:tcBorders>
            <w:shd w:val="clear" w:color="auto" w:fill="auto"/>
            <w:noWrap/>
            <w:hideMark/>
          </w:tcPr>
          <w:p w:rsidR="005575E6" w:rsidRPr="005575E6" w:rsidP="005575E6">
            <w:pPr>
              <w:spacing w:after="0" w:line="240" w:lineRule="auto"/>
              <w:rPr>
                <w:rFonts w:ascii="Calibri" w:eastAsia="Times New Roman" w:hAnsi="Calibri" w:cs="Calibri"/>
                <w:b/>
                <w:bCs/>
                <w:sz w:val="18"/>
                <w:szCs w:val="18"/>
                <w:lang w:eastAsia="en-GB"/>
              </w:rPr>
            </w:pPr>
            <w:r w:rsidRPr="005575E6">
              <w:rPr>
                <w:rFonts w:ascii="Calibri" w:hAnsi="Calibri" w:cs="Calibri"/>
                <w:b/>
                <w:bCs/>
                <w:color w:val="000000"/>
                <w:sz w:val="18"/>
                <w:szCs w:val="18"/>
              </w:rPr>
              <w:t>Total Capital AME</w:t>
            </w:r>
          </w:p>
        </w:tc>
        <w:tc>
          <w:tcPr>
            <w:tcW w:w="1658" w:type="dxa"/>
            <w:tcBorders>
              <w:top w:val="nil"/>
              <w:left w:val="nil"/>
              <w:bottom w:val="single" w:sz="8"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b/>
                <w:bCs/>
                <w:sz w:val="18"/>
                <w:szCs w:val="18"/>
                <w:lang w:eastAsia="en-GB"/>
              </w:rPr>
            </w:pPr>
            <w:r w:rsidRPr="005575E6">
              <w:rPr>
                <w:rFonts w:ascii="Calibri" w:hAnsi="Calibri" w:cs="Calibri"/>
                <w:b/>
                <w:bCs/>
                <w:color w:val="000000"/>
                <w:sz w:val="18"/>
                <w:szCs w:val="18"/>
              </w:rPr>
              <w:t>34,428.7</w:t>
            </w:r>
          </w:p>
        </w:tc>
        <w:tc>
          <w:tcPr>
            <w:tcW w:w="1658" w:type="dxa"/>
            <w:tcBorders>
              <w:top w:val="nil"/>
              <w:left w:val="nil"/>
              <w:bottom w:val="single" w:sz="8"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b/>
                <w:bCs/>
                <w:sz w:val="18"/>
                <w:szCs w:val="18"/>
                <w:lang w:eastAsia="en-GB"/>
              </w:rPr>
            </w:pPr>
            <w:r w:rsidRPr="005575E6">
              <w:rPr>
                <w:rFonts w:ascii="Calibri" w:hAnsi="Calibri" w:cs="Calibri"/>
                <w:b/>
                <w:bCs/>
                <w:color w:val="000000"/>
                <w:sz w:val="18"/>
                <w:szCs w:val="18"/>
              </w:rPr>
              <w:t>27,253.2</w:t>
            </w:r>
          </w:p>
        </w:tc>
        <w:tc>
          <w:tcPr>
            <w:tcW w:w="1658" w:type="dxa"/>
            <w:tcBorders>
              <w:top w:val="nil"/>
              <w:left w:val="nil"/>
              <w:bottom w:val="single" w:sz="8"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b/>
                <w:bCs/>
                <w:sz w:val="18"/>
                <w:szCs w:val="18"/>
                <w:lang w:eastAsia="en-GB"/>
              </w:rPr>
            </w:pPr>
            <w:r w:rsidRPr="005575E6">
              <w:rPr>
                <w:rFonts w:ascii="Calibri" w:hAnsi="Calibri" w:cs="Calibri"/>
                <w:b/>
                <w:bCs/>
                <w:color w:val="000000"/>
                <w:sz w:val="18"/>
                <w:szCs w:val="18"/>
              </w:rPr>
              <w:t>7,175.5</w:t>
            </w:r>
          </w:p>
        </w:tc>
        <w:tc>
          <w:tcPr>
            <w:tcW w:w="787" w:type="dxa"/>
            <w:tcBorders>
              <w:top w:val="nil"/>
              <w:left w:val="nil"/>
              <w:bottom w:val="single" w:sz="8" w:space="0" w:color="auto"/>
              <w:right w:val="single" w:sz="4" w:space="0" w:color="auto"/>
            </w:tcBorders>
            <w:shd w:val="clear" w:color="auto" w:fill="auto"/>
            <w:noWrap/>
            <w:hideMark/>
          </w:tcPr>
          <w:p w:rsidR="005575E6" w:rsidRPr="005575E6" w:rsidP="005575E6">
            <w:pPr>
              <w:spacing w:after="0" w:line="240" w:lineRule="auto"/>
              <w:jc w:val="right"/>
              <w:rPr>
                <w:rFonts w:ascii="Calibri" w:eastAsia="Times New Roman" w:hAnsi="Calibri" w:cs="Calibri"/>
                <w:b/>
                <w:bCs/>
                <w:sz w:val="18"/>
                <w:szCs w:val="18"/>
                <w:lang w:eastAsia="en-GB"/>
              </w:rPr>
            </w:pPr>
            <w:r w:rsidRPr="005575E6">
              <w:rPr>
                <w:rFonts w:ascii="Calibri" w:hAnsi="Calibri" w:cs="Calibri"/>
                <w:b/>
                <w:bCs/>
                <w:color w:val="000000"/>
                <w:sz w:val="18"/>
                <w:szCs w:val="18"/>
              </w:rPr>
              <w:t>26.3</w:t>
            </w:r>
          </w:p>
        </w:tc>
        <w:tc>
          <w:tcPr>
            <w:tcW w:w="847" w:type="dxa"/>
            <w:tcBorders>
              <w:top w:val="nil"/>
              <w:left w:val="nil"/>
              <w:bottom w:val="single" w:sz="8" w:space="0" w:color="auto"/>
              <w:right w:val="single" w:sz="8" w:space="0" w:color="auto"/>
            </w:tcBorders>
            <w:shd w:val="clear" w:color="auto" w:fill="auto"/>
            <w:noWrap/>
            <w:hideMark/>
          </w:tcPr>
          <w:p w:rsidR="005575E6" w:rsidRPr="005575E6" w:rsidP="005575E6">
            <w:pPr>
              <w:spacing w:after="0" w:line="240" w:lineRule="auto"/>
              <w:rPr>
                <w:rFonts w:ascii="Calibri" w:eastAsia="Times New Roman" w:hAnsi="Calibri" w:cs="Calibri"/>
                <w:sz w:val="18"/>
                <w:szCs w:val="18"/>
                <w:lang w:eastAsia="en-GB"/>
              </w:rPr>
            </w:pPr>
            <w:r w:rsidRPr="005575E6">
              <w:rPr>
                <w:rFonts w:ascii="Calibri" w:eastAsia="Times New Roman" w:hAnsi="Calibri" w:cs="Calibri"/>
                <w:b/>
                <w:bCs/>
                <w:sz w:val="18"/>
                <w:szCs w:val="18"/>
                <w:lang w:eastAsia="en-GB"/>
              </w:rPr>
              <w:t> </w:t>
            </w:r>
          </w:p>
        </w:tc>
      </w:tr>
    </w:tbl>
    <w:p w:rsidR="00781D7B" w:rsidP="00781D7B">
      <w:pPr>
        <w:jc w:val="both"/>
        <w:rPr>
          <w:highlight w:val="yellow"/>
        </w:rPr>
      </w:pPr>
    </w:p>
    <w:p w:rsidR="008663EB" w:rsidP="008663EB">
      <w:pPr>
        <w:jc w:val="both"/>
      </w:pPr>
      <w:r w:rsidRPr="00EE266D">
        <w:t>Differences of more than 10% which are more than £10 million are explained below.</w:t>
      </w:r>
    </w:p>
    <w:p w:rsidR="008663EB" w:rsidP="00781D7B">
      <w:pPr>
        <w:jc w:val="both"/>
        <w:rPr>
          <w:highlight w:val="yellow"/>
        </w:rPr>
      </w:pPr>
    </w:p>
    <w:p w:rsidR="00573ACE" w:rsidP="005160E7">
      <w:pPr>
        <w:pStyle w:val="Heading5"/>
        <w:numPr>
          <w:ilvl w:val="0"/>
          <w:numId w:val="4"/>
        </w:numPr>
        <w:ind w:left="714" w:hanging="357"/>
        <w:jc w:val="both"/>
        <w:rPr>
          <w:rFonts w:asciiTheme="minorHAnsi" w:hAnsiTheme="minorHAnsi" w:cstheme="minorHAnsi"/>
        </w:rPr>
      </w:pPr>
      <w:r w:rsidRPr="005160E7">
        <w:rPr>
          <w:rFonts w:ascii="Calibri" w:eastAsia="Times New Roman" w:hAnsi="Calibri" w:cs="Calibri"/>
        </w:rPr>
        <w:t>Higher</w:t>
      </w:r>
      <w:r>
        <w:rPr>
          <w:rFonts w:asciiTheme="minorHAnsi" w:hAnsiTheme="minorHAnsi" w:cstheme="minorHAnsi"/>
        </w:rPr>
        <w:t xml:space="preserve"> Education </w:t>
      </w:r>
    </w:p>
    <w:p w:rsidR="00573ACE" w:rsidRPr="00892F41" w:rsidP="00573ACE">
      <w:pPr>
        <w:ind w:left="720"/>
      </w:pPr>
      <w:r w:rsidRPr="00892F41">
        <w:t>The budget for this sub-head has increased by £</w:t>
      </w:r>
      <w:r w:rsidRPr="00892F41" w:rsidR="00892F41">
        <w:t>7,229.4</w:t>
      </w:r>
      <w:r w:rsidRPr="00892F41">
        <w:t xml:space="preserve"> million from £</w:t>
      </w:r>
      <w:r w:rsidRPr="00892F41" w:rsidR="00FB7B1C">
        <w:t>2</w:t>
      </w:r>
      <w:r w:rsidRPr="00892F41" w:rsidR="00892F41">
        <w:t>7</w:t>
      </w:r>
      <w:r w:rsidRPr="00892F41" w:rsidR="00FB7B1C">
        <w:t>,</w:t>
      </w:r>
      <w:r w:rsidRPr="00892F41" w:rsidR="00892F41">
        <w:t>068</w:t>
      </w:r>
      <w:r w:rsidRPr="00892F41" w:rsidR="00FB7B1C">
        <w:t>.</w:t>
      </w:r>
      <w:r w:rsidRPr="00892F41" w:rsidR="00892F41">
        <w:t>1</w:t>
      </w:r>
      <w:r w:rsidRPr="00892F41">
        <w:t xml:space="preserve"> million in the 202</w:t>
      </w:r>
      <w:r w:rsidRPr="00892F41" w:rsidR="00892F41">
        <w:t>2</w:t>
      </w:r>
      <w:r w:rsidRPr="00892F41">
        <w:t>-2</w:t>
      </w:r>
      <w:r w:rsidRPr="00892F41" w:rsidR="00892F41">
        <w:t>3</w:t>
      </w:r>
      <w:r w:rsidRPr="00892F41">
        <w:t xml:space="preserve"> Supplementary Estimate to £</w:t>
      </w:r>
      <w:r w:rsidR="00C949B3">
        <w:t>34,</w:t>
      </w:r>
      <w:r w:rsidR="00B170EB">
        <w:t>297.5</w:t>
      </w:r>
      <w:r w:rsidRPr="00892F41">
        <w:t xml:space="preserve"> million.  </w:t>
      </w:r>
      <w:r w:rsidR="00B170EB">
        <w:t>This is due to increased interest rates.</w:t>
      </w:r>
    </w:p>
    <w:p w:rsidR="00573ACE" w:rsidRPr="00892F41" w:rsidP="00573ACE">
      <w:pPr>
        <w:ind w:left="720"/>
        <w:jc w:val="both"/>
        <w:rPr>
          <w:iCs/>
          <w:lang w:eastAsia="en-GB"/>
        </w:rPr>
      </w:pPr>
      <w:r w:rsidRPr="00892F41">
        <w:rPr>
          <w:lang w:eastAsia="en-GB"/>
        </w:rPr>
        <w:t xml:space="preserve">The final budget for Student Loan </w:t>
      </w:r>
      <w:r w:rsidRPr="00892F41" w:rsidR="00740631">
        <w:rPr>
          <w:lang w:eastAsia="en-GB"/>
        </w:rPr>
        <w:t>Capital</w:t>
      </w:r>
      <w:r w:rsidRPr="00892F41">
        <w:rPr>
          <w:lang w:eastAsia="en-GB"/>
        </w:rPr>
        <w:t xml:space="preserve"> AME will be completed at Supplementary Estimate, in line with usual practice and the annual revaluation of the student loan book.</w:t>
      </w:r>
      <w:r w:rsidRPr="00892F41">
        <w:rPr>
          <w:iCs/>
          <w:lang w:eastAsia="en-GB"/>
        </w:rPr>
        <w:t xml:space="preserve"> </w:t>
      </w:r>
    </w:p>
    <w:p w:rsidR="00FB7B1C" w:rsidP="005160E7">
      <w:pPr>
        <w:pStyle w:val="Heading5"/>
        <w:numPr>
          <w:ilvl w:val="0"/>
          <w:numId w:val="4"/>
        </w:numPr>
        <w:ind w:left="714" w:hanging="357"/>
        <w:jc w:val="both"/>
        <w:rPr>
          <w:rFonts w:asciiTheme="minorHAnsi" w:hAnsiTheme="minorHAnsi" w:cstheme="minorHAnsi"/>
        </w:rPr>
      </w:pPr>
      <w:r w:rsidRPr="005160E7">
        <w:rPr>
          <w:rFonts w:ascii="Calibri" w:eastAsia="Times New Roman" w:hAnsi="Calibri" w:cs="Calibri"/>
        </w:rPr>
        <w:t>Further</w:t>
      </w:r>
      <w:r>
        <w:rPr>
          <w:rFonts w:asciiTheme="minorHAnsi" w:hAnsiTheme="minorHAnsi" w:cstheme="minorHAnsi"/>
        </w:rPr>
        <w:t xml:space="preserve"> Education </w:t>
      </w:r>
    </w:p>
    <w:p w:rsidR="00FB7B1C" w:rsidRPr="00892F41" w:rsidP="00D4447E">
      <w:pPr>
        <w:ind w:left="720"/>
      </w:pPr>
      <w:r w:rsidRPr="00892F41">
        <w:t>The budget for this sub-head has increased by £</w:t>
      </w:r>
      <w:r w:rsidRPr="00892F41" w:rsidR="00892F41">
        <w:t xml:space="preserve">53.8 </w:t>
      </w:r>
      <w:r w:rsidRPr="00892F41">
        <w:t>million from £</w:t>
      </w:r>
      <w:r w:rsidRPr="00892F41" w:rsidR="00892F41">
        <w:t>182</w:t>
      </w:r>
      <w:r w:rsidRPr="00892F41">
        <w:t>.</w:t>
      </w:r>
      <w:r w:rsidRPr="00892F41" w:rsidR="00892F41">
        <w:t xml:space="preserve">5 </w:t>
      </w:r>
      <w:r w:rsidRPr="00892F41">
        <w:t xml:space="preserve">million in the </w:t>
      </w:r>
      <w:r w:rsidRPr="00892F41" w:rsidR="00892F41">
        <w:t>2022</w:t>
      </w:r>
      <w:r w:rsidRPr="00892F41">
        <w:t>-</w:t>
      </w:r>
      <w:r w:rsidRPr="00892F41" w:rsidR="00892F41">
        <w:t xml:space="preserve">23 </w:t>
      </w:r>
      <w:r w:rsidRPr="00892F41">
        <w:t>Supplementary Estimate to £</w:t>
      </w:r>
      <w:r w:rsidRPr="00892F41" w:rsidR="00892F41">
        <w:t>128</w:t>
      </w:r>
      <w:r w:rsidRPr="00892F41">
        <w:t>.</w:t>
      </w:r>
      <w:r w:rsidRPr="00892F41" w:rsidR="00892F41">
        <w:t xml:space="preserve">7 </w:t>
      </w:r>
      <w:r w:rsidRPr="00892F41">
        <w:t xml:space="preserve">million. </w:t>
      </w:r>
      <w:r w:rsidRPr="00892F41" w:rsidR="0065212E">
        <w:t>This is in line with the forecast take up for Advanced Learner Loans</w:t>
      </w:r>
      <w:r w:rsidRPr="00892F41" w:rsidR="0052398C">
        <w:rPr>
          <w:lang w:eastAsia="en-GB"/>
        </w:rPr>
        <w:t xml:space="preserve"> and will be reviewed at the Supplementary Estimate.   </w:t>
      </w:r>
    </w:p>
    <w:p w:rsidR="00534B77" w:rsidRPr="00417A98" w:rsidP="00417A98">
      <w:pPr>
        <w:rPr>
          <w:lang w:eastAsia="en-GB"/>
        </w:rPr>
      </w:pPr>
    </w:p>
    <w:p w:rsidR="00740C96" w:rsidRPr="006704BB" w:rsidP="00137ED6">
      <w:pPr>
        <w:pStyle w:val="Heading2"/>
        <w:rPr>
          <w:rFonts w:asciiTheme="minorHAnsi" w:hAnsiTheme="minorHAnsi" w:cstheme="minorHAnsi"/>
        </w:rPr>
      </w:pPr>
      <w:r w:rsidRPr="006704BB">
        <w:rPr>
          <w:rFonts w:asciiTheme="minorHAnsi" w:hAnsiTheme="minorHAnsi" w:cstheme="minorHAnsi"/>
        </w:rPr>
        <w:t>2.</w:t>
      </w:r>
      <w:r w:rsidRPr="006704BB" w:rsidR="003F66F3">
        <w:rPr>
          <w:rFonts w:asciiTheme="minorHAnsi" w:hAnsiTheme="minorHAnsi" w:cstheme="minorHAnsi"/>
        </w:rPr>
        <w:t>2</w:t>
      </w:r>
      <w:r w:rsidRPr="006704BB" w:rsidR="00F03D05">
        <w:rPr>
          <w:rFonts w:asciiTheme="minorHAnsi" w:hAnsiTheme="minorHAnsi" w:cstheme="minorHAnsi"/>
        </w:rPr>
        <w:t xml:space="preserve"> R</w:t>
      </w:r>
      <w:r w:rsidRPr="006704BB" w:rsidR="008F10CE">
        <w:rPr>
          <w:rFonts w:asciiTheme="minorHAnsi" w:hAnsiTheme="minorHAnsi" w:cstheme="minorHAnsi"/>
        </w:rPr>
        <w:t>estructuring</w:t>
      </w:r>
      <w:r w:rsidRPr="006704BB" w:rsidR="00137ED6">
        <w:rPr>
          <w:rFonts w:asciiTheme="minorHAnsi" w:hAnsiTheme="minorHAnsi" w:cstheme="minorHAnsi"/>
        </w:rPr>
        <w:t xml:space="preserve"> </w:t>
      </w:r>
      <w:r w:rsidR="00343CF8">
        <w:rPr>
          <w:rFonts w:asciiTheme="minorHAnsi" w:hAnsiTheme="minorHAnsi" w:cstheme="minorHAnsi"/>
        </w:rPr>
        <w:t xml:space="preserve"> </w:t>
      </w:r>
    </w:p>
    <w:p w:rsidR="00CD58BC" w:rsidP="00261AF5">
      <w:pPr>
        <w:pStyle w:val="Heading2"/>
        <w:spacing w:before="120" w:after="120"/>
      </w:pPr>
      <w:r>
        <w:rPr>
          <w:rFonts w:asciiTheme="minorHAnsi" w:eastAsiaTheme="minorEastAsia" w:hAnsiTheme="minorHAnsi" w:cstheme="minorBidi"/>
          <w:color w:val="auto"/>
          <w:sz w:val="22"/>
          <w:szCs w:val="22"/>
        </w:rPr>
        <w:t xml:space="preserve">The </w:t>
      </w:r>
      <w:r w:rsidRPr="007B32FD">
        <w:rPr>
          <w:rFonts w:asciiTheme="minorHAnsi" w:eastAsiaTheme="minorEastAsia" w:hAnsiTheme="minorHAnsi" w:cstheme="minorBidi"/>
          <w:color w:val="auto"/>
          <w:sz w:val="22"/>
          <w:szCs w:val="22"/>
        </w:rPr>
        <w:t>Estimate structure is based on the programme activities of the Groups within the Department, with each Executive Agency having its own budget line</w:t>
      </w:r>
      <w:r w:rsidRPr="00C905DA">
        <w:t xml:space="preserve">.  </w:t>
      </w:r>
    </w:p>
    <w:p w:rsidR="006D424A" w:rsidRPr="00F24A06" w:rsidP="00682ACB">
      <w:pPr>
        <w:rPr>
          <w:color w:val="FF0000"/>
        </w:rPr>
      </w:pPr>
    </w:p>
    <w:p w:rsidR="00F24A06" w:rsidRPr="009B2FC6" w:rsidP="00F24A06">
      <w:pPr>
        <w:spacing w:before="120" w:after="120"/>
        <w:jc w:val="both"/>
        <w:rPr>
          <w:rFonts w:cstheme="minorHAnsi"/>
          <w:b/>
          <w:bCs/>
        </w:rPr>
      </w:pPr>
      <w:bookmarkStart w:id="15" w:name="_Hlk100686261"/>
      <w:r w:rsidRPr="009B2FC6">
        <w:rPr>
          <w:b/>
          <w:bCs/>
        </w:rPr>
        <w:t>Future DfE – internal restructuring</w:t>
      </w:r>
    </w:p>
    <w:p w:rsidR="00F24A06" w:rsidP="00F24A06">
      <w:pPr>
        <w:spacing w:before="120" w:after="120"/>
      </w:pPr>
      <w:r>
        <w:t>Under the Future DfE programme the department has made changes to its structure from 1 April 2022 onwards.</w:t>
      </w:r>
    </w:p>
    <w:p w:rsidR="00F24A06" w:rsidP="00F24A06">
      <w:pPr>
        <w:spacing w:before="120" w:after="120"/>
      </w:pPr>
      <w:r>
        <w:t xml:space="preserve">Work on the re-organisation has taken place with staff, partners and alongside the Arm’s Length Body review of the Education and Skills Funding Agency, an Executive Agency of the department, led by Sir David Bell KCB DL. </w:t>
      </w:r>
    </w:p>
    <w:p w:rsidR="00F96EC8" w:rsidP="00F24A06">
      <w:pPr>
        <w:spacing w:before="120" w:after="120"/>
      </w:pPr>
      <w:r>
        <w:t xml:space="preserve">In line with the DfE’s response to the review recommendations, the new Education and Skills Funding Agency (ESFA) will focus on high-quality funding delivery. The ESFA will continue to focus on making sure that public funds are properly spent and that value for money for the taxpayer is achieved, while helping to inform policy and delivery activity and ensuring the financial health and sustainability of providers. </w:t>
      </w:r>
    </w:p>
    <w:p w:rsidR="00F24A06" w:rsidP="00F24A06">
      <w:pPr>
        <w:spacing w:before="120" w:after="120"/>
      </w:pPr>
      <w:r>
        <w:t>Other changes included the creation of a new Regions Group, aligned to the 9 regions used across the rest of government</w:t>
      </w:r>
      <w:r w:rsidR="009A682C">
        <w:t>,</w:t>
      </w:r>
      <w:r>
        <w:t xml:space="preserve"> from July 2022.</w:t>
      </w:r>
    </w:p>
    <w:p w:rsidR="00F24A06" w:rsidP="00F24A06">
      <w:pPr>
        <w:pStyle w:val="ListParagraph"/>
        <w:numPr>
          <w:ilvl w:val="0"/>
          <w:numId w:val="47"/>
        </w:numPr>
        <w:spacing w:before="120" w:after="120"/>
        <w:jc w:val="both"/>
      </w:pPr>
      <w:r>
        <w:t>North East</w:t>
      </w:r>
      <w:r>
        <w:t xml:space="preserve"> </w:t>
      </w:r>
    </w:p>
    <w:p w:rsidR="00F24A06" w:rsidP="00F24A06">
      <w:pPr>
        <w:pStyle w:val="ListParagraph"/>
        <w:numPr>
          <w:ilvl w:val="0"/>
          <w:numId w:val="47"/>
        </w:numPr>
        <w:spacing w:before="120" w:after="120"/>
        <w:jc w:val="both"/>
      </w:pPr>
      <w:r>
        <w:t>North West</w:t>
      </w:r>
      <w:r>
        <w:t xml:space="preserve"> </w:t>
      </w:r>
    </w:p>
    <w:p w:rsidR="00F24A06" w:rsidP="00F24A06">
      <w:pPr>
        <w:pStyle w:val="ListParagraph"/>
        <w:numPr>
          <w:ilvl w:val="0"/>
          <w:numId w:val="47"/>
        </w:numPr>
        <w:spacing w:before="120" w:after="120"/>
        <w:jc w:val="both"/>
      </w:pPr>
      <w:r>
        <w:t xml:space="preserve">Yorkshire and the Humber </w:t>
      </w:r>
    </w:p>
    <w:p w:rsidR="00F24A06" w:rsidP="00F24A06">
      <w:pPr>
        <w:pStyle w:val="ListParagraph"/>
        <w:numPr>
          <w:ilvl w:val="0"/>
          <w:numId w:val="47"/>
        </w:numPr>
        <w:spacing w:before="120" w:after="120"/>
        <w:jc w:val="both"/>
      </w:pPr>
      <w:r>
        <w:t xml:space="preserve">West Midlands </w:t>
      </w:r>
    </w:p>
    <w:p w:rsidR="00F24A06" w:rsidP="00F24A06">
      <w:pPr>
        <w:pStyle w:val="ListParagraph"/>
        <w:numPr>
          <w:ilvl w:val="0"/>
          <w:numId w:val="47"/>
        </w:numPr>
        <w:spacing w:before="120" w:after="120"/>
        <w:jc w:val="both"/>
      </w:pPr>
      <w:r>
        <w:t xml:space="preserve">East Midlands </w:t>
      </w:r>
    </w:p>
    <w:p w:rsidR="00F24A06" w:rsidP="00F24A06">
      <w:pPr>
        <w:pStyle w:val="ListParagraph"/>
        <w:numPr>
          <w:ilvl w:val="0"/>
          <w:numId w:val="47"/>
        </w:numPr>
        <w:spacing w:before="120" w:after="120"/>
        <w:jc w:val="both"/>
      </w:pPr>
      <w:r>
        <w:t xml:space="preserve">East of England </w:t>
      </w:r>
    </w:p>
    <w:p w:rsidR="00F24A06" w:rsidP="00F24A06">
      <w:pPr>
        <w:pStyle w:val="ListParagraph"/>
        <w:numPr>
          <w:ilvl w:val="0"/>
          <w:numId w:val="47"/>
        </w:numPr>
        <w:spacing w:before="120" w:after="120"/>
        <w:jc w:val="both"/>
      </w:pPr>
      <w:r>
        <w:t>South East</w:t>
      </w:r>
      <w:r>
        <w:t xml:space="preserve"> </w:t>
      </w:r>
    </w:p>
    <w:p w:rsidR="00F24A06" w:rsidP="00F24A06">
      <w:pPr>
        <w:pStyle w:val="ListParagraph"/>
        <w:numPr>
          <w:ilvl w:val="0"/>
          <w:numId w:val="47"/>
        </w:numPr>
        <w:spacing w:before="120" w:after="120"/>
        <w:jc w:val="both"/>
      </w:pPr>
      <w:r>
        <w:t>South West</w:t>
      </w:r>
      <w:r>
        <w:t xml:space="preserve"> </w:t>
      </w:r>
    </w:p>
    <w:p w:rsidR="00F24A06" w:rsidP="00F24A06">
      <w:pPr>
        <w:pStyle w:val="ListParagraph"/>
        <w:numPr>
          <w:ilvl w:val="0"/>
          <w:numId w:val="47"/>
        </w:numPr>
        <w:spacing w:before="120" w:after="120"/>
        <w:jc w:val="both"/>
      </w:pPr>
      <w:r>
        <w:t>London</w:t>
      </w:r>
    </w:p>
    <w:p w:rsidR="00F24A06" w:rsidP="00F24A06">
      <w:pPr>
        <w:pStyle w:val="ListParagraph"/>
        <w:spacing w:before="120" w:after="120"/>
        <w:jc w:val="both"/>
      </w:pPr>
    </w:p>
    <w:p w:rsidR="00F24A06" w:rsidP="00F24A06">
      <w:pPr>
        <w:pStyle w:val="ListParagraph"/>
        <w:spacing w:before="120" w:after="120"/>
        <w:ind w:left="0"/>
        <w:jc w:val="both"/>
      </w:pPr>
      <w:r>
        <w:t xml:space="preserve">This supports integrated delivery for schools and local authorities, including children’s social care and Special Educational Needs and Disabilities. </w:t>
      </w:r>
    </w:p>
    <w:p w:rsidR="00F24A06" w:rsidP="00F24A06">
      <w:pPr>
        <w:pStyle w:val="ListParagraph"/>
        <w:spacing w:before="120" w:after="120"/>
        <w:ind w:left="0"/>
        <w:jc w:val="both"/>
      </w:pPr>
    </w:p>
    <w:p w:rsidR="00F24A06" w:rsidP="00F24A06">
      <w:pPr>
        <w:pStyle w:val="ListParagraph"/>
        <w:spacing w:before="120" w:after="120"/>
        <w:ind w:left="0"/>
        <w:jc w:val="both"/>
      </w:pPr>
      <w:r>
        <w:t xml:space="preserve">A new strategic centre is </w:t>
      </w:r>
      <w:r w:rsidR="00F45C8E">
        <w:t xml:space="preserve">now </w:t>
      </w:r>
      <w:r>
        <w:t>in place to create better oversight, drawing together DfE’s work and setting strategy, working alongside Operations and Infrastructure, which retains its focus on running the DfE</w:t>
      </w:r>
      <w:r w:rsidR="00EF1984">
        <w:t xml:space="preserve"> and</w:t>
      </w:r>
      <w:r>
        <w:t xml:space="preserve"> capital funding.</w:t>
      </w:r>
    </w:p>
    <w:p w:rsidR="00F24A06" w:rsidP="00F24A06">
      <w:pPr>
        <w:pStyle w:val="ListParagraph"/>
        <w:spacing w:before="120" w:after="120"/>
        <w:ind w:left="0"/>
        <w:jc w:val="both"/>
      </w:pPr>
    </w:p>
    <w:p w:rsidR="00F24A06" w:rsidP="00F24A06">
      <w:pPr>
        <w:pStyle w:val="ListParagraph"/>
        <w:spacing w:before="120" w:after="120"/>
        <w:ind w:left="0"/>
        <w:jc w:val="both"/>
      </w:pPr>
      <w:r>
        <w:t>There are also</w:t>
      </w:r>
      <w:r>
        <w:t xml:space="preserve"> </w:t>
      </w:r>
      <w:r>
        <w:t xml:space="preserve">dedicated groups focussed on the following areas: </w:t>
      </w:r>
    </w:p>
    <w:p w:rsidR="00F24A06" w:rsidP="00F24A06">
      <w:pPr>
        <w:pStyle w:val="ListParagraph"/>
        <w:numPr>
          <w:ilvl w:val="0"/>
          <w:numId w:val="48"/>
        </w:numPr>
        <w:spacing w:before="120" w:after="120"/>
        <w:jc w:val="both"/>
      </w:pPr>
      <w:r>
        <w:t>Families, which includes children’s social care, safeguarding, special educational needs and disabilities</w:t>
      </w:r>
      <w:r w:rsidR="00B35770">
        <w:t>,</w:t>
      </w:r>
      <w:r>
        <w:t xml:space="preserve"> and early years, focussed on ensuring that no matter where they live, children receive the same high quality of care and support; </w:t>
      </w:r>
    </w:p>
    <w:p w:rsidR="00F24A06" w:rsidP="00F24A06">
      <w:pPr>
        <w:pStyle w:val="ListParagraph"/>
        <w:numPr>
          <w:ilvl w:val="0"/>
          <w:numId w:val="48"/>
        </w:numPr>
        <w:spacing w:before="120" w:after="120"/>
        <w:jc w:val="both"/>
      </w:pPr>
      <w:r>
        <w:t>Schools, dedicated to ensuring that every child get</w:t>
      </w:r>
      <w:r w:rsidR="00F96EC8">
        <w:t>s</w:t>
      </w:r>
      <w:r>
        <w:t xml:space="preserve"> a great education and the right support; and </w:t>
      </w:r>
    </w:p>
    <w:p w:rsidR="00F24A06" w:rsidP="00F24A06">
      <w:pPr>
        <w:pStyle w:val="ListParagraph"/>
        <w:numPr>
          <w:ilvl w:val="0"/>
          <w:numId w:val="48"/>
        </w:numPr>
        <w:spacing w:before="120" w:after="120"/>
        <w:jc w:val="both"/>
      </w:pPr>
      <w:r>
        <w:t>Skills, in line with the Education and Skills Funding Agency review recommendations, this Group will consolidate all post-16 work in one place to enable a high quality, outcomes-focused post-16 system that gives learners the skills and knowledge they need to succeed in their working lives and meet the needs of the economy.</w:t>
      </w:r>
    </w:p>
    <w:p w:rsidR="00F24A06" w:rsidP="00F24A06">
      <w:pPr>
        <w:spacing w:before="120" w:after="120"/>
        <w:jc w:val="both"/>
      </w:pPr>
      <w:r>
        <w:t>There are no changes to the Department’s other Executive Agencies</w:t>
      </w:r>
      <w:r w:rsidR="00FA7202">
        <w:t>:</w:t>
      </w:r>
      <w:r>
        <w:t xml:space="preserve"> the Standards and Testing Agency and the Teaching Regulation Agency.</w:t>
      </w:r>
    </w:p>
    <w:p w:rsidR="00F24A06" w:rsidP="00F24A06">
      <w:pPr>
        <w:spacing w:before="120" w:after="120"/>
        <w:jc w:val="both"/>
      </w:pPr>
      <w:r>
        <w:t xml:space="preserve">The impact of these changes </w:t>
      </w:r>
      <w:r w:rsidR="0009190A">
        <w:t xml:space="preserve">has </w:t>
      </w:r>
      <w:r>
        <w:t>be</w:t>
      </w:r>
      <w:r w:rsidR="0009190A">
        <w:t>en</w:t>
      </w:r>
      <w:r>
        <w:t xml:space="preserve"> reflected in the 2023-24 Main Estimate</w:t>
      </w:r>
      <w:r w:rsidR="0009190A">
        <w:t xml:space="preserve"> with </w:t>
      </w:r>
      <w:r w:rsidR="004A7939">
        <w:t>changes to the names of estimate lines and a new line for Apprenticeships</w:t>
      </w:r>
      <w:r>
        <w:t xml:space="preserve">.  </w:t>
      </w:r>
    </w:p>
    <w:p w:rsidR="00D00220" w:rsidP="00D00220">
      <w:pPr>
        <w:spacing w:before="120" w:after="120"/>
        <w:jc w:val="both"/>
        <w:rPr>
          <w:b/>
          <w:bCs/>
        </w:rPr>
      </w:pPr>
      <w:r>
        <w:rPr>
          <w:b/>
          <w:bCs/>
        </w:rPr>
        <w:t xml:space="preserve">FE reclassification </w:t>
      </w:r>
      <w:r w:rsidRPr="009B2FC6">
        <w:rPr>
          <w:b/>
          <w:bCs/>
        </w:rPr>
        <w:t xml:space="preserve"> </w:t>
      </w:r>
    </w:p>
    <w:p w:rsidR="00D00220" w:rsidP="00F24A06">
      <w:pPr>
        <w:spacing w:before="120" w:after="120"/>
        <w:jc w:val="both"/>
      </w:pPr>
      <w:r w:rsidRPr="00D00220">
        <w:t>In Nov</w:t>
      </w:r>
      <w:r>
        <w:t>ember 20</w:t>
      </w:r>
      <w:r w:rsidRPr="00D00220">
        <w:t xml:space="preserve">22 the Office for National Statistics (ONS) announced </w:t>
      </w:r>
      <w:r>
        <w:t>i</w:t>
      </w:r>
      <w:r w:rsidRPr="00D00220">
        <w:t>t has reclassified FE colleges, sixth form colleges and designated institutions in England to the central government sector.  Work continues with HM Treasury on the impact of this upon the Estimate, and DFE have obtained a derogation for main estimate 23-24. </w:t>
      </w:r>
    </w:p>
    <w:p w:rsidR="00781D7B" w:rsidRPr="00D85E05" w:rsidP="00C564F0">
      <w:pPr>
        <w:spacing w:before="120" w:after="120"/>
        <w:jc w:val="both"/>
      </w:pPr>
      <w:bookmarkEnd w:id="15"/>
    </w:p>
    <w:p w:rsidR="00137ED6" w:rsidRPr="008D0A1B" w:rsidP="00137ED6">
      <w:pPr>
        <w:pStyle w:val="Heading2"/>
        <w:rPr>
          <w:rFonts w:asciiTheme="minorHAnsi" w:hAnsiTheme="minorHAnsi" w:cstheme="minorHAnsi"/>
        </w:rPr>
      </w:pPr>
      <w:r w:rsidRPr="008D0A1B">
        <w:rPr>
          <w:rFonts w:asciiTheme="minorHAnsi" w:hAnsiTheme="minorHAnsi" w:cstheme="minorHAnsi"/>
        </w:rPr>
        <w:t>2.3</w:t>
      </w:r>
      <w:r w:rsidRPr="008D0A1B">
        <w:rPr>
          <w:rFonts w:asciiTheme="minorHAnsi" w:hAnsiTheme="minorHAnsi" w:cstheme="minorHAnsi"/>
        </w:rPr>
        <w:t xml:space="preserve"> </w:t>
      </w:r>
      <w:r w:rsidRPr="008D0A1B" w:rsidR="00173BA9">
        <w:rPr>
          <w:rFonts w:asciiTheme="minorHAnsi" w:hAnsiTheme="minorHAnsi" w:cstheme="minorHAnsi"/>
        </w:rPr>
        <w:t>Ring-</w:t>
      </w:r>
      <w:r w:rsidRPr="008D0A1B" w:rsidR="00594756">
        <w:rPr>
          <w:rFonts w:asciiTheme="minorHAnsi" w:hAnsiTheme="minorHAnsi" w:cstheme="minorHAnsi"/>
        </w:rPr>
        <w:t>fenced budgets</w:t>
      </w:r>
      <w:r w:rsidR="00330DCD">
        <w:rPr>
          <w:rFonts w:asciiTheme="minorHAnsi" w:hAnsiTheme="minorHAnsi" w:cstheme="minorHAnsi"/>
        </w:rPr>
        <w:t xml:space="preserve"> </w:t>
      </w:r>
    </w:p>
    <w:p w:rsidR="00B40678" w:rsidRPr="001C662E" w:rsidP="001C662E">
      <w:r w:rsidRPr="001C662E">
        <w:t xml:space="preserve">Within the </w:t>
      </w:r>
      <w:r w:rsidRPr="008D0A1B">
        <w:t>totals</w:t>
      </w:r>
      <w:r w:rsidRPr="001C662E">
        <w:t xml:space="preserve">, the following elements are ring </w:t>
      </w:r>
      <w:r w:rsidRPr="001C662E" w:rsidR="00EE1AAB">
        <w:t>fenced, this</w:t>
      </w:r>
      <w:r w:rsidRPr="001C662E" w:rsidR="00330DCD">
        <w:t xml:space="preserve"> means that any </w:t>
      </w:r>
      <w:r w:rsidRPr="001C662E">
        <w:t>savings in these budgets may not be used to fund pressures on other budgets</w:t>
      </w:r>
      <w:r w:rsidRPr="001C662E" w:rsidR="00B176D0">
        <w:t>:</w:t>
      </w:r>
      <w:r w:rsidRPr="001C662E" w:rsidR="0032406E">
        <w:t xml:space="preserve"> </w:t>
      </w:r>
    </w:p>
    <w:p w:rsidR="00D16F3A" w:rsidP="00D16F3A">
      <w:pPr>
        <w:pStyle w:val="Heading5"/>
        <w:jc w:val="both"/>
        <w:rPr>
          <w:rFonts w:asciiTheme="minorHAnsi" w:hAnsiTheme="minorHAnsi" w:cstheme="minorHAnsi"/>
        </w:rPr>
      </w:pPr>
    </w:p>
    <w:p w:rsidR="00D16F3A" w:rsidP="00D16F3A">
      <w:pPr>
        <w:pStyle w:val="Heading5"/>
        <w:jc w:val="both"/>
        <w:rPr>
          <w:rFonts w:asciiTheme="minorHAnsi" w:hAnsiTheme="minorHAnsi" w:cstheme="minorHAnsi"/>
        </w:rPr>
      </w:pPr>
      <w:r w:rsidRPr="00CB489C">
        <w:rPr>
          <w:rFonts w:asciiTheme="minorHAnsi" w:hAnsiTheme="minorHAnsi" w:cstheme="minorHAnsi"/>
        </w:rPr>
        <w:t>Ring</w:t>
      </w:r>
      <w:r w:rsidR="0098284B">
        <w:rPr>
          <w:rFonts w:asciiTheme="minorHAnsi" w:hAnsiTheme="minorHAnsi" w:cstheme="minorHAnsi"/>
        </w:rPr>
        <w:t>-</w:t>
      </w:r>
      <w:r w:rsidRPr="00CB489C">
        <w:rPr>
          <w:rFonts w:asciiTheme="minorHAnsi" w:hAnsiTheme="minorHAnsi" w:cstheme="minorHAnsi"/>
        </w:rPr>
        <w:t xml:space="preserve">fenced budgets for </w:t>
      </w:r>
      <w:r w:rsidR="0098284B">
        <w:rPr>
          <w:rFonts w:asciiTheme="minorHAnsi" w:hAnsiTheme="minorHAnsi" w:cstheme="minorHAnsi"/>
        </w:rPr>
        <w:t>d</w:t>
      </w:r>
      <w:r w:rsidRPr="00CB489C">
        <w:rPr>
          <w:rFonts w:asciiTheme="minorHAnsi" w:hAnsiTheme="minorHAnsi" w:cstheme="minorHAnsi"/>
        </w:rPr>
        <w:t xml:space="preserve">epreciation, </w:t>
      </w:r>
      <w:r w:rsidRPr="00181842" w:rsidR="00181842">
        <w:rPr>
          <w:rFonts w:asciiTheme="minorHAnsi" w:hAnsiTheme="minorHAnsi" w:cstheme="minorHAnsi"/>
        </w:rPr>
        <w:t>amortisation,</w:t>
      </w:r>
      <w:r w:rsidRPr="00CB489C">
        <w:rPr>
          <w:rFonts w:asciiTheme="minorHAnsi" w:hAnsiTheme="minorHAnsi" w:cstheme="minorHAnsi"/>
        </w:rPr>
        <w:t xml:space="preserve"> and </w:t>
      </w:r>
      <w:r w:rsidRPr="00D16F3A">
        <w:rPr>
          <w:rFonts w:asciiTheme="minorHAnsi" w:hAnsiTheme="minorHAnsi" w:cstheme="minorHAnsi"/>
        </w:rPr>
        <w:t>impairment.</w:t>
      </w:r>
    </w:p>
    <w:p w:rsidR="00794944">
      <w:pPr>
        <w:rPr>
          <w:rFonts w:eastAsia="Times New Roman" w:cs="Times New Roman"/>
          <w:bCs/>
          <w:color w:val="333333"/>
          <w:lang w:eastAsia="en-GB"/>
        </w:rPr>
      </w:pPr>
    </w:p>
    <w:tbl>
      <w:tblPr>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0"/>
        <w:gridCol w:w="1280"/>
        <w:gridCol w:w="1360"/>
        <w:gridCol w:w="1200"/>
        <w:gridCol w:w="1660"/>
        <w:gridCol w:w="940"/>
      </w:tblGrid>
      <w:tr w:rsidTr="00CF2F03">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960"/>
        </w:trPr>
        <w:tc>
          <w:tcPr>
            <w:tcW w:w="3060" w:type="dxa"/>
            <w:gridSpan w:val="2"/>
            <w:shd w:val="clear" w:color="auto" w:fill="auto"/>
            <w:hideMark/>
          </w:tcPr>
          <w:p w:rsidR="008D5D7B" w:rsidRPr="0003645F" w:rsidP="008D5D7B">
            <w:pPr>
              <w:spacing w:after="0" w:line="240" w:lineRule="auto"/>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 xml:space="preserve">Ring-fenced budgets </w:t>
            </w:r>
            <w:r w:rsidRPr="0003645F">
              <w:rPr>
                <w:rFonts w:ascii="Calibri" w:eastAsia="Times New Roman" w:hAnsi="Calibri" w:cs="Calibri"/>
                <w:b/>
                <w:bCs/>
                <w:sz w:val="18"/>
                <w:szCs w:val="18"/>
                <w:lang w:eastAsia="en-GB"/>
              </w:rPr>
              <w:br/>
              <w:t xml:space="preserve">Amounts sought this year </w:t>
            </w:r>
            <w:r w:rsidRPr="0003645F">
              <w:rPr>
                <w:rFonts w:ascii="Calibri" w:eastAsia="Times New Roman" w:hAnsi="Calibri" w:cs="Calibri"/>
                <w:b/>
                <w:bCs/>
                <w:sz w:val="18"/>
                <w:szCs w:val="18"/>
                <w:lang w:eastAsia="en-GB"/>
              </w:rPr>
              <w:br/>
              <w:t>Resource DEL (Main Estimate 2023-24)</w:t>
            </w:r>
          </w:p>
        </w:tc>
        <w:tc>
          <w:tcPr>
            <w:tcW w:w="2560" w:type="dxa"/>
            <w:gridSpan w:val="2"/>
            <w:shd w:val="clear" w:color="auto" w:fill="auto"/>
            <w:hideMark/>
          </w:tcPr>
          <w:p w:rsidR="008D5D7B" w:rsidRPr="0003645F" w:rsidP="008D5D7B">
            <w:pPr>
              <w:spacing w:after="0" w:line="240" w:lineRule="auto"/>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Difference compared to final budget last year (Supplementary Estimate 2022-23)</w:t>
            </w:r>
          </w:p>
        </w:tc>
        <w:tc>
          <w:tcPr>
            <w:tcW w:w="2600" w:type="dxa"/>
            <w:gridSpan w:val="2"/>
            <w:shd w:val="clear" w:color="auto" w:fill="auto"/>
            <w:hideMark/>
          </w:tcPr>
          <w:p w:rsidR="008D5D7B" w:rsidRPr="0003645F" w:rsidP="008D5D7B">
            <w:pPr>
              <w:spacing w:after="0" w:line="240" w:lineRule="auto"/>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 xml:space="preserve">Difference compared to original budget last year (Main Estimate 2022-23) </w:t>
            </w:r>
          </w:p>
        </w:tc>
      </w:tr>
      <w:tr w:rsidTr="00CF2F03">
        <w:tblPrEx>
          <w:tblW w:w="8220" w:type="dxa"/>
          <w:tblLook w:val="04A0"/>
        </w:tblPrEx>
        <w:trPr>
          <w:trHeight w:val="255"/>
        </w:trPr>
        <w:tc>
          <w:tcPr>
            <w:tcW w:w="1780" w:type="dxa"/>
            <w:shd w:val="clear" w:color="auto" w:fill="auto"/>
            <w:hideMark/>
          </w:tcPr>
          <w:p w:rsidR="008D5D7B" w:rsidRPr="0003645F" w:rsidP="008D5D7B">
            <w:pPr>
              <w:spacing w:after="0" w:line="240" w:lineRule="auto"/>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 </w:t>
            </w:r>
          </w:p>
        </w:tc>
        <w:tc>
          <w:tcPr>
            <w:tcW w:w="1280" w:type="dxa"/>
            <w:shd w:val="clear" w:color="auto" w:fill="auto"/>
            <w:hideMark/>
          </w:tcPr>
          <w:p w:rsidR="008D5D7B" w:rsidRPr="0003645F" w:rsidP="008D5D7B">
            <w:pPr>
              <w:spacing w:after="0" w:line="240" w:lineRule="auto"/>
              <w:jc w:val="right"/>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£m</w:t>
            </w:r>
          </w:p>
        </w:tc>
        <w:tc>
          <w:tcPr>
            <w:tcW w:w="1360" w:type="dxa"/>
            <w:shd w:val="clear" w:color="auto" w:fill="auto"/>
            <w:hideMark/>
          </w:tcPr>
          <w:p w:rsidR="008D5D7B" w:rsidRPr="0003645F" w:rsidP="008D5D7B">
            <w:pPr>
              <w:spacing w:after="0" w:line="240" w:lineRule="auto"/>
              <w:jc w:val="right"/>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£m</w:t>
            </w:r>
          </w:p>
        </w:tc>
        <w:tc>
          <w:tcPr>
            <w:tcW w:w="1200" w:type="dxa"/>
            <w:shd w:val="clear" w:color="auto" w:fill="auto"/>
            <w:hideMark/>
          </w:tcPr>
          <w:p w:rsidR="008D5D7B" w:rsidRPr="0003645F" w:rsidP="008D5D7B">
            <w:pPr>
              <w:spacing w:after="0" w:line="240" w:lineRule="auto"/>
              <w:jc w:val="right"/>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w:t>
            </w:r>
          </w:p>
        </w:tc>
        <w:tc>
          <w:tcPr>
            <w:tcW w:w="1660" w:type="dxa"/>
            <w:shd w:val="clear" w:color="auto" w:fill="auto"/>
            <w:hideMark/>
          </w:tcPr>
          <w:p w:rsidR="008D5D7B" w:rsidRPr="0003645F" w:rsidP="008D5D7B">
            <w:pPr>
              <w:spacing w:after="0" w:line="240" w:lineRule="auto"/>
              <w:jc w:val="right"/>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£m</w:t>
            </w:r>
          </w:p>
        </w:tc>
        <w:tc>
          <w:tcPr>
            <w:tcW w:w="940" w:type="dxa"/>
            <w:shd w:val="clear" w:color="auto" w:fill="auto"/>
            <w:hideMark/>
          </w:tcPr>
          <w:p w:rsidR="008D5D7B" w:rsidRPr="0003645F" w:rsidP="008D5D7B">
            <w:pPr>
              <w:spacing w:after="0" w:line="240" w:lineRule="auto"/>
              <w:jc w:val="right"/>
              <w:rPr>
                <w:rFonts w:ascii="Calibri" w:eastAsia="Times New Roman" w:hAnsi="Calibri" w:cs="Calibri"/>
                <w:b/>
                <w:bCs/>
                <w:sz w:val="18"/>
                <w:szCs w:val="18"/>
                <w:lang w:eastAsia="en-GB"/>
              </w:rPr>
            </w:pPr>
            <w:r w:rsidRPr="0003645F">
              <w:rPr>
                <w:rFonts w:ascii="Calibri" w:eastAsia="Times New Roman" w:hAnsi="Calibri" w:cs="Calibri"/>
                <w:b/>
                <w:bCs/>
                <w:sz w:val="18"/>
                <w:szCs w:val="18"/>
                <w:lang w:eastAsia="en-GB"/>
              </w:rPr>
              <w:t>%</w:t>
            </w:r>
          </w:p>
        </w:tc>
      </w:tr>
      <w:tr w:rsidTr="00CF2F03">
        <w:tblPrEx>
          <w:tblW w:w="8220" w:type="dxa"/>
          <w:tblLook w:val="04A0"/>
        </w:tblPrEx>
        <w:trPr>
          <w:trHeight w:val="300"/>
        </w:trPr>
        <w:tc>
          <w:tcPr>
            <w:tcW w:w="1780" w:type="dxa"/>
            <w:shd w:val="clear" w:color="auto" w:fill="auto"/>
            <w:hideMark/>
          </w:tcPr>
          <w:p w:rsidR="008D5D7B" w:rsidRPr="0003645F" w:rsidP="008D5D7B">
            <w:pPr>
              <w:spacing w:after="0" w:line="240" w:lineRule="auto"/>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Other Depreciation*</w:t>
            </w:r>
          </w:p>
        </w:tc>
        <w:tc>
          <w:tcPr>
            <w:tcW w:w="128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109.3</w:t>
            </w:r>
          </w:p>
        </w:tc>
        <w:tc>
          <w:tcPr>
            <w:tcW w:w="136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0.8</w:t>
            </w:r>
          </w:p>
        </w:tc>
        <w:tc>
          <w:tcPr>
            <w:tcW w:w="120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0.8</w:t>
            </w:r>
          </w:p>
        </w:tc>
        <w:tc>
          <w:tcPr>
            <w:tcW w:w="166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(1.9)</w:t>
            </w:r>
          </w:p>
        </w:tc>
        <w:tc>
          <w:tcPr>
            <w:tcW w:w="94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(1.7)</w:t>
            </w:r>
          </w:p>
        </w:tc>
      </w:tr>
      <w:tr w:rsidTr="00CF2F03">
        <w:tblPrEx>
          <w:tblW w:w="8220" w:type="dxa"/>
          <w:tblLook w:val="04A0"/>
        </w:tblPrEx>
        <w:trPr>
          <w:trHeight w:val="240"/>
        </w:trPr>
        <w:tc>
          <w:tcPr>
            <w:tcW w:w="1780" w:type="dxa"/>
            <w:shd w:val="clear" w:color="auto" w:fill="auto"/>
            <w:noWrap/>
            <w:hideMark/>
          </w:tcPr>
          <w:p w:rsidR="008D5D7B" w:rsidRPr="0003645F" w:rsidP="008D5D7B">
            <w:pPr>
              <w:spacing w:after="0" w:line="240" w:lineRule="auto"/>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Adult Education</w:t>
            </w:r>
          </w:p>
        </w:tc>
        <w:tc>
          <w:tcPr>
            <w:tcW w:w="128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80.4</w:t>
            </w:r>
          </w:p>
        </w:tc>
        <w:tc>
          <w:tcPr>
            <w:tcW w:w="136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9.5</w:t>
            </w:r>
          </w:p>
        </w:tc>
        <w:tc>
          <w:tcPr>
            <w:tcW w:w="120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13.4</w:t>
            </w:r>
          </w:p>
        </w:tc>
        <w:tc>
          <w:tcPr>
            <w:tcW w:w="166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(23.1)</w:t>
            </w:r>
          </w:p>
        </w:tc>
        <w:tc>
          <w:tcPr>
            <w:tcW w:w="94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(22.3)</w:t>
            </w:r>
          </w:p>
        </w:tc>
      </w:tr>
      <w:tr w:rsidTr="00CF2F03">
        <w:tblPrEx>
          <w:tblW w:w="8220" w:type="dxa"/>
          <w:tblLook w:val="04A0"/>
        </w:tblPrEx>
        <w:trPr>
          <w:trHeight w:val="255"/>
        </w:trPr>
        <w:tc>
          <w:tcPr>
            <w:tcW w:w="1780" w:type="dxa"/>
            <w:shd w:val="clear" w:color="auto" w:fill="auto"/>
            <w:noWrap/>
            <w:hideMark/>
          </w:tcPr>
          <w:p w:rsidR="008D5D7B" w:rsidRPr="0003645F" w:rsidP="008D5D7B">
            <w:pPr>
              <w:spacing w:after="0" w:line="240" w:lineRule="auto"/>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Higher Education</w:t>
            </w:r>
          </w:p>
        </w:tc>
        <w:tc>
          <w:tcPr>
            <w:tcW w:w="128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4,144.6</w:t>
            </w:r>
          </w:p>
        </w:tc>
        <w:tc>
          <w:tcPr>
            <w:tcW w:w="136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5,485.7</w:t>
            </w:r>
          </w:p>
        </w:tc>
        <w:tc>
          <w:tcPr>
            <w:tcW w:w="120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(409.1)</w:t>
            </w:r>
          </w:p>
        </w:tc>
        <w:tc>
          <w:tcPr>
            <w:tcW w:w="166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9,317.1</w:t>
            </w:r>
          </w:p>
        </w:tc>
        <w:tc>
          <w:tcPr>
            <w:tcW w:w="940" w:type="dxa"/>
            <w:shd w:val="clear" w:color="auto" w:fill="auto"/>
            <w:hideMark/>
          </w:tcPr>
          <w:p w:rsidR="008D5D7B" w:rsidRPr="0003645F" w:rsidP="008D5D7B">
            <w:pPr>
              <w:spacing w:after="0" w:line="240" w:lineRule="auto"/>
              <w:jc w:val="right"/>
              <w:rPr>
                <w:rFonts w:ascii="Calibri" w:eastAsia="Times New Roman" w:hAnsi="Calibri" w:cs="Calibri"/>
                <w:sz w:val="18"/>
                <w:szCs w:val="18"/>
                <w:lang w:eastAsia="en-GB"/>
              </w:rPr>
            </w:pPr>
            <w:r w:rsidRPr="0003645F">
              <w:rPr>
                <w:rFonts w:ascii="Calibri" w:eastAsia="Times New Roman" w:hAnsi="Calibri" w:cs="Calibri"/>
                <w:sz w:val="18"/>
                <w:szCs w:val="18"/>
                <w:lang w:eastAsia="en-GB"/>
              </w:rPr>
              <w:t>(180.1)</w:t>
            </w:r>
          </w:p>
        </w:tc>
      </w:tr>
    </w:tbl>
    <w:p w:rsidR="008D5D7B" w:rsidRPr="0003645F">
      <w:pPr>
        <w:rPr>
          <w:rFonts w:eastAsia="Times New Roman" w:cs="Times New Roman"/>
          <w:bCs/>
          <w:lang w:eastAsia="en-GB"/>
        </w:rPr>
      </w:pPr>
    </w:p>
    <w:p w:rsidR="00181842" w:rsidP="00181842">
      <w:pPr>
        <w:pStyle w:val="Heading5"/>
        <w:jc w:val="both"/>
        <w:rPr>
          <w:rFonts w:asciiTheme="minorHAnsi" w:hAnsiTheme="minorHAnsi" w:cstheme="minorHAnsi"/>
        </w:rPr>
      </w:pPr>
      <w:r>
        <w:rPr>
          <w:rFonts w:asciiTheme="minorHAnsi" w:hAnsiTheme="minorHAnsi" w:cstheme="minorHAnsi"/>
        </w:rPr>
        <w:t>P</w:t>
      </w:r>
      <w:r w:rsidR="00CF2F03">
        <w:rPr>
          <w:rFonts w:asciiTheme="minorHAnsi" w:hAnsiTheme="minorHAnsi" w:cstheme="minorHAnsi"/>
        </w:rPr>
        <w:t>rotected and P</w:t>
      </w:r>
      <w:r>
        <w:rPr>
          <w:rFonts w:asciiTheme="minorHAnsi" w:hAnsiTheme="minorHAnsi" w:cstheme="minorHAnsi"/>
        </w:rPr>
        <w:t>olicy</w:t>
      </w:r>
      <w:r w:rsidR="002E04AE">
        <w:rPr>
          <w:rFonts w:asciiTheme="minorHAnsi" w:hAnsiTheme="minorHAnsi" w:cstheme="minorHAnsi"/>
        </w:rPr>
        <w:t xml:space="preserve"> </w:t>
      </w:r>
      <w:r w:rsidRPr="00E73DFC">
        <w:rPr>
          <w:rFonts w:asciiTheme="minorHAnsi" w:hAnsiTheme="minorHAnsi" w:cstheme="minorHAnsi"/>
        </w:rPr>
        <w:t>Ring</w:t>
      </w:r>
      <w:r w:rsidR="002E04AE">
        <w:rPr>
          <w:rFonts w:asciiTheme="minorHAnsi" w:hAnsiTheme="minorHAnsi" w:cstheme="minorHAnsi"/>
        </w:rPr>
        <w:t>-</w:t>
      </w:r>
      <w:r w:rsidRPr="00E73DFC">
        <w:rPr>
          <w:rFonts w:asciiTheme="minorHAnsi" w:hAnsiTheme="minorHAnsi" w:cstheme="minorHAnsi"/>
        </w:rPr>
        <w:t>fenced budgets</w:t>
      </w:r>
      <w:r w:rsidRPr="00D16F3A">
        <w:rPr>
          <w:rFonts w:asciiTheme="minorHAnsi" w:hAnsiTheme="minorHAnsi" w:cstheme="minorHAnsi"/>
        </w:rPr>
        <w:t>.</w:t>
      </w:r>
    </w:p>
    <w:p w:rsidR="0022262D" w:rsidRPr="0022262D" w:rsidP="0022262D"/>
    <w:tbl>
      <w:tblPr>
        <w:tblW w:w="8520" w:type="dxa"/>
        <w:tblLook w:val="04A0"/>
      </w:tblPr>
      <w:tblGrid>
        <w:gridCol w:w="3480"/>
        <w:gridCol w:w="1140"/>
        <w:gridCol w:w="960"/>
        <w:gridCol w:w="900"/>
        <w:gridCol w:w="1240"/>
        <w:gridCol w:w="800"/>
      </w:tblGrid>
      <w:tr w:rsidTr="00FD1F43">
        <w:tblPrEx>
          <w:tblW w:w="8520" w:type="dxa"/>
          <w:tblLook w:val="04A0"/>
        </w:tblPrEx>
        <w:trPr>
          <w:trHeight w:val="858"/>
          <w:tblHeader/>
        </w:trPr>
        <w:tc>
          <w:tcPr>
            <w:tcW w:w="3480"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B97D30" w:rsidRPr="0048470C" w:rsidP="00B97D30">
            <w:pPr>
              <w:spacing w:after="0" w:line="240" w:lineRule="auto"/>
              <w:jc w:val="center"/>
              <w:rPr>
                <w:rFonts w:ascii="Calibri" w:eastAsia="Times New Roman" w:hAnsi="Calibri" w:cs="Calibri"/>
                <w:b/>
                <w:bCs/>
                <w:color w:val="333333"/>
                <w:sz w:val="18"/>
                <w:szCs w:val="18"/>
                <w:lang w:eastAsia="en-GB"/>
              </w:rPr>
            </w:pPr>
            <w:r w:rsidRPr="0048470C">
              <w:rPr>
                <w:rFonts w:ascii="Calibri" w:eastAsia="Times New Roman" w:hAnsi="Calibri" w:cs="Calibri"/>
                <w:b/>
                <w:bCs/>
                <w:color w:val="333333"/>
                <w:sz w:val="18"/>
                <w:szCs w:val="18"/>
                <w:lang w:eastAsia="en-GB"/>
              </w:rPr>
              <w:t>Description</w:t>
            </w:r>
          </w:p>
        </w:tc>
        <w:tc>
          <w:tcPr>
            <w:tcW w:w="1140" w:type="dxa"/>
            <w:tcBorders>
              <w:top w:val="single" w:sz="8" w:space="0" w:color="auto"/>
              <w:left w:val="nil"/>
              <w:bottom w:val="single" w:sz="4" w:space="0" w:color="auto"/>
              <w:right w:val="single" w:sz="8" w:space="0" w:color="auto"/>
            </w:tcBorders>
            <w:shd w:val="clear" w:color="auto" w:fill="auto"/>
            <w:vAlign w:val="center"/>
            <w:hideMark/>
          </w:tcPr>
          <w:p w:rsidR="00B97D30" w:rsidRPr="0048470C" w:rsidP="00B97D30">
            <w:pPr>
              <w:spacing w:after="0" w:line="240" w:lineRule="auto"/>
              <w:jc w:val="center"/>
              <w:rPr>
                <w:rFonts w:ascii="Calibri" w:eastAsia="Times New Roman" w:hAnsi="Calibri" w:cs="Calibri"/>
                <w:b/>
                <w:bCs/>
                <w:color w:val="333333"/>
                <w:sz w:val="18"/>
                <w:szCs w:val="18"/>
                <w:lang w:eastAsia="en-GB"/>
              </w:rPr>
            </w:pPr>
            <w:r w:rsidRPr="0048470C">
              <w:rPr>
                <w:rFonts w:ascii="Calibri" w:eastAsia="Times New Roman" w:hAnsi="Calibri" w:cs="Calibri"/>
                <w:b/>
                <w:bCs/>
                <w:color w:val="333333"/>
                <w:sz w:val="18"/>
                <w:szCs w:val="18"/>
                <w:lang w:eastAsia="en-GB"/>
              </w:rPr>
              <w:t>Amounts sought this Main Estimate 2023-24</w:t>
            </w:r>
          </w:p>
        </w:tc>
        <w:tc>
          <w:tcPr>
            <w:tcW w:w="1860" w:type="dxa"/>
            <w:gridSpan w:val="2"/>
            <w:tcBorders>
              <w:top w:val="single" w:sz="8" w:space="0" w:color="auto"/>
              <w:left w:val="nil"/>
              <w:bottom w:val="single" w:sz="4" w:space="0" w:color="auto"/>
              <w:right w:val="single" w:sz="8" w:space="0" w:color="000000"/>
            </w:tcBorders>
            <w:shd w:val="clear" w:color="auto" w:fill="auto"/>
            <w:vAlign w:val="center"/>
            <w:hideMark/>
          </w:tcPr>
          <w:p w:rsidR="00B97D30" w:rsidRPr="0048470C" w:rsidP="00B97D30">
            <w:pPr>
              <w:spacing w:after="0" w:line="240" w:lineRule="auto"/>
              <w:jc w:val="center"/>
              <w:rPr>
                <w:rFonts w:ascii="Calibri" w:eastAsia="Times New Roman" w:hAnsi="Calibri" w:cs="Calibri"/>
                <w:b/>
                <w:bCs/>
                <w:color w:val="333333"/>
                <w:sz w:val="18"/>
                <w:szCs w:val="18"/>
                <w:lang w:eastAsia="en-GB"/>
              </w:rPr>
            </w:pPr>
            <w:r w:rsidRPr="0048470C">
              <w:rPr>
                <w:rFonts w:ascii="Calibri" w:eastAsia="Times New Roman" w:hAnsi="Calibri" w:cs="Calibri"/>
                <w:b/>
                <w:bCs/>
                <w:color w:val="333333"/>
                <w:sz w:val="18"/>
                <w:szCs w:val="18"/>
                <w:lang w:eastAsia="en-GB"/>
              </w:rPr>
              <w:t>Difference compared to Supplementary Estimate 2022-23</w:t>
            </w:r>
          </w:p>
        </w:tc>
        <w:tc>
          <w:tcPr>
            <w:tcW w:w="2040" w:type="dxa"/>
            <w:gridSpan w:val="2"/>
            <w:tcBorders>
              <w:top w:val="single" w:sz="8" w:space="0" w:color="auto"/>
              <w:left w:val="nil"/>
              <w:bottom w:val="single" w:sz="4" w:space="0" w:color="auto"/>
              <w:right w:val="single" w:sz="8" w:space="0" w:color="000000"/>
            </w:tcBorders>
            <w:shd w:val="clear" w:color="auto" w:fill="auto"/>
            <w:vAlign w:val="center"/>
            <w:hideMark/>
          </w:tcPr>
          <w:p w:rsidR="00B97D30" w:rsidRPr="0048470C" w:rsidP="00B97D30">
            <w:pPr>
              <w:spacing w:after="0" w:line="240" w:lineRule="auto"/>
              <w:jc w:val="center"/>
              <w:rPr>
                <w:rFonts w:ascii="Calibri" w:eastAsia="Times New Roman" w:hAnsi="Calibri" w:cs="Calibri"/>
                <w:b/>
                <w:bCs/>
                <w:color w:val="333333"/>
                <w:sz w:val="18"/>
                <w:szCs w:val="18"/>
                <w:lang w:eastAsia="en-GB"/>
              </w:rPr>
            </w:pPr>
            <w:r w:rsidRPr="0048470C">
              <w:rPr>
                <w:rFonts w:ascii="Calibri" w:eastAsia="Times New Roman" w:hAnsi="Calibri" w:cs="Calibri"/>
                <w:b/>
                <w:bCs/>
                <w:color w:val="333333"/>
                <w:sz w:val="18"/>
                <w:szCs w:val="18"/>
                <w:lang w:eastAsia="en-GB"/>
              </w:rPr>
              <w:t>Difference compared to Outturn 2022-23</w:t>
            </w:r>
          </w:p>
        </w:tc>
      </w:tr>
      <w:tr w:rsidTr="00E461A4">
        <w:tblPrEx>
          <w:tblW w:w="8520" w:type="dxa"/>
          <w:tblLook w:val="04A0"/>
        </w:tblPrEx>
        <w:trPr>
          <w:trHeight w:val="249"/>
        </w:trPr>
        <w:tc>
          <w:tcPr>
            <w:tcW w:w="3480" w:type="dxa"/>
            <w:tcBorders>
              <w:top w:val="nil"/>
              <w:left w:val="single" w:sz="8" w:space="0" w:color="auto"/>
              <w:bottom w:val="single" w:sz="8" w:space="0" w:color="auto"/>
              <w:right w:val="single" w:sz="8" w:space="0" w:color="auto"/>
            </w:tcBorders>
            <w:shd w:val="clear" w:color="auto" w:fill="auto"/>
            <w:hideMark/>
          </w:tcPr>
          <w:p w:rsidR="00B97D30" w:rsidRPr="0048470C" w:rsidP="00B97D30">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1140" w:type="dxa"/>
            <w:tcBorders>
              <w:top w:val="single" w:sz="4" w:space="0" w:color="auto"/>
              <w:left w:val="nil"/>
              <w:bottom w:val="single" w:sz="8" w:space="0" w:color="auto"/>
              <w:right w:val="nil"/>
            </w:tcBorders>
            <w:shd w:val="clear" w:color="auto" w:fill="auto"/>
            <w:hideMark/>
          </w:tcPr>
          <w:p w:rsidR="00B97D30" w:rsidRPr="0048470C" w:rsidP="00B97D30">
            <w:pPr>
              <w:spacing w:after="0" w:line="240" w:lineRule="auto"/>
              <w:jc w:val="center"/>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60" w:type="dxa"/>
            <w:tcBorders>
              <w:top w:val="nil"/>
              <w:left w:val="single" w:sz="8" w:space="0" w:color="auto"/>
              <w:bottom w:val="single" w:sz="8" w:space="0" w:color="auto"/>
              <w:right w:val="single" w:sz="4" w:space="0" w:color="auto"/>
            </w:tcBorders>
            <w:shd w:val="clear" w:color="auto" w:fill="auto"/>
            <w:hideMark/>
          </w:tcPr>
          <w:p w:rsidR="00B97D30" w:rsidRPr="0048470C" w:rsidP="00B97D30">
            <w:pPr>
              <w:spacing w:after="0" w:line="240" w:lineRule="auto"/>
              <w:jc w:val="center"/>
              <w:rPr>
                <w:rFonts w:eastAsia="Times New Roman" w:cstheme="minorHAnsi"/>
                <w:color w:val="000000"/>
                <w:sz w:val="18"/>
                <w:szCs w:val="18"/>
                <w:lang w:eastAsia="en-GB"/>
              </w:rPr>
            </w:pPr>
            <w:r w:rsidRPr="0048470C">
              <w:rPr>
                <w:rFonts w:eastAsia="Times New Roman" w:cstheme="minorHAnsi"/>
                <w:color w:val="000000"/>
                <w:sz w:val="18"/>
                <w:szCs w:val="18"/>
                <w:lang w:eastAsia="en-GB"/>
              </w:rPr>
              <w:t>£m</w:t>
            </w:r>
          </w:p>
        </w:tc>
        <w:tc>
          <w:tcPr>
            <w:tcW w:w="900" w:type="dxa"/>
            <w:tcBorders>
              <w:top w:val="nil"/>
              <w:left w:val="nil"/>
              <w:bottom w:val="single" w:sz="8" w:space="0" w:color="auto"/>
              <w:right w:val="single" w:sz="8" w:space="0" w:color="auto"/>
            </w:tcBorders>
            <w:shd w:val="clear" w:color="auto" w:fill="auto"/>
            <w:hideMark/>
          </w:tcPr>
          <w:p w:rsidR="00B97D30" w:rsidRPr="0048470C" w:rsidP="00B97D30">
            <w:pPr>
              <w:spacing w:after="0" w:line="240" w:lineRule="auto"/>
              <w:jc w:val="center"/>
              <w:rPr>
                <w:rFonts w:eastAsia="Times New Roman" w:cstheme="minorHAnsi"/>
                <w:color w:val="000000"/>
                <w:sz w:val="18"/>
                <w:szCs w:val="18"/>
                <w:lang w:eastAsia="en-GB"/>
              </w:rPr>
            </w:pPr>
            <w:r w:rsidRPr="0048470C">
              <w:rPr>
                <w:rFonts w:eastAsia="Times New Roman" w:cstheme="minorHAnsi"/>
                <w:color w:val="000000"/>
                <w:sz w:val="18"/>
                <w:szCs w:val="18"/>
                <w:lang w:eastAsia="en-GB"/>
              </w:rPr>
              <w:t>%</w:t>
            </w:r>
          </w:p>
        </w:tc>
        <w:tc>
          <w:tcPr>
            <w:tcW w:w="1240" w:type="dxa"/>
            <w:tcBorders>
              <w:top w:val="nil"/>
              <w:left w:val="nil"/>
              <w:bottom w:val="single" w:sz="8" w:space="0" w:color="auto"/>
              <w:right w:val="single" w:sz="4" w:space="0" w:color="auto"/>
            </w:tcBorders>
            <w:shd w:val="clear" w:color="auto" w:fill="auto"/>
            <w:hideMark/>
          </w:tcPr>
          <w:p w:rsidR="00B97D30" w:rsidRPr="0048470C" w:rsidP="00B97D30">
            <w:pPr>
              <w:spacing w:after="0" w:line="240" w:lineRule="auto"/>
              <w:jc w:val="center"/>
              <w:rPr>
                <w:rFonts w:eastAsia="Times New Roman" w:cstheme="minorHAnsi"/>
                <w:color w:val="000000"/>
                <w:sz w:val="18"/>
                <w:szCs w:val="18"/>
                <w:lang w:eastAsia="en-GB"/>
              </w:rPr>
            </w:pPr>
            <w:r w:rsidRPr="0048470C">
              <w:rPr>
                <w:rFonts w:eastAsia="Times New Roman" w:cstheme="minorHAnsi"/>
                <w:color w:val="000000"/>
                <w:sz w:val="18"/>
                <w:szCs w:val="18"/>
                <w:lang w:eastAsia="en-GB"/>
              </w:rPr>
              <w:t>£m</w:t>
            </w:r>
          </w:p>
        </w:tc>
        <w:tc>
          <w:tcPr>
            <w:tcW w:w="800" w:type="dxa"/>
            <w:tcBorders>
              <w:top w:val="nil"/>
              <w:left w:val="nil"/>
              <w:bottom w:val="single" w:sz="8" w:space="0" w:color="auto"/>
              <w:right w:val="single" w:sz="8" w:space="0" w:color="auto"/>
            </w:tcBorders>
            <w:shd w:val="clear" w:color="auto" w:fill="auto"/>
            <w:hideMark/>
          </w:tcPr>
          <w:p w:rsidR="00B97D30" w:rsidRPr="0048470C" w:rsidP="00B97D30">
            <w:pPr>
              <w:spacing w:after="0" w:line="240" w:lineRule="auto"/>
              <w:jc w:val="center"/>
              <w:rPr>
                <w:rFonts w:eastAsia="Times New Roman" w:cstheme="minorHAnsi"/>
                <w:color w:val="000000"/>
                <w:sz w:val="18"/>
                <w:szCs w:val="18"/>
                <w:lang w:eastAsia="en-GB"/>
              </w:rPr>
            </w:pPr>
            <w:r w:rsidRPr="0048470C">
              <w:rPr>
                <w:rFonts w:eastAsia="Times New Roman" w:cstheme="minorHAnsi"/>
                <w:color w:val="000000"/>
                <w:sz w:val="18"/>
                <w:szCs w:val="18"/>
                <w:lang w:eastAsia="en-GB"/>
              </w:rPr>
              <w:t>%</w:t>
            </w:r>
          </w:p>
        </w:tc>
      </w:tr>
      <w:tr w:rsidTr="00F46A5B">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tcPr>
          <w:p w:rsidR="00B97D30" w:rsidRPr="0048470C" w:rsidP="00B97D30">
            <w:pPr>
              <w:spacing w:after="0" w:line="240" w:lineRule="auto"/>
              <w:rPr>
                <w:rFonts w:eastAsia="Times New Roman" w:cstheme="minorHAnsi"/>
                <w:b/>
                <w:bCs/>
                <w:color w:val="000000"/>
                <w:sz w:val="18"/>
                <w:szCs w:val="18"/>
                <w:u w:val="single"/>
                <w:lang w:eastAsia="en-GB"/>
              </w:rPr>
            </w:pPr>
          </w:p>
        </w:tc>
        <w:tc>
          <w:tcPr>
            <w:tcW w:w="1140" w:type="dxa"/>
            <w:tcBorders>
              <w:top w:val="nil"/>
              <w:left w:val="nil"/>
              <w:bottom w:val="single" w:sz="4" w:space="0" w:color="auto"/>
              <w:right w:val="nil"/>
            </w:tcBorders>
            <w:shd w:val="clear" w:color="auto" w:fill="auto"/>
            <w:vAlign w:val="center"/>
            <w:hideMark/>
          </w:tcPr>
          <w:p w:rsidR="00B97D30" w:rsidRPr="0048470C" w:rsidP="00B97D30">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B97D30" w:rsidRPr="0048470C" w:rsidP="00B97D30">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00" w:type="dxa"/>
            <w:tcBorders>
              <w:top w:val="nil"/>
              <w:left w:val="nil"/>
              <w:bottom w:val="single" w:sz="4" w:space="0" w:color="auto"/>
              <w:right w:val="single" w:sz="8" w:space="0" w:color="auto"/>
            </w:tcBorders>
            <w:shd w:val="clear" w:color="auto" w:fill="auto"/>
            <w:vAlign w:val="center"/>
            <w:hideMark/>
          </w:tcPr>
          <w:p w:rsidR="00B97D30" w:rsidRPr="0048470C" w:rsidP="00B97D30">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1240" w:type="dxa"/>
            <w:tcBorders>
              <w:top w:val="nil"/>
              <w:left w:val="nil"/>
              <w:bottom w:val="single" w:sz="4" w:space="0" w:color="auto"/>
              <w:right w:val="single" w:sz="4" w:space="0" w:color="auto"/>
            </w:tcBorders>
            <w:shd w:val="clear" w:color="auto" w:fill="auto"/>
            <w:vAlign w:val="center"/>
            <w:hideMark/>
          </w:tcPr>
          <w:p w:rsidR="00B97D30" w:rsidRPr="0048470C" w:rsidP="00B97D30">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800" w:type="dxa"/>
            <w:tcBorders>
              <w:top w:val="nil"/>
              <w:left w:val="nil"/>
              <w:bottom w:val="single" w:sz="4" w:space="0" w:color="auto"/>
              <w:right w:val="single" w:sz="8" w:space="0" w:color="auto"/>
            </w:tcBorders>
            <w:shd w:val="clear" w:color="auto" w:fill="auto"/>
            <w:vAlign w:val="center"/>
            <w:hideMark/>
          </w:tcPr>
          <w:p w:rsidR="00B97D30" w:rsidRPr="0048470C" w:rsidP="00B97D30">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r>
      <w:tr>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noWrap/>
            <w:vAlign w:val="center"/>
            <w:hideMark/>
          </w:tcPr>
          <w:p w:rsidR="00F46A5B" w:rsidRPr="0048470C">
            <w:pPr>
              <w:spacing w:after="0" w:line="240" w:lineRule="auto"/>
              <w:rPr>
                <w:rFonts w:eastAsia="Times New Roman" w:cstheme="minorHAnsi"/>
                <w:color w:val="000000"/>
                <w:sz w:val="18"/>
                <w:szCs w:val="18"/>
                <w:lang w:eastAsia="en-GB"/>
              </w:rPr>
            </w:pPr>
            <w:r w:rsidRPr="0048470C">
              <w:rPr>
                <w:rFonts w:eastAsia="Times New Roman" w:cstheme="minorHAnsi"/>
                <w:b/>
                <w:bCs/>
                <w:color w:val="000000"/>
                <w:sz w:val="18"/>
                <w:szCs w:val="18"/>
                <w:u w:val="single"/>
                <w:lang w:eastAsia="en-GB"/>
              </w:rPr>
              <w:t>Protected</w:t>
            </w:r>
          </w:p>
        </w:tc>
        <w:tc>
          <w:tcPr>
            <w:tcW w:w="1140" w:type="dxa"/>
            <w:tcBorders>
              <w:top w:val="nil"/>
              <w:left w:val="nil"/>
              <w:bottom w:val="single" w:sz="4" w:space="0" w:color="auto"/>
              <w:right w:val="nil"/>
            </w:tcBorders>
            <w:shd w:val="clear" w:color="auto" w:fill="auto"/>
            <w:vAlign w:val="center"/>
            <w:hideMark/>
          </w:tcPr>
          <w:p w:rsidR="00F46A5B" w:rsidRPr="0048470C">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r>
      <w:tr>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pPr>
              <w:spacing w:after="0" w:line="240" w:lineRule="auto"/>
              <w:rPr>
                <w:rFonts w:eastAsia="Times New Roman" w:cstheme="minorHAnsi"/>
                <w:b/>
                <w:bCs/>
                <w:color w:val="000000"/>
                <w:sz w:val="18"/>
                <w:szCs w:val="18"/>
                <w:u w:val="single"/>
                <w:lang w:eastAsia="en-GB"/>
              </w:rPr>
            </w:pPr>
            <w:r w:rsidRPr="0048470C">
              <w:rPr>
                <w:rFonts w:eastAsia="Times New Roman" w:cstheme="minorHAnsi"/>
                <w:color w:val="000000"/>
                <w:sz w:val="18"/>
                <w:szCs w:val="18"/>
                <w:lang w:eastAsia="en-GB"/>
              </w:rPr>
              <w:t>Schools Protected</w:t>
            </w:r>
          </w:p>
        </w:tc>
        <w:tc>
          <w:tcPr>
            <w:tcW w:w="1140" w:type="dxa"/>
            <w:tcBorders>
              <w:top w:val="nil"/>
              <w:left w:val="nil"/>
              <w:bottom w:val="single" w:sz="4" w:space="0" w:color="auto"/>
              <w:right w:val="nil"/>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57,344.2</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3,538.5</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0.1</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3,513.5</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0.1</w:t>
            </w:r>
          </w:p>
        </w:tc>
      </w:tr>
      <w:tr>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Apprenticeships</w:t>
            </w:r>
          </w:p>
        </w:tc>
        <w:tc>
          <w:tcPr>
            <w:tcW w:w="1140" w:type="dxa"/>
            <w:tcBorders>
              <w:top w:val="nil"/>
              <w:left w:val="nil"/>
              <w:bottom w:val="single" w:sz="4" w:space="0" w:color="auto"/>
              <w:right w:val="nil"/>
            </w:tcBorders>
            <w:shd w:val="clear" w:color="auto" w:fill="auto"/>
            <w:noWrap/>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2,585.0</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31.0</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0.0</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141.8</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0.1</w:t>
            </w:r>
          </w:p>
        </w:tc>
      </w:tr>
      <w:tr>
        <w:tblPrEx>
          <w:tblW w:w="8520" w:type="dxa"/>
          <w:tblLook w:val="04A0"/>
        </w:tblPrEx>
        <w:trPr>
          <w:trHeight w:val="240"/>
        </w:trPr>
        <w:tc>
          <w:tcPr>
            <w:tcW w:w="3480" w:type="dxa"/>
            <w:tcBorders>
              <w:top w:val="nil"/>
              <w:left w:val="single" w:sz="8" w:space="0" w:color="auto"/>
              <w:bottom w:val="single" w:sz="8" w:space="0" w:color="auto"/>
              <w:right w:val="single" w:sz="8" w:space="0" w:color="auto"/>
            </w:tcBorders>
            <w:shd w:val="clear" w:color="auto" w:fill="auto"/>
            <w:vAlign w:val="center"/>
            <w:hideMark/>
          </w:tcPr>
          <w:p w:rsidR="00F46A5B" w:rsidRPr="0048470C">
            <w:pPr>
              <w:spacing w:after="0" w:line="240" w:lineRule="auto"/>
              <w:rPr>
                <w:rFonts w:eastAsia="Times New Roman" w:cstheme="minorHAnsi"/>
                <w:color w:val="000000"/>
                <w:sz w:val="18"/>
                <w:szCs w:val="18"/>
                <w:lang w:eastAsia="en-GB"/>
              </w:rPr>
            </w:pPr>
            <w:r w:rsidRPr="0048470C">
              <w:rPr>
                <w:rFonts w:eastAsia="Times New Roman" w:cstheme="minorHAnsi"/>
                <w:b/>
                <w:bCs/>
                <w:color w:val="000000"/>
                <w:sz w:val="18"/>
                <w:szCs w:val="18"/>
                <w:u w:val="single"/>
                <w:lang w:eastAsia="en-GB"/>
              </w:rPr>
              <w:t>Total DEL Protected</w:t>
            </w:r>
          </w:p>
        </w:tc>
        <w:tc>
          <w:tcPr>
            <w:tcW w:w="114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b/>
                <w:bCs/>
                <w:color w:val="000000"/>
                <w:sz w:val="18"/>
                <w:szCs w:val="18"/>
                <w:lang w:eastAsia="en-GB"/>
              </w:rPr>
              <w:t>59,929.2</w:t>
            </w:r>
          </w:p>
        </w:tc>
        <w:tc>
          <w:tcPr>
            <w:tcW w:w="960" w:type="dxa"/>
            <w:tcBorders>
              <w:top w:val="nil"/>
              <w:left w:val="single" w:sz="8" w:space="0" w:color="auto"/>
              <w:bottom w:val="single" w:sz="8" w:space="0" w:color="auto"/>
              <w:right w:val="single" w:sz="4"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b/>
                <w:bCs/>
                <w:color w:val="000000"/>
                <w:sz w:val="18"/>
                <w:szCs w:val="18"/>
                <w:lang w:eastAsia="en-GB"/>
              </w:rPr>
              <w:t>3,569.5</w:t>
            </w:r>
          </w:p>
        </w:tc>
        <w:tc>
          <w:tcPr>
            <w:tcW w:w="900" w:type="dxa"/>
            <w:tcBorders>
              <w:top w:val="nil"/>
              <w:left w:val="nil"/>
              <w:bottom w:val="single" w:sz="8" w:space="0" w:color="auto"/>
              <w:right w:val="single" w:sz="8"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b/>
                <w:bCs/>
                <w:color w:val="000000"/>
                <w:sz w:val="18"/>
                <w:szCs w:val="18"/>
                <w:lang w:eastAsia="en-GB"/>
              </w:rPr>
              <w:t>0.1</w:t>
            </w:r>
          </w:p>
        </w:tc>
        <w:tc>
          <w:tcPr>
            <w:tcW w:w="1240" w:type="dxa"/>
            <w:tcBorders>
              <w:top w:val="nil"/>
              <w:left w:val="nil"/>
              <w:bottom w:val="single" w:sz="8" w:space="0" w:color="auto"/>
              <w:right w:val="single" w:sz="4"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b/>
                <w:bCs/>
                <w:color w:val="000000"/>
                <w:sz w:val="18"/>
                <w:szCs w:val="18"/>
                <w:lang w:eastAsia="en-GB"/>
              </w:rPr>
              <w:t>3,851.0</w:t>
            </w:r>
          </w:p>
        </w:tc>
        <w:tc>
          <w:tcPr>
            <w:tcW w:w="800" w:type="dxa"/>
            <w:tcBorders>
              <w:top w:val="nil"/>
              <w:left w:val="nil"/>
              <w:bottom w:val="single" w:sz="8" w:space="0" w:color="auto"/>
              <w:right w:val="single" w:sz="8" w:space="0" w:color="auto"/>
            </w:tcBorders>
            <w:shd w:val="clear" w:color="auto" w:fill="auto"/>
            <w:vAlign w:val="center"/>
            <w:hideMark/>
          </w:tcPr>
          <w:p w:rsidR="00F46A5B" w:rsidRPr="0048470C">
            <w:pPr>
              <w:spacing w:after="0" w:line="240" w:lineRule="auto"/>
              <w:jc w:val="right"/>
              <w:rPr>
                <w:rFonts w:eastAsia="Times New Roman" w:cstheme="minorHAnsi"/>
                <w:color w:val="000000"/>
                <w:sz w:val="18"/>
                <w:szCs w:val="18"/>
                <w:lang w:eastAsia="en-GB"/>
              </w:rPr>
            </w:pPr>
            <w:r w:rsidRPr="0048470C">
              <w:rPr>
                <w:rFonts w:eastAsia="Times New Roman" w:cstheme="minorHAnsi"/>
                <w:b/>
                <w:bCs/>
                <w:color w:val="000000"/>
                <w:sz w:val="18"/>
                <w:szCs w:val="18"/>
                <w:lang w:eastAsia="en-GB"/>
              </w:rPr>
              <w:t>0.1</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tcPr>
          <w:p w:rsidR="00F46A5B" w:rsidRPr="0048470C" w:rsidP="00F46A5B">
            <w:pPr>
              <w:spacing w:after="0" w:line="240" w:lineRule="auto"/>
              <w:rPr>
                <w:rFonts w:eastAsia="Times New Roman" w:cstheme="minorHAnsi"/>
                <w:b/>
                <w:bCs/>
                <w:color w:val="000000"/>
                <w:sz w:val="18"/>
                <w:szCs w:val="18"/>
                <w:u w:val="single"/>
                <w:lang w:eastAsia="en-GB"/>
              </w:rPr>
            </w:pPr>
          </w:p>
        </w:tc>
        <w:tc>
          <w:tcPr>
            <w:tcW w:w="1140" w:type="dxa"/>
            <w:tcBorders>
              <w:top w:val="single" w:sz="4" w:space="0" w:color="auto"/>
              <w:left w:val="nil"/>
              <w:bottom w:val="single" w:sz="4" w:space="0" w:color="auto"/>
              <w:right w:val="nil"/>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c>
          <w:tcPr>
            <w:tcW w:w="960" w:type="dxa"/>
            <w:tcBorders>
              <w:top w:val="nil"/>
              <w:left w:val="single" w:sz="8" w:space="0" w:color="auto"/>
              <w:bottom w:val="single" w:sz="4" w:space="0" w:color="auto"/>
              <w:right w:val="single" w:sz="4" w:space="0" w:color="auto"/>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c>
          <w:tcPr>
            <w:tcW w:w="900" w:type="dxa"/>
            <w:tcBorders>
              <w:top w:val="nil"/>
              <w:left w:val="nil"/>
              <w:bottom w:val="single" w:sz="4" w:space="0" w:color="auto"/>
              <w:right w:val="single" w:sz="8" w:space="0" w:color="auto"/>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c>
          <w:tcPr>
            <w:tcW w:w="1240" w:type="dxa"/>
            <w:tcBorders>
              <w:top w:val="nil"/>
              <w:left w:val="nil"/>
              <w:bottom w:val="single" w:sz="4" w:space="0" w:color="auto"/>
              <w:right w:val="single" w:sz="4" w:space="0" w:color="auto"/>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c>
          <w:tcPr>
            <w:tcW w:w="800" w:type="dxa"/>
            <w:tcBorders>
              <w:top w:val="nil"/>
              <w:left w:val="nil"/>
              <w:bottom w:val="single" w:sz="4" w:space="0" w:color="auto"/>
              <w:right w:val="single" w:sz="8" w:space="0" w:color="auto"/>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b/>
                <w:bCs/>
                <w:color w:val="000000"/>
                <w:sz w:val="18"/>
                <w:szCs w:val="18"/>
                <w:u w:val="single"/>
                <w:lang w:eastAsia="en-GB"/>
              </w:rPr>
              <w:t>Policy RF - Resource DEL</w:t>
            </w:r>
          </w:p>
        </w:tc>
        <w:tc>
          <w:tcPr>
            <w:tcW w:w="1140" w:type="dxa"/>
            <w:tcBorders>
              <w:top w:val="single" w:sz="4" w:space="0" w:color="auto"/>
              <w:left w:val="nil"/>
              <w:bottom w:val="single" w:sz="4" w:space="0" w:color="auto"/>
              <w:right w:val="nil"/>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c>
          <w:tcPr>
            <w:tcW w:w="960" w:type="dxa"/>
            <w:tcBorders>
              <w:top w:val="nil"/>
              <w:left w:val="single" w:sz="8" w:space="0" w:color="auto"/>
              <w:bottom w:val="single" w:sz="4" w:space="0" w:color="auto"/>
              <w:right w:val="single" w:sz="4" w:space="0" w:color="auto"/>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c>
          <w:tcPr>
            <w:tcW w:w="900" w:type="dxa"/>
            <w:tcBorders>
              <w:top w:val="nil"/>
              <w:left w:val="nil"/>
              <w:bottom w:val="single" w:sz="4" w:space="0" w:color="auto"/>
              <w:right w:val="single" w:sz="8" w:space="0" w:color="auto"/>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c>
          <w:tcPr>
            <w:tcW w:w="1240" w:type="dxa"/>
            <w:tcBorders>
              <w:top w:val="nil"/>
              <w:left w:val="nil"/>
              <w:bottom w:val="single" w:sz="4" w:space="0" w:color="auto"/>
              <w:right w:val="single" w:sz="4" w:space="0" w:color="auto"/>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c>
          <w:tcPr>
            <w:tcW w:w="800" w:type="dxa"/>
            <w:tcBorders>
              <w:top w:val="nil"/>
              <w:left w:val="nil"/>
              <w:bottom w:val="single" w:sz="4" w:space="0" w:color="auto"/>
              <w:right w:val="single" w:sz="8" w:space="0" w:color="auto"/>
            </w:tcBorders>
            <w:shd w:val="clear" w:color="auto" w:fill="auto"/>
            <w:vAlign w:val="center"/>
          </w:tcPr>
          <w:p w:rsidR="00F46A5B" w:rsidRPr="0048470C" w:rsidP="00F46A5B">
            <w:pPr>
              <w:spacing w:after="0" w:line="240" w:lineRule="auto"/>
              <w:jc w:val="right"/>
              <w:rPr>
                <w:rFonts w:eastAsia="Times New Roman" w:cstheme="minorHAnsi"/>
                <w:color w:val="000000"/>
                <w:sz w:val="18"/>
                <w:szCs w:val="18"/>
                <w:lang w:eastAsia="en-GB"/>
              </w:rPr>
            </w:pPr>
          </w:p>
        </w:tc>
      </w:tr>
      <w:tr w:rsidTr="0016297D">
        <w:tblPrEx>
          <w:tblW w:w="8520" w:type="dxa"/>
          <w:tblLook w:val="04A0"/>
        </w:tblPrEx>
        <w:trPr>
          <w:trHeight w:val="367"/>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16-19 Tutoring</w:t>
            </w:r>
          </w:p>
        </w:tc>
        <w:tc>
          <w:tcPr>
            <w:tcW w:w="1140" w:type="dxa"/>
            <w:tcBorders>
              <w:top w:val="single" w:sz="4" w:space="0" w:color="auto"/>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111.0</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4.0</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0.0</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39.6</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0.6</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Counter Terrorism</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2.1</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0.5</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0.3</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1.2</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1.2</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Early Career Framework</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15.0</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18.8</w:t>
            </w:r>
            <w:r>
              <w:rPr>
                <w:rFonts w:eastAsia="Times New Roman" w:cstheme="minorHAnsi"/>
                <w:color w:val="000000"/>
                <w:sz w:val="18"/>
                <w:szCs w:val="18"/>
                <w:lang w:eastAsia="en-GB"/>
              </w:rPr>
              <w:t>)</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0.6</w:t>
            </w:r>
            <w:r>
              <w:rPr>
                <w:rFonts w:eastAsia="Times New Roman" w:cstheme="minorHAnsi"/>
                <w:color w:val="000000"/>
                <w:sz w:val="18"/>
                <w:szCs w:val="18"/>
                <w:lang w:eastAsia="en-GB"/>
              </w:rPr>
              <w:t>)</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17.2</w:t>
            </w:r>
            <w:r>
              <w:rPr>
                <w:rFonts w:eastAsia="Times New Roman" w:cstheme="minorHAnsi"/>
                <w:color w:val="000000"/>
                <w:sz w:val="18"/>
                <w:szCs w:val="18"/>
                <w:lang w:eastAsia="en-GB"/>
              </w:rPr>
              <w:t>)</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0.5</w:t>
            </w:r>
            <w:r>
              <w:rPr>
                <w:rFonts w:eastAsia="Times New Roman" w:cstheme="minorHAnsi"/>
                <w:color w:val="000000"/>
                <w:sz w:val="18"/>
                <w:szCs w:val="18"/>
                <w:lang w:eastAsia="en-GB"/>
              </w:rPr>
              <w:t>)</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Early Years Training</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68.8</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30.5</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0.8</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40.7</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1.5</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noWrap/>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Legacy IT/Cyber Security (</w:t>
            </w:r>
            <w:r w:rsidRPr="0048470C">
              <w:rPr>
                <w:rFonts w:eastAsia="Times New Roman" w:cstheme="minorHAnsi"/>
                <w:color w:val="000000"/>
                <w:sz w:val="18"/>
                <w:szCs w:val="18"/>
                <w:lang w:eastAsia="en-GB"/>
              </w:rPr>
              <w:t>DDat</w:t>
            </w:r>
            <w:r w:rsidRPr="0048470C">
              <w:rPr>
                <w:rFonts w:eastAsia="Times New Roman" w:cstheme="minorHAnsi"/>
                <w:color w:val="000000"/>
                <w:sz w:val="18"/>
                <w:szCs w:val="18"/>
                <w:lang w:eastAsia="en-GB"/>
              </w:rPr>
              <w:t xml:space="preserve"> Modernisation)</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7.7</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1.0</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0.1</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2.6</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0.5</w:t>
            </w:r>
          </w:p>
        </w:tc>
      </w:tr>
      <w:tr w:rsidTr="00E461A4">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Multiply</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134.3</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7.5</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0.1</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71.6</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1.1</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National Professional Qualifications</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62.3</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14.2</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0.3</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24.5</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0.6</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National Tutoring Programme</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248.3</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4.5</w:t>
            </w:r>
            <w:r>
              <w:rPr>
                <w:rFonts w:eastAsia="Times New Roman" w:cstheme="minorHAnsi"/>
                <w:color w:val="000000"/>
                <w:sz w:val="18"/>
                <w:szCs w:val="18"/>
                <w:lang w:eastAsia="en-GB"/>
              </w:rPr>
              <w:t>)</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0.0</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7.3</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0.0</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Recovery Premium</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502.0</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32.0</w:t>
            </w:r>
            <w:r>
              <w:rPr>
                <w:rFonts w:eastAsia="Times New Roman" w:cstheme="minorHAnsi"/>
                <w:color w:val="000000"/>
                <w:sz w:val="18"/>
                <w:szCs w:val="18"/>
                <w:lang w:eastAsia="en-GB"/>
              </w:rPr>
              <w:t>)</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0.1</w:t>
            </w:r>
            <w:r>
              <w:rPr>
                <w:rFonts w:eastAsia="Times New Roman" w:cstheme="minorHAnsi"/>
                <w:color w:val="000000"/>
                <w:sz w:val="18"/>
                <w:szCs w:val="18"/>
                <w:lang w:eastAsia="en-GB"/>
              </w:rPr>
              <w:t>)</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22.2</w:t>
            </w:r>
            <w:r>
              <w:rPr>
                <w:rFonts w:eastAsia="Times New Roman" w:cstheme="minorHAnsi"/>
                <w:color w:val="000000"/>
                <w:sz w:val="18"/>
                <w:szCs w:val="18"/>
                <w:lang w:eastAsia="en-GB"/>
              </w:rPr>
              <w:t>)</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0.0</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Shared Outcomes Fund</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15.0</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6.7</w:t>
            </w:r>
            <w:r>
              <w:rPr>
                <w:rFonts w:eastAsia="Times New Roman" w:cstheme="minorHAnsi"/>
                <w:color w:val="000000"/>
                <w:sz w:val="18"/>
                <w:szCs w:val="18"/>
                <w:lang w:eastAsia="en-GB"/>
              </w:rPr>
              <w:t>)</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0.3</w:t>
            </w:r>
            <w:r>
              <w:rPr>
                <w:rFonts w:eastAsia="Times New Roman" w:cstheme="minorHAnsi"/>
                <w:color w:val="000000"/>
                <w:sz w:val="18"/>
                <w:szCs w:val="18"/>
                <w:lang w:eastAsia="en-GB"/>
              </w:rPr>
              <w:t>)</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3.7</w:t>
            </w:r>
            <w:r>
              <w:rPr>
                <w:rFonts w:eastAsia="Times New Roman" w:cstheme="minorHAnsi"/>
                <w:color w:val="000000"/>
                <w:sz w:val="18"/>
                <w:szCs w:val="18"/>
                <w:lang w:eastAsia="en-GB"/>
              </w:rPr>
              <w:t>)</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color w:val="000000"/>
                <w:sz w:val="18"/>
                <w:szCs w:val="18"/>
                <w:lang w:eastAsia="en-GB"/>
              </w:rPr>
              <w:t>(</w:t>
            </w:r>
            <w:r w:rsidRPr="0048470C">
              <w:rPr>
                <w:rFonts w:eastAsia="Times New Roman" w:cstheme="minorHAnsi"/>
                <w:color w:val="000000"/>
                <w:sz w:val="18"/>
                <w:szCs w:val="18"/>
                <w:lang w:eastAsia="en-GB"/>
              </w:rPr>
              <w:t>0.2</w:t>
            </w:r>
            <w:r>
              <w:rPr>
                <w:rFonts w:eastAsia="Times New Roman" w:cstheme="minorHAnsi"/>
                <w:color w:val="000000"/>
                <w:sz w:val="18"/>
                <w:szCs w:val="18"/>
                <w:lang w:eastAsia="en-GB"/>
              </w:rPr>
              <w:t>)</w:t>
            </w:r>
          </w:p>
        </w:tc>
      </w:tr>
      <w:tr w:rsidTr="00E461A4">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b/>
                <w:bCs/>
                <w:color w:val="000000"/>
                <w:sz w:val="18"/>
                <w:szCs w:val="18"/>
                <w:u w:val="single"/>
                <w:lang w:eastAsia="en-GB"/>
              </w:rPr>
            </w:pPr>
            <w:r w:rsidRPr="0048470C">
              <w:rPr>
                <w:rFonts w:eastAsia="Times New Roman" w:cstheme="minorHAnsi"/>
                <w:b/>
                <w:bCs/>
                <w:color w:val="000000"/>
                <w:sz w:val="18"/>
                <w:szCs w:val="18"/>
                <w:u w:val="single"/>
                <w:lang w:eastAsia="en-GB"/>
              </w:rPr>
              <w:t>Total Resource DEL</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sidRPr="0048470C">
              <w:rPr>
                <w:rFonts w:eastAsia="Times New Roman" w:cstheme="minorHAnsi"/>
                <w:b/>
                <w:bCs/>
                <w:color w:val="000000"/>
                <w:sz w:val="18"/>
                <w:szCs w:val="18"/>
                <w:lang w:eastAsia="en-GB"/>
              </w:rPr>
              <w:t>1,166.5</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Pr>
                <w:rFonts w:eastAsia="Times New Roman" w:cstheme="minorHAnsi"/>
                <w:b/>
                <w:bCs/>
                <w:color w:val="000000"/>
                <w:sz w:val="18"/>
                <w:szCs w:val="18"/>
                <w:lang w:eastAsia="en-GB"/>
              </w:rPr>
              <w:t>(</w:t>
            </w:r>
            <w:r w:rsidR="00414248">
              <w:rPr>
                <w:rFonts w:eastAsia="Times New Roman" w:cstheme="minorHAnsi"/>
                <w:b/>
                <w:bCs/>
                <w:color w:val="000000"/>
                <w:sz w:val="18"/>
                <w:szCs w:val="18"/>
                <w:lang w:eastAsia="en-GB"/>
              </w:rPr>
              <w:t>4</w:t>
            </w:r>
            <w:r w:rsidRPr="0048470C">
              <w:rPr>
                <w:rFonts w:eastAsia="Times New Roman" w:cstheme="minorHAnsi"/>
                <w:b/>
                <w:bCs/>
                <w:color w:val="000000"/>
                <w:sz w:val="18"/>
                <w:szCs w:val="18"/>
                <w:lang w:eastAsia="en-GB"/>
              </w:rPr>
              <w:t>.</w:t>
            </w:r>
            <w:r w:rsidR="00414248">
              <w:rPr>
                <w:rFonts w:eastAsia="Times New Roman" w:cstheme="minorHAnsi"/>
                <w:b/>
                <w:bCs/>
                <w:color w:val="000000"/>
                <w:sz w:val="18"/>
                <w:szCs w:val="18"/>
                <w:lang w:eastAsia="en-GB"/>
              </w:rPr>
              <w:t>3</w:t>
            </w:r>
            <w:r>
              <w:rPr>
                <w:rFonts w:eastAsia="Times New Roman" w:cstheme="minorHAnsi"/>
                <w:b/>
                <w:bCs/>
                <w:color w:val="000000"/>
                <w:sz w:val="18"/>
                <w:szCs w:val="18"/>
                <w:lang w:eastAsia="en-GB"/>
              </w:rPr>
              <w:t>)</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Pr>
                <w:rFonts w:eastAsia="Times New Roman" w:cstheme="minorHAnsi"/>
                <w:b/>
                <w:bCs/>
                <w:color w:val="000000"/>
                <w:sz w:val="18"/>
                <w:szCs w:val="18"/>
                <w:lang w:eastAsia="en-GB"/>
              </w:rPr>
              <w:t>(</w:t>
            </w:r>
            <w:r w:rsidR="009653A7">
              <w:rPr>
                <w:rFonts w:eastAsia="Times New Roman" w:cstheme="minorHAnsi"/>
                <w:b/>
                <w:bCs/>
                <w:color w:val="000000"/>
                <w:sz w:val="18"/>
                <w:szCs w:val="18"/>
                <w:lang w:eastAsia="en-GB"/>
              </w:rPr>
              <w:t>0</w:t>
            </w:r>
            <w:r w:rsidRPr="0048470C">
              <w:rPr>
                <w:rFonts w:eastAsia="Times New Roman" w:cstheme="minorHAnsi"/>
                <w:b/>
                <w:bCs/>
                <w:color w:val="000000"/>
                <w:sz w:val="18"/>
                <w:szCs w:val="18"/>
                <w:lang w:eastAsia="en-GB"/>
              </w:rPr>
              <w:t>.</w:t>
            </w:r>
            <w:r w:rsidR="00F26A87">
              <w:rPr>
                <w:rFonts w:eastAsia="Times New Roman" w:cstheme="minorHAnsi"/>
                <w:b/>
                <w:bCs/>
                <w:color w:val="000000"/>
                <w:sz w:val="18"/>
                <w:szCs w:val="18"/>
                <w:lang w:eastAsia="en-GB"/>
              </w:rPr>
              <w:t>6</w:t>
            </w:r>
            <w:r>
              <w:rPr>
                <w:rFonts w:eastAsia="Times New Roman" w:cstheme="minorHAnsi"/>
                <w:b/>
                <w:bCs/>
                <w:color w:val="000000"/>
                <w:sz w:val="18"/>
                <w:szCs w:val="18"/>
                <w:lang w:eastAsia="en-GB"/>
              </w:rPr>
              <w:t>)</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Pr>
                <w:rFonts w:eastAsia="Times New Roman" w:cstheme="minorHAnsi"/>
                <w:b/>
                <w:bCs/>
                <w:color w:val="000000"/>
                <w:sz w:val="18"/>
                <w:szCs w:val="18"/>
                <w:lang w:eastAsia="en-GB"/>
              </w:rPr>
              <w:t>144.4</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Pr>
                <w:rFonts w:eastAsia="Times New Roman" w:cstheme="minorHAnsi"/>
                <w:b/>
                <w:bCs/>
                <w:color w:val="000000"/>
                <w:sz w:val="18"/>
                <w:szCs w:val="18"/>
                <w:lang w:eastAsia="en-GB"/>
              </w:rPr>
              <w:t>4</w:t>
            </w:r>
            <w:r w:rsidRPr="0048470C">
              <w:rPr>
                <w:rFonts w:eastAsia="Times New Roman" w:cstheme="minorHAnsi"/>
                <w:b/>
                <w:bCs/>
                <w:color w:val="000000"/>
                <w:sz w:val="18"/>
                <w:szCs w:val="18"/>
                <w:lang w:eastAsia="en-GB"/>
              </w:rPr>
              <w:t>.8</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b/>
                <w:bCs/>
                <w:color w:val="000000"/>
                <w:sz w:val="18"/>
                <w:szCs w:val="18"/>
                <w:u w:val="single"/>
                <w:lang w:eastAsia="en-GB"/>
              </w:rPr>
            </w:pPr>
            <w:r w:rsidRPr="0048470C">
              <w:rPr>
                <w:rFonts w:eastAsia="Times New Roman" w:cstheme="minorHAnsi"/>
                <w:b/>
                <w:bCs/>
                <w:color w:val="000000"/>
                <w:sz w:val="18"/>
                <w:szCs w:val="18"/>
                <w:u w:val="single"/>
                <w:lang w:eastAsia="en-GB"/>
              </w:rPr>
              <w:t>Policy RF - Capital DEL</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 </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noWrap/>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Legacy IT/Cyber Security</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7.5</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1.4</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0.2</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3.5</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0.9</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color w:val="000000"/>
                <w:sz w:val="18"/>
                <w:szCs w:val="18"/>
                <w:lang w:eastAsia="en-GB"/>
              </w:rPr>
              <w:t>R &amp; D</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sz w:val="18"/>
                <w:szCs w:val="18"/>
                <w:lang w:eastAsia="en-GB"/>
              </w:rPr>
              <w:t>13.0</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0.0</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0.0</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3.7</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color w:val="000000"/>
                <w:sz w:val="18"/>
                <w:szCs w:val="18"/>
                <w:lang w:eastAsia="en-GB"/>
              </w:rPr>
              <w:t>0.4</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b/>
                <w:bCs/>
                <w:color w:val="000000"/>
                <w:sz w:val="18"/>
                <w:szCs w:val="18"/>
                <w:u w:val="single"/>
                <w:lang w:eastAsia="en-GB"/>
              </w:rPr>
              <w:t>Total Capital DEL</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sz w:val="18"/>
                <w:szCs w:val="18"/>
                <w:lang w:eastAsia="en-GB"/>
              </w:rPr>
            </w:pPr>
            <w:r w:rsidRPr="0048470C">
              <w:rPr>
                <w:rFonts w:eastAsia="Times New Roman" w:cstheme="minorHAnsi"/>
                <w:b/>
                <w:bCs/>
                <w:color w:val="000000"/>
                <w:sz w:val="18"/>
                <w:szCs w:val="18"/>
                <w:lang w:eastAsia="en-GB"/>
              </w:rPr>
              <w:t>20.5</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b/>
                <w:bCs/>
                <w:color w:val="000000"/>
                <w:sz w:val="18"/>
                <w:szCs w:val="18"/>
                <w:lang w:eastAsia="en-GB"/>
              </w:rPr>
              <w:t>1.4</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b/>
                <w:bCs/>
                <w:color w:val="000000"/>
                <w:sz w:val="18"/>
                <w:szCs w:val="18"/>
                <w:lang w:eastAsia="en-GB"/>
              </w:rPr>
              <w:t>7.4</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sidRPr="0048470C">
              <w:rPr>
                <w:rFonts w:eastAsia="Times New Roman" w:cstheme="minorHAnsi"/>
                <w:b/>
                <w:bCs/>
                <w:color w:val="000000"/>
                <w:sz w:val="18"/>
                <w:szCs w:val="18"/>
                <w:lang w:eastAsia="en-GB"/>
              </w:rPr>
              <w:t>7.</w:t>
            </w:r>
            <w:r w:rsidR="00C70895">
              <w:rPr>
                <w:rFonts w:eastAsia="Times New Roman" w:cstheme="minorHAnsi"/>
                <w:b/>
                <w:bCs/>
                <w:color w:val="000000"/>
                <w:sz w:val="18"/>
                <w:szCs w:val="18"/>
                <w:lang w:eastAsia="en-GB"/>
              </w:rPr>
              <w:t>2</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color w:val="000000"/>
                <w:sz w:val="18"/>
                <w:szCs w:val="18"/>
                <w:lang w:eastAsia="en-GB"/>
              </w:rPr>
            </w:pPr>
            <w:r>
              <w:rPr>
                <w:rFonts w:eastAsia="Times New Roman" w:cstheme="minorHAnsi"/>
                <w:b/>
                <w:bCs/>
                <w:color w:val="000000"/>
                <w:sz w:val="18"/>
                <w:szCs w:val="18"/>
                <w:lang w:eastAsia="en-GB"/>
              </w:rPr>
              <w:t>54</w:t>
            </w:r>
            <w:r w:rsidRPr="0048470C">
              <w:rPr>
                <w:rFonts w:eastAsia="Times New Roman" w:cstheme="minorHAnsi"/>
                <w:b/>
                <w:bCs/>
                <w:color w:val="000000"/>
                <w:sz w:val="18"/>
                <w:szCs w:val="18"/>
                <w:lang w:eastAsia="en-GB"/>
              </w:rPr>
              <w:t>.3</w:t>
            </w:r>
          </w:p>
        </w:tc>
      </w:tr>
      <w:tr w:rsidTr="00E461A4">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F46A5B" w:rsidRPr="0048470C" w:rsidP="00F46A5B">
            <w:pPr>
              <w:spacing w:after="0" w:line="240" w:lineRule="auto"/>
              <w:rPr>
                <w:rFonts w:eastAsia="Times New Roman" w:cstheme="minorHAnsi"/>
                <w:b/>
                <w:bCs/>
                <w:color w:val="000000"/>
                <w:sz w:val="18"/>
                <w:szCs w:val="18"/>
                <w:u w:val="single"/>
                <w:lang w:eastAsia="en-GB"/>
              </w:rPr>
            </w:pPr>
            <w:r w:rsidRPr="0048470C">
              <w:rPr>
                <w:rFonts w:eastAsia="Times New Roman" w:cstheme="minorHAnsi"/>
                <w:color w:val="000000"/>
                <w:sz w:val="18"/>
                <w:szCs w:val="18"/>
                <w:lang w:eastAsia="en-GB"/>
              </w:rPr>
              <w:t> </w:t>
            </w:r>
          </w:p>
        </w:tc>
        <w:tc>
          <w:tcPr>
            <w:tcW w:w="1140" w:type="dxa"/>
            <w:tcBorders>
              <w:top w:val="nil"/>
              <w:left w:val="nil"/>
              <w:bottom w:val="single" w:sz="4" w:space="0" w:color="auto"/>
              <w:right w:val="nil"/>
            </w:tcBorders>
            <w:shd w:val="clear" w:color="auto" w:fill="auto"/>
            <w:noWrap/>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sidRPr="0048470C">
              <w:rPr>
                <w:rFonts w:eastAsia="Times New Roman" w:cstheme="minorHAnsi"/>
                <w:color w:val="000000"/>
                <w:sz w:val="18"/>
                <w:szCs w:val="18"/>
                <w:lang w:eastAsia="en-GB"/>
              </w:rPr>
              <w:t> </w:t>
            </w:r>
          </w:p>
        </w:tc>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sidRPr="0048470C">
              <w:rPr>
                <w:rFonts w:eastAsia="Times New Roman" w:cstheme="minorHAnsi"/>
                <w:color w:val="000000"/>
                <w:sz w:val="18"/>
                <w:szCs w:val="18"/>
                <w:lang w:eastAsia="en-GB"/>
              </w:rPr>
              <w:t> </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sidRPr="0048470C">
              <w:rPr>
                <w:rFonts w:eastAsia="Times New Roman" w:cstheme="minorHAnsi"/>
                <w:color w:val="000000"/>
                <w:sz w:val="18"/>
                <w:szCs w:val="18"/>
                <w:lang w:eastAsia="en-GB"/>
              </w:rPr>
              <w:t> </w:t>
            </w:r>
          </w:p>
        </w:tc>
        <w:tc>
          <w:tcPr>
            <w:tcW w:w="1240" w:type="dxa"/>
            <w:tcBorders>
              <w:top w:val="nil"/>
              <w:left w:val="nil"/>
              <w:bottom w:val="single" w:sz="4" w:space="0" w:color="auto"/>
              <w:right w:val="single" w:sz="4" w:space="0" w:color="auto"/>
            </w:tcBorders>
            <w:shd w:val="clear" w:color="auto" w:fill="auto"/>
            <w:noWrap/>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sidRPr="0048470C">
              <w:rPr>
                <w:rFonts w:eastAsia="Times New Roman" w:cstheme="minorHAnsi"/>
                <w:color w:val="000000"/>
                <w:sz w:val="18"/>
                <w:szCs w:val="18"/>
                <w:lang w:eastAsia="en-GB"/>
              </w:rPr>
              <w:t> </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sidRPr="0048470C">
              <w:rPr>
                <w:rFonts w:eastAsia="Times New Roman" w:cstheme="minorHAnsi"/>
                <w:color w:val="000000"/>
                <w:sz w:val="18"/>
                <w:szCs w:val="18"/>
                <w:lang w:eastAsia="en-GB"/>
              </w:rPr>
              <w:t> </w:t>
            </w:r>
          </w:p>
        </w:tc>
      </w:tr>
      <w:tr w:rsidTr="00B97D30">
        <w:tblPrEx>
          <w:tblW w:w="8520" w:type="dxa"/>
          <w:tblLook w:val="04A0"/>
        </w:tblPrEx>
        <w:trPr>
          <w:trHeight w:val="240"/>
        </w:trPr>
        <w:tc>
          <w:tcPr>
            <w:tcW w:w="3480" w:type="dxa"/>
            <w:tcBorders>
              <w:top w:val="nil"/>
              <w:left w:val="single" w:sz="8" w:space="0" w:color="auto"/>
              <w:bottom w:val="single" w:sz="4" w:space="0" w:color="auto"/>
              <w:right w:val="single" w:sz="8" w:space="0" w:color="auto"/>
            </w:tcBorders>
            <w:shd w:val="clear" w:color="auto" w:fill="auto"/>
            <w:noWrap/>
            <w:vAlign w:val="center"/>
            <w:hideMark/>
          </w:tcPr>
          <w:p w:rsidR="00F46A5B" w:rsidRPr="0048470C" w:rsidP="00F46A5B">
            <w:pPr>
              <w:spacing w:after="0" w:line="240" w:lineRule="auto"/>
              <w:rPr>
                <w:rFonts w:eastAsia="Times New Roman" w:cstheme="minorHAnsi"/>
                <w:color w:val="000000"/>
                <w:sz w:val="18"/>
                <w:szCs w:val="18"/>
                <w:lang w:eastAsia="en-GB"/>
              </w:rPr>
            </w:pPr>
            <w:r w:rsidRPr="0048470C">
              <w:rPr>
                <w:rFonts w:eastAsia="Times New Roman" w:cstheme="minorHAnsi"/>
                <w:b/>
                <w:bCs/>
                <w:color w:val="000000"/>
                <w:sz w:val="18"/>
                <w:szCs w:val="18"/>
                <w:u w:val="single"/>
                <w:lang w:eastAsia="en-GB"/>
              </w:rPr>
              <w:t>Total DEL Policy Ringfenced</w:t>
            </w:r>
          </w:p>
        </w:tc>
        <w:tc>
          <w:tcPr>
            <w:tcW w:w="1140" w:type="dxa"/>
            <w:tcBorders>
              <w:top w:val="nil"/>
              <w:left w:val="nil"/>
              <w:bottom w:val="single" w:sz="4" w:space="0" w:color="auto"/>
              <w:right w:val="nil"/>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sidRPr="0048470C">
              <w:rPr>
                <w:rFonts w:eastAsia="Times New Roman" w:cstheme="minorHAnsi"/>
                <w:b/>
                <w:bCs/>
                <w:color w:val="000000"/>
                <w:sz w:val="18"/>
                <w:szCs w:val="18"/>
                <w:lang w:eastAsia="en-GB"/>
              </w:rPr>
              <w:t>1,187.0</w:t>
            </w:r>
          </w:p>
        </w:tc>
        <w:tc>
          <w:tcPr>
            <w:tcW w:w="960" w:type="dxa"/>
            <w:tcBorders>
              <w:top w:val="nil"/>
              <w:left w:val="single" w:sz="8" w:space="0" w:color="auto"/>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Pr>
                <w:rFonts w:eastAsia="Times New Roman" w:cstheme="minorHAnsi"/>
                <w:b/>
                <w:bCs/>
                <w:color w:val="000000"/>
                <w:sz w:val="18"/>
                <w:szCs w:val="18"/>
                <w:lang w:eastAsia="en-GB"/>
              </w:rPr>
              <w:t>(</w:t>
            </w:r>
            <w:r w:rsidR="002C5F4C">
              <w:rPr>
                <w:rFonts w:eastAsia="Times New Roman" w:cstheme="minorHAnsi"/>
                <w:b/>
                <w:bCs/>
                <w:color w:val="000000"/>
                <w:sz w:val="18"/>
                <w:szCs w:val="18"/>
                <w:lang w:eastAsia="en-GB"/>
              </w:rPr>
              <w:t>2</w:t>
            </w:r>
            <w:r w:rsidRPr="0048470C">
              <w:rPr>
                <w:rFonts w:eastAsia="Times New Roman" w:cstheme="minorHAnsi"/>
                <w:b/>
                <w:bCs/>
                <w:color w:val="000000"/>
                <w:sz w:val="18"/>
                <w:szCs w:val="18"/>
                <w:lang w:eastAsia="en-GB"/>
              </w:rPr>
              <w:t>.</w:t>
            </w:r>
            <w:r w:rsidR="002C5F4C">
              <w:rPr>
                <w:rFonts w:eastAsia="Times New Roman" w:cstheme="minorHAnsi"/>
                <w:b/>
                <w:bCs/>
                <w:color w:val="000000"/>
                <w:sz w:val="18"/>
                <w:szCs w:val="18"/>
                <w:lang w:eastAsia="en-GB"/>
              </w:rPr>
              <w:t>9</w:t>
            </w:r>
            <w:r>
              <w:rPr>
                <w:rFonts w:eastAsia="Times New Roman" w:cstheme="minorHAnsi"/>
                <w:b/>
                <w:bCs/>
                <w:color w:val="000000"/>
                <w:sz w:val="18"/>
                <w:szCs w:val="18"/>
                <w:lang w:eastAsia="en-GB"/>
              </w:rPr>
              <w:t>)</w:t>
            </w:r>
          </w:p>
        </w:tc>
        <w:tc>
          <w:tcPr>
            <w:tcW w:w="9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Pr>
                <w:rFonts w:eastAsia="Times New Roman" w:cstheme="minorHAnsi"/>
                <w:b/>
                <w:bCs/>
                <w:color w:val="000000"/>
                <w:sz w:val="18"/>
                <w:szCs w:val="18"/>
                <w:lang w:eastAsia="en-GB"/>
              </w:rPr>
              <w:t>(</w:t>
            </w:r>
            <w:r w:rsidRPr="0048470C">
              <w:rPr>
                <w:rFonts w:eastAsia="Times New Roman" w:cstheme="minorHAnsi"/>
                <w:b/>
                <w:bCs/>
                <w:color w:val="000000"/>
                <w:sz w:val="18"/>
                <w:szCs w:val="18"/>
                <w:lang w:eastAsia="en-GB"/>
              </w:rPr>
              <w:t>0.</w:t>
            </w:r>
            <w:r w:rsidR="002E4577">
              <w:rPr>
                <w:rFonts w:eastAsia="Times New Roman" w:cstheme="minorHAnsi"/>
                <w:b/>
                <w:bCs/>
                <w:color w:val="000000"/>
                <w:sz w:val="18"/>
                <w:szCs w:val="18"/>
                <w:lang w:eastAsia="en-GB"/>
              </w:rPr>
              <w:t>2</w:t>
            </w:r>
            <w:r>
              <w:rPr>
                <w:rFonts w:eastAsia="Times New Roman" w:cstheme="minorHAnsi"/>
                <w:b/>
                <w:bCs/>
                <w:color w:val="000000"/>
                <w:sz w:val="18"/>
                <w:szCs w:val="18"/>
                <w:lang w:eastAsia="en-GB"/>
              </w:rPr>
              <w:t>)</w:t>
            </w:r>
          </w:p>
        </w:tc>
        <w:tc>
          <w:tcPr>
            <w:tcW w:w="1240" w:type="dxa"/>
            <w:tcBorders>
              <w:top w:val="nil"/>
              <w:left w:val="nil"/>
              <w:bottom w:val="single" w:sz="4" w:space="0" w:color="auto"/>
              <w:right w:val="single" w:sz="4"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Pr>
                <w:rFonts w:eastAsia="Times New Roman" w:cstheme="minorHAnsi"/>
                <w:b/>
                <w:bCs/>
                <w:color w:val="000000"/>
                <w:sz w:val="18"/>
                <w:szCs w:val="18"/>
                <w:lang w:eastAsia="en-GB"/>
              </w:rPr>
              <w:t>151.5</w:t>
            </w:r>
          </w:p>
        </w:tc>
        <w:tc>
          <w:tcPr>
            <w:tcW w:w="800" w:type="dxa"/>
            <w:tcBorders>
              <w:top w:val="nil"/>
              <w:left w:val="nil"/>
              <w:bottom w:val="single" w:sz="4" w:space="0" w:color="auto"/>
              <w:right w:val="single" w:sz="8" w:space="0" w:color="auto"/>
            </w:tcBorders>
            <w:shd w:val="clear" w:color="auto" w:fill="auto"/>
            <w:vAlign w:val="center"/>
            <w:hideMark/>
          </w:tcPr>
          <w:p w:rsidR="00F46A5B" w:rsidRPr="0048470C" w:rsidP="00F46A5B">
            <w:pPr>
              <w:spacing w:after="0" w:line="240" w:lineRule="auto"/>
              <w:jc w:val="right"/>
              <w:rPr>
                <w:rFonts w:eastAsia="Times New Roman" w:cstheme="minorHAnsi"/>
                <w:b/>
                <w:bCs/>
                <w:color w:val="000000"/>
                <w:sz w:val="18"/>
                <w:szCs w:val="18"/>
                <w:lang w:eastAsia="en-GB"/>
              </w:rPr>
            </w:pPr>
            <w:r>
              <w:rPr>
                <w:rFonts w:eastAsia="Times New Roman" w:cstheme="minorHAnsi"/>
                <w:b/>
                <w:bCs/>
                <w:color w:val="000000"/>
                <w:sz w:val="18"/>
                <w:szCs w:val="18"/>
                <w:lang w:eastAsia="en-GB"/>
              </w:rPr>
              <w:t>14.6</w:t>
            </w:r>
            <w:r w:rsidRPr="0048470C">
              <w:rPr>
                <w:rFonts w:eastAsia="Times New Roman" w:cstheme="minorHAnsi"/>
                <w:b/>
                <w:bCs/>
                <w:color w:val="000000"/>
                <w:sz w:val="18"/>
                <w:szCs w:val="18"/>
                <w:lang w:eastAsia="en-GB"/>
              </w:rPr>
              <w:t>.1</w:t>
            </w:r>
          </w:p>
        </w:tc>
      </w:tr>
    </w:tbl>
    <w:p w:rsidR="003A5C43" w:rsidRPr="008D0A1B">
      <w:pPr>
        <w:rPr>
          <w:rFonts w:eastAsia="Times New Roman" w:cs="Times New Roman"/>
          <w:bCs/>
          <w:color w:val="333333"/>
          <w:lang w:eastAsia="en-GB"/>
        </w:rPr>
      </w:pPr>
    </w:p>
    <w:p w:rsidR="00D31839" w:rsidP="00F03B4F">
      <w:pPr>
        <w:pStyle w:val="Heading1"/>
        <w:rPr>
          <w:rFonts w:asciiTheme="minorHAnsi" w:hAnsiTheme="minorHAnsi" w:cstheme="minorHAnsi"/>
          <w:sz w:val="28"/>
          <w:szCs w:val="28"/>
        </w:rPr>
      </w:pPr>
      <w:r w:rsidRPr="008D0A1B">
        <w:rPr>
          <w:rFonts w:asciiTheme="minorHAnsi" w:hAnsiTheme="minorHAnsi" w:cstheme="minorHAnsi"/>
          <w:sz w:val="28"/>
          <w:szCs w:val="28"/>
        </w:rPr>
        <w:t>2.4 C</w:t>
      </w:r>
      <w:r w:rsidRPr="008D0A1B" w:rsidR="0038554F">
        <w:rPr>
          <w:rFonts w:asciiTheme="minorHAnsi" w:hAnsiTheme="minorHAnsi" w:cstheme="minorHAnsi"/>
          <w:sz w:val="28"/>
          <w:szCs w:val="28"/>
        </w:rPr>
        <w:t>hanges to contingent liabilities</w:t>
      </w:r>
    </w:p>
    <w:p w:rsidR="00F03B4F" w:rsidRPr="00F03B4F" w:rsidP="00F03B4F"/>
    <w:p w:rsidR="00740631" w:rsidP="00740631">
      <w:r w:rsidRPr="00CB489C">
        <w:t xml:space="preserve">The following changes have occurred since the publication of the </w:t>
      </w:r>
      <w:r w:rsidRPr="00CB489C" w:rsidR="4C03C6C2">
        <w:t>2022-23</w:t>
      </w:r>
      <w:r w:rsidRPr="00CB489C">
        <w:t xml:space="preserve"> </w:t>
      </w:r>
      <w:r w:rsidRPr="00CB489C" w:rsidR="003778E8">
        <w:t>Supplementary</w:t>
      </w:r>
      <w:r w:rsidRPr="00CB489C">
        <w:t xml:space="preserve"> Estimate.</w:t>
      </w:r>
    </w:p>
    <w:p w:rsidR="00376360" w:rsidRPr="00376360" w:rsidP="00376360">
      <w:pPr>
        <w:rPr>
          <w:b/>
          <w:bCs/>
        </w:rPr>
      </w:pPr>
      <w:r w:rsidRPr="00376360">
        <w:rPr>
          <w:b/>
          <w:bCs/>
        </w:rPr>
        <w:t xml:space="preserve">Letter of comfort </w:t>
      </w:r>
    </w:p>
    <w:p w:rsidR="00376360" w:rsidP="00376360">
      <w:r>
        <w:t xml:space="preserve">A letter of comfort issued in 2022-23 relating to opening school facilities. </w:t>
      </w:r>
      <w:r w:rsidR="004939BF">
        <w:t>This was provided to</w:t>
      </w:r>
      <w:r>
        <w:t xml:space="preserve"> allow active partnership</w:t>
      </w:r>
      <w:r w:rsidR="00A720CC">
        <w:t>s</w:t>
      </w:r>
      <w:r>
        <w:t xml:space="preserve"> to undertake preparatory works, prior to a contract being signed, with a maximum liability of £546k </w:t>
      </w:r>
      <w:r w:rsidR="004939BF">
        <w:t xml:space="preserve">and </w:t>
      </w:r>
      <w:r>
        <w:t xml:space="preserve">has now expired.  </w:t>
      </w:r>
    </w:p>
    <w:p w:rsidR="00376360" w:rsidRPr="00376360" w:rsidP="00376360">
      <w:pPr>
        <w:rPr>
          <w:b/>
          <w:bCs/>
        </w:rPr>
      </w:pPr>
      <w:r w:rsidRPr="00376360">
        <w:rPr>
          <w:b/>
          <w:bCs/>
        </w:rPr>
        <w:t xml:space="preserve">Junior Individual Savings Account (JISA) </w:t>
      </w:r>
    </w:p>
    <w:p w:rsidR="00376360" w:rsidP="00376360">
      <w:r>
        <w:t>The value of this Contingent Liability has changed since the 2022-23 Supplementary Estimate from £1,585</w:t>
      </w:r>
      <w:r w:rsidR="005D67D9">
        <w:t>k</w:t>
      </w:r>
      <w:r>
        <w:t xml:space="preserve"> to £ 1,557k.</w:t>
      </w:r>
    </w:p>
    <w:p w:rsidR="00376360" w:rsidP="00376360">
      <w:r>
        <w:t xml:space="preserve">The Department for Education has contracted a charity to manage the Junior Individual Savings Account (JISA) scheme on its behalf. Using an initial £200 payment from the Department, the contractor opens and manages JISAs on behalf of looked after children while they remain in care.  The government made a commitment in 2011 to provide £200 to set up a JISA for each child in care across the UK. </w:t>
      </w:r>
      <w:r w:rsidR="00D533D2">
        <w:t>Local Authorities</w:t>
      </w:r>
      <w:r>
        <w:t xml:space="preserve"> </w:t>
      </w:r>
      <w:r w:rsidR="00D533D2">
        <w:t>(</w:t>
      </w:r>
      <w:r>
        <w:t>LAs</w:t>
      </w:r>
      <w:r w:rsidR="00D533D2">
        <w:t>)</w:t>
      </w:r>
      <w:r>
        <w:t xml:space="preserve"> have identified around 14,000 young people who left care before a JISA could be opened for them, of which around 8,000 have already claimed and received their £200 payments in lieu, leaving around 6,000 potential retrospective claims.</w:t>
      </w:r>
    </w:p>
    <w:p w:rsidR="00376360" w:rsidP="00376360">
      <w:r w:rsidRPr="00376360">
        <w:rPr>
          <w:b/>
          <w:bCs/>
        </w:rPr>
        <w:t xml:space="preserve">Coal Authority Permit </w:t>
      </w:r>
      <w:r>
        <w:t xml:space="preserve"> </w:t>
      </w:r>
    </w:p>
    <w:p w:rsidR="00376360" w:rsidP="00376360">
      <w:r>
        <w:t xml:space="preserve">Four additional schools have been added to this existing </w:t>
      </w:r>
      <w:r w:rsidR="00894104">
        <w:t>contingent liability</w:t>
      </w:r>
      <w:r w:rsidR="00D533D2">
        <w:t>.</w:t>
      </w:r>
      <w:r>
        <w:t xml:space="preserve"> </w:t>
      </w:r>
    </w:p>
    <w:p w:rsidR="00376360" w:rsidP="00376360">
      <w:r>
        <w:t>The permit is required to undertake a ground investigation (GI) survey as part of the delivery of a free school project. The total value is unquantifiable.</w:t>
      </w:r>
    </w:p>
    <w:p w:rsidR="006D5A8C" w:rsidRPr="00505348" w:rsidP="00376360">
      <w:pPr>
        <w:rPr>
          <w:b/>
          <w:bCs/>
        </w:rPr>
      </w:pPr>
      <w:r w:rsidRPr="00C32133">
        <w:rPr>
          <w:b/>
          <w:bCs/>
        </w:rPr>
        <w:t xml:space="preserve">Section 278 (s278) agreement  </w:t>
      </w:r>
    </w:p>
    <w:p w:rsidR="00376360" w:rsidP="00376360">
      <w:r>
        <w:t xml:space="preserve">An </w:t>
      </w:r>
      <w:r>
        <w:t xml:space="preserve">additional school has been added to this </w:t>
      </w:r>
      <w:r w:rsidR="00894104">
        <w:t>contingent liability</w:t>
      </w:r>
      <w:r>
        <w:t>.</w:t>
      </w:r>
    </w:p>
    <w:p w:rsidR="00376360" w:rsidP="00376360">
      <w:r>
        <w:t>Uncapped indemnity related to Section 278 (s278) agreements entered into as part of school builds. A s278 is a section of the Highways Act 1980 that allows developers to enter into a legal agreement with a council (in its capacity as the Highway Authority) to make permanent alterations or improvements to a public highway, as part of the planning approval for free school projects. The total value is unquantifiable.</w:t>
      </w:r>
    </w:p>
    <w:p w:rsidR="00376360" w:rsidP="00376360"/>
    <w:p w:rsidR="00C81A0E" w:rsidP="00376360">
      <w:r w:rsidRPr="00C81A0E">
        <w:rPr>
          <w:b/>
          <w:bCs/>
        </w:rPr>
        <w:t>Section 278 (s278) agreement</w:t>
      </w:r>
      <w:r>
        <w:t xml:space="preserve">  </w:t>
      </w:r>
    </w:p>
    <w:p w:rsidR="00376360" w:rsidP="00376360">
      <w:r>
        <w:t>T</w:t>
      </w:r>
      <w:r>
        <w:t>his is</w:t>
      </w:r>
      <w:r w:rsidR="00894104">
        <w:t xml:space="preserve"> a</w:t>
      </w:r>
      <w:r>
        <w:t xml:space="preserve"> new </w:t>
      </w:r>
      <w:r w:rsidR="00894104">
        <w:t>contingent liability</w:t>
      </w:r>
      <w:r>
        <w:t>.</w:t>
      </w:r>
      <w:r>
        <w:t xml:space="preserve"> This relates to a p</w:t>
      </w:r>
      <w:r>
        <w:t>reviously unquantified indemnity, relating to 16 agreements for schools/colleges, in respect of Section 278 (s278) agreements entered as part of school builds. The maximum liability has been assessed as £134 million</w:t>
      </w:r>
      <w:r w:rsidR="00894104">
        <w:t>, with each agreement ranging between £137k and £11m.</w:t>
      </w:r>
    </w:p>
    <w:p w:rsidR="00376360" w:rsidP="00376360"/>
    <w:p w:rsidR="00376360" w:rsidRPr="00CB76ED" w:rsidP="00376360">
      <w:pPr>
        <w:rPr>
          <w:b/>
          <w:bCs/>
        </w:rPr>
      </w:pPr>
      <w:r w:rsidRPr="00CB76ED">
        <w:rPr>
          <w:b/>
          <w:bCs/>
        </w:rPr>
        <w:t>S</w:t>
      </w:r>
      <w:r w:rsidR="00AF5A4C">
        <w:rPr>
          <w:b/>
          <w:bCs/>
        </w:rPr>
        <w:t xml:space="preserve">tudent </w:t>
      </w:r>
      <w:r w:rsidRPr="00CB76ED">
        <w:rPr>
          <w:b/>
          <w:bCs/>
        </w:rPr>
        <w:t>L</w:t>
      </w:r>
      <w:r w:rsidR="00AF5A4C">
        <w:rPr>
          <w:b/>
          <w:bCs/>
        </w:rPr>
        <w:t>oan</w:t>
      </w:r>
      <w:r w:rsidR="00864FC9">
        <w:rPr>
          <w:b/>
          <w:bCs/>
        </w:rPr>
        <w:t>s</w:t>
      </w:r>
      <w:r w:rsidR="00AF5A4C">
        <w:rPr>
          <w:b/>
          <w:bCs/>
        </w:rPr>
        <w:t xml:space="preserve"> </w:t>
      </w:r>
      <w:r w:rsidRPr="00CB76ED">
        <w:rPr>
          <w:b/>
          <w:bCs/>
        </w:rPr>
        <w:t>C</w:t>
      </w:r>
      <w:r w:rsidR="00AF5A4C">
        <w:rPr>
          <w:b/>
          <w:bCs/>
        </w:rPr>
        <w:t>ompany</w:t>
      </w:r>
      <w:r w:rsidRPr="00CB76ED">
        <w:rPr>
          <w:b/>
          <w:bCs/>
        </w:rPr>
        <w:t xml:space="preserve"> </w:t>
      </w:r>
      <w:r w:rsidR="00DF2A32">
        <w:rPr>
          <w:b/>
          <w:bCs/>
        </w:rPr>
        <w:t>(</w:t>
      </w:r>
      <w:r w:rsidRPr="00CB76ED">
        <w:rPr>
          <w:b/>
          <w:bCs/>
        </w:rPr>
        <w:t>SLC</w:t>
      </w:r>
      <w:r w:rsidR="00DF2A32">
        <w:rPr>
          <w:b/>
          <w:bCs/>
        </w:rPr>
        <w:t>)</w:t>
      </w:r>
      <w:r w:rsidRPr="00CB76ED">
        <w:rPr>
          <w:b/>
          <w:bCs/>
        </w:rPr>
        <w:t xml:space="preserve"> Pension Transfer 2 </w:t>
      </w:r>
    </w:p>
    <w:p w:rsidR="00376360" w:rsidRPr="00CB489C" w:rsidP="00376360">
      <w:r>
        <w:t>This is a new c</w:t>
      </w:r>
      <w:r>
        <w:t>ontingent liability in respect of a warranty provided to the SLC Pension Scheme Trustee to cover any potential shortfall between scheme assets and liabilities when transferring the remaining members of the SLC Pension Scheme into the Civil Service Pension Scheme. The maximum liability has been assessed as £33 million.</w:t>
      </w:r>
    </w:p>
    <w:p w:rsidR="00401A90" w:rsidP="00EF3423">
      <w:pPr>
        <w:pStyle w:val="Heading2"/>
        <w:rPr>
          <w:rFonts w:asciiTheme="minorHAnsi" w:hAnsiTheme="minorHAnsi" w:cstheme="minorHAnsi"/>
          <w:sz w:val="32"/>
          <w:szCs w:val="32"/>
        </w:rPr>
      </w:pPr>
    </w:p>
    <w:p w:rsidR="00EF3423" w:rsidRPr="008D0A1B" w:rsidP="00EF3423">
      <w:pPr>
        <w:pStyle w:val="Heading2"/>
        <w:rPr>
          <w:rFonts w:asciiTheme="minorHAnsi" w:hAnsiTheme="minorHAnsi" w:cstheme="minorHAnsi"/>
          <w:sz w:val="32"/>
          <w:szCs w:val="32"/>
        </w:rPr>
      </w:pPr>
      <w:r w:rsidRPr="008D0A1B">
        <w:rPr>
          <w:rFonts w:asciiTheme="minorHAnsi" w:hAnsiTheme="minorHAnsi" w:cstheme="minorHAnsi"/>
          <w:sz w:val="32"/>
          <w:szCs w:val="32"/>
        </w:rPr>
        <w:t>3.</w:t>
      </w:r>
      <w:r w:rsidRPr="008D0A1B">
        <w:rPr>
          <w:rFonts w:asciiTheme="minorHAnsi" w:hAnsiTheme="minorHAnsi" w:cstheme="minorHAnsi"/>
          <w:sz w:val="32"/>
          <w:szCs w:val="32"/>
        </w:rPr>
        <w:tab/>
        <w:t>Priorities and performance</w:t>
      </w:r>
    </w:p>
    <w:p w:rsidR="00037AD7" w:rsidP="00EF3423">
      <w:pPr>
        <w:pStyle w:val="Heading2"/>
        <w:rPr>
          <w:rFonts w:asciiTheme="minorHAnsi" w:hAnsiTheme="minorHAnsi" w:cstheme="minorHAnsi"/>
        </w:rPr>
      </w:pPr>
      <w:r w:rsidRPr="008D0A1B">
        <w:rPr>
          <w:rFonts w:asciiTheme="minorHAnsi" w:hAnsiTheme="minorHAnsi" w:cstheme="minorHAnsi"/>
        </w:rPr>
        <w:t xml:space="preserve">3.1 </w:t>
      </w:r>
      <w:r w:rsidR="001010C5">
        <w:rPr>
          <w:rFonts w:asciiTheme="minorHAnsi" w:hAnsiTheme="minorHAnsi" w:cstheme="minorHAnsi"/>
        </w:rPr>
        <w:t xml:space="preserve">How spending relates to </w:t>
      </w:r>
      <w:r w:rsidR="00340746">
        <w:rPr>
          <w:rFonts w:asciiTheme="minorHAnsi" w:hAnsiTheme="minorHAnsi" w:cstheme="minorHAnsi"/>
        </w:rPr>
        <w:t>objectives</w:t>
      </w:r>
    </w:p>
    <w:p w:rsidR="006724F9" w:rsidRPr="006724F9" w:rsidP="003C6ED3"/>
    <w:p w:rsidR="00991F15" w:rsidP="00C11365">
      <w:pPr>
        <w:pStyle w:val="Heading2"/>
      </w:pPr>
      <w:r w:rsidRPr="008D0A1B">
        <w:rPr>
          <w:rFonts w:asciiTheme="minorHAnsi" w:hAnsiTheme="minorHAnsi" w:cstheme="minorHAnsi"/>
        </w:rPr>
        <w:t>Departmental objectives and performance measures</w:t>
      </w:r>
      <w:r w:rsidRPr="001010C5" w:rsidR="001010C5">
        <w:t xml:space="preserve"> </w:t>
      </w:r>
    </w:p>
    <w:p w:rsidR="00EF3423" w:rsidP="00C11365">
      <w:r w:rsidRPr="009022B4">
        <w:t>The Department published an Outcome Delivery Plan in July 2021, which replaced the Single Departmental Plan and includes performance measures against Departmental objectives</w:t>
      </w:r>
      <w:r w:rsidRPr="009022B4">
        <w:rPr>
          <w:sz w:val="16"/>
          <w:szCs w:val="16"/>
        </w:rPr>
        <w:t xml:space="preserve">. </w:t>
      </w:r>
      <w:r w:rsidRPr="009022B4">
        <w:t xml:space="preserve">The table below shows the link between DfE's budget lines, set out in full in section 2 above, and </w:t>
      </w:r>
      <w:r w:rsidRPr="009022B4" w:rsidR="00682ACB">
        <w:t xml:space="preserve">the current </w:t>
      </w:r>
      <w:r w:rsidRPr="009022B4">
        <w:t>departmental objectives. An updated Outcome Delivery Plan will be published later in 202</w:t>
      </w:r>
      <w:r w:rsidRPr="009022B4" w:rsidR="00682ACB">
        <w:t>3</w:t>
      </w:r>
      <w:r w:rsidRPr="009022B4" w:rsidR="00BE65FD">
        <w:t>.</w:t>
      </w:r>
      <w:r w:rsidR="00BE65FD">
        <w:t xml:space="preserve"> </w:t>
      </w:r>
    </w:p>
    <w:p w:rsidR="006724F9" w:rsidRPr="00C11365" w:rsidP="00C11365">
      <w:pPr>
        <w:rPr>
          <w:rFonts w:ascii="Arial" w:hAnsi="Arial" w:cs="Arial"/>
          <w:color w:val="393939"/>
          <w:sz w:val="24"/>
          <w:szCs w:val="24"/>
        </w:rPr>
      </w:pPr>
    </w:p>
    <w:tbl>
      <w:tblPr>
        <w:tblW w:w="0" w:type="auto"/>
        <w:tblCellMar>
          <w:left w:w="0" w:type="dxa"/>
          <w:right w:w="0" w:type="dxa"/>
        </w:tblCellMar>
        <w:tblLook w:val="04A0"/>
      </w:tblPr>
      <w:tblGrid>
        <w:gridCol w:w="1803"/>
        <w:gridCol w:w="1884"/>
        <w:gridCol w:w="1989"/>
        <w:gridCol w:w="1863"/>
        <w:gridCol w:w="1467"/>
      </w:tblGrid>
      <w:tr w:rsidTr="00930E06">
        <w:tblPrEx>
          <w:tblW w:w="0" w:type="auto"/>
          <w:tblCellMar>
            <w:left w:w="0" w:type="dxa"/>
            <w:right w:w="0" w:type="dxa"/>
          </w:tblCellMar>
          <w:tblLook w:val="04A0"/>
        </w:tblPrEx>
        <w:trPr>
          <w:tblHeader/>
        </w:trPr>
        <w:tc>
          <w:tcPr>
            <w:tcW w:w="18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724F9" w:rsidRPr="003C6ED3">
            <w:pPr>
              <w:rPr>
                <w:b/>
                <w:bCs/>
              </w:rPr>
            </w:pPr>
            <w:r w:rsidRPr="003C6ED3">
              <w:rPr>
                <w:b/>
                <w:bCs/>
              </w:rPr>
              <w:t>Outcome</w:t>
            </w:r>
          </w:p>
          <w:p w:rsidR="006724F9"/>
          <w:p w:rsidR="006724F9"/>
          <w:p w:rsidR="006724F9" w:rsidRPr="00D83F98"/>
          <w:p w:rsidR="006724F9" w:rsidRPr="00273892">
            <w:pPr>
              <w:rPr>
                <w:b/>
                <w:bCs/>
              </w:rPr>
            </w:pPr>
            <w:r w:rsidRPr="00D83F98">
              <w:rPr>
                <w:b/>
                <w:bCs/>
              </w:rPr>
              <w:t xml:space="preserve">Estimates subheads </w:t>
            </w:r>
          </w:p>
        </w:tc>
        <w:tc>
          <w:tcPr>
            <w:tcW w:w="18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724F9">
            <w:r>
              <w:rPr>
                <w:rFonts w:cstheme="minorHAnsi"/>
                <w:color w:val="333333"/>
              </w:rPr>
              <w:t xml:space="preserve">1: </w:t>
            </w:r>
            <w:r>
              <w:rPr>
                <w:b/>
                <w:bCs/>
              </w:rPr>
              <w:t xml:space="preserve">Skills </w:t>
            </w:r>
            <w:r>
              <w:t>- Level up productivity and employment by improving the skills pipeline and supporting people to work</w:t>
            </w:r>
          </w:p>
          <w:p w:rsidR="006724F9" w:rsidRPr="008D0A1B">
            <w:pPr>
              <w:rPr>
                <w:rFonts w:cstheme="minorHAnsi"/>
              </w:rPr>
            </w:pPr>
          </w:p>
        </w:tc>
        <w:tc>
          <w:tcPr>
            <w:tcW w:w="19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724F9">
            <w:r>
              <w:rPr>
                <w:rFonts w:cstheme="minorHAnsi"/>
                <w:color w:val="333333"/>
              </w:rPr>
              <w:t xml:space="preserve">2: </w:t>
            </w:r>
            <w:r>
              <w:rPr>
                <w:b/>
                <w:bCs/>
              </w:rPr>
              <w:t xml:space="preserve">Schools </w:t>
            </w:r>
            <w:r>
              <w:t>- Level up education standards in every part of the country, and support children and young people to recover from the Covid-19 pandemic</w:t>
            </w:r>
          </w:p>
          <w:p w:rsidR="006724F9" w:rsidRPr="008D0A1B">
            <w:pPr>
              <w:rPr>
                <w:rFonts w:cstheme="minorHAnsi"/>
              </w:rPr>
            </w:pPr>
          </w:p>
        </w:tc>
        <w:tc>
          <w:tcPr>
            <w:tcW w:w="18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724F9">
            <w:r>
              <w:rPr>
                <w:rFonts w:cstheme="minorHAnsi"/>
                <w:color w:val="333333"/>
              </w:rPr>
              <w:t xml:space="preserve">3: </w:t>
            </w:r>
            <w:r>
              <w:rPr>
                <w:b/>
                <w:bCs/>
              </w:rPr>
              <w:t xml:space="preserve">Families </w:t>
            </w:r>
            <w:r>
              <w:t>- Support families and protect young people through high quality local services, early education and childcare</w:t>
            </w:r>
          </w:p>
          <w:p w:rsidR="006724F9" w:rsidRPr="008D0A1B">
            <w:pPr>
              <w:rPr>
                <w:rFonts w:cstheme="minorHAnsi"/>
              </w:rPr>
            </w:pPr>
          </w:p>
        </w:tc>
        <w:tc>
          <w:tcPr>
            <w:tcW w:w="1467" w:type="dxa"/>
            <w:tcBorders>
              <w:top w:val="single" w:sz="8" w:space="0" w:color="auto"/>
              <w:left w:val="nil"/>
              <w:bottom w:val="single" w:sz="8" w:space="0" w:color="auto"/>
              <w:right w:val="single" w:sz="8" w:space="0" w:color="auto"/>
            </w:tcBorders>
          </w:tcPr>
          <w:p w:rsidR="006724F9">
            <w:pPr>
              <w:rPr>
                <w:rFonts w:cstheme="minorHAnsi"/>
                <w:color w:val="333333"/>
              </w:rPr>
            </w:pPr>
          </w:p>
        </w:tc>
      </w:tr>
      <w:tr w:rsidTr="003C6ED3">
        <w:tblPrEx>
          <w:tblW w:w="0" w:type="auto"/>
          <w:tblCellMar>
            <w:left w:w="0" w:type="dxa"/>
            <w:right w:w="0" w:type="dxa"/>
          </w:tblCellMar>
          <w:tblLook w:val="04A0"/>
        </w:tblPrEx>
        <w:tc>
          <w:tcPr>
            <w:tcW w:w="18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24F9" w:rsidRPr="008D0A1B">
            <w:pPr>
              <w:rPr>
                <w:sz w:val="19"/>
                <w:szCs w:val="19"/>
              </w:rPr>
            </w:pPr>
            <w:r w:rsidRPr="008D0A1B">
              <w:rPr>
                <w:sz w:val="19"/>
                <w:szCs w:val="19"/>
              </w:rPr>
              <w:t xml:space="preserve">A, </w:t>
            </w:r>
            <w:r>
              <w:rPr>
                <w:sz w:val="19"/>
                <w:szCs w:val="19"/>
              </w:rPr>
              <w:t xml:space="preserve">O, </w:t>
            </w:r>
            <w:r w:rsidRPr="008D0A1B">
              <w:rPr>
                <w:sz w:val="19"/>
                <w:szCs w:val="19"/>
              </w:rPr>
              <w:t>P</w:t>
            </w:r>
          </w:p>
        </w:tc>
        <w:tc>
          <w:tcPr>
            <w:tcW w:w="1884"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r>
              <w:rPr>
                <w:rFonts w:cstheme="minorHAnsi"/>
                <w:b/>
                <w:bCs/>
                <w:sz w:val="19"/>
                <w:szCs w:val="19"/>
              </w:rPr>
              <w:t>X</w:t>
            </w:r>
          </w:p>
        </w:tc>
        <w:tc>
          <w:tcPr>
            <w:tcW w:w="1989"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r w:rsidRPr="003C6ED3">
              <w:rPr>
                <w:b/>
                <w:bCs/>
                <w:sz w:val="19"/>
                <w:szCs w:val="19"/>
              </w:rPr>
              <w:t>X</w:t>
            </w:r>
          </w:p>
        </w:tc>
        <w:tc>
          <w:tcPr>
            <w:tcW w:w="1863"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r w:rsidRPr="003C6ED3">
              <w:rPr>
                <w:b/>
                <w:bCs/>
                <w:sz w:val="19"/>
                <w:szCs w:val="19"/>
              </w:rPr>
              <w:t>X</w:t>
            </w:r>
          </w:p>
        </w:tc>
        <w:tc>
          <w:tcPr>
            <w:tcW w:w="1467" w:type="dxa"/>
            <w:tcBorders>
              <w:top w:val="nil"/>
              <w:left w:val="nil"/>
              <w:bottom w:val="single" w:sz="8" w:space="0" w:color="auto"/>
              <w:right w:val="single" w:sz="8" w:space="0" w:color="auto"/>
            </w:tcBorders>
          </w:tcPr>
          <w:p w:rsidR="006724F9" w:rsidRPr="006724F9">
            <w:pPr>
              <w:rPr>
                <w:b/>
                <w:bCs/>
                <w:sz w:val="19"/>
                <w:szCs w:val="19"/>
              </w:rPr>
            </w:pPr>
          </w:p>
        </w:tc>
      </w:tr>
      <w:tr w:rsidTr="003C6ED3">
        <w:tblPrEx>
          <w:tblW w:w="0" w:type="auto"/>
          <w:tblCellMar>
            <w:left w:w="0" w:type="dxa"/>
            <w:right w:w="0" w:type="dxa"/>
          </w:tblCellMar>
          <w:tblLook w:val="04A0"/>
        </w:tblPrEx>
        <w:tc>
          <w:tcPr>
            <w:tcW w:w="18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24F9" w:rsidRPr="008D0A1B">
            <w:pPr>
              <w:rPr>
                <w:sz w:val="19"/>
                <w:szCs w:val="19"/>
              </w:rPr>
            </w:pPr>
            <w:r w:rsidRPr="008D0A1B">
              <w:rPr>
                <w:sz w:val="19"/>
                <w:szCs w:val="19"/>
              </w:rPr>
              <w:t>B</w:t>
            </w:r>
            <w:r>
              <w:rPr>
                <w:sz w:val="19"/>
                <w:szCs w:val="19"/>
              </w:rPr>
              <w:t>, D, E</w:t>
            </w:r>
            <w:r w:rsidRPr="008D0A1B">
              <w:rPr>
                <w:sz w:val="19"/>
                <w:szCs w:val="19"/>
              </w:rPr>
              <w:t xml:space="preserve"> </w:t>
            </w:r>
          </w:p>
        </w:tc>
        <w:tc>
          <w:tcPr>
            <w:tcW w:w="1884"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p>
        </w:tc>
        <w:tc>
          <w:tcPr>
            <w:tcW w:w="1989" w:type="dxa"/>
            <w:tcBorders>
              <w:top w:val="nil"/>
              <w:left w:val="nil"/>
              <w:bottom w:val="single" w:sz="8" w:space="0" w:color="auto"/>
              <w:right w:val="single" w:sz="8" w:space="0" w:color="auto"/>
            </w:tcBorders>
            <w:tcMar>
              <w:top w:w="0" w:type="dxa"/>
              <w:left w:w="108" w:type="dxa"/>
              <w:bottom w:w="0" w:type="dxa"/>
              <w:right w:w="108" w:type="dxa"/>
            </w:tcMar>
          </w:tcPr>
          <w:p w:rsidR="006724F9" w:rsidRPr="003C6ED3">
            <w:pPr>
              <w:rPr>
                <w:b/>
                <w:bCs/>
                <w:sz w:val="19"/>
                <w:szCs w:val="19"/>
              </w:rPr>
            </w:pPr>
            <w:r w:rsidRPr="003C6ED3">
              <w:rPr>
                <w:b/>
                <w:bCs/>
                <w:sz w:val="19"/>
                <w:szCs w:val="19"/>
              </w:rPr>
              <w:t>X</w:t>
            </w:r>
          </w:p>
        </w:tc>
        <w:tc>
          <w:tcPr>
            <w:tcW w:w="1863"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r w:rsidRPr="003C6ED3">
              <w:rPr>
                <w:b/>
                <w:bCs/>
                <w:sz w:val="19"/>
                <w:szCs w:val="19"/>
              </w:rPr>
              <w:t>X</w:t>
            </w:r>
          </w:p>
        </w:tc>
        <w:tc>
          <w:tcPr>
            <w:tcW w:w="1467" w:type="dxa"/>
            <w:tcBorders>
              <w:top w:val="nil"/>
              <w:left w:val="nil"/>
              <w:bottom w:val="single" w:sz="8" w:space="0" w:color="auto"/>
              <w:right w:val="single" w:sz="8" w:space="0" w:color="auto"/>
            </w:tcBorders>
          </w:tcPr>
          <w:p w:rsidR="006724F9" w:rsidRPr="006724F9">
            <w:pPr>
              <w:rPr>
                <w:b/>
                <w:bCs/>
                <w:sz w:val="19"/>
                <w:szCs w:val="19"/>
              </w:rPr>
            </w:pPr>
          </w:p>
        </w:tc>
      </w:tr>
      <w:tr w:rsidTr="003C6ED3">
        <w:tblPrEx>
          <w:tblW w:w="0" w:type="auto"/>
          <w:tblCellMar>
            <w:left w:w="0" w:type="dxa"/>
            <w:right w:w="0" w:type="dxa"/>
          </w:tblCellMar>
          <w:tblLook w:val="04A0"/>
        </w:tblPrEx>
        <w:tc>
          <w:tcPr>
            <w:tcW w:w="18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24F9" w:rsidRPr="008D0A1B">
            <w:pPr>
              <w:rPr>
                <w:sz w:val="19"/>
                <w:szCs w:val="19"/>
              </w:rPr>
            </w:pPr>
            <w:r w:rsidRPr="008D0A1B">
              <w:rPr>
                <w:sz w:val="19"/>
                <w:szCs w:val="19"/>
              </w:rPr>
              <w:t xml:space="preserve">C, </w:t>
            </w:r>
            <w:r>
              <w:rPr>
                <w:sz w:val="19"/>
                <w:szCs w:val="19"/>
              </w:rPr>
              <w:t xml:space="preserve">F, G. </w:t>
            </w:r>
            <w:r w:rsidRPr="008D0A1B">
              <w:rPr>
                <w:sz w:val="19"/>
                <w:szCs w:val="19"/>
              </w:rPr>
              <w:t>J</w:t>
            </w:r>
            <w:r>
              <w:rPr>
                <w:sz w:val="19"/>
                <w:szCs w:val="19"/>
              </w:rPr>
              <w:t>, K</w:t>
            </w:r>
          </w:p>
        </w:tc>
        <w:tc>
          <w:tcPr>
            <w:tcW w:w="1884"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p>
        </w:tc>
        <w:tc>
          <w:tcPr>
            <w:tcW w:w="1989" w:type="dxa"/>
            <w:tcBorders>
              <w:top w:val="nil"/>
              <w:left w:val="nil"/>
              <w:bottom w:val="single" w:sz="8" w:space="0" w:color="auto"/>
              <w:right w:val="single" w:sz="8" w:space="0" w:color="auto"/>
            </w:tcBorders>
            <w:tcMar>
              <w:top w:w="0" w:type="dxa"/>
              <w:left w:w="108" w:type="dxa"/>
              <w:bottom w:w="0" w:type="dxa"/>
              <w:right w:w="108" w:type="dxa"/>
            </w:tcMar>
          </w:tcPr>
          <w:p w:rsidR="006724F9" w:rsidRPr="003C6ED3">
            <w:pPr>
              <w:rPr>
                <w:b/>
                <w:bCs/>
                <w:sz w:val="19"/>
                <w:szCs w:val="19"/>
              </w:rPr>
            </w:pPr>
            <w:r w:rsidRPr="003C6ED3">
              <w:rPr>
                <w:b/>
                <w:bCs/>
                <w:sz w:val="19"/>
                <w:szCs w:val="19"/>
              </w:rPr>
              <w:t>X</w:t>
            </w:r>
          </w:p>
        </w:tc>
        <w:tc>
          <w:tcPr>
            <w:tcW w:w="1863" w:type="dxa"/>
            <w:tcBorders>
              <w:top w:val="nil"/>
              <w:left w:val="nil"/>
              <w:bottom w:val="single" w:sz="8" w:space="0" w:color="auto"/>
              <w:right w:val="single" w:sz="8" w:space="0" w:color="auto"/>
            </w:tcBorders>
            <w:tcMar>
              <w:top w:w="0" w:type="dxa"/>
              <w:left w:w="108" w:type="dxa"/>
              <w:bottom w:w="0" w:type="dxa"/>
              <w:right w:w="108" w:type="dxa"/>
            </w:tcMar>
          </w:tcPr>
          <w:p w:rsidR="006724F9" w:rsidRPr="003C6ED3">
            <w:pPr>
              <w:rPr>
                <w:b/>
                <w:bCs/>
                <w:sz w:val="19"/>
                <w:szCs w:val="19"/>
              </w:rPr>
            </w:pPr>
          </w:p>
        </w:tc>
        <w:tc>
          <w:tcPr>
            <w:tcW w:w="1467" w:type="dxa"/>
            <w:tcBorders>
              <w:top w:val="nil"/>
              <w:left w:val="nil"/>
              <w:bottom w:val="single" w:sz="8" w:space="0" w:color="auto"/>
              <w:right w:val="single" w:sz="8" w:space="0" w:color="auto"/>
            </w:tcBorders>
          </w:tcPr>
          <w:p w:rsidR="006724F9" w:rsidRPr="006724F9">
            <w:pPr>
              <w:rPr>
                <w:b/>
                <w:bCs/>
                <w:sz w:val="19"/>
                <w:szCs w:val="19"/>
              </w:rPr>
            </w:pPr>
          </w:p>
        </w:tc>
      </w:tr>
      <w:tr w:rsidTr="003C6ED3">
        <w:tblPrEx>
          <w:tblW w:w="0" w:type="auto"/>
          <w:tblCellMar>
            <w:left w:w="0" w:type="dxa"/>
            <w:right w:w="0" w:type="dxa"/>
          </w:tblCellMar>
          <w:tblLook w:val="04A0"/>
        </w:tblPrEx>
        <w:tc>
          <w:tcPr>
            <w:tcW w:w="18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24F9" w:rsidRPr="008D0A1B">
            <w:pPr>
              <w:rPr>
                <w:sz w:val="19"/>
                <w:szCs w:val="19"/>
              </w:rPr>
            </w:pPr>
            <w:r w:rsidRPr="008D0A1B">
              <w:rPr>
                <w:sz w:val="19"/>
                <w:szCs w:val="19"/>
              </w:rPr>
              <w:t>H</w:t>
            </w:r>
          </w:p>
        </w:tc>
        <w:tc>
          <w:tcPr>
            <w:tcW w:w="1884"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r w:rsidRPr="003C6ED3">
              <w:rPr>
                <w:b/>
                <w:bCs/>
                <w:sz w:val="19"/>
                <w:szCs w:val="19"/>
              </w:rPr>
              <w:t>X</w:t>
            </w:r>
          </w:p>
        </w:tc>
        <w:tc>
          <w:tcPr>
            <w:tcW w:w="1989"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r w:rsidRPr="003C6ED3">
              <w:rPr>
                <w:b/>
                <w:bCs/>
                <w:sz w:val="19"/>
                <w:szCs w:val="19"/>
              </w:rPr>
              <w:t>X</w:t>
            </w:r>
          </w:p>
        </w:tc>
        <w:tc>
          <w:tcPr>
            <w:tcW w:w="1863" w:type="dxa"/>
            <w:tcBorders>
              <w:top w:val="nil"/>
              <w:left w:val="nil"/>
              <w:bottom w:val="single" w:sz="8" w:space="0" w:color="auto"/>
              <w:right w:val="single" w:sz="8" w:space="0" w:color="auto"/>
            </w:tcBorders>
            <w:tcMar>
              <w:top w:w="0" w:type="dxa"/>
              <w:left w:w="108" w:type="dxa"/>
              <w:bottom w:w="0" w:type="dxa"/>
              <w:right w:w="108" w:type="dxa"/>
            </w:tcMar>
          </w:tcPr>
          <w:p w:rsidR="006724F9" w:rsidRPr="003C6ED3">
            <w:pPr>
              <w:rPr>
                <w:b/>
                <w:bCs/>
                <w:sz w:val="19"/>
                <w:szCs w:val="19"/>
              </w:rPr>
            </w:pPr>
          </w:p>
        </w:tc>
        <w:tc>
          <w:tcPr>
            <w:tcW w:w="1467" w:type="dxa"/>
            <w:tcBorders>
              <w:top w:val="nil"/>
              <w:left w:val="nil"/>
              <w:bottom w:val="single" w:sz="8" w:space="0" w:color="auto"/>
              <w:right w:val="single" w:sz="8" w:space="0" w:color="auto"/>
            </w:tcBorders>
          </w:tcPr>
          <w:p w:rsidR="006724F9" w:rsidRPr="006724F9">
            <w:pPr>
              <w:rPr>
                <w:b/>
                <w:bCs/>
                <w:sz w:val="19"/>
                <w:szCs w:val="19"/>
              </w:rPr>
            </w:pPr>
          </w:p>
        </w:tc>
      </w:tr>
      <w:tr w:rsidTr="003C6ED3">
        <w:tblPrEx>
          <w:tblW w:w="0" w:type="auto"/>
          <w:tblCellMar>
            <w:left w:w="0" w:type="dxa"/>
            <w:right w:w="0" w:type="dxa"/>
          </w:tblCellMar>
          <w:tblLook w:val="04A0"/>
        </w:tblPrEx>
        <w:tc>
          <w:tcPr>
            <w:tcW w:w="18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24F9" w:rsidRPr="008D0A1B">
            <w:pPr>
              <w:rPr>
                <w:sz w:val="19"/>
                <w:szCs w:val="19"/>
              </w:rPr>
            </w:pPr>
            <w:r>
              <w:rPr>
                <w:sz w:val="19"/>
                <w:szCs w:val="19"/>
              </w:rPr>
              <w:t>I,</w:t>
            </w:r>
            <w:r w:rsidRPr="008D0A1B">
              <w:rPr>
                <w:sz w:val="19"/>
                <w:szCs w:val="19"/>
              </w:rPr>
              <w:t xml:space="preserve"> L, M, N, Q, R, S, T</w:t>
            </w:r>
            <w:r>
              <w:rPr>
                <w:sz w:val="19"/>
                <w:szCs w:val="19"/>
              </w:rPr>
              <w:t>, U</w:t>
            </w:r>
          </w:p>
        </w:tc>
        <w:tc>
          <w:tcPr>
            <w:tcW w:w="1884" w:type="dxa"/>
            <w:tcBorders>
              <w:top w:val="nil"/>
              <w:left w:val="nil"/>
              <w:bottom w:val="single" w:sz="8" w:space="0" w:color="auto"/>
              <w:right w:val="single" w:sz="8" w:space="0" w:color="auto"/>
            </w:tcBorders>
            <w:tcMar>
              <w:top w:w="0" w:type="dxa"/>
              <w:left w:w="108" w:type="dxa"/>
              <w:bottom w:w="0" w:type="dxa"/>
              <w:right w:w="108" w:type="dxa"/>
            </w:tcMar>
          </w:tcPr>
          <w:p w:rsidR="006724F9" w:rsidRPr="003C6ED3">
            <w:pPr>
              <w:rPr>
                <w:b/>
                <w:bCs/>
                <w:sz w:val="19"/>
                <w:szCs w:val="19"/>
              </w:rPr>
            </w:pPr>
            <w:r w:rsidRPr="003C6ED3">
              <w:rPr>
                <w:b/>
                <w:bCs/>
                <w:sz w:val="19"/>
                <w:szCs w:val="19"/>
              </w:rPr>
              <w:t>X</w:t>
            </w:r>
          </w:p>
        </w:tc>
        <w:tc>
          <w:tcPr>
            <w:tcW w:w="1989" w:type="dxa"/>
            <w:tcBorders>
              <w:top w:val="nil"/>
              <w:left w:val="nil"/>
              <w:bottom w:val="single" w:sz="8" w:space="0" w:color="auto"/>
              <w:right w:val="single" w:sz="8" w:space="0" w:color="auto"/>
            </w:tcBorders>
            <w:tcMar>
              <w:top w:w="0" w:type="dxa"/>
              <w:left w:w="108" w:type="dxa"/>
              <w:bottom w:w="0" w:type="dxa"/>
              <w:right w:w="108" w:type="dxa"/>
            </w:tcMar>
            <w:hideMark/>
          </w:tcPr>
          <w:p w:rsidR="006724F9" w:rsidRPr="003C6ED3">
            <w:pPr>
              <w:rPr>
                <w:b/>
                <w:bCs/>
                <w:sz w:val="19"/>
                <w:szCs w:val="19"/>
              </w:rPr>
            </w:pPr>
          </w:p>
        </w:tc>
        <w:tc>
          <w:tcPr>
            <w:tcW w:w="1863" w:type="dxa"/>
            <w:tcBorders>
              <w:top w:val="nil"/>
              <w:left w:val="nil"/>
              <w:bottom w:val="single" w:sz="8" w:space="0" w:color="auto"/>
              <w:right w:val="single" w:sz="8" w:space="0" w:color="auto"/>
            </w:tcBorders>
            <w:tcMar>
              <w:top w:w="0" w:type="dxa"/>
              <w:left w:w="108" w:type="dxa"/>
              <w:bottom w:w="0" w:type="dxa"/>
              <w:right w:w="108" w:type="dxa"/>
            </w:tcMar>
          </w:tcPr>
          <w:p w:rsidR="006724F9" w:rsidRPr="003C6ED3">
            <w:pPr>
              <w:rPr>
                <w:b/>
                <w:bCs/>
                <w:sz w:val="19"/>
                <w:szCs w:val="19"/>
              </w:rPr>
            </w:pPr>
          </w:p>
        </w:tc>
        <w:tc>
          <w:tcPr>
            <w:tcW w:w="1467" w:type="dxa"/>
            <w:tcBorders>
              <w:top w:val="nil"/>
              <w:left w:val="nil"/>
              <w:bottom w:val="single" w:sz="8" w:space="0" w:color="auto"/>
              <w:right w:val="single" w:sz="8" w:space="0" w:color="auto"/>
            </w:tcBorders>
          </w:tcPr>
          <w:p w:rsidR="006724F9" w:rsidRPr="006724F9">
            <w:pPr>
              <w:rPr>
                <w:b/>
                <w:bCs/>
                <w:sz w:val="19"/>
                <w:szCs w:val="19"/>
              </w:rPr>
            </w:pPr>
          </w:p>
        </w:tc>
      </w:tr>
    </w:tbl>
    <w:p w:rsidR="00A81DB0" w:rsidP="00A81DB0">
      <w:pPr>
        <w:rPr>
          <w:color w:val="1F497D"/>
        </w:rPr>
      </w:pPr>
    </w:p>
    <w:p w:rsidR="00401A90" w:rsidRPr="008D0A1B" w:rsidP="00A81DB0">
      <w:pPr>
        <w:rPr>
          <w:color w:val="1F497D"/>
        </w:rPr>
      </w:pPr>
    </w:p>
    <w:p w:rsidR="00350923" w:rsidRPr="00BC2BF2" w:rsidP="00350923">
      <w:pPr>
        <w:rPr>
          <w:sz w:val="24"/>
          <w:szCs w:val="24"/>
        </w:rPr>
      </w:pPr>
      <w:r w:rsidRPr="00BC2BF2">
        <w:rPr>
          <w:sz w:val="24"/>
          <w:szCs w:val="24"/>
        </w:rPr>
        <w:t xml:space="preserve">Key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9"/>
        <w:gridCol w:w="953"/>
        <w:gridCol w:w="2312"/>
        <w:gridCol w:w="4582"/>
      </w:tblGrid>
      <w:tr w:rsidTr="00FD1F4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57"/>
          <w:tblHeader/>
        </w:trPr>
        <w:tc>
          <w:tcPr>
            <w:tcW w:w="1169" w:type="dxa"/>
          </w:tcPr>
          <w:p w:rsidR="00350923" w:rsidRPr="00682ACB">
            <w:pPr>
              <w:rPr>
                <w:b/>
                <w:bCs/>
                <w:sz w:val="20"/>
                <w:szCs w:val="20"/>
              </w:rPr>
            </w:pPr>
            <w:r w:rsidRPr="00682ACB">
              <w:rPr>
                <w:b/>
                <w:bCs/>
                <w:sz w:val="20"/>
                <w:szCs w:val="20"/>
              </w:rPr>
              <w:t xml:space="preserve">Estimate Line </w:t>
            </w:r>
          </w:p>
        </w:tc>
        <w:tc>
          <w:tcPr>
            <w:tcW w:w="953" w:type="dxa"/>
          </w:tcPr>
          <w:p w:rsidR="00350923" w:rsidRPr="00682ACB">
            <w:pPr>
              <w:rPr>
                <w:b/>
                <w:bCs/>
                <w:sz w:val="20"/>
                <w:szCs w:val="20"/>
              </w:rPr>
            </w:pPr>
            <w:r w:rsidRPr="00682ACB">
              <w:rPr>
                <w:b/>
                <w:bCs/>
                <w:sz w:val="20"/>
                <w:szCs w:val="20"/>
              </w:rPr>
              <w:t>DEL / AME</w:t>
            </w:r>
          </w:p>
        </w:tc>
        <w:tc>
          <w:tcPr>
            <w:tcW w:w="2312" w:type="dxa"/>
          </w:tcPr>
          <w:p w:rsidR="00350923" w:rsidRPr="00682ACB">
            <w:pPr>
              <w:rPr>
                <w:b/>
                <w:bCs/>
                <w:sz w:val="20"/>
                <w:szCs w:val="20"/>
              </w:rPr>
            </w:pPr>
            <w:r w:rsidRPr="00682ACB">
              <w:rPr>
                <w:b/>
                <w:bCs/>
                <w:sz w:val="20"/>
                <w:szCs w:val="20"/>
              </w:rPr>
              <w:t>Title</w:t>
            </w:r>
          </w:p>
        </w:tc>
        <w:tc>
          <w:tcPr>
            <w:tcW w:w="4582" w:type="dxa"/>
          </w:tcPr>
          <w:p w:rsidR="00350923" w:rsidRPr="00682ACB">
            <w:pPr>
              <w:rPr>
                <w:b/>
                <w:bCs/>
                <w:sz w:val="20"/>
                <w:szCs w:val="20"/>
              </w:rPr>
            </w:pPr>
            <w:r w:rsidRPr="00682ACB">
              <w:rPr>
                <w:b/>
                <w:bCs/>
                <w:sz w:val="20"/>
                <w:szCs w:val="20"/>
              </w:rPr>
              <w:t>Explanation</w:t>
            </w:r>
          </w:p>
        </w:tc>
      </w:tr>
      <w:tr w:rsidTr="004A306B">
        <w:tblPrEx>
          <w:tblW w:w="0" w:type="auto"/>
          <w:tblLook w:val="04A0"/>
        </w:tblPrEx>
        <w:tc>
          <w:tcPr>
            <w:tcW w:w="1169" w:type="dxa"/>
          </w:tcPr>
          <w:p w:rsidR="00350923" w:rsidRPr="00682ACB">
            <w:pPr>
              <w:rPr>
                <w:sz w:val="20"/>
                <w:szCs w:val="20"/>
              </w:rPr>
            </w:pPr>
            <w:r w:rsidRPr="00682ACB">
              <w:rPr>
                <w:sz w:val="20"/>
                <w:szCs w:val="20"/>
              </w:rPr>
              <w:t>A</w:t>
            </w:r>
          </w:p>
        </w:tc>
        <w:tc>
          <w:tcPr>
            <w:tcW w:w="953" w:type="dxa"/>
          </w:tcPr>
          <w:p w:rsidR="00350923" w:rsidRPr="00682ACB">
            <w:pPr>
              <w:rPr>
                <w:sz w:val="20"/>
                <w:szCs w:val="20"/>
              </w:rPr>
            </w:pPr>
            <w:r w:rsidRPr="00682ACB">
              <w:rPr>
                <w:sz w:val="20"/>
                <w:szCs w:val="20"/>
              </w:rPr>
              <w:t>DEL</w:t>
            </w:r>
          </w:p>
        </w:tc>
        <w:tc>
          <w:tcPr>
            <w:tcW w:w="2312" w:type="dxa"/>
          </w:tcPr>
          <w:p w:rsidR="00350923" w:rsidRPr="00682ACB">
            <w:pPr>
              <w:rPr>
                <w:sz w:val="20"/>
                <w:szCs w:val="20"/>
              </w:rPr>
            </w:pPr>
            <w:r w:rsidRPr="00682ACB">
              <w:rPr>
                <w:sz w:val="20"/>
                <w:szCs w:val="20"/>
              </w:rPr>
              <w:t>Activities to Support All Functions</w:t>
            </w:r>
          </w:p>
        </w:tc>
        <w:tc>
          <w:tcPr>
            <w:tcW w:w="4582" w:type="dxa"/>
          </w:tcPr>
          <w:p w:rsidR="00350923" w:rsidRPr="00682ACB">
            <w:pPr>
              <w:rPr>
                <w:sz w:val="20"/>
                <w:szCs w:val="20"/>
              </w:rPr>
            </w:pPr>
            <w:r w:rsidRPr="00682ACB">
              <w:rPr>
                <w:sz w:val="20"/>
                <w:szCs w:val="20"/>
              </w:rPr>
              <w:t>This is the budget set to support delivery of all functions and cannot be allocated to a specific estimate line. This includes corporate services and the running of the Department.</w:t>
            </w:r>
          </w:p>
        </w:tc>
      </w:tr>
      <w:tr w:rsidTr="004A306B">
        <w:tblPrEx>
          <w:tblW w:w="0" w:type="auto"/>
          <w:tblLook w:val="04A0"/>
        </w:tblPrEx>
        <w:tc>
          <w:tcPr>
            <w:tcW w:w="1169" w:type="dxa"/>
          </w:tcPr>
          <w:p w:rsidR="00350923" w:rsidRPr="00682ACB">
            <w:pPr>
              <w:rPr>
                <w:sz w:val="20"/>
                <w:szCs w:val="20"/>
              </w:rPr>
            </w:pPr>
            <w:r w:rsidRPr="00682ACB">
              <w:rPr>
                <w:sz w:val="20"/>
                <w:szCs w:val="20"/>
              </w:rPr>
              <w:t>B</w:t>
            </w:r>
          </w:p>
        </w:tc>
        <w:tc>
          <w:tcPr>
            <w:tcW w:w="953" w:type="dxa"/>
          </w:tcPr>
          <w:p w:rsidR="00350923" w:rsidRPr="00682ACB">
            <w:pPr>
              <w:rPr>
                <w:sz w:val="20"/>
                <w:szCs w:val="20"/>
              </w:rPr>
            </w:pPr>
            <w:r w:rsidRPr="00682ACB">
              <w:rPr>
                <w:sz w:val="20"/>
                <w:szCs w:val="20"/>
              </w:rPr>
              <w:t>DEL</w:t>
            </w:r>
          </w:p>
        </w:tc>
        <w:tc>
          <w:tcPr>
            <w:tcW w:w="2312" w:type="dxa"/>
          </w:tcPr>
          <w:p w:rsidR="00350923" w:rsidRPr="00682ACB">
            <w:pPr>
              <w:rPr>
                <w:sz w:val="20"/>
                <w:szCs w:val="20"/>
              </w:rPr>
            </w:pPr>
            <w:r w:rsidRPr="00682ACB">
              <w:rPr>
                <w:sz w:val="20"/>
                <w:szCs w:val="20"/>
              </w:rPr>
              <w:t xml:space="preserve">Other </w:t>
            </w:r>
            <w:r>
              <w:rPr>
                <w:sz w:val="20"/>
                <w:szCs w:val="20"/>
              </w:rPr>
              <w:t>S</w:t>
            </w:r>
            <w:r w:rsidRPr="00682ACB">
              <w:rPr>
                <w:sz w:val="20"/>
                <w:szCs w:val="20"/>
              </w:rPr>
              <w:t xml:space="preserve">chool </w:t>
            </w:r>
            <w:r>
              <w:rPr>
                <w:sz w:val="20"/>
                <w:szCs w:val="20"/>
              </w:rPr>
              <w:t>F</w:t>
            </w:r>
            <w:r w:rsidRPr="00682ACB">
              <w:rPr>
                <w:sz w:val="20"/>
                <w:szCs w:val="20"/>
              </w:rPr>
              <w:t>unding</w:t>
            </w:r>
            <w:r w:rsidRPr="00682ACB">
              <w:rPr>
                <w:sz w:val="20"/>
                <w:szCs w:val="20"/>
              </w:rPr>
              <w:t xml:space="preserve"> (Dept)</w:t>
            </w:r>
          </w:p>
        </w:tc>
        <w:tc>
          <w:tcPr>
            <w:tcW w:w="4582" w:type="dxa"/>
          </w:tcPr>
          <w:p w:rsidR="00350923" w:rsidRPr="00682ACB">
            <w:pPr>
              <w:rPr>
                <w:sz w:val="20"/>
                <w:szCs w:val="20"/>
              </w:rPr>
            </w:pPr>
            <w:r w:rsidRPr="00682ACB">
              <w:rPr>
                <w:sz w:val="20"/>
                <w:szCs w:val="20"/>
              </w:rPr>
              <w:t xml:space="preserve">This is the budget set for funding provided by the DfE directly to the education system, rather than being distributed via grants to local authorities or Academy Trusts. For example, some expenditure on </w:t>
            </w:r>
            <w:r w:rsidR="00682ACB">
              <w:rPr>
                <w:sz w:val="20"/>
                <w:szCs w:val="20"/>
              </w:rPr>
              <w:t xml:space="preserve">National Tutoring Programme, Teacher training and Regions </w:t>
            </w:r>
            <w:r w:rsidRPr="00682ACB">
              <w:rPr>
                <w:sz w:val="20"/>
                <w:szCs w:val="20"/>
              </w:rPr>
              <w:t>is included in this estimate line.</w:t>
            </w:r>
          </w:p>
        </w:tc>
      </w:tr>
      <w:tr w:rsidTr="004A306B">
        <w:tblPrEx>
          <w:tblW w:w="0" w:type="auto"/>
          <w:tblLook w:val="04A0"/>
        </w:tblPrEx>
        <w:tc>
          <w:tcPr>
            <w:tcW w:w="1169" w:type="dxa"/>
          </w:tcPr>
          <w:p w:rsidR="00350923" w:rsidRPr="00682ACB">
            <w:pPr>
              <w:rPr>
                <w:sz w:val="20"/>
                <w:szCs w:val="20"/>
              </w:rPr>
            </w:pPr>
            <w:r w:rsidRPr="00682ACB">
              <w:rPr>
                <w:sz w:val="20"/>
                <w:szCs w:val="20"/>
              </w:rPr>
              <w:t>C</w:t>
            </w:r>
          </w:p>
        </w:tc>
        <w:tc>
          <w:tcPr>
            <w:tcW w:w="953" w:type="dxa"/>
          </w:tcPr>
          <w:p w:rsidR="00350923" w:rsidRPr="00682ACB">
            <w:pPr>
              <w:rPr>
                <w:sz w:val="20"/>
                <w:szCs w:val="20"/>
              </w:rPr>
            </w:pPr>
            <w:r w:rsidRPr="00682ACB">
              <w:rPr>
                <w:sz w:val="20"/>
                <w:szCs w:val="20"/>
              </w:rPr>
              <w:t>DEL</w:t>
            </w:r>
          </w:p>
        </w:tc>
        <w:tc>
          <w:tcPr>
            <w:tcW w:w="2312" w:type="dxa"/>
          </w:tcPr>
          <w:p w:rsidR="00350923" w:rsidRPr="00682ACB">
            <w:pPr>
              <w:rPr>
                <w:sz w:val="20"/>
                <w:szCs w:val="20"/>
              </w:rPr>
            </w:pPr>
            <w:r w:rsidRPr="00204943">
              <w:rPr>
                <w:sz w:val="20"/>
                <w:szCs w:val="20"/>
              </w:rPr>
              <w:t xml:space="preserve">Other </w:t>
            </w:r>
            <w:r>
              <w:rPr>
                <w:sz w:val="20"/>
                <w:szCs w:val="20"/>
              </w:rPr>
              <w:t>S</w:t>
            </w:r>
            <w:r w:rsidRPr="00204943">
              <w:rPr>
                <w:sz w:val="20"/>
                <w:szCs w:val="20"/>
              </w:rPr>
              <w:t xml:space="preserve">chool </w:t>
            </w:r>
            <w:r>
              <w:rPr>
                <w:sz w:val="20"/>
                <w:szCs w:val="20"/>
              </w:rPr>
              <w:t>F</w:t>
            </w:r>
            <w:r w:rsidRPr="00204943">
              <w:rPr>
                <w:sz w:val="20"/>
                <w:szCs w:val="20"/>
              </w:rPr>
              <w:t>unding</w:t>
            </w:r>
            <w:r w:rsidRPr="00682ACB">
              <w:rPr>
                <w:sz w:val="20"/>
                <w:szCs w:val="20"/>
              </w:rPr>
              <w:t xml:space="preserve"> ALBs</w:t>
            </w:r>
          </w:p>
        </w:tc>
        <w:tc>
          <w:tcPr>
            <w:tcW w:w="4582" w:type="dxa"/>
          </w:tcPr>
          <w:p w:rsidR="00350923" w:rsidRPr="00682ACB">
            <w:pPr>
              <w:rPr>
                <w:sz w:val="20"/>
                <w:szCs w:val="20"/>
              </w:rPr>
            </w:pPr>
            <w:r w:rsidRPr="00682ACB">
              <w:rPr>
                <w:sz w:val="20"/>
                <w:szCs w:val="20"/>
              </w:rPr>
              <w:t>This is the budget set for LocatED Property Ltd and Aggregator Vehicle PLC.</w:t>
            </w:r>
          </w:p>
        </w:tc>
      </w:tr>
      <w:tr w:rsidTr="004A306B">
        <w:tblPrEx>
          <w:tblW w:w="0" w:type="auto"/>
          <w:tblLook w:val="04A0"/>
        </w:tblPrEx>
        <w:tc>
          <w:tcPr>
            <w:tcW w:w="1169" w:type="dxa"/>
          </w:tcPr>
          <w:p w:rsidR="00350923" w:rsidRPr="00682ACB">
            <w:pPr>
              <w:rPr>
                <w:sz w:val="20"/>
                <w:szCs w:val="20"/>
              </w:rPr>
            </w:pPr>
            <w:r w:rsidRPr="00682ACB">
              <w:rPr>
                <w:sz w:val="20"/>
                <w:szCs w:val="20"/>
              </w:rPr>
              <w:t>D</w:t>
            </w:r>
          </w:p>
        </w:tc>
        <w:tc>
          <w:tcPr>
            <w:tcW w:w="953" w:type="dxa"/>
          </w:tcPr>
          <w:p w:rsidR="00350923" w:rsidRPr="00682ACB">
            <w:pPr>
              <w:rPr>
                <w:sz w:val="20"/>
                <w:szCs w:val="20"/>
              </w:rPr>
            </w:pPr>
            <w:r w:rsidRPr="00682ACB">
              <w:rPr>
                <w:sz w:val="20"/>
                <w:szCs w:val="20"/>
              </w:rPr>
              <w:t>DEL</w:t>
            </w:r>
          </w:p>
        </w:tc>
        <w:tc>
          <w:tcPr>
            <w:tcW w:w="2312" w:type="dxa"/>
          </w:tcPr>
          <w:p w:rsidR="00350923" w:rsidRPr="00682ACB">
            <w:pPr>
              <w:rPr>
                <w:sz w:val="20"/>
                <w:szCs w:val="20"/>
              </w:rPr>
            </w:pPr>
            <w:r>
              <w:rPr>
                <w:sz w:val="20"/>
                <w:szCs w:val="20"/>
              </w:rPr>
              <w:t xml:space="preserve">Families and Children’s Services </w:t>
            </w:r>
            <w:r w:rsidRPr="00682ACB">
              <w:rPr>
                <w:sz w:val="20"/>
                <w:szCs w:val="20"/>
              </w:rPr>
              <w:t>(Dept)</w:t>
            </w:r>
          </w:p>
        </w:tc>
        <w:tc>
          <w:tcPr>
            <w:tcW w:w="4582" w:type="dxa"/>
          </w:tcPr>
          <w:p w:rsidR="00350923" w:rsidRPr="00682ACB">
            <w:pPr>
              <w:rPr>
                <w:sz w:val="20"/>
                <w:szCs w:val="20"/>
              </w:rPr>
            </w:pPr>
            <w:r w:rsidRPr="00682ACB">
              <w:rPr>
                <w:sz w:val="20"/>
                <w:szCs w:val="20"/>
              </w:rPr>
              <w:t>This is the budget set for expenditure by the department directly on Social Care and work to tackle disadvantage. For example, expenditure on Social Work reform is included in this estimate line.</w:t>
            </w:r>
          </w:p>
        </w:tc>
      </w:tr>
      <w:tr w:rsidTr="004A306B">
        <w:tblPrEx>
          <w:tblW w:w="0" w:type="auto"/>
          <w:tblLook w:val="04A0"/>
        </w:tblPrEx>
        <w:tc>
          <w:tcPr>
            <w:tcW w:w="1169" w:type="dxa"/>
          </w:tcPr>
          <w:p w:rsidR="00350923" w:rsidRPr="00682ACB">
            <w:pPr>
              <w:rPr>
                <w:sz w:val="20"/>
                <w:szCs w:val="20"/>
              </w:rPr>
            </w:pPr>
            <w:r w:rsidRPr="00682ACB">
              <w:rPr>
                <w:sz w:val="20"/>
                <w:szCs w:val="20"/>
              </w:rPr>
              <w:t>E</w:t>
            </w:r>
          </w:p>
        </w:tc>
        <w:tc>
          <w:tcPr>
            <w:tcW w:w="953" w:type="dxa"/>
          </w:tcPr>
          <w:p w:rsidR="00350923" w:rsidRPr="00682ACB">
            <w:pPr>
              <w:rPr>
                <w:sz w:val="20"/>
                <w:szCs w:val="20"/>
              </w:rPr>
            </w:pPr>
            <w:r w:rsidRPr="00682ACB">
              <w:rPr>
                <w:sz w:val="20"/>
                <w:szCs w:val="20"/>
              </w:rPr>
              <w:t>DEL</w:t>
            </w:r>
          </w:p>
        </w:tc>
        <w:tc>
          <w:tcPr>
            <w:tcW w:w="2312" w:type="dxa"/>
          </w:tcPr>
          <w:p w:rsidR="00350923" w:rsidRPr="00682ACB">
            <w:pPr>
              <w:rPr>
                <w:sz w:val="20"/>
                <w:szCs w:val="20"/>
              </w:rPr>
            </w:pPr>
            <w:r>
              <w:rPr>
                <w:sz w:val="20"/>
                <w:szCs w:val="20"/>
              </w:rPr>
              <w:t xml:space="preserve">Families and Children’s Services </w:t>
            </w:r>
            <w:r w:rsidRPr="00682ACB">
              <w:rPr>
                <w:sz w:val="20"/>
                <w:szCs w:val="20"/>
              </w:rPr>
              <w:t>ALBs</w:t>
            </w:r>
          </w:p>
        </w:tc>
        <w:tc>
          <w:tcPr>
            <w:tcW w:w="4582" w:type="dxa"/>
          </w:tcPr>
          <w:p w:rsidR="00350923" w:rsidRPr="00682ACB">
            <w:pPr>
              <w:rPr>
                <w:sz w:val="20"/>
                <w:szCs w:val="20"/>
              </w:rPr>
            </w:pPr>
            <w:r w:rsidRPr="00682ACB">
              <w:rPr>
                <w:sz w:val="20"/>
                <w:szCs w:val="20"/>
              </w:rPr>
              <w:t>This is the budget set for Social Work England.</w:t>
            </w:r>
          </w:p>
        </w:tc>
      </w:tr>
      <w:tr w:rsidTr="004A306B">
        <w:tblPrEx>
          <w:tblW w:w="0" w:type="auto"/>
          <w:tblLook w:val="04A0"/>
        </w:tblPrEx>
        <w:tc>
          <w:tcPr>
            <w:tcW w:w="1169" w:type="dxa"/>
          </w:tcPr>
          <w:p w:rsidR="00350923" w:rsidRPr="00682ACB">
            <w:pPr>
              <w:rPr>
                <w:sz w:val="20"/>
                <w:szCs w:val="20"/>
              </w:rPr>
            </w:pPr>
            <w:r w:rsidRPr="00682ACB">
              <w:rPr>
                <w:sz w:val="20"/>
                <w:szCs w:val="20"/>
              </w:rPr>
              <w:t>F</w:t>
            </w:r>
          </w:p>
        </w:tc>
        <w:tc>
          <w:tcPr>
            <w:tcW w:w="953" w:type="dxa"/>
          </w:tcPr>
          <w:p w:rsidR="00350923" w:rsidRPr="00682ACB">
            <w:pPr>
              <w:rPr>
                <w:sz w:val="20"/>
                <w:szCs w:val="20"/>
              </w:rPr>
            </w:pPr>
            <w:r w:rsidRPr="00682ACB">
              <w:rPr>
                <w:sz w:val="20"/>
                <w:szCs w:val="20"/>
              </w:rPr>
              <w:t>DEL</w:t>
            </w:r>
          </w:p>
        </w:tc>
        <w:tc>
          <w:tcPr>
            <w:tcW w:w="2312" w:type="dxa"/>
          </w:tcPr>
          <w:p w:rsidR="00350923" w:rsidRPr="00682ACB">
            <w:pPr>
              <w:rPr>
                <w:sz w:val="20"/>
                <w:szCs w:val="20"/>
              </w:rPr>
            </w:pPr>
            <w:r w:rsidRPr="00682ACB">
              <w:rPr>
                <w:sz w:val="20"/>
                <w:szCs w:val="20"/>
              </w:rPr>
              <w:t>Standards &amp; Testing Agency</w:t>
            </w:r>
          </w:p>
        </w:tc>
        <w:tc>
          <w:tcPr>
            <w:tcW w:w="4582" w:type="dxa"/>
          </w:tcPr>
          <w:p w:rsidR="00350923" w:rsidRPr="00682ACB">
            <w:pPr>
              <w:rPr>
                <w:sz w:val="20"/>
                <w:szCs w:val="20"/>
              </w:rPr>
            </w:pPr>
            <w:r w:rsidRPr="00682ACB">
              <w:rPr>
                <w:sz w:val="20"/>
                <w:szCs w:val="20"/>
              </w:rPr>
              <w:t>This is the budget line for the Standards and Testing Agency.</w:t>
            </w:r>
          </w:p>
        </w:tc>
      </w:tr>
      <w:tr w:rsidTr="004A306B">
        <w:tblPrEx>
          <w:tblW w:w="0" w:type="auto"/>
          <w:tblLook w:val="04A0"/>
        </w:tblPrEx>
        <w:tc>
          <w:tcPr>
            <w:tcW w:w="1169" w:type="dxa"/>
          </w:tcPr>
          <w:p w:rsidR="00350923" w:rsidRPr="00682ACB">
            <w:pPr>
              <w:rPr>
                <w:sz w:val="20"/>
                <w:szCs w:val="20"/>
              </w:rPr>
            </w:pPr>
            <w:r w:rsidRPr="00682ACB">
              <w:rPr>
                <w:sz w:val="20"/>
                <w:szCs w:val="20"/>
              </w:rPr>
              <w:t>G</w:t>
            </w:r>
          </w:p>
        </w:tc>
        <w:tc>
          <w:tcPr>
            <w:tcW w:w="953" w:type="dxa"/>
          </w:tcPr>
          <w:p w:rsidR="00350923" w:rsidRPr="00682ACB">
            <w:pPr>
              <w:rPr>
                <w:sz w:val="20"/>
                <w:szCs w:val="20"/>
              </w:rPr>
            </w:pPr>
            <w:r w:rsidRPr="00682ACB">
              <w:rPr>
                <w:sz w:val="20"/>
                <w:szCs w:val="20"/>
              </w:rPr>
              <w:t>DEL</w:t>
            </w:r>
          </w:p>
        </w:tc>
        <w:tc>
          <w:tcPr>
            <w:tcW w:w="2312" w:type="dxa"/>
          </w:tcPr>
          <w:p w:rsidR="00350923" w:rsidRPr="00682ACB">
            <w:pPr>
              <w:rPr>
                <w:sz w:val="20"/>
                <w:szCs w:val="20"/>
              </w:rPr>
            </w:pPr>
            <w:r w:rsidRPr="00682ACB">
              <w:rPr>
                <w:sz w:val="20"/>
                <w:szCs w:val="20"/>
              </w:rPr>
              <w:t>Teaching Regulation Agency</w:t>
            </w:r>
          </w:p>
        </w:tc>
        <w:tc>
          <w:tcPr>
            <w:tcW w:w="4582" w:type="dxa"/>
          </w:tcPr>
          <w:p w:rsidR="00350923" w:rsidRPr="00682ACB">
            <w:pPr>
              <w:rPr>
                <w:sz w:val="20"/>
                <w:szCs w:val="20"/>
              </w:rPr>
            </w:pPr>
            <w:r w:rsidRPr="00682ACB">
              <w:rPr>
                <w:sz w:val="20"/>
                <w:szCs w:val="20"/>
              </w:rPr>
              <w:t>This is the budget line for the Teaching Regulation Agency.</w:t>
            </w:r>
          </w:p>
        </w:tc>
      </w:tr>
      <w:tr w:rsidTr="004A306B">
        <w:tblPrEx>
          <w:tblW w:w="0" w:type="auto"/>
          <w:tblLook w:val="04A0"/>
        </w:tblPrEx>
        <w:tc>
          <w:tcPr>
            <w:tcW w:w="1169" w:type="dxa"/>
          </w:tcPr>
          <w:p w:rsidR="00350923" w:rsidRPr="00682ACB">
            <w:pPr>
              <w:rPr>
                <w:sz w:val="20"/>
                <w:szCs w:val="20"/>
              </w:rPr>
            </w:pPr>
            <w:r w:rsidRPr="00682ACB">
              <w:rPr>
                <w:sz w:val="20"/>
                <w:szCs w:val="20"/>
              </w:rPr>
              <w:t>H</w:t>
            </w:r>
          </w:p>
        </w:tc>
        <w:tc>
          <w:tcPr>
            <w:tcW w:w="953" w:type="dxa"/>
          </w:tcPr>
          <w:p w:rsidR="00350923" w:rsidRPr="00682ACB">
            <w:pPr>
              <w:rPr>
                <w:sz w:val="20"/>
                <w:szCs w:val="20"/>
              </w:rPr>
            </w:pPr>
            <w:r w:rsidRPr="00682ACB">
              <w:rPr>
                <w:sz w:val="20"/>
                <w:szCs w:val="20"/>
              </w:rPr>
              <w:t>DEL</w:t>
            </w:r>
          </w:p>
        </w:tc>
        <w:tc>
          <w:tcPr>
            <w:tcW w:w="2312" w:type="dxa"/>
          </w:tcPr>
          <w:p w:rsidR="00350923" w:rsidRPr="00682ACB">
            <w:pPr>
              <w:rPr>
                <w:sz w:val="20"/>
                <w:szCs w:val="20"/>
              </w:rPr>
            </w:pPr>
            <w:r w:rsidRPr="00682ACB">
              <w:rPr>
                <w:sz w:val="20"/>
                <w:szCs w:val="20"/>
              </w:rPr>
              <w:t>Education &amp; Skills Funding Agency</w:t>
            </w:r>
          </w:p>
        </w:tc>
        <w:tc>
          <w:tcPr>
            <w:tcW w:w="4582" w:type="dxa"/>
          </w:tcPr>
          <w:p w:rsidR="00350923" w:rsidRPr="00682ACB">
            <w:pPr>
              <w:rPr>
                <w:sz w:val="20"/>
                <w:szCs w:val="20"/>
              </w:rPr>
            </w:pPr>
            <w:r w:rsidRPr="00682ACB">
              <w:rPr>
                <w:sz w:val="20"/>
                <w:szCs w:val="20"/>
              </w:rPr>
              <w:t>This is the budget line for the Education and Skills Funding Agency.</w:t>
            </w:r>
          </w:p>
        </w:tc>
      </w:tr>
      <w:tr w:rsidTr="004A306B">
        <w:tblPrEx>
          <w:tblW w:w="0" w:type="auto"/>
          <w:tblLook w:val="04A0"/>
        </w:tblPrEx>
        <w:tc>
          <w:tcPr>
            <w:tcW w:w="1169" w:type="dxa"/>
          </w:tcPr>
          <w:p w:rsidR="00682ACB" w:rsidRPr="00682ACB" w:rsidP="00682ACB">
            <w:pPr>
              <w:rPr>
                <w:sz w:val="20"/>
                <w:szCs w:val="20"/>
              </w:rPr>
            </w:pPr>
            <w:r w:rsidRPr="00682ACB">
              <w:rPr>
                <w:sz w:val="20"/>
                <w:szCs w:val="20"/>
              </w:rPr>
              <w:t>I</w:t>
            </w:r>
          </w:p>
        </w:tc>
        <w:tc>
          <w:tcPr>
            <w:tcW w:w="953" w:type="dxa"/>
          </w:tcPr>
          <w:p w:rsidR="00682ACB" w:rsidRPr="00682ACB" w:rsidP="00682ACB">
            <w:pPr>
              <w:rPr>
                <w:sz w:val="20"/>
                <w:szCs w:val="20"/>
              </w:rPr>
            </w:pPr>
            <w:r w:rsidRPr="00682ACB">
              <w:rPr>
                <w:sz w:val="20"/>
                <w:szCs w:val="20"/>
              </w:rPr>
              <w:t>DEL</w:t>
            </w:r>
          </w:p>
        </w:tc>
        <w:tc>
          <w:tcPr>
            <w:tcW w:w="2312" w:type="dxa"/>
          </w:tcPr>
          <w:p w:rsidR="00682ACB" w:rsidRPr="00682ACB" w:rsidP="00682ACB">
            <w:pPr>
              <w:rPr>
                <w:sz w:val="20"/>
                <w:szCs w:val="20"/>
              </w:rPr>
            </w:pPr>
            <w:r>
              <w:rPr>
                <w:sz w:val="20"/>
                <w:szCs w:val="20"/>
              </w:rPr>
              <w:t xml:space="preserve">Apprenticeships </w:t>
            </w:r>
          </w:p>
        </w:tc>
        <w:tc>
          <w:tcPr>
            <w:tcW w:w="4582" w:type="dxa"/>
          </w:tcPr>
          <w:p w:rsidR="00682ACB" w:rsidRPr="00682ACB" w:rsidP="00682ACB">
            <w:pPr>
              <w:rPr>
                <w:sz w:val="20"/>
                <w:szCs w:val="20"/>
              </w:rPr>
            </w:pPr>
            <w:r>
              <w:rPr>
                <w:sz w:val="20"/>
                <w:szCs w:val="20"/>
              </w:rPr>
              <w:t xml:space="preserve">This is </w:t>
            </w:r>
            <w:r w:rsidR="003A70FC">
              <w:rPr>
                <w:sz w:val="20"/>
                <w:szCs w:val="20"/>
              </w:rPr>
              <w:t>the budget set for</w:t>
            </w:r>
            <w:r>
              <w:rPr>
                <w:sz w:val="20"/>
                <w:szCs w:val="20"/>
              </w:rPr>
              <w:t xml:space="preserve"> delivering apprenticeships</w:t>
            </w:r>
            <w:r w:rsidR="00BE407D">
              <w:rPr>
                <w:sz w:val="20"/>
                <w:szCs w:val="20"/>
              </w:rPr>
              <w:t>.</w:t>
            </w:r>
          </w:p>
        </w:tc>
      </w:tr>
      <w:tr w:rsidTr="004A306B">
        <w:tblPrEx>
          <w:tblW w:w="0" w:type="auto"/>
          <w:tblLook w:val="04A0"/>
        </w:tblPrEx>
        <w:tc>
          <w:tcPr>
            <w:tcW w:w="1169" w:type="dxa"/>
          </w:tcPr>
          <w:p w:rsidR="00682ACB" w:rsidRPr="00682ACB" w:rsidP="00682ACB">
            <w:pPr>
              <w:rPr>
                <w:sz w:val="20"/>
                <w:szCs w:val="20"/>
              </w:rPr>
            </w:pPr>
            <w:r w:rsidRPr="00204943">
              <w:rPr>
                <w:sz w:val="20"/>
                <w:szCs w:val="20"/>
              </w:rPr>
              <w:t>J</w:t>
            </w:r>
          </w:p>
        </w:tc>
        <w:tc>
          <w:tcPr>
            <w:tcW w:w="953" w:type="dxa"/>
          </w:tcPr>
          <w:p w:rsidR="00682ACB" w:rsidRPr="00682ACB" w:rsidP="00682ACB">
            <w:pPr>
              <w:rPr>
                <w:sz w:val="20"/>
                <w:szCs w:val="20"/>
              </w:rPr>
            </w:pPr>
            <w:r w:rsidRPr="00682ACB">
              <w:rPr>
                <w:sz w:val="20"/>
                <w:szCs w:val="20"/>
              </w:rPr>
              <w:t>DEL</w:t>
            </w:r>
          </w:p>
        </w:tc>
        <w:tc>
          <w:tcPr>
            <w:tcW w:w="2312" w:type="dxa"/>
          </w:tcPr>
          <w:p w:rsidR="00682ACB" w:rsidRPr="00682ACB" w:rsidP="00682ACB">
            <w:pPr>
              <w:rPr>
                <w:sz w:val="20"/>
                <w:szCs w:val="20"/>
              </w:rPr>
            </w:pPr>
            <w:r w:rsidRPr="00682ACB">
              <w:rPr>
                <w:sz w:val="20"/>
                <w:szCs w:val="20"/>
              </w:rPr>
              <w:t>Grants to LA Schools</w:t>
            </w:r>
          </w:p>
        </w:tc>
        <w:tc>
          <w:tcPr>
            <w:tcW w:w="4582" w:type="dxa"/>
          </w:tcPr>
          <w:p w:rsidR="00682ACB" w:rsidRPr="00682ACB" w:rsidP="00682ACB">
            <w:pPr>
              <w:rPr>
                <w:sz w:val="20"/>
                <w:szCs w:val="20"/>
              </w:rPr>
            </w:pPr>
            <w:r w:rsidRPr="00682ACB">
              <w:rPr>
                <w:sz w:val="20"/>
                <w:szCs w:val="20"/>
              </w:rPr>
              <w:t>This is the budget set for grants paid to local authority schools for every day running costs and capital expenditure.</w:t>
            </w:r>
          </w:p>
        </w:tc>
      </w:tr>
      <w:tr w:rsidTr="004A306B">
        <w:tblPrEx>
          <w:tblW w:w="0" w:type="auto"/>
          <w:tblLook w:val="04A0"/>
        </w:tblPrEx>
        <w:tc>
          <w:tcPr>
            <w:tcW w:w="1169" w:type="dxa"/>
          </w:tcPr>
          <w:p w:rsidR="00682ACB" w:rsidRPr="00682ACB" w:rsidP="00682ACB">
            <w:pPr>
              <w:rPr>
                <w:sz w:val="20"/>
                <w:szCs w:val="20"/>
              </w:rPr>
            </w:pPr>
            <w:r w:rsidRPr="00204943">
              <w:rPr>
                <w:sz w:val="20"/>
                <w:szCs w:val="20"/>
              </w:rPr>
              <w:t>K</w:t>
            </w:r>
          </w:p>
        </w:tc>
        <w:tc>
          <w:tcPr>
            <w:tcW w:w="953" w:type="dxa"/>
          </w:tcPr>
          <w:p w:rsidR="00682ACB" w:rsidRPr="00682ACB" w:rsidP="00682ACB">
            <w:pPr>
              <w:rPr>
                <w:sz w:val="20"/>
                <w:szCs w:val="20"/>
              </w:rPr>
            </w:pPr>
            <w:r w:rsidRPr="00682ACB">
              <w:rPr>
                <w:sz w:val="20"/>
                <w:szCs w:val="20"/>
              </w:rPr>
              <w:t>DEL</w:t>
            </w:r>
          </w:p>
        </w:tc>
        <w:tc>
          <w:tcPr>
            <w:tcW w:w="2312" w:type="dxa"/>
          </w:tcPr>
          <w:p w:rsidR="00682ACB" w:rsidRPr="00682ACB" w:rsidP="00682ACB">
            <w:pPr>
              <w:rPr>
                <w:sz w:val="20"/>
                <w:szCs w:val="20"/>
              </w:rPr>
            </w:pPr>
            <w:r w:rsidRPr="00682ACB">
              <w:rPr>
                <w:sz w:val="20"/>
                <w:szCs w:val="20"/>
              </w:rPr>
              <w:t>Grants to Academies</w:t>
            </w:r>
          </w:p>
        </w:tc>
        <w:tc>
          <w:tcPr>
            <w:tcW w:w="4582" w:type="dxa"/>
          </w:tcPr>
          <w:p w:rsidR="00682ACB" w:rsidRPr="00682ACB" w:rsidP="00682ACB">
            <w:pPr>
              <w:rPr>
                <w:sz w:val="20"/>
                <w:szCs w:val="20"/>
              </w:rPr>
            </w:pPr>
            <w:r w:rsidRPr="00682ACB">
              <w:rPr>
                <w:sz w:val="20"/>
                <w:szCs w:val="20"/>
              </w:rPr>
              <w:t>This is the budget set for grants paid to Academies and Academy Trusts for every day running costs and capital expenditure.</w:t>
            </w:r>
          </w:p>
        </w:tc>
      </w:tr>
      <w:tr w:rsidTr="004A306B">
        <w:tblPrEx>
          <w:tblW w:w="0" w:type="auto"/>
          <w:tblLook w:val="04A0"/>
        </w:tblPrEx>
        <w:tc>
          <w:tcPr>
            <w:tcW w:w="1169" w:type="dxa"/>
          </w:tcPr>
          <w:p w:rsidR="00682ACB" w:rsidRPr="00682ACB" w:rsidP="00682ACB">
            <w:pPr>
              <w:rPr>
                <w:sz w:val="20"/>
                <w:szCs w:val="20"/>
              </w:rPr>
            </w:pPr>
            <w:r w:rsidRPr="00204943">
              <w:rPr>
                <w:sz w:val="20"/>
                <w:szCs w:val="20"/>
              </w:rPr>
              <w:t>L</w:t>
            </w:r>
          </w:p>
        </w:tc>
        <w:tc>
          <w:tcPr>
            <w:tcW w:w="953" w:type="dxa"/>
          </w:tcPr>
          <w:p w:rsidR="00682ACB" w:rsidRPr="00682ACB" w:rsidP="00682ACB">
            <w:pPr>
              <w:rPr>
                <w:sz w:val="20"/>
                <w:szCs w:val="20"/>
              </w:rPr>
            </w:pPr>
            <w:r w:rsidRPr="00682ACB">
              <w:rPr>
                <w:sz w:val="20"/>
                <w:szCs w:val="20"/>
              </w:rPr>
              <w:t>DEL</w:t>
            </w:r>
          </w:p>
        </w:tc>
        <w:tc>
          <w:tcPr>
            <w:tcW w:w="2312" w:type="dxa"/>
          </w:tcPr>
          <w:p w:rsidR="00682ACB" w:rsidRPr="00682ACB" w:rsidP="00682ACB">
            <w:pPr>
              <w:rPr>
                <w:sz w:val="20"/>
                <w:szCs w:val="20"/>
              </w:rPr>
            </w:pPr>
            <w:r w:rsidRPr="00682ACB">
              <w:rPr>
                <w:sz w:val="20"/>
                <w:szCs w:val="20"/>
              </w:rPr>
              <w:t>Higher Education (Dept)</w:t>
            </w:r>
          </w:p>
        </w:tc>
        <w:tc>
          <w:tcPr>
            <w:tcW w:w="4582" w:type="dxa"/>
          </w:tcPr>
          <w:p w:rsidR="00682ACB" w:rsidRPr="00682ACB" w:rsidP="00682ACB">
            <w:pPr>
              <w:rPr>
                <w:sz w:val="20"/>
                <w:szCs w:val="20"/>
              </w:rPr>
            </w:pPr>
            <w:r w:rsidRPr="00682ACB">
              <w:rPr>
                <w:sz w:val="20"/>
                <w:szCs w:val="20"/>
              </w:rPr>
              <w:t>This is the budget set for expenditure on Higher Education, including spend on student loans.</w:t>
            </w:r>
          </w:p>
        </w:tc>
      </w:tr>
      <w:tr w:rsidTr="004A306B">
        <w:tblPrEx>
          <w:tblW w:w="0" w:type="auto"/>
          <w:tblLook w:val="04A0"/>
        </w:tblPrEx>
        <w:tc>
          <w:tcPr>
            <w:tcW w:w="1169" w:type="dxa"/>
          </w:tcPr>
          <w:p w:rsidR="00682ACB" w:rsidRPr="00682ACB" w:rsidP="00682ACB">
            <w:pPr>
              <w:rPr>
                <w:sz w:val="20"/>
                <w:szCs w:val="20"/>
              </w:rPr>
            </w:pPr>
            <w:r w:rsidRPr="00204943">
              <w:rPr>
                <w:sz w:val="20"/>
                <w:szCs w:val="20"/>
              </w:rPr>
              <w:t>M</w:t>
            </w:r>
          </w:p>
        </w:tc>
        <w:tc>
          <w:tcPr>
            <w:tcW w:w="953" w:type="dxa"/>
          </w:tcPr>
          <w:p w:rsidR="00682ACB" w:rsidRPr="00682ACB" w:rsidP="00682ACB">
            <w:pPr>
              <w:rPr>
                <w:sz w:val="20"/>
                <w:szCs w:val="20"/>
              </w:rPr>
            </w:pPr>
            <w:r w:rsidRPr="00682ACB">
              <w:rPr>
                <w:sz w:val="20"/>
                <w:szCs w:val="20"/>
              </w:rPr>
              <w:t>DEL</w:t>
            </w:r>
          </w:p>
        </w:tc>
        <w:tc>
          <w:tcPr>
            <w:tcW w:w="2312" w:type="dxa"/>
          </w:tcPr>
          <w:p w:rsidR="00682ACB" w:rsidRPr="00682ACB" w:rsidP="00682ACB">
            <w:pPr>
              <w:rPr>
                <w:sz w:val="20"/>
                <w:szCs w:val="20"/>
              </w:rPr>
            </w:pPr>
            <w:r w:rsidRPr="00682ACB">
              <w:rPr>
                <w:sz w:val="20"/>
                <w:szCs w:val="20"/>
              </w:rPr>
              <w:t>Further Education (Dept)</w:t>
            </w:r>
          </w:p>
        </w:tc>
        <w:tc>
          <w:tcPr>
            <w:tcW w:w="4582" w:type="dxa"/>
          </w:tcPr>
          <w:p w:rsidR="00682ACB" w:rsidRPr="00682ACB" w:rsidP="00682ACB">
            <w:pPr>
              <w:rPr>
                <w:sz w:val="20"/>
                <w:szCs w:val="20"/>
              </w:rPr>
            </w:pPr>
            <w:r w:rsidRPr="00682ACB">
              <w:rPr>
                <w:sz w:val="20"/>
                <w:szCs w:val="20"/>
              </w:rPr>
              <w:t xml:space="preserve">This is the budget set for expenditure on 16-19 Further Education and Adult Education. </w:t>
            </w:r>
          </w:p>
        </w:tc>
      </w:tr>
      <w:tr w:rsidTr="004A306B">
        <w:tblPrEx>
          <w:tblW w:w="0" w:type="auto"/>
          <w:tblLook w:val="04A0"/>
        </w:tblPrEx>
        <w:tc>
          <w:tcPr>
            <w:tcW w:w="1169" w:type="dxa"/>
          </w:tcPr>
          <w:p w:rsidR="00682ACB" w:rsidRPr="00682ACB" w:rsidP="00682ACB">
            <w:pPr>
              <w:rPr>
                <w:sz w:val="20"/>
                <w:szCs w:val="20"/>
              </w:rPr>
            </w:pPr>
            <w:r w:rsidRPr="00204943">
              <w:rPr>
                <w:sz w:val="20"/>
                <w:szCs w:val="20"/>
              </w:rPr>
              <w:t>N</w:t>
            </w:r>
          </w:p>
        </w:tc>
        <w:tc>
          <w:tcPr>
            <w:tcW w:w="953" w:type="dxa"/>
          </w:tcPr>
          <w:p w:rsidR="00682ACB" w:rsidRPr="00682ACB" w:rsidP="00682ACB">
            <w:pPr>
              <w:rPr>
                <w:sz w:val="20"/>
                <w:szCs w:val="20"/>
              </w:rPr>
            </w:pPr>
            <w:r w:rsidRPr="00682ACB">
              <w:rPr>
                <w:sz w:val="20"/>
                <w:szCs w:val="20"/>
              </w:rPr>
              <w:t>DEL</w:t>
            </w:r>
          </w:p>
        </w:tc>
        <w:tc>
          <w:tcPr>
            <w:tcW w:w="2312" w:type="dxa"/>
          </w:tcPr>
          <w:p w:rsidR="00682ACB" w:rsidRPr="00682ACB" w:rsidP="00682ACB">
            <w:pPr>
              <w:rPr>
                <w:sz w:val="20"/>
                <w:szCs w:val="20"/>
              </w:rPr>
            </w:pPr>
            <w:r w:rsidRPr="00682ACB">
              <w:rPr>
                <w:sz w:val="20"/>
                <w:szCs w:val="20"/>
              </w:rPr>
              <w:t>Higher Education ALBs</w:t>
            </w:r>
          </w:p>
        </w:tc>
        <w:tc>
          <w:tcPr>
            <w:tcW w:w="4582" w:type="dxa"/>
          </w:tcPr>
          <w:p w:rsidR="00682ACB" w:rsidRPr="00682ACB" w:rsidP="00682ACB">
            <w:pPr>
              <w:rPr>
                <w:sz w:val="20"/>
                <w:szCs w:val="20"/>
              </w:rPr>
            </w:pPr>
            <w:r w:rsidRPr="00682ACB">
              <w:rPr>
                <w:sz w:val="20"/>
                <w:szCs w:val="20"/>
              </w:rPr>
              <w:t>This is the budget set for the Student Loans Company and the Office for Students.</w:t>
            </w:r>
          </w:p>
        </w:tc>
      </w:tr>
      <w:tr w:rsidTr="004A306B">
        <w:tblPrEx>
          <w:tblW w:w="0" w:type="auto"/>
          <w:tblLook w:val="04A0"/>
        </w:tblPrEx>
        <w:tc>
          <w:tcPr>
            <w:tcW w:w="1169" w:type="dxa"/>
          </w:tcPr>
          <w:p w:rsidR="00682ACB" w:rsidRPr="00682ACB" w:rsidP="00682ACB">
            <w:pPr>
              <w:rPr>
                <w:sz w:val="20"/>
                <w:szCs w:val="20"/>
              </w:rPr>
            </w:pPr>
            <w:r>
              <w:rPr>
                <w:sz w:val="20"/>
                <w:szCs w:val="20"/>
              </w:rPr>
              <w:t>O</w:t>
            </w:r>
          </w:p>
        </w:tc>
        <w:tc>
          <w:tcPr>
            <w:tcW w:w="953" w:type="dxa"/>
          </w:tcPr>
          <w:p w:rsidR="00682ACB" w:rsidRPr="00682ACB" w:rsidP="00682ACB">
            <w:pPr>
              <w:rPr>
                <w:sz w:val="20"/>
                <w:szCs w:val="20"/>
              </w:rPr>
            </w:pPr>
            <w:r w:rsidRPr="00682ACB">
              <w:rPr>
                <w:sz w:val="20"/>
                <w:szCs w:val="20"/>
              </w:rPr>
              <w:t>DEL</w:t>
            </w:r>
          </w:p>
        </w:tc>
        <w:tc>
          <w:tcPr>
            <w:tcW w:w="2312" w:type="dxa"/>
          </w:tcPr>
          <w:p w:rsidR="00682ACB" w:rsidRPr="00682ACB" w:rsidP="00682ACB">
            <w:pPr>
              <w:rPr>
                <w:sz w:val="20"/>
                <w:szCs w:val="20"/>
              </w:rPr>
            </w:pPr>
            <w:r w:rsidRPr="00682ACB">
              <w:rPr>
                <w:sz w:val="20"/>
                <w:szCs w:val="20"/>
              </w:rPr>
              <w:t>Further Education ALBs</w:t>
            </w:r>
          </w:p>
        </w:tc>
        <w:tc>
          <w:tcPr>
            <w:tcW w:w="4582" w:type="dxa"/>
          </w:tcPr>
          <w:p w:rsidR="00682ACB" w:rsidRPr="00682ACB" w:rsidP="00682ACB">
            <w:pPr>
              <w:rPr>
                <w:sz w:val="20"/>
                <w:szCs w:val="20"/>
              </w:rPr>
            </w:pPr>
            <w:r w:rsidRPr="00682ACB">
              <w:rPr>
                <w:sz w:val="20"/>
                <w:szCs w:val="20"/>
              </w:rPr>
              <w:t>This is the budget set for the Institute for Apprenticeships &amp; Technical Education.</w:t>
            </w:r>
          </w:p>
        </w:tc>
      </w:tr>
      <w:tr w:rsidTr="004A306B">
        <w:tblPrEx>
          <w:tblW w:w="0" w:type="auto"/>
          <w:tblLook w:val="04A0"/>
        </w:tblPrEx>
        <w:tc>
          <w:tcPr>
            <w:tcW w:w="1169" w:type="dxa"/>
          </w:tcPr>
          <w:p w:rsidR="00682ACB" w:rsidRPr="00682ACB" w:rsidP="00682ACB">
            <w:pPr>
              <w:rPr>
                <w:sz w:val="20"/>
                <w:szCs w:val="20"/>
              </w:rPr>
            </w:pPr>
            <w:r>
              <w:rPr>
                <w:sz w:val="20"/>
                <w:szCs w:val="20"/>
              </w:rPr>
              <w:t>P</w:t>
            </w:r>
          </w:p>
        </w:tc>
        <w:tc>
          <w:tcPr>
            <w:tcW w:w="953" w:type="dxa"/>
          </w:tcPr>
          <w:p w:rsidR="00682ACB" w:rsidRPr="00682ACB" w:rsidP="00682ACB">
            <w:pPr>
              <w:rPr>
                <w:sz w:val="20"/>
                <w:szCs w:val="20"/>
              </w:rPr>
            </w:pPr>
            <w:r w:rsidRPr="00682ACB">
              <w:rPr>
                <w:sz w:val="20"/>
                <w:szCs w:val="20"/>
              </w:rPr>
              <w:t>AME</w:t>
            </w:r>
          </w:p>
        </w:tc>
        <w:tc>
          <w:tcPr>
            <w:tcW w:w="2312" w:type="dxa"/>
          </w:tcPr>
          <w:p w:rsidR="00682ACB" w:rsidRPr="00682ACB" w:rsidP="00682ACB">
            <w:pPr>
              <w:rPr>
                <w:sz w:val="20"/>
                <w:szCs w:val="20"/>
              </w:rPr>
            </w:pPr>
            <w:r w:rsidRPr="00682ACB">
              <w:rPr>
                <w:sz w:val="20"/>
                <w:szCs w:val="20"/>
              </w:rPr>
              <w:t>Activities to Support All Functions</w:t>
            </w:r>
          </w:p>
        </w:tc>
        <w:tc>
          <w:tcPr>
            <w:tcW w:w="4582" w:type="dxa"/>
          </w:tcPr>
          <w:p w:rsidR="00682ACB" w:rsidRPr="00682ACB" w:rsidP="00682ACB">
            <w:pPr>
              <w:rPr>
                <w:sz w:val="20"/>
                <w:szCs w:val="20"/>
              </w:rPr>
            </w:pPr>
            <w:r w:rsidRPr="00682ACB">
              <w:rPr>
                <w:sz w:val="20"/>
                <w:szCs w:val="20"/>
              </w:rPr>
              <w:t>This is the budget set for provisions expenses.</w:t>
            </w:r>
          </w:p>
        </w:tc>
      </w:tr>
      <w:tr w:rsidTr="004A306B">
        <w:tblPrEx>
          <w:tblW w:w="0" w:type="auto"/>
          <w:tblLook w:val="04A0"/>
        </w:tblPrEx>
        <w:tc>
          <w:tcPr>
            <w:tcW w:w="1169" w:type="dxa"/>
          </w:tcPr>
          <w:p w:rsidR="00682ACB" w:rsidRPr="00682ACB" w:rsidP="00682ACB">
            <w:pPr>
              <w:rPr>
                <w:sz w:val="20"/>
                <w:szCs w:val="20"/>
              </w:rPr>
            </w:pPr>
            <w:r>
              <w:rPr>
                <w:sz w:val="20"/>
                <w:szCs w:val="20"/>
              </w:rPr>
              <w:t>Q</w:t>
            </w:r>
          </w:p>
        </w:tc>
        <w:tc>
          <w:tcPr>
            <w:tcW w:w="953" w:type="dxa"/>
          </w:tcPr>
          <w:p w:rsidR="00682ACB" w:rsidRPr="00682ACB" w:rsidP="00682ACB">
            <w:pPr>
              <w:rPr>
                <w:sz w:val="20"/>
                <w:szCs w:val="20"/>
              </w:rPr>
            </w:pPr>
            <w:r w:rsidRPr="00682ACB">
              <w:rPr>
                <w:sz w:val="20"/>
                <w:szCs w:val="20"/>
              </w:rPr>
              <w:t>AME</w:t>
            </w:r>
          </w:p>
        </w:tc>
        <w:tc>
          <w:tcPr>
            <w:tcW w:w="2312" w:type="dxa"/>
          </w:tcPr>
          <w:p w:rsidR="00682ACB" w:rsidRPr="00682ACB" w:rsidP="00682ACB">
            <w:pPr>
              <w:rPr>
                <w:sz w:val="20"/>
                <w:szCs w:val="20"/>
              </w:rPr>
            </w:pPr>
            <w:r w:rsidRPr="00682ACB">
              <w:rPr>
                <w:sz w:val="20"/>
                <w:szCs w:val="20"/>
              </w:rPr>
              <w:t>Executive Agencies</w:t>
            </w:r>
          </w:p>
          <w:p w:rsidR="00682ACB" w:rsidRPr="00682ACB" w:rsidP="00682ACB">
            <w:pPr>
              <w:rPr>
                <w:sz w:val="20"/>
                <w:szCs w:val="20"/>
              </w:rPr>
            </w:pPr>
          </w:p>
        </w:tc>
        <w:tc>
          <w:tcPr>
            <w:tcW w:w="4582" w:type="dxa"/>
          </w:tcPr>
          <w:p w:rsidR="00682ACB" w:rsidRPr="00682ACB" w:rsidP="00682ACB">
            <w:pPr>
              <w:rPr>
                <w:sz w:val="20"/>
                <w:szCs w:val="20"/>
              </w:rPr>
            </w:pPr>
            <w:r w:rsidRPr="00682ACB">
              <w:rPr>
                <w:sz w:val="20"/>
                <w:szCs w:val="20"/>
              </w:rPr>
              <w:t>This is the budget set for provisions expenses for ESFA.</w:t>
            </w:r>
          </w:p>
        </w:tc>
      </w:tr>
      <w:tr w:rsidTr="004A306B">
        <w:tblPrEx>
          <w:tblW w:w="0" w:type="auto"/>
          <w:tblLook w:val="04A0"/>
        </w:tblPrEx>
        <w:tc>
          <w:tcPr>
            <w:tcW w:w="1169" w:type="dxa"/>
          </w:tcPr>
          <w:p w:rsidR="00682ACB" w:rsidRPr="00682ACB" w:rsidP="00682ACB">
            <w:pPr>
              <w:rPr>
                <w:sz w:val="20"/>
                <w:szCs w:val="20"/>
              </w:rPr>
            </w:pPr>
            <w:r w:rsidRPr="00682ACB">
              <w:rPr>
                <w:sz w:val="20"/>
                <w:szCs w:val="20"/>
              </w:rPr>
              <w:t xml:space="preserve"> R</w:t>
            </w:r>
            <w:r>
              <w:rPr>
                <w:sz w:val="20"/>
                <w:szCs w:val="20"/>
              </w:rPr>
              <w:t>, S</w:t>
            </w:r>
          </w:p>
        </w:tc>
        <w:tc>
          <w:tcPr>
            <w:tcW w:w="953" w:type="dxa"/>
          </w:tcPr>
          <w:p w:rsidR="00682ACB" w:rsidRPr="00682ACB" w:rsidP="00682ACB">
            <w:pPr>
              <w:rPr>
                <w:sz w:val="20"/>
                <w:szCs w:val="20"/>
              </w:rPr>
            </w:pPr>
            <w:r w:rsidRPr="00682ACB">
              <w:rPr>
                <w:sz w:val="20"/>
                <w:szCs w:val="20"/>
              </w:rPr>
              <w:t>AME</w:t>
            </w:r>
          </w:p>
        </w:tc>
        <w:tc>
          <w:tcPr>
            <w:tcW w:w="2312" w:type="dxa"/>
          </w:tcPr>
          <w:p w:rsidR="00682ACB" w:rsidRPr="00682ACB" w:rsidP="00682ACB">
            <w:pPr>
              <w:rPr>
                <w:sz w:val="20"/>
                <w:szCs w:val="20"/>
              </w:rPr>
            </w:pPr>
            <w:r>
              <w:rPr>
                <w:sz w:val="20"/>
                <w:szCs w:val="20"/>
              </w:rPr>
              <w:t>R</w:t>
            </w:r>
            <w:r w:rsidRPr="00682ACB">
              <w:rPr>
                <w:sz w:val="20"/>
                <w:szCs w:val="20"/>
              </w:rPr>
              <w:t xml:space="preserve">. Higher Education (Dept) </w:t>
            </w:r>
          </w:p>
          <w:p w:rsidR="00682ACB" w:rsidRPr="00682ACB" w:rsidP="00682ACB">
            <w:pPr>
              <w:rPr>
                <w:sz w:val="20"/>
                <w:szCs w:val="20"/>
              </w:rPr>
            </w:pPr>
            <w:r>
              <w:rPr>
                <w:sz w:val="20"/>
                <w:szCs w:val="20"/>
              </w:rPr>
              <w:t>S</w:t>
            </w:r>
            <w:r w:rsidRPr="00682ACB">
              <w:rPr>
                <w:sz w:val="20"/>
                <w:szCs w:val="20"/>
              </w:rPr>
              <w:t xml:space="preserve">.  Further Education (Dept) </w:t>
            </w:r>
          </w:p>
        </w:tc>
        <w:tc>
          <w:tcPr>
            <w:tcW w:w="4582" w:type="dxa"/>
          </w:tcPr>
          <w:p w:rsidR="00682ACB" w:rsidRPr="00682ACB" w:rsidP="00682ACB">
            <w:pPr>
              <w:rPr>
                <w:sz w:val="20"/>
                <w:szCs w:val="20"/>
              </w:rPr>
            </w:pPr>
            <w:r w:rsidRPr="00682ACB">
              <w:rPr>
                <w:sz w:val="20"/>
                <w:szCs w:val="20"/>
              </w:rPr>
              <w:t>These budgets relate to the AME costs of Student Loans.</w:t>
            </w:r>
          </w:p>
        </w:tc>
      </w:tr>
      <w:tr w:rsidTr="004A306B">
        <w:tblPrEx>
          <w:tblW w:w="0" w:type="auto"/>
          <w:tblLook w:val="04A0"/>
        </w:tblPrEx>
        <w:tc>
          <w:tcPr>
            <w:tcW w:w="1169" w:type="dxa"/>
          </w:tcPr>
          <w:p w:rsidR="00682ACB" w:rsidRPr="00682ACB" w:rsidP="00682ACB">
            <w:pPr>
              <w:rPr>
                <w:sz w:val="20"/>
                <w:szCs w:val="20"/>
              </w:rPr>
            </w:pPr>
            <w:r>
              <w:rPr>
                <w:sz w:val="20"/>
                <w:szCs w:val="20"/>
              </w:rPr>
              <w:t>T</w:t>
            </w:r>
          </w:p>
        </w:tc>
        <w:tc>
          <w:tcPr>
            <w:tcW w:w="953" w:type="dxa"/>
          </w:tcPr>
          <w:p w:rsidR="00682ACB" w:rsidRPr="00682ACB" w:rsidP="00682ACB">
            <w:pPr>
              <w:rPr>
                <w:sz w:val="20"/>
                <w:szCs w:val="20"/>
              </w:rPr>
            </w:pPr>
            <w:r w:rsidRPr="00682ACB">
              <w:rPr>
                <w:sz w:val="20"/>
                <w:szCs w:val="20"/>
              </w:rPr>
              <w:t>AME</w:t>
            </w:r>
          </w:p>
        </w:tc>
        <w:tc>
          <w:tcPr>
            <w:tcW w:w="2312" w:type="dxa"/>
          </w:tcPr>
          <w:p w:rsidR="00682ACB" w:rsidRPr="00682ACB" w:rsidP="00682ACB">
            <w:pPr>
              <w:rPr>
                <w:sz w:val="20"/>
                <w:szCs w:val="20"/>
              </w:rPr>
            </w:pPr>
            <w:r w:rsidRPr="00682ACB">
              <w:rPr>
                <w:sz w:val="20"/>
                <w:szCs w:val="20"/>
              </w:rPr>
              <w:t xml:space="preserve">Higher Education ALBs </w:t>
            </w:r>
          </w:p>
        </w:tc>
        <w:tc>
          <w:tcPr>
            <w:tcW w:w="4582" w:type="dxa"/>
          </w:tcPr>
          <w:p w:rsidR="00682ACB" w:rsidRPr="00682ACB" w:rsidP="00682ACB">
            <w:pPr>
              <w:rPr>
                <w:sz w:val="20"/>
                <w:szCs w:val="20"/>
              </w:rPr>
            </w:pPr>
            <w:r w:rsidRPr="00682ACB">
              <w:rPr>
                <w:sz w:val="20"/>
                <w:szCs w:val="20"/>
              </w:rPr>
              <w:t xml:space="preserve">This is the AME budget set for the Student Loans Company.  </w:t>
            </w:r>
          </w:p>
        </w:tc>
      </w:tr>
      <w:tr w:rsidTr="004A306B">
        <w:tblPrEx>
          <w:tblW w:w="0" w:type="auto"/>
          <w:tblLook w:val="04A0"/>
        </w:tblPrEx>
        <w:tc>
          <w:tcPr>
            <w:tcW w:w="1169" w:type="dxa"/>
          </w:tcPr>
          <w:p w:rsidR="00682ACB" w:rsidRPr="00682ACB" w:rsidP="00682ACB">
            <w:pPr>
              <w:rPr>
                <w:sz w:val="20"/>
                <w:szCs w:val="20"/>
              </w:rPr>
            </w:pPr>
            <w:r>
              <w:rPr>
                <w:sz w:val="20"/>
                <w:szCs w:val="20"/>
              </w:rPr>
              <w:t>U</w:t>
            </w:r>
          </w:p>
        </w:tc>
        <w:tc>
          <w:tcPr>
            <w:tcW w:w="953" w:type="dxa"/>
          </w:tcPr>
          <w:p w:rsidR="00682ACB" w:rsidRPr="00682ACB" w:rsidP="00682ACB">
            <w:pPr>
              <w:rPr>
                <w:sz w:val="20"/>
                <w:szCs w:val="20"/>
              </w:rPr>
            </w:pPr>
            <w:r w:rsidRPr="00682ACB">
              <w:rPr>
                <w:sz w:val="20"/>
                <w:szCs w:val="20"/>
              </w:rPr>
              <w:t>AME</w:t>
            </w:r>
          </w:p>
        </w:tc>
        <w:tc>
          <w:tcPr>
            <w:tcW w:w="2312" w:type="dxa"/>
          </w:tcPr>
          <w:p w:rsidR="00682ACB" w:rsidRPr="00682ACB" w:rsidP="00682ACB">
            <w:pPr>
              <w:rPr>
                <w:sz w:val="20"/>
                <w:szCs w:val="20"/>
              </w:rPr>
            </w:pPr>
            <w:r w:rsidRPr="00682ACB">
              <w:rPr>
                <w:sz w:val="20"/>
                <w:szCs w:val="20"/>
              </w:rPr>
              <w:t xml:space="preserve">Further Education ALBs </w:t>
            </w:r>
          </w:p>
        </w:tc>
        <w:tc>
          <w:tcPr>
            <w:tcW w:w="4582" w:type="dxa"/>
          </w:tcPr>
          <w:p w:rsidR="00682ACB" w:rsidRPr="00682ACB" w:rsidP="00682ACB">
            <w:pPr>
              <w:rPr>
                <w:sz w:val="20"/>
                <w:szCs w:val="20"/>
              </w:rPr>
            </w:pPr>
            <w:r w:rsidRPr="00682ACB">
              <w:rPr>
                <w:sz w:val="20"/>
                <w:szCs w:val="20"/>
              </w:rPr>
              <w:t>This line includes the budget set for the Construction Industry Training Board and the Engineering Construction Industry Training Board.</w:t>
            </w:r>
          </w:p>
        </w:tc>
      </w:tr>
    </w:tbl>
    <w:p w:rsidR="002747AD" w:rsidP="001010C5">
      <w:pPr>
        <w:spacing w:before="120" w:after="120"/>
        <w:jc w:val="both"/>
        <w:rPr>
          <w:rFonts w:eastAsiaTheme="majorEastAsia" w:cstheme="minorHAnsi"/>
          <w:color w:val="2F5496" w:themeColor="accent1" w:themeShade="BF"/>
          <w:sz w:val="28"/>
          <w:szCs w:val="28"/>
        </w:rPr>
      </w:pPr>
    </w:p>
    <w:p w:rsidR="001010C5" w:rsidP="001010C5">
      <w:pPr>
        <w:spacing w:before="120" w:after="120"/>
        <w:jc w:val="both"/>
        <w:rPr>
          <w:rFonts w:eastAsiaTheme="majorEastAsia" w:cstheme="minorHAnsi"/>
          <w:color w:val="2F5496" w:themeColor="accent1" w:themeShade="BF"/>
          <w:sz w:val="28"/>
          <w:szCs w:val="28"/>
        </w:rPr>
      </w:pPr>
      <w:r w:rsidRPr="00140606">
        <w:rPr>
          <w:rFonts w:eastAsiaTheme="majorEastAsia" w:cstheme="minorHAnsi"/>
          <w:color w:val="2F5496" w:themeColor="accent1" w:themeShade="BF"/>
          <w:sz w:val="28"/>
          <w:szCs w:val="28"/>
        </w:rPr>
        <w:t xml:space="preserve">3.2 </w:t>
      </w:r>
      <w:r w:rsidRPr="00140606">
        <w:rPr>
          <w:rFonts w:eastAsiaTheme="majorEastAsia" w:cstheme="minorHAnsi"/>
          <w:color w:val="2F5496" w:themeColor="accent1" w:themeShade="BF"/>
          <w:sz w:val="28"/>
          <w:szCs w:val="28"/>
        </w:rPr>
        <w:t>Measures of performance against each priority</w:t>
      </w:r>
      <w:r w:rsidR="00C44402">
        <w:rPr>
          <w:rFonts w:eastAsiaTheme="majorEastAsia" w:cstheme="minorHAnsi"/>
          <w:color w:val="2F5496" w:themeColor="accent1" w:themeShade="BF"/>
          <w:sz w:val="28"/>
          <w:szCs w:val="28"/>
        </w:rPr>
        <w:t xml:space="preserve"> </w:t>
      </w:r>
    </w:p>
    <w:p w:rsidR="00C44402" w:rsidRPr="00791CB0" w:rsidP="001010C5">
      <w:pPr>
        <w:spacing w:before="120" w:after="120"/>
        <w:jc w:val="both"/>
        <w:rPr>
          <w:rFonts w:eastAsiaTheme="majorEastAsia" w:cstheme="minorHAnsi"/>
          <w:sz w:val="28"/>
          <w:szCs w:val="28"/>
        </w:rPr>
      </w:pPr>
      <w:r w:rsidRPr="00791CB0">
        <w:t>The Outcome Delivery Plan for 202</w:t>
      </w:r>
      <w:r w:rsidRPr="00791CB0" w:rsidR="0006152D">
        <w:t>3</w:t>
      </w:r>
      <w:r w:rsidRPr="00791CB0">
        <w:t>-2</w:t>
      </w:r>
      <w:r w:rsidRPr="00791CB0" w:rsidR="0006152D">
        <w:t>4</w:t>
      </w:r>
      <w:r w:rsidRPr="00791CB0">
        <w:t xml:space="preserve"> is currently being produced and updated. </w:t>
      </w:r>
      <w:r w:rsidRPr="00791CB0" w:rsidR="00FA7C49">
        <w:t xml:space="preserve">The Department has the following provisional metrics agreed for each outcome: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5760"/>
      </w:tblGrid>
      <w:tr w:rsidTr="0059313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3256" w:type="dxa"/>
          </w:tcPr>
          <w:p w:rsidR="0054409A">
            <w:pPr>
              <w:spacing w:before="120" w:after="120"/>
              <w:jc w:val="both"/>
              <w:rPr>
                <w:rFonts w:eastAsiaTheme="majorEastAsia" w:cstheme="minorHAnsi"/>
                <w:color w:val="2F5496" w:themeColor="accent1" w:themeShade="BF"/>
                <w:sz w:val="28"/>
                <w:szCs w:val="28"/>
              </w:rPr>
            </w:pPr>
            <w:r>
              <w:rPr>
                <w:rFonts w:eastAsiaTheme="majorEastAsia" w:cstheme="minorHAnsi"/>
                <w:color w:val="2F5496" w:themeColor="accent1" w:themeShade="BF"/>
                <w:sz w:val="28"/>
                <w:szCs w:val="28"/>
              </w:rPr>
              <w:t>Priority outcome</w:t>
            </w:r>
          </w:p>
        </w:tc>
        <w:tc>
          <w:tcPr>
            <w:tcW w:w="5760" w:type="dxa"/>
          </w:tcPr>
          <w:p w:rsidR="0054409A">
            <w:pPr>
              <w:spacing w:before="120" w:after="120"/>
              <w:jc w:val="both"/>
              <w:rPr>
                <w:rFonts w:eastAsiaTheme="majorEastAsia" w:cstheme="minorHAnsi"/>
                <w:color w:val="2F5496" w:themeColor="accent1" w:themeShade="BF"/>
                <w:sz w:val="28"/>
                <w:szCs w:val="28"/>
              </w:rPr>
            </w:pPr>
            <w:r>
              <w:rPr>
                <w:rFonts w:eastAsiaTheme="majorEastAsia" w:cstheme="minorHAnsi"/>
                <w:color w:val="2F5496" w:themeColor="accent1" w:themeShade="BF"/>
                <w:sz w:val="28"/>
                <w:szCs w:val="28"/>
              </w:rPr>
              <w:t xml:space="preserve">Headline performance metrics </w:t>
            </w:r>
          </w:p>
        </w:tc>
      </w:tr>
      <w:tr w:rsidTr="0059313A">
        <w:tblPrEx>
          <w:tblW w:w="0" w:type="auto"/>
          <w:tblLook w:val="04A0"/>
        </w:tblPrEx>
        <w:trPr>
          <w:trHeight w:val="190"/>
        </w:trPr>
        <w:tc>
          <w:tcPr>
            <w:tcW w:w="3256" w:type="dxa"/>
            <w:vMerge w:val="restart"/>
          </w:tcPr>
          <w:p w:rsidR="0054409A" w:rsidRPr="00F5342D">
            <w:pPr>
              <w:rPr>
                <w:rFonts w:eastAsiaTheme="majorEastAsia" w:cstheme="minorHAnsi"/>
                <w:color w:val="2F5496" w:themeColor="accent1" w:themeShade="BF"/>
                <w:sz w:val="28"/>
                <w:szCs w:val="28"/>
              </w:rPr>
            </w:pPr>
            <w:r>
              <w:rPr>
                <w:b/>
                <w:bCs/>
              </w:rPr>
              <w:t xml:space="preserve">Skills </w:t>
            </w:r>
            <w:r>
              <w:t xml:space="preserve">- Level up productivity and employment by improving the </w:t>
            </w:r>
            <w:r>
              <w:t>skills pipeline and supporting people to work</w:t>
            </w:r>
          </w:p>
        </w:tc>
        <w:tc>
          <w:tcPr>
            <w:tcW w:w="5760" w:type="dxa"/>
          </w:tcPr>
          <w:p w:rsidR="0054409A" w:rsidRPr="00C65D5D">
            <w:pPr>
              <w:jc w:val="both"/>
              <w:rPr>
                <w:rFonts w:eastAsiaTheme="majorEastAsia" w:cstheme="minorHAnsi"/>
                <w:color w:val="2F5496" w:themeColor="accent1" w:themeShade="BF"/>
                <w:sz w:val="28"/>
                <w:szCs w:val="28"/>
              </w:rPr>
            </w:pPr>
            <w:r>
              <w:rPr>
                <w:rFonts w:cstheme="minorHAnsi"/>
              </w:rPr>
              <w:t>Further Education Skills index</w:t>
            </w:r>
          </w:p>
        </w:tc>
      </w:tr>
      <w:tr w:rsidTr="0059313A">
        <w:tblPrEx>
          <w:tblW w:w="0" w:type="auto"/>
          <w:tblLook w:val="04A0"/>
        </w:tblPrEx>
        <w:trPr>
          <w:trHeight w:val="189"/>
        </w:trPr>
        <w:tc>
          <w:tcPr>
            <w:tcW w:w="3256" w:type="dxa"/>
            <w:vMerge/>
          </w:tcPr>
          <w:p w:rsidR="0054409A" w:rsidRPr="00F5342D">
            <w:pPr>
              <w:jc w:val="both"/>
              <w:rPr>
                <w:rFonts w:cstheme="minorHAnsi"/>
              </w:rPr>
            </w:pPr>
          </w:p>
        </w:tc>
        <w:tc>
          <w:tcPr>
            <w:tcW w:w="5760" w:type="dxa"/>
          </w:tcPr>
          <w:p w:rsidR="0054409A" w:rsidRPr="00032BAD">
            <w:pPr>
              <w:jc w:val="both"/>
              <w:rPr>
                <w:rFonts w:cstheme="minorHAnsi"/>
              </w:rPr>
            </w:pPr>
            <w:r>
              <w:rPr>
                <w:rFonts w:cstheme="minorHAnsi"/>
              </w:rPr>
              <w:t>Value added per further education learner</w:t>
            </w:r>
          </w:p>
        </w:tc>
      </w:tr>
      <w:tr w:rsidTr="0059313A">
        <w:tblPrEx>
          <w:tblW w:w="0" w:type="auto"/>
          <w:tblLook w:val="04A0"/>
        </w:tblPrEx>
        <w:trPr>
          <w:trHeight w:val="189"/>
        </w:trPr>
        <w:tc>
          <w:tcPr>
            <w:tcW w:w="3256" w:type="dxa"/>
            <w:vMerge/>
          </w:tcPr>
          <w:p w:rsidR="0054409A" w:rsidRPr="00F5342D">
            <w:pPr>
              <w:jc w:val="both"/>
              <w:rPr>
                <w:rFonts w:cstheme="minorHAnsi"/>
              </w:rPr>
            </w:pPr>
          </w:p>
        </w:tc>
        <w:tc>
          <w:tcPr>
            <w:tcW w:w="5760" w:type="dxa"/>
          </w:tcPr>
          <w:p w:rsidR="0054409A" w:rsidRPr="00C65D5D">
            <w:pPr>
              <w:jc w:val="both"/>
              <w:rPr>
                <w:rFonts w:eastAsiaTheme="majorEastAsia" w:cstheme="minorHAnsi"/>
                <w:color w:val="2F5496" w:themeColor="accent1" w:themeShade="BF"/>
                <w:sz w:val="28"/>
                <w:szCs w:val="28"/>
              </w:rPr>
            </w:pPr>
            <w:r w:rsidRPr="00BF1DB0">
              <w:rPr>
                <w:rFonts w:cstheme="minorHAnsi"/>
              </w:rPr>
              <w:t xml:space="preserve">Percentage of recent Higher Education (HE) graduates </w:t>
            </w:r>
            <w:r>
              <w:rPr>
                <w:rFonts w:cstheme="minorHAnsi"/>
              </w:rPr>
              <w:t xml:space="preserve">entering work </w:t>
            </w:r>
            <w:r w:rsidRPr="00BF1DB0">
              <w:rPr>
                <w:rFonts w:cstheme="minorHAnsi"/>
              </w:rPr>
              <w:t>in high skilled employment</w:t>
            </w:r>
          </w:p>
        </w:tc>
      </w:tr>
      <w:tr w:rsidTr="0059313A">
        <w:tblPrEx>
          <w:tblW w:w="0" w:type="auto"/>
          <w:tblLook w:val="04A0"/>
        </w:tblPrEx>
        <w:trPr>
          <w:trHeight w:val="145"/>
        </w:trPr>
        <w:tc>
          <w:tcPr>
            <w:tcW w:w="3256" w:type="dxa"/>
            <w:vMerge w:val="restart"/>
          </w:tcPr>
          <w:p w:rsidR="0054409A">
            <w:r>
              <w:rPr>
                <w:b/>
                <w:bCs/>
              </w:rPr>
              <w:t xml:space="preserve">Schools </w:t>
            </w:r>
            <w:r>
              <w:t>- Level up education standards in every part of the country, and support children and young people to recover from the Covid-19 pandemic</w:t>
            </w:r>
          </w:p>
          <w:p w:rsidR="0054409A" w:rsidRPr="00F5342D">
            <w:pPr>
              <w:rPr>
                <w:rFonts w:cstheme="minorHAnsi"/>
              </w:rPr>
            </w:pPr>
          </w:p>
        </w:tc>
        <w:tc>
          <w:tcPr>
            <w:tcW w:w="5760" w:type="dxa"/>
          </w:tcPr>
          <w:p w:rsidR="0054409A" w:rsidRPr="00F5342D">
            <w:pPr>
              <w:jc w:val="both"/>
              <w:rPr>
                <w:rFonts w:cstheme="minorHAnsi"/>
              </w:rPr>
            </w:pPr>
            <w:r>
              <w:rPr>
                <w:rFonts w:cstheme="minorHAnsi"/>
              </w:rPr>
              <w:t>Percentage meeting expected standard in reading, writing and maths by end of primary (overall, disadvantaged pupils, by Education Investment Areas, Special Educational Needs pupils, Children in Need)</w:t>
            </w:r>
          </w:p>
        </w:tc>
      </w:tr>
      <w:tr w:rsidTr="0059313A">
        <w:tblPrEx>
          <w:tblW w:w="0" w:type="auto"/>
          <w:tblLook w:val="04A0"/>
        </w:tblPrEx>
        <w:trPr>
          <w:trHeight w:val="145"/>
        </w:trPr>
        <w:tc>
          <w:tcPr>
            <w:tcW w:w="3256" w:type="dxa"/>
            <w:vMerge/>
          </w:tcPr>
          <w:p w:rsidR="0054409A" w:rsidRPr="00F5342D">
            <w:pPr>
              <w:jc w:val="both"/>
              <w:rPr>
                <w:rFonts w:eastAsiaTheme="majorEastAsia" w:cstheme="minorHAnsi"/>
                <w:color w:val="2F5496" w:themeColor="accent1" w:themeShade="BF"/>
                <w:sz w:val="28"/>
                <w:szCs w:val="28"/>
              </w:rPr>
            </w:pPr>
          </w:p>
        </w:tc>
        <w:tc>
          <w:tcPr>
            <w:tcW w:w="5760" w:type="dxa"/>
          </w:tcPr>
          <w:p w:rsidR="0054409A" w:rsidRPr="008F1296">
            <w:pPr>
              <w:jc w:val="both"/>
              <w:rPr>
                <w:rFonts w:cstheme="minorHAnsi"/>
              </w:rPr>
            </w:pPr>
            <w:r w:rsidRPr="008F1296">
              <w:rPr>
                <w:rFonts w:cstheme="minorHAnsi"/>
              </w:rPr>
              <w:t xml:space="preserve">Average grade in GCSE English Language and maths by age 16 (across English state schools) </w:t>
            </w:r>
          </w:p>
        </w:tc>
      </w:tr>
      <w:tr w:rsidTr="0059313A">
        <w:tblPrEx>
          <w:tblW w:w="0" w:type="auto"/>
          <w:tblLook w:val="04A0"/>
        </w:tblPrEx>
        <w:trPr>
          <w:trHeight w:val="142"/>
        </w:trPr>
        <w:tc>
          <w:tcPr>
            <w:tcW w:w="3256" w:type="dxa"/>
            <w:vMerge/>
          </w:tcPr>
          <w:p w:rsidR="0054409A" w:rsidRPr="00F5342D">
            <w:pPr>
              <w:jc w:val="both"/>
              <w:rPr>
                <w:rFonts w:cstheme="minorHAnsi"/>
              </w:rPr>
            </w:pPr>
          </w:p>
        </w:tc>
        <w:tc>
          <w:tcPr>
            <w:tcW w:w="5760" w:type="dxa"/>
          </w:tcPr>
          <w:p w:rsidR="0054409A" w:rsidRPr="008F1296">
            <w:pPr>
              <w:jc w:val="both"/>
              <w:rPr>
                <w:rFonts w:cstheme="minorHAnsi"/>
              </w:rPr>
            </w:pPr>
            <w:r w:rsidRPr="008F1296">
              <w:rPr>
                <w:rFonts w:cstheme="minorHAnsi"/>
              </w:rPr>
              <w:t>Disadvantage gap index Key Stage 2</w:t>
            </w:r>
          </w:p>
        </w:tc>
      </w:tr>
      <w:tr w:rsidTr="0059313A">
        <w:tblPrEx>
          <w:tblW w:w="0" w:type="auto"/>
          <w:tblLook w:val="04A0"/>
        </w:tblPrEx>
        <w:trPr>
          <w:trHeight w:val="50"/>
        </w:trPr>
        <w:tc>
          <w:tcPr>
            <w:tcW w:w="3256" w:type="dxa"/>
            <w:vMerge/>
          </w:tcPr>
          <w:p w:rsidR="0054409A" w:rsidRPr="00F5342D">
            <w:pPr>
              <w:jc w:val="both"/>
              <w:rPr>
                <w:rFonts w:cstheme="minorHAnsi"/>
              </w:rPr>
            </w:pPr>
          </w:p>
        </w:tc>
        <w:tc>
          <w:tcPr>
            <w:tcW w:w="5760" w:type="dxa"/>
          </w:tcPr>
          <w:p w:rsidR="0054409A" w:rsidRPr="008F1296">
            <w:pPr>
              <w:jc w:val="both"/>
              <w:rPr>
                <w:rFonts w:cstheme="minorHAnsi"/>
              </w:rPr>
            </w:pPr>
            <w:r w:rsidRPr="008F1296">
              <w:rPr>
                <w:rFonts w:cstheme="minorHAnsi"/>
              </w:rPr>
              <w:t>Disadvantage gap index Key Stage 4</w:t>
            </w:r>
          </w:p>
        </w:tc>
      </w:tr>
      <w:tr w:rsidTr="0059313A">
        <w:tblPrEx>
          <w:tblW w:w="0" w:type="auto"/>
          <w:tblLook w:val="04A0"/>
        </w:tblPrEx>
        <w:trPr>
          <w:trHeight w:val="287"/>
        </w:trPr>
        <w:tc>
          <w:tcPr>
            <w:tcW w:w="3256" w:type="dxa"/>
            <w:vMerge w:val="restart"/>
          </w:tcPr>
          <w:p w:rsidR="0054409A">
            <w:r>
              <w:rPr>
                <w:b/>
                <w:bCs/>
              </w:rPr>
              <w:t xml:space="preserve">Families </w:t>
            </w:r>
            <w:r>
              <w:t>- Support families and protect young people through high quality local services, early education and childcare</w:t>
            </w:r>
          </w:p>
          <w:p w:rsidR="0054409A" w:rsidRPr="00F5342D">
            <w:pPr>
              <w:jc w:val="both"/>
              <w:rPr>
                <w:rFonts w:eastAsiaTheme="majorEastAsia" w:cstheme="minorHAnsi"/>
                <w:color w:val="2F5496" w:themeColor="accent1" w:themeShade="BF"/>
                <w:sz w:val="28"/>
                <w:szCs w:val="28"/>
              </w:rPr>
            </w:pPr>
          </w:p>
        </w:tc>
        <w:tc>
          <w:tcPr>
            <w:tcW w:w="5760" w:type="dxa"/>
          </w:tcPr>
          <w:p w:rsidR="0054409A" w:rsidRPr="00476CAD">
            <w:pPr>
              <w:jc w:val="both"/>
              <w:rPr>
                <w:rFonts w:cstheme="minorHAnsi"/>
              </w:rPr>
            </w:pPr>
            <w:r w:rsidRPr="00476CAD">
              <w:rPr>
                <w:rFonts w:cstheme="minorHAnsi"/>
              </w:rPr>
              <w:t>Percentage of 5</w:t>
            </w:r>
            <w:r>
              <w:rPr>
                <w:rFonts w:cstheme="minorHAnsi"/>
              </w:rPr>
              <w:t xml:space="preserve">-year-olds achieving expected level on communication and language, literacy and maths early learning goals </w:t>
            </w:r>
          </w:p>
        </w:tc>
      </w:tr>
      <w:tr w:rsidTr="0059313A">
        <w:tblPrEx>
          <w:tblW w:w="0" w:type="auto"/>
          <w:tblLook w:val="04A0"/>
        </w:tblPrEx>
        <w:trPr>
          <w:trHeight w:val="284"/>
        </w:trPr>
        <w:tc>
          <w:tcPr>
            <w:tcW w:w="3256" w:type="dxa"/>
            <w:vMerge/>
          </w:tcPr>
          <w:p w:rsidR="0054409A" w:rsidRPr="00F5342D">
            <w:pPr>
              <w:jc w:val="both"/>
              <w:rPr>
                <w:rFonts w:cstheme="minorHAnsi"/>
              </w:rPr>
            </w:pPr>
          </w:p>
        </w:tc>
        <w:tc>
          <w:tcPr>
            <w:tcW w:w="5760" w:type="dxa"/>
          </w:tcPr>
          <w:p w:rsidR="0054409A" w:rsidRPr="00476CAD">
            <w:pPr>
              <w:jc w:val="both"/>
              <w:rPr>
                <w:rFonts w:cstheme="minorHAnsi"/>
              </w:rPr>
            </w:pPr>
            <w:r>
              <w:rPr>
                <w:rFonts w:cstheme="minorHAnsi"/>
              </w:rPr>
              <w:t>Outcomes gap between children eligible for free school meals and peers, and pupils with special educational needs or disabilities and peers in Early Years Foundation Stage Profile assessment at age 5</w:t>
            </w:r>
          </w:p>
        </w:tc>
      </w:tr>
      <w:tr w:rsidTr="0059313A">
        <w:tblPrEx>
          <w:tblW w:w="0" w:type="auto"/>
          <w:tblLook w:val="04A0"/>
        </w:tblPrEx>
        <w:trPr>
          <w:trHeight w:val="284"/>
        </w:trPr>
        <w:tc>
          <w:tcPr>
            <w:tcW w:w="3256" w:type="dxa"/>
            <w:vMerge/>
          </w:tcPr>
          <w:p w:rsidR="0054409A" w:rsidRPr="00F5342D">
            <w:pPr>
              <w:jc w:val="both"/>
              <w:rPr>
                <w:rFonts w:cstheme="minorHAnsi"/>
              </w:rPr>
            </w:pPr>
          </w:p>
        </w:tc>
        <w:tc>
          <w:tcPr>
            <w:tcW w:w="5760" w:type="dxa"/>
          </w:tcPr>
          <w:p w:rsidR="0054409A">
            <w:pPr>
              <w:jc w:val="both"/>
              <w:rPr>
                <w:rFonts w:cstheme="minorHAnsi"/>
              </w:rPr>
            </w:pPr>
            <w:r>
              <w:rPr>
                <w:rFonts w:cstheme="minorHAnsi"/>
              </w:rPr>
              <w:t>Percentage of local authorities rated as inadequate for children’s social care services</w:t>
            </w:r>
          </w:p>
        </w:tc>
      </w:tr>
    </w:tbl>
    <w:p w:rsidR="00596C17" w:rsidP="001010C5">
      <w:pPr>
        <w:spacing w:before="120" w:after="120"/>
        <w:jc w:val="both"/>
        <w:rPr>
          <w:rFonts w:eastAsiaTheme="majorEastAsia" w:cstheme="minorHAnsi"/>
          <w:color w:val="2F5496" w:themeColor="accent1" w:themeShade="BF"/>
          <w:sz w:val="28"/>
          <w:szCs w:val="28"/>
        </w:rPr>
      </w:pPr>
    </w:p>
    <w:p w:rsidR="00596C17" w:rsidRPr="00140606" w:rsidP="00140606"/>
    <w:p w:rsidR="00EF3423" w:rsidP="00EF3423">
      <w:pPr>
        <w:pStyle w:val="Heading2"/>
        <w:rPr>
          <w:rFonts w:asciiTheme="minorHAnsi" w:eastAsiaTheme="minorHAnsi" w:hAnsiTheme="minorHAnsi" w:cstheme="minorHAnsi"/>
        </w:rPr>
      </w:pPr>
      <w:r>
        <w:rPr>
          <w:rFonts w:asciiTheme="minorHAnsi" w:eastAsiaTheme="minorHAnsi" w:hAnsiTheme="minorHAnsi" w:cstheme="minorHAnsi"/>
        </w:rPr>
        <w:t>3.</w:t>
      </w:r>
      <w:r w:rsidR="00405A82">
        <w:rPr>
          <w:rFonts w:asciiTheme="minorHAnsi" w:eastAsiaTheme="minorHAnsi" w:hAnsiTheme="minorHAnsi" w:cstheme="minorHAnsi"/>
        </w:rPr>
        <w:t>3</w:t>
      </w:r>
      <w:r>
        <w:rPr>
          <w:rFonts w:asciiTheme="minorHAnsi" w:eastAsiaTheme="minorHAnsi" w:hAnsiTheme="minorHAnsi" w:cstheme="minorHAnsi"/>
        </w:rPr>
        <w:t xml:space="preserve"> </w:t>
      </w:r>
      <w:r w:rsidRPr="008D0A1B">
        <w:rPr>
          <w:rFonts w:asciiTheme="minorHAnsi" w:eastAsiaTheme="minorHAnsi" w:hAnsiTheme="minorHAnsi" w:cstheme="minorHAnsi"/>
        </w:rPr>
        <w:t>Major projects</w:t>
      </w:r>
      <w:r>
        <w:rPr>
          <w:rFonts w:asciiTheme="minorHAnsi" w:eastAsiaTheme="minorHAnsi" w:hAnsiTheme="minorHAnsi" w:cstheme="minorHAnsi"/>
        </w:rPr>
        <w:t xml:space="preserve"> </w:t>
      </w:r>
    </w:p>
    <w:p w:rsidR="002E723E" w:rsidRPr="00C32133" w:rsidP="002E723E">
      <w:pPr>
        <w:pStyle w:val="Heading4"/>
        <w:spacing w:after="90" w:line="240" w:lineRule="auto"/>
        <w:rPr>
          <w:rFonts w:asciiTheme="minorHAnsi" w:hAnsiTheme="minorHAnsi" w:cstheme="minorHAnsi"/>
          <w:i w:val="0"/>
          <w:sz w:val="28"/>
          <w:szCs w:val="28"/>
        </w:rPr>
      </w:pPr>
      <w:r w:rsidRPr="00C32133">
        <w:rPr>
          <w:rFonts w:asciiTheme="minorHAnsi" w:hAnsiTheme="minorHAnsi" w:cstheme="minorHAnsi"/>
          <w:i w:val="0"/>
          <w:sz w:val="28"/>
          <w:szCs w:val="28"/>
        </w:rPr>
        <w:t>Major Projects Authority Reports  </w:t>
      </w:r>
    </w:p>
    <w:p w:rsidR="001708CE" w:rsidP="001708CE">
      <w:pPr>
        <w:pStyle w:val="paragraph"/>
        <w:spacing w:after="90"/>
        <w:textAlignment w:val="baseline"/>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 xml:space="preserve">The Department has several major projects which are financed from Resource and Capital DEL. Details of the project aims, timescales and scope are given below. </w:t>
      </w:r>
    </w:p>
    <w:p w:rsidR="001708CE" w:rsidP="001708CE">
      <w:pPr>
        <w:pStyle w:val="Heading3"/>
        <w:rPr>
          <w:i/>
        </w:rPr>
      </w:pPr>
      <w:r>
        <w:t xml:space="preserve">Infrastructure and Projects Authority (IPA) Reports </w:t>
      </w:r>
    </w:p>
    <w:p w:rsidR="001708CE" w:rsidP="001708CE">
      <w:pPr>
        <w:spacing w:after="90" w:line="240" w:lineRule="auto"/>
        <w:ind w:right="888"/>
      </w:pPr>
      <w:r>
        <w:t>The IPA reports on the delivery of major projects annually. The latest report can be found here:</w:t>
      </w:r>
    </w:p>
    <w:p w:rsidR="001708CE" w:rsidP="001708CE">
      <w:pPr>
        <w:spacing w:after="90" w:line="240" w:lineRule="auto"/>
        <w:ind w:right="895"/>
      </w:pPr>
      <w:r>
        <w:fldChar w:fldCharType="begin"/>
      </w:r>
      <w:r>
        <w:instrText xml:space="preserve"> HYPERLINK "https://www.gov.uk/government/publications/infrastructure-and-projects-authority-annual-report-2022" </w:instrText>
      </w:r>
      <w:r>
        <w:fldChar w:fldCharType="separate"/>
      </w:r>
      <w:r w:rsidRPr="00CE020F">
        <w:rPr>
          <w:rStyle w:val="Hyperlink"/>
        </w:rPr>
        <w:t>Infrastructure and Projects Authority annual report 2022 - GOV.UK (www.gov.uk)</w:t>
      </w:r>
      <w:r>
        <w:fldChar w:fldCharType="end"/>
      </w:r>
    </w:p>
    <w:p w:rsidR="001708CE" w:rsidP="001708CE">
      <w:pPr>
        <w:spacing w:after="90" w:line="240" w:lineRule="auto"/>
        <w:ind w:right="895"/>
      </w:pPr>
      <w:r>
        <w:t xml:space="preserve">The qualifying criteria for the Government’s Major Project Portfolio (GMPP) is projects over the Treasury Delegated Authority Limit, projects that are significantly repercussive and/or transformational, projects that are Prime Ministerial priorities. </w:t>
      </w:r>
    </w:p>
    <w:p w:rsidR="001708CE" w:rsidP="001708CE">
      <w:pPr>
        <w:pStyle w:val="Heading4"/>
        <w:rPr>
          <w:rFonts w:cstheme="minorHAnsi"/>
          <w:sz w:val="24"/>
          <w:szCs w:val="24"/>
        </w:rPr>
      </w:pPr>
    </w:p>
    <w:p w:rsidR="001708CE" w:rsidRPr="00C32133" w:rsidP="001708CE">
      <w:pPr>
        <w:pStyle w:val="Heading4"/>
        <w:rPr>
          <w:rFonts w:cstheme="minorHAnsi"/>
          <w:b/>
          <w:i w:val="0"/>
          <w:sz w:val="24"/>
          <w:szCs w:val="24"/>
        </w:rPr>
      </w:pPr>
      <w:r w:rsidRPr="00C32133">
        <w:rPr>
          <w:rFonts w:cstheme="minorHAnsi"/>
          <w:b/>
          <w:i w:val="0"/>
          <w:sz w:val="24"/>
          <w:szCs w:val="24"/>
        </w:rPr>
        <w:t>Student Loans Company (SLC) Evolve (Skills Group, SLC is an ALB)</w:t>
      </w:r>
    </w:p>
    <w:p w:rsidR="001708CE" w:rsidP="001708CE">
      <w:pPr>
        <w:spacing w:after="90" w:line="240" w:lineRule="auto"/>
      </w:pPr>
      <w:r>
        <w:rPr>
          <w:b/>
          <w:bCs/>
        </w:rPr>
        <w:t xml:space="preserve">Scope: </w:t>
      </w:r>
      <w:r>
        <w:t xml:space="preserve">This portfolio of change is an enterprise-wide transformation which enables SLC's corporate strategy. The strategy has 5 key objectives: </w:t>
      </w:r>
    </w:p>
    <w:p w:rsidR="001708CE" w:rsidP="001708CE">
      <w:pPr>
        <w:numPr>
          <w:ilvl w:val="0"/>
          <w:numId w:val="32"/>
        </w:numPr>
        <w:spacing w:after="0" w:line="240" w:lineRule="auto"/>
        <w:ind w:right="893" w:hanging="406"/>
      </w:pPr>
      <w:r>
        <w:t>An Outstanding Customer Experience;</w:t>
      </w:r>
    </w:p>
    <w:p w:rsidR="001708CE" w:rsidP="001708CE">
      <w:pPr>
        <w:numPr>
          <w:ilvl w:val="0"/>
          <w:numId w:val="32"/>
        </w:numPr>
        <w:spacing w:after="0" w:line="240" w:lineRule="auto"/>
        <w:ind w:right="893" w:hanging="406"/>
      </w:pPr>
      <w:r>
        <w:t>An Enabler of Opportunity;</w:t>
      </w:r>
    </w:p>
    <w:p w:rsidR="001708CE" w:rsidP="001708CE">
      <w:pPr>
        <w:numPr>
          <w:ilvl w:val="0"/>
          <w:numId w:val="32"/>
        </w:numPr>
        <w:spacing w:after="0" w:line="240" w:lineRule="auto"/>
        <w:ind w:right="893" w:hanging="406"/>
      </w:pPr>
      <w:r>
        <w:t>Leaner, Better, Doing more for less;</w:t>
      </w:r>
    </w:p>
    <w:p w:rsidR="001708CE" w:rsidP="001708CE">
      <w:pPr>
        <w:numPr>
          <w:ilvl w:val="0"/>
          <w:numId w:val="32"/>
        </w:numPr>
        <w:spacing w:after="0" w:line="240" w:lineRule="auto"/>
        <w:ind w:right="893" w:hanging="406"/>
      </w:pPr>
      <w:r>
        <w:t>A Great place to work; and</w:t>
      </w:r>
    </w:p>
    <w:p w:rsidR="001708CE" w:rsidP="001708CE">
      <w:pPr>
        <w:numPr>
          <w:ilvl w:val="0"/>
          <w:numId w:val="32"/>
        </w:numPr>
        <w:spacing w:after="0" w:line="240" w:lineRule="auto"/>
        <w:ind w:right="893" w:hanging="406"/>
      </w:pPr>
      <w:r>
        <w:t>Trusted delivery partner.</w:t>
      </w:r>
    </w:p>
    <w:p w:rsidR="001708CE" w:rsidP="001708CE">
      <w:pPr>
        <w:spacing w:after="0" w:line="240" w:lineRule="auto"/>
        <w:ind w:left="766" w:right="893"/>
      </w:pPr>
    </w:p>
    <w:p w:rsidR="001708CE" w:rsidP="001708CE">
      <w:pPr>
        <w:spacing w:after="90" w:line="240" w:lineRule="auto"/>
        <w:ind w:right="893"/>
      </w:pPr>
      <w:r w:rsidRPr="00036E54">
        <w:t>The Evolve programme is delivered across six interconnected and dynamic workstreams</w:t>
      </w:r>
      <w:r>
        <w:t>:</w:t>
      </w:r>
    </w:p>
    <w:p w:rsidR="001708CE" w:rsidP="001708CE">
      <w:pPr>
        <w:numPr>
          <w:ilvl w:val="0"/>
          <w:numId w:val="32"/>
        </w:numPr>
        <w:spacing w:after="0" w:line="240" w:lineRule="auto"/>
        <w:ind w:right="893" w:hanging="406"/>
      </w:pPr>
      <w:r w:rsidRPr="00165D3D">
        <w:t xml:space="preserve">Data - Build quality, integrity, and accuracy in SLC’s data to deliver better customer experience, better user experience and enhanced collections. </w:t>
      </w:r>
    </w:p>
    <w:p w:rsidR="001708CE" w:rsidP="001708CE">
      <w:pPr>
        <w:numPr>
          <w:ilvl w:val="0"/>
          <w:numId w:val="32"/>
        </w:numPr>
        <w:spacing w:after="0" w:line="240" w:lineRule="auto"/>
        <w:ind w:right="893" w:hanging="406"/>
      </w:pPr>
      <w:r w:rsidRPr="00165D3D">
        <w:t xml:space="preserve">Customer Engagement Management (CEM) - Enhance SLC’s online offering for customers by delivering a customer engagement platform, which sequentially delivers self-service for customers, and reduces calls, peak processing and the reliance on manual work. The new platform will also </w:t>
      </w:r>
      <w:r>
        <w:t>i</w:t>
      </w:r>
      <w:r w:rsidRPr="00165D3D">
        <w:t>ntroduce case management, putting all customer data in one place so that SLC can track the full customer journey.</w:t>
      </w:r>
    </w:p>
    <w:p w:rsidR="001708CE" w:rsidP="001708CE">
      <w:pPr>
        <w:numPr>
          <w:ilvl w:val="0"/>
          <w:numId w:val="32"/>
        </w:numPr>
        <w:spacing w:after="0" w:line="240" w:lineRule="auto"/>
        <w:ind w:right="893" w:hanging="406"/>
      </w:pPr>
      <w:r>
        <w:t>People – Working through people at SLC to build transparency and consistency in pay</w:t>
      </w:r>
      <w:r w:rsidR="00CC6691">
        <w:t>,</w:t>
      </w:r>
      <w:r>
        <w:t xml:space="preserve"> progression and targeted learning.</w:t>
      </w:r>
    </w:p>
    <w:p w:rsidR="001708CE" w:rsidP="001708CE">
      <w:pPr>
        <w:numPr>
          <w:ilvl w:val="0"/>
          <w:numId w:val="32"/>
        </w:numPr>
        <w:spacing w:after="0" w:line="240" w:lineRule="auto"/>
        <w:ind w:right="893" w:hanging="406"/>
      </w:pPr>
      <w:r>
        <w:t xml:space="preserve">Policy Commissioning and Product Simplification – With DfE and the devolved administrations of Wales, Northern Ireland and Scotland, improve the commissioning process such that we can better manage the policy 'ask' and build better products. </w:t>
      </w:r>
      <w:r w:rsidRPr="007956C7">
        <w:t>A review of the range of products which SLC provides is being undertaken, with a view to simplifying and rationalising where possible.</w:t>
      </w:r>
    </w:p>
    <w:p w:rsidR="001708CE" w:rsidP="001708CE">
      <w:pPr>
        <w:numPr>
          <w:ilvl w:val="0"/>
          <w:numId w:val="32"/>
        </w:numPr>
        <w:spacing w:after="0" w:line="240" w:lineRule="auto"/>
        <w:ind w:right="893" w:hanging="406"/>
      </w:pPr>
      <w:r>
        <w:t xml:space="preserve">Working Practices Transformation – Improving the way in which SLC delivers change including the introduction of consistent and lean processes, systems and metrics, enhancing the software delivery process and changing the way we contract with partners to deliver more capacity to the organisation. </w:t>
      </w:r>
    </w:p>
    <w:p w:rsidR="001708CE" w:rsidP="001708CE">
      <w:pPr>
        <w:numPr>
          <w:ilvl w:val="0"/>
          <w:numId w:val="32"/>
        </w:numPr>
        <w:spacing w:after="0" w:line="240" w:lineRule="auto"/>
        <w:ind w:right="893" w:hanging="406"/>
      </w:pPr>
      <w:r>
        <w:t xml:space="preserve">Apps and Portals – To commence the simplification and standardisation of the architecture of SLC’s applications to support the broader aims of the programme e.g., CEM, Data, Working Practices. </w:t>
      </w:r>
      <w:r w:rsidRPr="002822AB">
        <w:t>This includes new integration services to move data around SLC systems and new document management systems.</w:t>
      </w:r>
    </w:p>
    <w:p w:rsidR="001708CE" w:rsidP="001708CE">
      <w:pPr>
        <w:spacing w:before="240" w:after="90" w:line="240" w:lineRule="auto"/>
        <w:ind w:right="895"/>
      </w:pPr>
      <w:r>
        <w:rPr>
          <w:b/>
          <w:bCs/>
        </w:rPr>
        <w:t>Timing:</w:t>
      </w:r>
      <w:r>
        <w:t xml:space="preserve">  SLC Evolve became one of DfE’s GMPP projects in the third quarter of the 2019-20 financial year, the expected end date </w:t>
      </w:r>
      <w:r>
        <w:rPr>
          <w:lang w:eastAsia="en-GB"/>
        </w:rPr>
        <w:t>is the fourth quarter of the 2023-24 reporting period.</w:t>
      </w:r>
      <w:r>
        <w:t> </w:t>
      </w:r>
    </w:p>
    <w:p w:rsidR="001708CE" w:rsidP="001708CE">
      <w:pPr>
        <w:spacing w:after="90" w:line="240" w:lineRule="auto"/>
        <w:ind w:right="890"/>
      </w:pPr>
    </w:p>
    <w:p w:rsidR="001708CE" w:rsidRPr="00C32133" w:rsidP="001708CE">
      <w:pPr>
        <w:pStyle w:val="Heading4"/>
        <w:spacing w:line="240" w:lineRule="auto"/>
        <w:rPr>
          <w:rFonts w:cstheme="minorHAnsi"/>
          <w:b/>
          <w:i w:val="0"/>
          <w:sz w:val="24"/>
          <w:szCs w:val="24"/>
        </w:rPr>
      </w:pPr>
      <w:r w:rsidRPr="00C32133">
        <w:rPr>
          <w:rFonts w:cstheme="minorHAnsi"/>
          <w:b/>
          <w:i w:val="0"/>
          <w:sz w:val="24"/>
          <w:szCs w:val="24"/>
        </w:rPr>
        <w:t>T-Levels (Skills Group)</w:t>
      </w:r>
    </w:p>
    <w:p w:rsidR="001708CE" w:rsidRPr="003C6ED3" w:rsidP="001708CE">
      <w:pPr>
        <w:pStyle w:val="Heading4"/>
        <w:spacing w:line="240" w:lineRule="auto"/>
        <w:rPr>
          <w:rFonts w:ascii="Calibri" w:hAnsi="Calibri" w:cs="Calibri"/>
          <w:i w:val="0"/>
          <w:iCs w:val="0"/>
          <w:color w:val="auto"/>
        </w:rPr>
      </w:pPr>
      <w:r w:rsidRPr="00C32133">
        <w:rPr>
          <w:rFonts w:ascii="Calibri" w:hAnsi="Calibri" w:cs="Calibri"/>
          <w:b/>
          <w:i w:val="0"/>
          <w:color w:val="auto"/>
        </w:rPr>
        <w:t>Scope:</w:t>
      </w:r>
      <w:r w:rsidRPr="00C32133">
        <w:rPr>
          <w:rFonts w:ascii="Calibri" w:hAnsi="Calibri" w:cs="Calibri"/>
          <w:i w:val="0"/>
          <w:color w:val="auto"/>
        </w:rPr>
        <w:t xml:space="preserve"> This programme aims to increase the economic value of skills being supplied by the post 16 system, increasing take-up of high-quality qualifications to improve skills, productivity and social mobility. The programme will enable the sustainable delivery of new high-quality T-Levels for 16–19-year-olds. </w:t>
      </w:r>
    </w:p>
    <w:p w:rsidR="001708CE" w:rsidP="001708CE">
      <w:pPr>
        <w:spacing w:before="240" w:after="90" w:line="240" w:lineRule="auto"/>
        <w:ind w:right="890"/>
      </w:pPr>
      <w:r>
        <w:rPr>
          <w:b/>
          <w:bCs/>
        </w:rPr>
        <w:t>Timing:</w:t>
      </w:r>
      <w:r>
        <w:t xml:space="preserve"> This programme is expected to exit GMPP in the second quarter of 2025-26. </w:t>
      </w:r>
    </w:p>
    <w:p w:rsidR="001708CE" w:rsidP="001708CE">
      <w:pPr>
        <w:spacing w:after="90" w:line="240" w:lineRule="auto"/>
        <w:ind w:right="890"/>
      </w:pPr>
    </w:p>
    <w:p w:rsidR="001708CE" w:rsidRPr="00C32133" w:rsidP="001708CE">
      <w:pPr>
        <w:pStyle w:val="Heading4"/>
        <w:spacing w:line="240" w:lineRule="auto"/>
        <w:rPr>
          <w:rFonts w:cstheme="minorHAnsi"/>
          <w:b/>
          <w:i w:val="0"/>
        </w:rPr>
      </w:pPr>
      <w:r w:rsidRPr="00C32133">
        <w:rPr>
          <w:rFonts w:cstheme="minorHAnsi"/>
          <w:b/>
          <w:i w:val="0"/>
          <w:sz w:val="24"/>
          <w:szCs w:val="24"/>
        </w:rPr>
        <w:t>Teacher Development Reform Programme (formerly Early Career Framework (ECF) / National Professional Qualification (NPQ)) (Schools Group)</w:t>
      </w:r>
    </w:p>
    <w:p w:rsidR="001708CE" w:rsidP="001708CE">
      <w:pPr>
        <w:keepNext/>
        <w:spacing w:after="0" w:line="240" w:lineRule="auto"/>
      </w:pPr>
      <w:r>
        <w:rPr>
          <w:b/>
          <w:bCs/>
        </w:rPr>
        <w:t>Scope</w:t>
      </w:r>
      <w:r>
        <w:t xml:space="preserve">: </w:t>
      </w:r>
      <w:r w:rsidRPr="69AAABBC">
        <w:rPr>
          <w:rFonts w:ascii="Calibri" w:hAnsi="Calibri"/>
        </w:rPr>
        <w:t xml:space="preserve">The Teacher Development Reform (TDR) Programme is part of the wider reforms to Teacher Continual Professional Development (CPD) as well as part of the DfE Teacher Recruitment and Retention Strategy. The TDR Programme includes the Early Career Framework (ECF), National Professional Qualifications (NPQ) and </w:t>
      </w:r>
      <w:r>
        <w:rPr>
          <w:rFonts w:ascii="Calibri" w:hAnsi="Calibri"/>
        </w:rPr>
        <w:t xml:space="preserve">National </w:t>
      </w:r>
      <w:r w:rsidRPr="69AAABBC">
        <w:rPr>
          <w:rFonts w:ascii="Calibri" w:hAnsi="Calibri"/>
        </w:rPr>
        <w:t>Institute of Teaching (IoT) projects. These exciting innovations are part of the investment in our teachers and leaders which include</w:t>
      </w:r>
      <w:r>
        <w:rPr>
          <w:rFonts w:ascii="Calibri" w:hAnsi="Calibri"/>
        </w:rPr>
        <w:t>s:</w:t>
      </w:r>
      <w:r w:rsidRPr="69AAABBC">
        <w:rPr>
          <w:rFonts w:ascii="Calibri" w:hAnsi="Calibri"/>
        </w:rPr>
        <w:t xml:space="preserve"> a new two year induction for Early Career Teachers (ECT), with mentors trained and provided to support those new teachers</w:t>
      </w:r>
      <w:r>
        <w:rPr>
          <w:rFonts w:ascii="Calibri" w:hAnsi="Calibri"/>
        </w:rPr>
        <w:t>;</w:t>
      </w:r>
      <w:r w:rsidRPr="69AAABBC">
        <w:rPr>
          <w:rFonts w:ascii="Calibri" w:hAnsi="Calibri"/>
        </w:rPr>
        <w:t xml:space="preserve"> new Specialist NPQs</w:t>
      </w:r>
      <w:r>
        <w:rPr>
          <w:rFonts w:ascii="Calibri" w:hAnsi="Calibri"/>
        </w:rPr>
        <w:t>;</w:t>
      </w:r>
      <w:r w:rsidRPr="69AAABBC">
        <w:rPr>
          <w:rFonts w:ascii="Calibri" w:hAnsi="Calibri"/>
        </w:rPr>
        <w:t xml:space="preserve"> and reforms to our existing Leadership NPQs. Alongside this, the Institute of Teaching will become England’s flagship teacher training and development provider, showcasing exemplary delivery of the ECF and NPQs, delivering evidence-based approaches to teacher training, as well as leadership courses and continued professional development, building on existing high-quality provision. The driving force behind these reforms is to ensure an excellent </w:t>
      </w:r>
      <w:r w:rsidRPr="69AAABBC">
        <w:rPr>
          <w:rFonts w:ascii="Calibri" w:hAnsi="Calibri"/>
        </w:rPr>
        <w:t>teaching profession, and ultimately improve pupil outcomes.  We will deliver this through high quality, evidence</w:t>
      </w:r>
      <w:r w:rsidR="00D36D78">
        <w:rPr>
          <w:rFonts w:ascii="Calibri" w:hAnsi="Calibri"/>
        </w:rPr>
        <w:t>-</w:t>
      </w:r>
      <w:r w:rsidRPr="69AAABBC">
        <w:rPr>
          <w:rFonts w:ascii="Calibri" w:hAnsi="Calibri"/>
        </w:rPr>
        <w:t>based CPD for teachers and leaders.</w:t>
      </w:r>
    </w:p>
    <w:p w:rsidR="001708CE" w:rsidP="001708CE">
      <w:pPr>
        <w:spacing w:after="0" w:line="240" w:lineRule="auto"/>
        <w:ind w:right="896"/>
        <w:rPr>
          <w:b/>
          <w:bCs/>
        </w:rPr>
      </w:pPr>
    </w:p>
    <w:p w:rsidR="001708CE" w:rsidP="001708CE">
      <w:pPr>
        <w:spacing w:after="0" w:line="240" w:lineRule="auto"/>
        <w:ind w:right="896"/>
      </w:pPr>
      <w:r>
        <w:rPr>
          <w:b/>
          <w:bCs/>
        </w:rPr>
        <w:t xml:space="preserve">Timing: </w:t>
      </w:r>
      <w:r w:rsidRPr="00D94B30">
        <w:t>The</w:t>
      </w:r>
      <w:r>
        <w:rPr>
          <w:b/>
          <w:bCs/>
        </w:rPr>
        <w:t xml:space="preserve"> </w:t>
      </w:r>
      <w:r w:rsidRPr="00F71AD5">
        <w:t>Teacher Development Reform Programme</w:t>
      </w:r>
      <w:r>
        <w:t xml:space="preserve"> joined the GMPP in Q2 2020-21 and is </w:t>
      </w:r>
      <w:r>
        <w:rPr>
          <w:rFonts w:eastAsia="Times New Roman" w:cstheme="minorHAnsi"/>
          <w:lang w:eastAsia="en-GB"/>
        </w:rPr>
        <w:t xml:space="preserve">scheduled to run </w:t>
      </w:r>
      <w:r w:rsidRPr="009B711B">
        <w:t>until</w:t>
      </w:r>
      <w:r>
        <w:rPr>
          <w:rFonts w:eastAsia="Times New Roman" w:cstheme="minorHAnsi"/>
          <w:lang w:eastAsia="en-GB"/>
        </w:rPr>
        <w:t xml:space="preserve"> 2025-26. </w:t>
      </w:r>
      <w:r>
        <w:t xml:space="preserve"> </w:t>
      </w:r>
    </w:p>
    <w:p w:rsidR="001708CE" w:rsidP="001708CE">
      <w:pPr>
        <w:spacing w:after="0" w:line="240" w:lineRule="auto"/>
        <w:ind w:right="896"/>
      </w:pPr>
    </w:p>
    <w:p w:rsidR="001708CE" w:rsidRPr="00C32133" w:rsidP="001708CE">
      <w:pPr>
        <w:pStyle w:val="Heading4"/>
        <w:spacing w:line="240" w:lineRule="auto"/>
        <w:rPr>
          <w:rFonts w:cstheme="minorHAnsi"/>
          <w:b/>
          <w:i w:val="0"/>
        </w:rPr>
      </w:pPr>
      <w:r w:rsidRPr="00C32133">
        <w:rPr>
          <w:rFonts w:cstheme="minorHAnsi"/>
          <w:b/>
          <w:i w:val="0"/>
          <w:sz w:val="24"/>
          <w:szCs w:val="24"/>
        </w:rPr>
        <w:t>FE Capital Transformation (FECT) (Skills Group)</w:t>
      </w:r>
    </w:p>
    <w:p w:rsidR="001708CE" w:rsidP="001708CE">
      <w:pPr>
        <w:spacing w:after="0" w:line="240" w:lineRule="auto"/>
        <w:rPr>
          <w:rFonts w:eastAsia="Times New Roman" w:cstheme="minorHAnsi"/>
          <w:lang w:eastAsia="en-GB"/>
        </w:rPr>
      </w:pPr>
      <w:r>
        <w:rPr>
          <w:rFonts w:eastAsia="Times New Roman" w:cstheme="minorHAnsi"/>
          <w:b/>
          <w:bCs/>
          <w:lang w:eastAsia="en-GB"/>
        </w:rPr>
        <w:t>Scope</w:t>
      </w:r>
      <w:r>
        <w:rPr>
          <w:rFonts w:eastAsia="Times New Roman" w:cstheme="minorHAnsi"/>
          <w:lang w:eastAsia="en-GB"/>
        </w:rPr>
        <w:t xml:space="preserve">: The FE Capital Transformation programme will deliver the government's manifesto commitment to upgrade the further education college estate, supporting the FE sector to deliver on its reform agenda and the levelling up of learner and labour market needs across the country, with greater emphasis on technical education and vocational training. </w:t>
      </w:r>
    </w:p>
    <w:p w:rsidR="001708CE" w:rsidP="001708CE">
      <w:pPr>
        <w:spacing w:after="0" w:line="240" w:lineRule="auto"/>
        <w:rPr>
          <w:rFonts w:eastAsia="Times New Roman" w:cstheme="minorHAnsi"/>
          <w:lang w:eastAsia="en-GB"/>
        </w:rPr>
      </w:pPr>
    </w:p>
    <w:p w:rsidR="001708CE" w:rsidP="001708CE">
      <w:pPr>
        <w:spacing w:after="0" w:line="240" w:lineRule="auto"/>
        <w:rPr>
          <w:rFonts w:eastAsia="Times New Roman" w:cstheme="minorHAnsi"/>
          <w:lang w:eastAsia="en-GB"/>
        </w:rPr>
      </w:pPr>
      <w:r>
        <w:rPr>
          <w:rFonts w:eastAsia="Times New Roman" w:cstheme="minorHAnsi"/>
          <w:lang w:eastAsia="en-GB"/>
        </w:rPr>
        <w:t>Sixteen capital projects addressing some of the worst condition sites nationally are being delivered centrally by DfE, in partnership with colleges. Most of these projects are now in procurement or under construction, with the remaining ones due to follow in 2023.</w:t>
      </w:r>
    </w:p>
    <w:p w:rsidR="001708CE" w:rsidP="001708CE">
      <w:pPr>
        <w:spacing w:after="0" w:line="240" w:lineRule="auto"/>
        <w:rPr>
          <w:rFonts w:eastAsia="Times New Roman" w:cstheme="minorHAnsi"/>
          <w:lang w:eastAsia="en-GB"/>
        </w:rPr>
      </w:pPr>
    </w:p>
    <w:p w:rsidR="001708CE" w:rsidRPr="00E611E1" w:rsidP="001708CE">
      <w:pPr>
        <w:spacing w:after="0" w:line="240" w:lineRule="auto"/>
        <w:rPr>
          <w:rFonts w:eastAsia="Times New Roman" w:cstheme="minorHAnsi"/>
          <w:lang w:eastAsia="en-GB"/>
        </w:rPr>
      </w:pPr>
      <w:r>
        <w:rPr>
          <w:rFonts w:eastAsia="Times New Roman" w:cstheme="minorHAnsi"/>
          <w:lang w:eastAsia="en-GB"/>
        </w:rPr>
        <w:t xml:space="preserve">The department announced grant awards to </w:t>
      </w:r>
      <w:r w:rsidRPr="00E611E1">
        <w:rPr>
          <w:rFonts w:eastAsia="Times New Roman" w:cstheme="minorHAnsi"/>
          <w:lang w:eastAsia="en-GB"/>
        </w:rPr>
        <w:t>62 colleges, and 78 projects that were successful in the bidding process and will receive funding of up to £405 million. The department also announced a further 2 condition improvement projects where colleges are involved with ESFA specialist restructuring.</w:t>
      </w:r>
      <w:r>
        <w:rPr>
          <w:rFonts w:eastAsia="Times New Roman" w:cstheme="minorHAnsi"/>
          <w:lang w:eastAsia="en-GB"/>
        </w:rPr>
        <w:t xml:space="preserve"> </w:t>
      </w:r>
      <w:r w:rsidRPr="00E611E1">
        <w:rPr>
          <w:rFonts w:eastAsia="Times New Roman" w:cstheme="minorHAnsi"/>
          <w:lang w:eastAsia="en-GB"/>
        </w:rPr>
        <w:t>Most of these projects are now in procurement or under construction with grant funding expected to be drawn by 2024-25.</w:t>
      </w:r>
    </w:p>
    <w:p w:rsidR="001708CE" w:rsidRPr="00E611E1" w:rsidP="001708CE">
      <w:pPr>
        <w:spacing w:after="0" w:line="240" w:lineRule="auto"/>
        <w:rPr>
          <w:rFonts w:eastAsia="Times New Roman" w:cstheme="minorHAnsi"/>
          <w:lang w:eastAsia="en-GB"/>
        </w:rPr>
      </w:pPr>
    </w:p>
    <w:p w:rsidR="001708CE" w:rsidP="001708CE">
      <w:pPr>
        <w:spacing w:after="0" w:line="240" w:lineRule="auto"/>
        <w:rPr>
          <w:rFonts w:eastAsia="Times New Roman" w:cstheme="minorHAnsi"/>
          <w:lang w:eastAsia="en-GB"/>
        </w:rPr>
      </w:pPr>
      <w:r w:rsidRPr="00E611E1">
        <w:rPr>
          <w:rFonts w:eastAsia="Times New Roman" w:cstheme="minorHAnsi"/>
          <w:lang w:eastAsia="en-GB"/>
        </w:rPr>
        <w:t xml:space="preserve">An announcement is expected in </w:t>
      </w:r>
      <w:r>
        <w:rPr>
          <w:rFonts w:eastAsia="Times New Roman" w:cstheme="minorHAnsi"/>
          <w:lang w:eastAsia="en-GB"/>
        </w:rPr>
        <w:t>Spring 2023</w:t>
      </w:r>
      <w:r w:rsidRPr="00E611E1">
        <w:rPr>
          <w:rFonts w:eastAsia="Times New Roman" w:cstheme="minorHAnsi"/>
          <w:lang w:eastAsia="en-GB"/>
        </w:rPr>
        <w:t xml:space="preserve"> on proposals for the remainder of the programme funding.  </w:t>
      </w:r>
    </w:p>
    <w:p w:rsidR="001708CE" w:rsidP="001708CE">
      <w:pPr>
        <w:spacing w:after="0" w:line="240" w:lineRule="auto"/>
        <w:rPr>
          <w:rFonts w:eastAsia="Times New Roman" w:cstheme="minorHAnsi"/>
          <w:lang w:eastAsia="en-GB"/>
        </w:rPr>
      </w:pPr>
    </w:p>
    <w:p w:rsidR="001708CE" w:rsidP="001708CE">
      <w:pPr>
        <w:spacing w:after="0" w:line="240" w:lineRule="auto"/>
        <w:ind w:right="896"/>
        <w:rPr>
          <w:rFonts w:eastAsia="Times New Roman" w:cstheme="minorHAnsi"/>
          <w:lang w:eastAsia="en-GB"/>
        </w:rPr>
      </w:pPr>
      <w:r>
        <w:rPr>
          <w:rFonts w:eastAsia="Times New Roman" w:cstheme="minorHAnsi"/>
          <w:b/>
          <w:bCs/>
          <w:lang w:eastAsia="en-GB"/>
        </w:rPr>
        <w:t>Timing</w:t>
      </w:r>
      <w:r>
        <w:rPr>
          <w:rFonts w:eastAsia="Times New Roman" w:cstheme="minorHAnsi"/>
          <w:lang w:eastAsia="en-GB"/>
        </w:rPr>
        <w:t xml:space="preserve">: FECT became a GMPP project in the third quarter of 2020-21 and is scheduled to run </w:t>
      </w:r>
      <w:r w:rsidRPr="009B711B">
        <w:t>until</w:t>
      </w:r>
      <w:r>
        <w:rPr>
          <w:rFonts w:eastAsia="Times New Roman" w:cstheme="minorHAnsi"/>
          <w:lang w:eastAsia="en-GB"/>
        </w:rPr>
        <w:t xml:space="preserve"> 2025-26. </w:t>
      </w:r>
    </w:p>
    <w:p w:rsidR="001708CE" w:rsidP="001708CE">
      <w:pPr>
        <w:spacing w:after="0" w:line="240" w:lineRule="auto"/>
        <w:ind w:right="896"/>
      </w:pPr>
    </w:p>
    <w:p w:rsidR="001708CE" w:rsidRPr="00C32133" w:rsidP="001708CE">
      <w:pPr>
        <w:pStyle w:val="Heading4"/>
        <w:spacing w:line="240" w:lineRule="auto"/>
        <w:rPr>
          <w:rFonts w:cstheme="minorHAnsi"/>
          <w:b/>
          <w:i w:val="0"/>
        </w:rPr>
      </w:pPr>
      <w:r w:rsidRPr="00C32133">
        <w:rPr>
          <w:rFonts w:cstheme="minorHAnsi"/>
          <w:b/>
          <w:i w:val="0"/>
          <w:sz w:val="24"/>
          <w:szCs w:val="24"/>
        </w:rPr>
        <w:t>Skills Bootcamps and Free Courses for Jobs (formerly National Skills Fund (NSF)) (Skills Group)</w:t>
      </w:r>
    </w:p>
    <w:p w:rsidR="001708CE" w:rsidP="001708CE">
      <w:pPr>
        <w:spacing w:after="0" w:line="240" w:lineRule="auto"/>
        <w:ind w:right="895"/>
        <w:rPr>
          <w:rFonts w:eastAsia="Times New Roman" w:cstheme="minorHAnsi"/>
          <w:lang w:eastAsia="en-GB"/>
        </w:rPr>
      </w:pPr>
      <w:r>
        <w:rPr>
          <w:rFonts w:eastAsia="Times New Roman" w:cstheme="minorHAnsi"/>
          <w:b/>
          <w:bCs/>
          <w:lang w:eastAsia="en-GB"/>
        </w:rPr>
        <w:t xml:space="preserve">Scope: </w:t>
      </w:r>
      <w:r w:rsidRPr="002E3967">
        <w:rPr>
          <w:rFonts w:eastAsia="Times New Roman" w:cstheme="minorHAnsi"/>
          <w:lang w:eastAsia="en-GB"/>
        </w:rPr>
        <w:t>Skills Bootcamps and Free Courses for Jobs</w:t>
      </w:r>
      <w:r w:rsidRPr="00D67646">
        <w:rPr>
          <w:rFonts w:eastAsia="Times New Roman" w:cstheme="minorHAnsi"/>
          <w:b/>
          <w:bCs/>
          <w:lang w:eastAsia="en-GB"/>
        </w:rPr>
        <w:t xml:space="preserve"> </w:t>
      </w:r>
      <w:r>
        <w:rPr>
          <w:rFonts w:eastAsia="Times New Roman" w:cstheme="minorHAnsi"/>
          <w:lang w:eastAsia="en-GB"/>
        </w:rPr>
        <w:t>will help people retrain and upskill into better, more productive jobs through developing higher and intermediate skills</w:t>
      </w:r>
      <w:r w:rsidR="003A108C">
        <w:rPr>
          <w:rFonts w:eastAsia="Times New Roman" w:cstheme="minorHAnsi"/>
          <w:lang w:eastAsia="en-GB"/>
        </w:rPr>
        <w:t>,</w:t>
      </w:r>
      <w:r>
        <w:rPr>
          <w:rFonts w:eastAsia="Times New Roman" w:cstheme="minorHAnsi"/>
          <w:lang w:eastAsia="en-GB"/>
        </w:rPr>
        <w:t xml:space="preserve"> and</w:t>
      </w:r>
      <w:r w:rsidR="0009397D">
        <w:rPr>
          <w:rFonts w:eastAsia="Times New Roman" w:cstheme="minorHAnsi"/>
          <w:lang w:eastAsia="en-GB"/>
        </w:rPr>
        <w:t>,</w:t>
      </w:r>
      <w:r>
        <w:rPr>
          <w:rFonts w:eastAsia="Times New Roman" w:cstheme="minorHAnsi"/>
          <w:lang w:eastAsia="en-GB"/>
        </w:rPr>
        <w:t xml:space="preserve"> aligned with Further Education (FE) reform, ensure that the skills system better works for adults.</w:t>
      </w:r>
    </w:p>
    <w:p w:rsidR="001708CE" w:rsidP="001708CE">
      <w:pPr>
        <w:pStyle w:val="ListParagraph"/>
        <w:numPr>
          <w:ilvl w:val="0"/>
          <w:numId w:val="45"/>
        </w:numPr>
        <w:spacing w:after="90" w:line="240" w:lineRule="auto"/>
        <w:ind w:right="890"/>
        <w:rPr>
          <w:rFonts w:eastAsia="Times New Roman" w:cstheme="minorHAnsi"/>
          <w:lang w:eastAsia="en-GB"/>
        </w:rPr>
      </w:pPr>
      <w:r>
        <w:rPr>
          <w:rFonts w:eastAsia="Times New Roman" w:cstheme="minorHAnsi"/>
          <w:lang w:eastAsia="en-GB"/>
        </w:rPr>
        <w:t>Skills Bootcamps have the potential to transform the skills landscape for adults and employers. They offer free, flexible courses of up to 16 weeks, giving people the opportunity to build up sector-specific skills with an offer of a job interview with an employer on completion.</w:t>
      </w:r>
    </w:p>
    <w:p w:rsidR="001708CE" w:rsidP="001708CE">
      <w:pPr>
        <w:pStyle w:val="ListParagraph"/>
        <w:numPr>
          <w:ilvl w:val="0"/>
          <w:numId w:val="45"/>
        </w:numPr>
        <w:spacing w:after="90" w:line="240" w:lineRule="auto"/>
        <w:ind w:right="890"/>
        <w:rPr>
          <w:rFonts w:eastAsia="Times New Roman" w:cstheme="minorHAnsi"/>
          <w:lang w:eastAsia="en-GB"/>
        </w:rPr>
      </w:pPr>
      <w:r>
        <w:rPr>
          <w:rFonts w:eastAsia="Times New Roman" w:cstheme="minorHAnsi"/>
          <w:lang w:eastAsia="en-GB"/>
        </w:rPr>
        <w:t>The Free Courses for Jobs offer launched on 1 April 2021. This policy enables any adult aged 19 and over, who does not have an advanced technical certificate, diploma, or equivalent level 3 qualification, to access a range of fully funded level 3 qualifications. These qualifications have been identified for their strong wage outcomes and ability to meet key skills priorities.</w:t>
      </w:r>
    </w:p>
    <w:p w:rsidR="001708CE" w:rsidP="001708CE">
      <w:pPr>
        <w:pStyle w:val="ListParagraph"/>
        <w:numPr>
          <w:ilvl w:val="0"/>
          <w:numId w:val="45"/>
        </w:numPr>
        <w:spacing w:after="90" w:line="240" w:lineRule="auto"/>
        <w:ind w:right="890"/>
        <w:rPr>
          <w:rFonts w:eastAsia="Times New Roman" w:cstheme="minorHAnsi"/>
          <w:lang w:eastAsia="en-GB"/>
        </w:rPr>
      </w:pPr>
      <w:r>
        <w:rPr>
          <w:rFonts w:eastAsia="Times New Roman" w:cstheme="minorHAnsi"/>
          <w:lang w:eastAsia="en-GB"/>
        </w:rPr>
        <w:t xml:space="preserve">In April 2022 eligibility for the offer was expanded to also include any adult who earns below the annual National Living Wage </w:t>
      </w:r>
      <w:r w:rsidRPr="003F23D0">
        <w:rPr>
          <w:rFonts w:eastAsia="Times New Roman"/>
        </w:rPr>
        <w:t>(£18,525 in FY22</w:t>
      </w:r>
      <w:r>
        <w:rPr>
          <w:rFonts w:eastAsia="Times New Roman"/>
        </w:rPr>
        <w:t>-</w:t>
      </w:r>
      <w:r w:rsidRPr="003F23D0">
        <w:rPr>
          <w:rFonts w:eastAsia="Times New Roman"/>
        </w:rPr>
        <w:t>23)</w:t>
      </w:r>
      <w:r>
        <w:rPr>
          <w:rFonts w:eastAsia="Times New Roman"/>
          <w:i/>
          <w:iCs/>
        </w:rPr>
        <w:t xml:space="preserve"> </w:t>
      </w:r>
      <w:r>
        <w:rPr>
          <w:rFonts w:eastAsia="Times New Roman" w:cstheme="minorHAnsi"/>
          <w:lang w:eastAsia="en-GB"/>
        </w:rPr>
        <w:t xml:space="preserve">or is unemployed, regardless of their prior qualification level. Mayoral Combined Authorities and the Greater London Authority can determine the low wage threshold in their areas. </w:t>
      </w:r>
    </w:p>
    <w:p w:rsidR="001708CE" w:rsidP="001708CE">
      <w:pPr>
        <w:pStyle w:val="ListParagraph"/>
        <w:numPr>
          <w:ilvl w:val="0"/>
          <w:numId w:val="45"/>
        </w:numPr>
        <w:spacing w:after="90" w:line="240" w:lineRule="auto"/>
        <w:ind w:right="890"/>
        <w:rPr>
          <w:rFonts w:eastAsia="Times New Roman" w:cstheme="minorHAnsi"/>
          <w:lang w:eastAsia="en-GB"/>
        </w:rPr>
      </w:pPr>
      <w:r>
        <w:rPr>
          <w:rFonts w:eastAsia="Times New Roman" w:cstheme="minorHAnsi"/>
          <w:lang w:eastAsia="en-GB"/>
        </w:rPr>
        <w:t>Prior to the introduction of Free Courses for Job</w:t>
      </w:r>
      <w:r w:rsidR="00527638">
        <w:rPr>
          <w:rFonts w:eastAsia="Times New Roman" w:cstheme="minorHAnsi"/>
          <w:lang w:eastAsia="en-GB"/>
        </w:rPr>
        <w:t>s</w:t>
      </w:r>
      <w:r>
        <w:rPr>
          <w:rFonts w:eastAsia="Times New Roman" w:cstheme="minorHAnsi"/>
          <w:lang w:eastAsia="en-GB"/>
        </w:rPr>
        <w:t>, adults aged 24+ had to self-fund or take out a loan to access these qualifications. Adults aged 19-23 also have access to their first full Level 3 qualifications for free via the Adult Education Budget, but the Free Courses for jobs offer gives them access to additional work-focused Level-3 qualifications.</w:t>
      </w:r>
    </w:p>
    <w:p w:rsidR="001708CE" w:rsidP="001708CE">
      <w:pPr>
        <w:spacing w:after="0" w:line="240" w:lineRule="auto"/>
        <w:ind w:right="895"/>
        <w:rPr>
          <w:rFonts w:eastAsia="Times New Roman" w:cstheme="minorHAnsi"/>
          <w:lang w:eastAsia="en-GB"/>
        </w:rPr>
      </w:pPr>
      <w:r>
        <w:rPr>
          <w:rFonts w:eastAsia="Times New Roman" w:cstheme="minorHAnsi"/>
          <w:b/>
          <w:bCs/>
          <w:lang w:eastAsia="en-GB"/>
        </w:rPr>
        <w:t xml:space="preserve">Timing: </w:t>
      </w:r>
      <w:r w:rsidRPr="002E3967">
        <w:rPr>
          <w:rFonts w:eastAsia="Times New Roman" w:cstheme="minorHAnsi"/>
          <w:lang w:eastAsia="en-GB"/>
        </w:rPr>
        <w:t>Skills Bootcamps and Free Courses for Jobs</w:t>
      </w:r>
      <w:r w:rsidRPr="009E6D45">
        <w:rPr>
          <w:rFonts w:eastAsia="Times New Roman" w:cstheme="minorHAnsi"/>
          <w:b/>
          <w:bCs/>
          <w:lang w:eastAsia="en-GB"/>
        </w:rPr>
        <w:t xml:space="preserve"> </w:t>
      </w:r>
      <w:r>
        <w:rPr>
          <w:rFonts w:eastAsia="Times New Roman" w:cstheme="minorHAnsi"/>
          <w:lang w:eastAsia="en-GB"/>
        </w:rPr>
        <w:t xml:space="preserve">became one of DfE’s GMPP projects in the third quarter of 2020-21 and is </w:t>
      </w:r>
      <w:r>
        <w:t>expected to exit GMPP in 2023-24</w:t>
      </w:r>
      <w:r>
        <w:rPr>
          <w:rFonts w:eastAsia="Times New Roman" w:cstheme="minorHAnsi"/>
          <w:lang w:eastAsia="en-GB"/>
        </w:rPr>
        <w:t xml:space="preserve"> </w:t>
      </w:r>
    </w:p>
    <w:p w:rsidR="001708CE" w:rsidP="001708CE">
      <w:pPr>
        <w:spacing w:after="0" w:line="240" w:lineRule="auto"/>
        <w:ind w:right="895"/>
      </w:pPr>
    </w:p>
    <w:p w:rsidR="001708CE" w:rsidRPr="00C32133" w:rsidP="001708CE">
      <w:pPr>
        <w:pStyle w:val="Heading4"/>
        <w:spacing w:line="240" w:lineRule="auto"/>
        <w:rPr>
          <w:rFonts w:cstheme="minorHAnsi"/>
          <w:i w:val="0"/>
        </w:rPr>
      </w:pPr>
      <w:r w:rsidRPr="00C32133">
        <w:rPr>
          <w:rFonts w:cstheme="minorHAnsi"/>
          <w:b/>
          <w:i w:val="0"/>
          <w:sz w:val="24"/>
          <w:szCs w:val="24"/>
        </w:rPr>
        <w:t>Schools Commercial (Operations and Infrastructure Group</w:t>
      </w:r>
      <w:r w:rsidRPr="00C32133">
        <w:rPr>
          <w:rFonts w:cstheme="minorHAnsi"/>
          <w:i w:val="0"/>
          <w:sz w:val="24"/>
          <w:szCs w:val="24"/>
        </w:rPr>
        <w:t>)</w:t>
      </w:r>
    </w:p>
    <w:p w:rsidR="001708CE" w:rsidP="001708CE">
      <w:pPr>
        <w:spacing w:after="90" w:line="240" w:lineRule="auto"/>
        <w:ind w:right="895"/>
      </w:pPr>
      <w:r>
        <w:rPr>
          <w:b/>
          <w:bCs/>
        </w:rPr>
        <w:t xml:space="preserve">Scope: </w:t>
      </w:r>
      <w:r w:rsidRPr="008F5676">
        <w:t xml:space="preserve">The Schools Buying Programme is designed to support schools in achieving value for money and directly contributes to delivery of both the efficiency and sustainability portfolios. </w:t>
      </w:r>
      <w:r>
        <w:t>The</w:t>
      </w:r>
      <w:r w:rsidRPr="008F5676">
        <w:t xml:space="preserve"> </w:t>
      </w:r>
      <w:r w:rsidR="00B23AAE">
        <w:t>s</w:t>
      </w:r>
      <w:r w:rsidRPr="008F5676">
        <w:t xml:space="preserve">trategy is designed to support schools to achieve value for money on their non-staff spend, be more sustainable and change the behaviours of buyers in schools to ultimately achieve </w:t>
      </w:r>
      <w:r w:rsidR="00BA4CD4">
        <w:t xml:space="preserve">better </w:t>
      </w:r>
      <w:r w:rsidRPr="008F5676">
        <w:t>value for money and enable more spend to be focused on improving educational outcomes.</w:t>
      </w:r>
    </w:p>
    <w:p w:rsidR="001708CE" w:rsidP="001708CE">
      <w:pPr>
        <w:spacing w:after="0" w:line="240" w:lineRule="auto"/>
        <w:ind w:right="895"/>
      </w:pPr>
      <w:r>
        <w:rPr>
          <w:b/>
          <w:bCs/>
        </w:rPr>
        <w:t>Timing:</w:t>
      </w:r>
      <w:r>
        <w:t xml:space="preserve"> Schools Commercial became one of DfE’s GMPP projects in the third quarter of 2020-21</w:t>
      </w:r>
      <w:r w:rsidRPr="00030014">
        <w:rPr>
          <w:rFonts w:eastAsia="Times New Roman" w:cstheme="minorHAnsi"/>
          <w:lang w:eastAsia="en-GB"/>
        </w:rPr>
        <w:t xml:space="preserve"> </w:t>
      </w:r>
      <w:r>
        <w:rPr>
          <w:rFonts w:eastAsia="Times New Roman" w:cstheme="minorHAnsi"/>
          <w:lang w:eastAsia="en-GB"/>
        </w:rPr>
        <w:t xml:space="preserve">and is </w:t>
      </w:r>
      <w:r>
        <w:t xml:space="preserve">expected to exit GMPP in 2024-25. </w:t>
      </w:r>
    </w:p>
    <w:p w:rsidR="001708CE" w:rsidP="001708CE">
      <w:pPr>
        <w:spacing w:after="0" w:line="240" w:lineRule="auto"/>
      </w:pPr>
    </w:p>
    <w:p w:rsidR="001708CE" w:rsidRPr="00C32133" w:rsidP="001708CE">
      <w:pPr>
        <w:pStyle w:val="Heading4"/>
        <w:spacing w:line="240" w:lineRule="auto"/>
        <w:rPr>
          <w:rFonts w:cstheme="minorHAnsi"/>
          <w:b/>
          <w:i w:val="0"/>
          <w:sz w:val="24"/>
          <w:szCs w:val="24"/>
        </w:rPr>
      </w:pPr>
      <w:r w:rsidRPr="00C32133">
        <w:rPr>
          <w:rFonts w:cstheme="minorBidi"/>
          <w:b/>
          <w:i w:val="0"/>
          <w:sz w:val="24"/>
          <w:szCs w:val="24"/>
        </w:rPr>
        <w:t>Institutes of Technology (IoT Wave 2) (Skills Group)</w:t>
      </w:r>
    </w:p>
    <w:p w:rsidR="001708CE" w:rsidRPr="00860C01" w:rsidP="001708CE">
      <w:pPr>
        <w:pStyle w:val="Heading4"/>
        <w:spacing w:line="240" w:lineRule="auto"/>
        <w:rPr>
          <w:rFonts w:cstheme="minorHAnsi"/>
        </w:rPr>
      </w:pPr>
      <w:r w:rsidRPr="00470C35">
        <w:rPr>
          <w:rFonts w:eastAsia="Times New Roman" w:asciiTheme="minorHAnsi" w:hAnsiTheme="minorHAnsi" w:cstheme="minorHAnsi"/>
          <w:b/>
          <w:i w:val="0"/>
          <w:color w:val="auto"/>
          <w:lang w:eastAsia="en-GB"/>
        </w:rPr>
        <w:t xml:space="preserve">Scope: </w:t>
      </w:r>
      <w:r w:rsidRPr="00470C35">
        <w:rPr>
          <w:rFonts w:eastAsia="Times New Roman" w:asciiTheme="minorHAnsi" w:hAnsiTheme="minorHAnsi" w:cstheme="minorHAnsi"/>
          <w:i w:val="0"/>
          <w:color w:val="auto"/>
          <w:lang w:eastAsia="en-GB"/>
        </w:rPr>
        <w:t>The Institutes of Technology programme is designed to establish high-quality institutes of technology (IoTs), which are collaborations between further education (FE) providers, universities and employers. They will specialise in delivering higher technical education (at Levels 4 and 5) with a focus on STEM (science, technology, engineering and mathematics) subjects</w:t>
      </w:r>
      <w:r w:rsidRPr="004C764D">
        <w:rPr>
          <w:rFonts w:eastAsia="Times New Roman" w:cstheme="minorHAnsi"/>
          <w:lang w:eastAsia="en-GB"/>
        </w:rPr>
        <w:t>.</w:t>
      </w:r>
      <w:r w:rsidRPr="00860C01">
        <w:rPr>
          <w:rFonts w:eastAsia="Times New Roman" w:cstheme="minorHAnsi"/>
          <w:lang w:eastAsia="en-GB"/>
        </w:rPr>
        <w:t xml:space="preserve"> </w:t>
      </w:r>
    </w:p>
    <w:p w:rsidR="001708CE" w:rsidP="001708CE">
      <w:pPr>
        <w:spacing w:before="240" w:after="0" w:line="240" w:lineRule="auto"/>
        <w:ind w:right="895"/>
      </w:pPr>
      <w:r>
        <w:rPr>
          <w:b/>
          <w:bCs/>
        </w:rPr>
        <w:t>Timing:</w:t>
      </w:r>
      <w:r>
        <w:t xml:space="preserve"> IoT Wave 2 became one of DfE’s GMPP projects in the third quarter of 2020-21 </w:t>
      </w:r>
      <w:r>
        <w:rPr>
          <w:rFonts w:eastAsia="Times New Roman" w:cstheme="minorHAnsi"/>
          <w:lang w:eastAsia="en-GB"/>
        </w:rPr>
        <w:t xml:space="preserve">and is </w:t>
      </w:r>
      <w:r>
        <w:t>expected to exit GMPP in 2025-26.</w:t>
      </w:r>
    </w:p>
    <w:p w:rsidR="001708CE" w:rsidP="001708CE">
      <w:pPr>
        <w:spacing w:after="0" w:line="240" w:lineRule="auto"/>
        <w:rPr>
          <w:b/>
          <w:bCs/>
        </w:rPr>
      </w:pPr>
    </w:p>
    <w:p w:rsidR="001708CE" w:rsidRPr="00C32133" w:rsidP="001708CE">
      <w:pPr>
        <w:pStyle w:val="Heading4"/>
        <w:spacing w:line="240" w:lineRule="auto"/>
        <w:rPr>
          <w:b/>
          <w:i w:val="0"/>
          <w:sz w:val="24"/>
          <w:szCs w:val="24"/>
        </w:rPr>
      </w:pPr>
      <w:r w:rsidRPr="00C32133">
        <w:rPr>
          <w:rFonts w:cstheme="minorBidi"/>
          <w:b/>
          <w:i w:val="0"/>
          <w:sz w:val="24"/>
          <w:szCs w:val="24"/>
        </w:rPr>
        <w:t>School Rebuilding Programme (SRP) (Operations and Infrastructure Group)</w:t>
      </w:r>
    </w:p>
    <w:p w:rsidR="001708CE" w:rsidP="001708CE">
      <w:pPr>
        <w:spacing w:after="90" w:line="240" w:lineRule="auto"/>
      </w:pPr>
      <w:r>
        <w:rPr>
          <w:rFonts w:eastAsia="Times New Roman" w:cstheme="minorHAnsi"/>
          <w:b/>
          <w:bCs/>
          <w:lang w:eastAsia="en-GB"/>
        </w:rPr>
        <w:t xml:space="preserve">Scope: </w:t>
      </w:r>
      <w:r>
        <w:t>The School Rebuilding Programme was announced in June 2020 to carry out major rebuilding and refurbishment projects at primary, secondary and sixth form college buildings across England, with buildings prioritised based on their condition. The ten-year programme launched with a commitment to 500 rebuilding projects over the next decade, replacing poor condition and ageing school buildings with modern, energy efficient designs.</w:t>
      </w:r>
    </w:p>
    <w:p w:rsidR="001708CE" w:rsidP="001708CE">
      <w:pPr>
        <w:spacing w:after="90" w:line="240" w:lineRule="auto"/>
        <w:rPr>
          <w:rFonts w:eastAsia="Times New Roman"/>
          <w:lang w:eastAsia="en-GB"/>
        </w:rPr>
      </w:pPr>
      <w:r w:rsidRPr="001518AC">
        <w:rPr>
          <w:rFonts w:eastAsia="Times New Roman"/>
          <w:b/>
          <w:lang w:eastAsia="en-GB"/>
        </w:rPr>
        <w:t xml:space="preserve">Timing: </w:t>
      </w:r>
      <w:r w:rsidRPr="001518AC">
        <w:rPr>
          <w:rFonts w:eastAsia="Times New Roman"/>
          <w:lang w:eastAsia="en-GB"/>
        </w:rPr>
        <w:t>SRP became one of DfE’s GMPP projects in the third quarter of 2020-21</w:t>
      </w:r>
      <w:r w:rsidRPr="001518AC">
        <w:rPr>
          <w:rFonts w:eastAsia="Times New Roman" w:cstheme="minorHAnsi"/>
          <w:lang w:eastAsia="en-GB"/>
        </w:rPr>
        <w:t xml:space="preserve"> and is </w:t>
      </w:r>
      <w:r w:rsidRPr="001518AC">
        <w:t>expected to exit GMPP in 20</w:t>
      </w:r>
      <w:r w:rsidR="00B32839">
        <w:t>3</w:t>
      </w:r>
      <w:r w:rsidRPr="001518AC">
        <w:t>2-33</w:t>
      </w:r>
      <w:r w:rsidR="00511628">
        <w:t>.</w:t>
      </w:r>
    </w:p>
    <w:p w:rsidR="001708CE" w:rsidRPr="00C32133" w:rsidP="001708CE">
      <w:pPr>
        <w:pStyle w:val="Heading4"/>
        <w:rPr>
          <w:rFonts w:cstheme="minorHAnsi"/>
          <w:i w:val="0"/>
          <w:sz w:val="24"/>
          <w:szCs w:val="24"/>
        </w:rPr>
      </w:pPr>
    </w:p>
    <w:p w:rsidR="001708CE" w:rsidRPr="0095697D" w:rsidP="001708CE">
      <w:pPr>
        <w:pStyle w:val="Heading4"/>
        <w:rPr>
          <w:rFonts w:eastAsia="Times New Roman" w:cstheme="minorHAnsi"/>
          <w:b/>
          <w:bCs/>
          <w:sz w:val="24"/>
          <w:szCs w:val="24"/>
          <w:lang w:eastAsia="en-GB"/>
        </w:rPr>
      </w:pPr>
      <w:r w:rsidRPr="00C32133">
        <w:rPr>
          <w:rFonts w:cstheme="minorHAnsi"/>
          <w:b/>
          <w:i w:val="0"/>
          <w:sz w:val="24"/>
          <w:szCs w:val="24"/>
        </w:rPr>
        <w:t>National Tutoring Programme</w:t>
      </w:r>
      <w:r w:rsidRPr="00C32133">
        <w:rPr>
          <w:rFonts w:eastAsia="Times New Roman" w:cstheme="minorHAnsi"/>
          <w:b/>
          <w:i w:val="0"/>
          <w:sz w:val="24"/>
          <w:szCs w:val="24"/>
          <w:lang w:eastAsia="en-GB"/>
        </w:rPr>
        <w:t xml:space="preserve"> (NTP) </w:t>
      </w:r>
      <w:r w:rsidRPr="00C32133">
        <w:rPr>
          <w:rFonts w:cstheme="minorHAnsi"/>
          <w:b/>
          <w:i w:val="0"/>
          <w:sz w:val="24"/>
          <w:szCs w:val="24"/>
        </w:rPr>
        <w:t>(Schools Group</w:t>
      </w:r>
      <w:r w:rsidRPr="0095697D">
        <w:rPr>
          <w:rFonts w:cstheme="minorHAnsi"/>
          <w:b/>
          <w:bCs/>
          <w:sz w:val="24"/>
          <w:szCs w:val="24"/>
        </w:rPr>
        <w:t>)</w:t>
      </w:r>
    </w:p>
    <w:p w:rsidR="001708CE" w:rsidRPr="00B37A72" w:rsidP="001708CE">
      <w:pPr>
        <w:spacing w:after="90" w:line="240" w:lineRule="auto"/>
        <w:rPr>
          <w:rFonts w:eastAsia="Times New Roman" w:cstheme="minorHAnsi"/>
          <w:lang w:eastAsia="en-GB"/>
        </w:rPr>
      </w:pPr>
      <w:r>
        <w:rPr>
          <w:rFonts w:eastAsia="Times New Roman" w:cstheme="minorHAnsi"/>
          <w:b/>
          <w:bCs/>
          <w:lang w:eastAsia="en-GB"/>
        </w:rPr>
        <w:t xml:space="preserve">Scope: </w:t>
      </w:r>
    </w:p>
    <w:p w:rsidR="001708CE" w:rsidRPr="00B37A72" w:rsidP="001708CE">
      <w:pPr>
        <w:spacing w:after="90" w:line="240" w:lineRule="auto"/>
        <w:rPr>
          <w:rFonts w:eastAsia="Times New Roman" w:cstheme="minorHAnsi"/>
          <w:lang w:eastAsia="en-GB"/>
        </w:rPr>
      </w:pPr>
      <w:r w:rsidRPr="00B37A72">
        <w:rPr>
          <w:rFonts w:eastAsia="Times New Roman" w:cstheme="minorHAnsi"/>
          <w:lang w:eastAsia="en-GB"/>
        </w:rPr>
        <w:t>The NTP is a multi-year programme, with a key objective of sustaining a high-quality tutoring market and embedding a culture of schools using tutoring support for their pupils.</w:t>
      </w:r>
    </w:p>
    <w:p w:rsidR="001708CE" w:rsidP="001708CE">
      <w:pPr>
        <w:spacing w:after="90" w:line="240" w:lineRule="auto"/>
        <w:rPr>
          <w:rFonts w:eastAsia="Times New Roman"/>
          <w:lang w:eastAsia="en-GB"/>
        </w:rPr>
      </w:pPr>
      <w:r w:rsidRPr="1AD63EF0">
        <w:rPr>
          <w:rFonts w:eastAsia="Times New Roman"/>
          <w:lang w:eastAsia="en-GB"/>
        </w:rPr>
        <w:t>In Academic Years 22/23 and 23/24, the Department is providing funding directly to schools to subsidise the cost of tuition, principally for disadvantaged pupils. Schools will receive £358m in AY22/23 and £149m in AY23/24, which they can use to:</w:t>
      </w:r>
    </w:p>
    <w:p w:rsidR="001708CE" w:rsidP="001708CE">
      <w:pPr>
        <w:pStyle w:val="ListParagraph"/>
        <w:numPr>
          <w:ilvl w:val="0"/>
          <w:numId w:val="50"/>
        </w:numPr>
        <w:spacing w:after="0" w:line="240" w:lineRule="auto"/>
        <w:ind w:right="890"/>
        <w:rPr>
          <w:rFonts w:ascii="Calibri" w:hAnsi="Calibri" w:eastAsiaTheme="minorHAnsi" w:cs="Calibri"/>
          <w:lang w:eastAsia="en-GB"/>
        </w:rPr>
      </w:pPr>
      <w:r>
        <w:rPr>
          <w:lang w:eastAsia="en-GB"/>
        </w:rPr>
        <w:t>Deliver tuition through a Tuition Partner – high-quality subsidised tuition available to all schools.</w:t>
      </w:r>
    </w:p>
    <w:p w:rsidR="001708CE" w:rsidP="001708CE">
      <w:pPr>
        <w:pStyle w:val="ListParagraph"/>
        <w:numPr>
          <w:ilvl w:val="0"/>
          <w:numId w:val="50"/>
        </w:numPr>
        <w:spacing w:after="0" w:line="240" w:lineRule="auto"/>
        <w:ind w:right="890"/>
        <w:rPr>
          <w:lang w:eastAsia="en-GB"/>
        </w:rPr>
      </w:pPr>
      <w:r>
        <w:rPr>
          <w:lang w:eastAsia="en-GB"/>
        </w:rPr>
        <w:t>Employ an Academic Mentor –</w:t>
      </w:r>
      <w:r w:rsidR="004D1C04">
        <w:rPr>
          <w:lang w:eastAsia="en-GB"/>
        </w:rPr>
        <w:t xml:space="preserve"> </w:t>
      </w:r>
      <w:r>
        <w:rPr>
          <w:lang w:eastAsia="en-GB"/>
        </w:rPr>
        <w:t>in-school tutors to provide intensive support in schools with acute levels of disadvantage.</w:t>
      </w:r>
    </w:p>
    <w:p w:rsidR="001708CE" w:rsidP="001708CE">
      <w:pPr>
        <w:pStyle w:val="ListParagraph"/>
        <w:numPr>
          <w:ilvl w:val="0"/>
          <w:numId w:val="50"/>
        </w:numPr>
        <w:spacing w:after="0" w:line="240" w:lineRule="auto"/>
        <w:ind w:right="890"/>
        <w:rPr>
          <w:lang w:eastAsia="en-GB"/>
        </w:rPr>
      </w:pPr>
      <w:r>
        <w:rPr>
          <w:lang w:eastAsia="en-GB"/>
        </w:rPr>
        <w:t>Deliver tuition using existing staff – flexibility for schools to choose their own subsidised tutors.</w:t>
      </w:r>
    </w:p>
    <w:p w:rsidR="001708CE" w:rsidRPr="000C622A" w:rsidP="001708CE">
      <w:pPr>
        <w:spacing w:after="0" w:line="240" w:lineRule="auto"/>
        <w:ind w:right="890"/>
        <w:rPr>
          <w:rFonts w:eastAsia="Times New Roman"/>
          <w:lang w:eastAsia="en-GB"/>
        </w:rPr>
      </w:pPr>
    </w:p>
    <w:p w:rsidR="001708CE" w:rsidP="001708CE">
      <w:pPr>
        <w:spacing w:after="0" w:line="240" w:lineRule="auto"/>
        <w:rPr>
          <w:rFonts w:eastAsia="Times New Roman"/>
          <w:lang w:eastAsia="en-GB"/>
        </w:rPr>
      </w:pPr>
      <w:r>
        <w:rPr>
          <w:rFonts w:eastAsia="Times New Roman"/>
          <w:b/>
          <w:lang w:eastAsia="en-GB"/>
        </w:rPr>
        <w:t xml:space="preserve">Timing: </w:t>
      </w:r>
      <w:r>
        <w:rPr>
          <w:rFonts w:eastAsia="Times New Roman"/>
          <w:lang w:eastAsia="en-GB"/>
        </w:rPr>
        <w:t xml:space="preserve">NTP became one of DfE’s GMPP projects in the fourth quarter of 2020-21 </w:t>
      </w:r>
      <w:r>
        <w:rPr>
          <w:rFonts w:eastAsia="Times New Roman" w:cstheme="minorHAnsi"/>
          <w:lang w:eastAsia="en-GB"/>
        </w:rPr>
        <w:t xml:space="preserve">and is </w:t>
      </w:r>
      <w:r>
        <w:t>expected to exit GMPP in 2024-25</w:t>
      </w:r>
      <w:r w:rsidR="00511628">
        <w:t>.</w:t>
      </w:r>
    </w:p>
    <w:p w:rsidR="001708CE" w:rsidP="001708CE">
      <w:pPr>
        <w:spacing w:after="0" w:line="240" w:lineRule="auto"/>
        <w:rPr>
          <w:color w:val="2F5496" w:themeColor="accent1" w:themeShade="BF"/>
          <w:sz w:val="28"/>
          <w:szCs w:val="28"/>
        </w:rPr>
      </w:pPr>
    </w:p>
    <w:p w:rsidR="001708CE" w:rsidRPr="00C32133" w:rsidP="001708CE">
      <w:pPr>
        <w:pStyle w:val="Heading4"/>
        <w:rPr>
          <w:b/>
          <w:i w:val="0"/>
          <w:sz w:val="24"/>
          <w:szCs w:val="24"/>
        </w:rPr>
      </w:pPr>
      <w:r w:rsidRPr="00C32133">
        <w:rPr>
          <w:b/>
          <w:i w:val="0"/>
          <w:sz w:val="24"/>
          <w:szCs w:val="24"/>
        </w:rPr>
        <w:t>Initial Teacher Training Market Review (ITT Market Review) (Schools Group)</w:t>
      </w:r>
    </w:p>
    <w:p w:rsidR="001708CE" w:rsidP="001708CE">
      <w:pPr>
        <w:spacing w:after="0" w:line="240" w:lineRule="auto"/>
        <w:rPr>
          <w:lang w:eastAsia="en-GB"/>
        </w:rPr>
      </w:pPr>
      <w:r w:rsidRPr="00EF4EE1">
        <w:rPr>
          <w:rFonts w:ascii="Calibri" w:eastAsia="MS Mincho" w:hAnsi="Calibri" w:cs="Arial"/>
          <w:b/>
          <w:bCs/>
        </w:rPr>
        <w:t>Scope:</w:t>
      </w:r>
      <w:r>
        <w:rPr>
          <w:rFonts w:ascii="Calibri" w:eastAsia="MS Mincho" w:hAnsi="Calibri" w:cs="Arial"/>
        </w:rPr>
        <w:t xml:space="preserve"> I</w:t>
      </w:r>
      <w:r>
        <w:rPr>
          <w:lang w:eastAsia="en-GB"/>
        </w:rPr>
        <w:t>TT provision in England that leads to Qualified Teacher Status</w:t>
      </w:r>
    </w:p>
    <w:p w:rsidR="001708CE" w:rsidRPr="002E3967" w:rsidP="001708CE">
      <w:pPr>
        <w:pStyle w:val="ListParagraph"/>
        <w:numPr>
          <w:ilvl w:val="0"/>
          <w:numId w:val="45"/>
        </w:numPr>
        <w:spacing w:after="0" w:line="240" w:lineRule="auto"/>
        <w:ind w:right="890"/>
        <w:rPr>
          <w:rFonts w:eastAsia="Times New Roman" w:cstheme="minorHAnsi"/>
          <w:lang w:eastAsia="en-GB"/>
        </w:rPr>
      </w:pPr>
      <w:r w:rsidRPr="002E3967">
        <w:rPr>
          <w:rFonts w:eastAsia="Times New Roman" w:cstheme="minorHAnsi"/>
          <w:lang w:eastAsia="en-GB"/>
        </w:rPr>
        <w:t>The implementation of the recommendations from the Initial Teacher Training (ITT) Market Review is designed to complement a suite of reforms already underway to improve teaching quality, including the introductions of the ITT Core Content Framework (CCF), Early Career Framework (ECF), reformed National Professional Qualifications (NPQs) and Teaching School Hubs (TSHs).</w:t>
      </w:r>
    </w:p>
    <w:p w:rsidR="001708CE" w:rsidRPr="002E3967" w:rsidP="001708CE">
      <w:pPr>
        <w:pStyle w:val="ListParagraph"/>
        <w:numPr>
          <w:ilvl w:val="0"/>
          <w:numId w:val="45"/>
        </w:numPr>
        <w:spacing w:after="0" w:line="240" w:lineRule="auto"/>
        <w:ind w:right="890"/>
        <w:rPr>
          <w:rFonts w:eastAsia="Times New Roman" w:cstheme="minorHAnsi"/>
          <w:lang w:eastAsia="en-GB"/>
        </w:rPr>
      </w:pPr>
      <w:r w:rsidRPr="002E3967">
        <w:rPr>
          <w:rFonts w:eastAsia="Times New Roman" w:cstheme="minorHAnsi"/>
          <w:lang w:eastAsia="en-GB"/>
        </w:rPr>
        <w:t>The recommendations from the ITT Market Review aim to increase the quality and consistency of ITT in a more effective and efficient market from September 2024. It will do so by ensuring ITT providers adopt a series of new 'Quality Requirements' and recommendations to be assessed through a market-wide re-accreditation process.</w:t>
      </w:r>
    </w:p>
    <w:p w:rsidR="001708CE" w:rsidRPr="002E3967" w:rsidP="001708CE">
      <w:pPr>
        <w:pStyle w:val="ListParagraph"/>
        <w:numPr>
          <w:ilvl w:val="0"/>
          <w:numId w:val="45"/>
        </w:numPr>
        <w:spacing w:after="0" w:line="240" w:lineRule="auto"/>
        <w:ind w:right="890"/>
        <w:rPr>
          <w:rFonts w:eastAsia="Times New Roman" w:cstheme="minorHAnsi"/>
          <w:lang w:eastAsia="en-GB"/>
        </w:rPr>
      </w:pPr>
      <w:r w:rsidRPr="002E3967">
        <w:rPr>
          <w:rFonts w:eastAsia="Times New Roman" w:cstheme="minorHAnsi"/>
          <w:lang w:eastAsia="en-GB"/>
        </w:rPr>
        <w:t>The DfE ran two accreditation rounds (Stage 1) between February and September 2022. Applicants were assessed on their capacity to deliver against the DfE’s new ITT Criteria, which incorporates the Quality Requirements, covering the key areas of curriculum, mentoring, and partnerships</w:t>
      </w:r>
      <w:r>
        <w:rPr>
          <w:rFonts w:eastAsia="Times New Roman" w:cstheme="minorHAnsi"/>
          <w:lang w:eastAsia="en-GB"/>
        </w:rPr>
        <w:t>.</w:t>
      </w:r>
    </w:p>
    <w:p w:rsidR="001708CE" w:rsidRPr="002E3967" w:rsidP="001708CE">
      <w:pPr>
        <w:pStyle w:val="ListParagraph"/>
        <w:numPr>
          <w:ilvl w:val="0"/>
          <w:numId w:val="45"/>
        </w:numPr>
        <w:spacing w:after="0" w:line="240" w:lineRule="auto"/>
        <w:ind w:right="890"/>
        <w:rPr>
          <w:rFonts w:eastAsia="Times New Roman" w:cstheme="minorHAnsi"/>
          <w:lang w:eastAsia="en-GB"/>
        </w:rPr>
      </w:pPr>
      <w:r w:rsidRPr="002E3967">
        <w:rPr>
          <w:rFonts w:eastAsia="Times New Roman" w:cstheme="minorHAnsi"/>
          <w:lang w:eastAsia="en-GB"/>
        </w:rPr>
        <w:t>A total of 179 providers have been successful following the accreditation process. We are encouraging accredited providers to build partnerships with unsuccessful applicants to help retain local expertise and maximise the offer of high-quality ITT provision in all regions.</w:t>
      </w:r>
    </w:p>
    <w:p w:rsidR="001708CE" w:rsidRPr="002E3967" w:rsidP="001708CE">
      <w:pPr>
        <w:pStyle w:val="ListParagraph"/>
        <w:numPr>
          <w:ilvl w:val="0"/>
          <w:numId w:val="45"/>
        </w:numPr>
        <w:spacing w:after="0" w:line="240" w:lineRule="auto"/>
        <w:ind w:right="890"/>
        <w:rPr>
          <w:rFonts w:eastAsia="Times New Roman" w:cstheme="minorHAnsi"/>
          <w:lang w:eastAsia="en-GB"/>
        </w:rPr>
      </w:pPr>
      <w:r w:rsidRPr="002E3967">
        <w:rPr>
          <w:rFonts w:eastAsia="Times New Roman" w:cstheme="minorHAnsi"/>
          <w:lang w:eastAsia="en-GB"/>
        </w:rPr>
        <w:t>We are also working with the accredited providers through our supportive follow-up phase (stage 2), during which the DfE will work with them to ensure that they are ready for delivery from September 2024.</w:t>
      </w:r>
    </w:p>
    <w:p w:rsidR="001708CE" w:rsidRPr="009B711B" w:rsidP="001708CE">
      <w:pPr>
        <w:spacing w:after="0"/>
        <w:rPr>
          <w:color w:val="000000" w:themeColor="text1"/>
        </w:rPr>
      </w:pPr>
    </w:p>
    <w:p w:rsidR="001708CE" w:rsidP="001708CE">
      <w:pPr>
        <w:spacing w:after="0" w:line="240" w:lineRule="auto"/>
        <w:rPr>
          <w:rFonts w:eastAsia="Times New Roman"/>
          <w:lang w:eastAsia="en-GB"/>
        </w:rPr>
      </w:pPr>
      <w:r>
        <w:rPr>
          <w:rFonts w:eastAsia="Times New Roman"/>
          <w:b/>
          <w:lang w:eastAsia="en-GB"/>
        </w:rPr>
        <w:t xml:space="preserve">Timing: </w:t>
      </w:r>
      <w:r>
        <w:rPr>
          <w:rFonts w:eastAsia="Times New Roman"/>
          <w:lang w:eastAsia="en-GB"/>
        </w:rPr>
        <w:t xml:space="preserve"> </w:t>
      </w:r>
      <w:r w:rsidR="00FA577E">
        <w:rPr>
          <w:rFonts w:eastAsia="Times New Roman"/>
          <w:lang w:eastAsia="en-GB"/>
        </w:rPr>
        <w:t>T</w:t>
      </w:r>
      <w:r>
        <w:rPr>
          <w:rFonts w:eastAsia="Times New Roman"/>
          <w:lang w:eastAsia="en-GB"/>
        </w:rPr>
        <w:t xml:space="preserve">he ITT </w:t>
      </w:r>
      <w:r w:rsidRPr="69AAABBC">
        <w:rPr>
          <w:rFonts w:eastAsia="Times New Roman"/>
          <w:lang w:eastAsia="en-GB"/>
        </w:rPr>
        <w:t xml:space="preserve">Market Review </w:t>
      </w:r>
      <w:r>
        <w:rPr>
          <w:rFonts w:eastAsia="Times New Roman"/>
          <w:lang w:eastAsia="en-GB"/>
        </w:rPr>
        <w:t>became one of DfE’s GMPP projects in the fourth quarter of 2021-22</w:t>
      </w:r>
      <w:r w:rsidR="00996D1E">
        <w:rPr>
          <w:rFonts w:eastAsia="Times New Roman"/>
          <w:lang w:eastAsia="en-GB"/>
        </w:rPr>
        <w:t>.</w:t>
      </w:r>
      <w:r>
        <w:rPr>
          <w:rFonts w:eastAsia="Times New Roman"/>
          <w:lang w:eastAsia="en-GB"/>
        </w:rPr>
        <w:t xml:space="preserve"> </w:t>
      </w:r>
      <w:r w:rsidRPr="006D0742">
        <w:rPr>
          <w:rFonts w:eastAsia="Times New Roman" w:cstheme="minorHAnsi"/>
          <w:lang w:eastAsia="en-GB"/>
        </w:rPr>
        <w:t xml:space="preserve"> </w:t>
      </w:r>
      <w:r>
        <w:rPr>
          <w:rFonts w:eastAsia="Times New Roman" w:cstheme="minorHAnsi"/>
          <w:lang w:eastAsia="en-GB"/>
        </w:rPr>
        <w:t xml:space="preserve">and is </w:t>
      </w:r>
      <w:r>
        <w:t>expected to exit GMPP in 2024-25</w:t>
      </w:r>
      <w:r w:rsidR="00996D1E">
        <w:t>.</w:t>
      </w:r>
    </w:p>
    <w:p w:rsidR="001708CE" w:rsidP="001708CE">
      <w:pPr>
        <w:spacing w:after="0" w:line="240" w:lineRule="auto"/>
        <w:rPr>
          <w:rFonts w:eastAsia="Times New Roman"/>
          <w:lang w:eastAsia="en-GB"/>
        </w:rPr>
      </w:pPr>
    </w:p>
    <w:p w:rsidR="001708CE" w:rsidRPr="001018E5" w:rsidP="001708CE">
      <w:pPr>
        <w:pStyle w:val="Heading4"/>
        <w:rPr>
          <w:b/>
          <w:i w:val="0"/>
          <w:sz w:val="24"/>
          <w:szCs w:val="24"/>
        </w:rPr>
      </w:pPr>
      <w:r w:rsidRPr="001018E5">
        <w:rPr>
          <w:b/>
          <w:i w:val="0"/>
          <w:sz w:val="24"/>
          <w:szCs w:val="24"/>
        </w:rPr>
        <w:t>Lifelong Loan Entitlement (LLE) (Skills Group)</w:t>
      </w:r>
    </w:p>
    <w:p w:rsidR="001708CE" w:rsidP="001708CE">
      <w:pPr>
        <w:spacing w:after="0" w:line="240" w:lineRule="auto"/>
        <w:rPr>
          <w:rFonts w:eastAsia="Times New Roman" w:cstheme="minorHAnsi"/>
        </w:rPr>
      </w:pPr>
      <w:r w:rsidRPr="00B1354F">
        <w:rPr>
          <w:rFonts w:ascii="Calibri" w:eastAsia="MS Mincho" w:hAnsi="Calibri" w:cs="Arial"/>
          <w:b/>
          <w:bCs/>
        </w:rPr>
        <w:t>Scope:</w:t>
      </w:r>
      <w:r w:rsidRPr="00B1354F">
        <w:rPr>
          <w:rFonts w:ascii="Calibri" w:eastAsia="MS Mincho" w:hAnsi="Calibri" w:cs="Arial"/>
        </w:rPr>
        <w:t xml:space="preserve"> </w:t>
      </w:r>
      <w:r w:rsidRPr="000F48A2">
        <w:rPr>
          <w:rFonts w:eastAsia="Times New Roman" w:cstheme="minorHAnsi"/>
        </w:rPr>
        <w:t xml:space="preserve">In April 2022 the Skills and Post-16 Education Act was signed into law, building on the reforms set out in the Government’s Skills for Jobs White Paper published in January 2021. This Act underpins the Lifetime Skills Guarantee, as part of our blueprint for a post-16 education system that seeks to ensure that everyone, no matter where they live or their background, can gain the skills they need to progress in work at any stage of their lives. The LLE will support study throughout a learner’s life, with the opportunity to train, retrain and upskill as needed in response to changing skills needs and employment patterns.  </w:t>
      </w:r>
    </w:p>
    <w:p w:rsidR="001708CE" w:rsidRPr="002E3967" w:rsidP="001708CE">
      <w:pPr>
        <w:spacing w:after="0" w:line="240" w:lineRule="auto"/>
        <w:rPr>
          <w:rFonts w:eastAsia="Times New Roman" w:cstheme="minorHAnsi"/>
        </w:rPr>
      </w:pPr>
    </w:p>
    <w:p w:rsidR="001708CE" w:rsidP="001708CE">
      <w:pPr>
        <w:spacing w:after="0" w:line="240" w:lineRule="auto"/>
        <w:rPr>
          <w:rFonts w:eastAsia="Times New Roman" w:cstheme="minorHAnsi"/>
        </w:rPr>
      </w:pPr>
      <w:r w:rsidRPr="000F48A2">
        <w:rPr>
          <w:rFonts w:eastAsia="Times New Roman" w:cstheme="minorHAnsi"/>
        </w:rPr>
        <w:t xml:space="preserve">From its introduction in 2025, the LLE will give individuals access to a loan entitlement equivalent to four years of post-18 education (£37,000 in today’s fees) to use over their lifetime. It will be available for both modules and full years of study regardless of whether they are provided in colleges or universities. The Government wants to drive a transformative impact on post-18 study, bringing FE and HE closer together. The LLE also aims to create a more streamlined funding system and make it easier for students to navigate the options available. </w:t>
      </w:r>
    </w:p>
    <w:p w:rsidR="001708CE" w:rsidRPr="002E3967" w:rsidP="001708CE">
      <w:pPr>
        <w:spacing w:after="0" w:line="240" w:lineRule="auto"/>
        <w:rPr>
          <w:rFonts w:eastAsia="Times New Roman" w:cstheme="minorHAnsi"/>
        </w:rPr>
      </w:pPr>
    </w:p>
    <w:p w:rsidR="001708CE" w:rsidRPr="000F48A2" w:rsidP="001708CE">
      <w:pPr>
        <w:spacing w:after="0" w:line="240" w:lineRule="auto"/>
        <w:rPr>
          <w:rFonts w:eastAsia="Times New Roman" w:cstheme="minorHAnsi"/>
        </w:rPr>
      </w:pPr>
      <w:r w:rsidRPr="000F48A2">
        <w:rPr>
          <w:rFonts w:eastAsia="Times New Roman" w:cstheme="minorHAnsi"/>
        </w:rPr>
        <w:t xml:space="preserve">On 6th May 2022 we </w:t>
      </w:r>
      <w:r>
        <w:fldChar w:fldCharType="begin"/>
      </w:r>
      <w:r>
        <w:instrText xml:space="preserve"> HYPERLINK "https://consult.education.gov.uk/lifelong-loan-entitlement/lifelong-loan-entitlement-consultation/" </w:instrText>
      </w:r>
      <w:r>
        <w:fldChar w:fldCharType="separate"/>
      </w:r>
      <w:r w:rsidRPr="002E3967">
        <w:rPr>
          <w:rStyle w:val="Hyperlink"/>
          <w:rFonts w:eastAsia="Times New Roman" w:cstheme="minorHAnsi"/>
        </w:rPr>
        <w:t>concluded our consultation</w:t>
      </w:r>
      <w:r>
        <w:fldChar w:fldCharType="end"/>
      </w:r>
      <w:r w:rsidRPr="000F48A2">
        <w:rPr>
          <w:rFonts w:eastAsia="Times New Roman" w:cstheme="minorHAnsi"/>
        </w:rPr>
        <w:t xml:space="preserve"> on the Lifelong Loan Entitlement, as part of our planned pathway to delivery from 2025. This consultation and other ongoing sector engagement is a critical part of delivering a transformation of student finance. We are carefully considering the contributions and will publish our response in due course.</w:t>
      </w:r>
    </w:p>
    <w:p w:rsidR="001708CE" w:rsidRPr="007455A9" w:rsidP="001708CE">
      <w:pPr>
        <w:spacing w:after="90"/>
        <w:rPr>
          <w:rFonts w:cstheme="minorHAnsi"/>
        </w:rPr>
      </w:pPr>
    </w:p>
    <w:p w:rsidR="001708CE" w:rsidP="001708CE">
      <w:pPr>
        <w:spacing w:after="0" w:line="240" w:lineRule="auto"/>
        <w:rPr>
          <w:rFonts w:eastAsia="Times New Roman"/>
          <w:bCs/>
          <w:lang w:eastAsia="en-GB"/>
        </w:rPr>
      </w:pPr>
      <w:r>
        <w:rPr>
          <w:rFonts w:eastAsia="Times New Roman"/>
          <w:b/>
          <w:lang w:eastAsia="en-GB"/>
        </w:rPr>
        <w:t>Timing:</w:t>
      </w:r>
      <w:r w:rsidRPr="007455A9">
        <w:rPr>
          <w:rFonts w:eastAsia="Times New Roman"/>
          <w:bCs/>
          <w:lang w:eastAsia="en-GB"/>
        </w:rPr>
        <w:t xml:space="preserve"> </w:t>
      </w:r>
      <w:r>
        <w:rPr>
          <w:rFonts w:eastAsia="Times New Roman"/>
          <w:bCs/>
          <w:lang w:eastAsia="en-GB"/>
        </w:rPr>
        <w:t>LLE joined GMPP in the second quarter of 2022-23</w:t>
      </w:r>
      <w:r w:rsidRPr="00527C9D">
        <w:rPr>
          <w:rFonts w:eastAsia="Times New Roman" w:cstheme="minorHAnsi"/>
          <w:lang w:eastAsia="en-GB"/>
        </w:rPr>
        <w:t xml:space="preserve"> </w:t>
      </w:r>
      <w:r>
        <w:rPr>
          <w:rFonts w:eastAsia="Times New Roman" w:cstheme="minorHAnsi"/>
          <w:lang w:eastAsia="en-GB"/>
        </w:rPr>
        <w:t xml:space="preserve">and is </w:t>
      </w:r>
      <w:r>
        <w:t>expected to exit GMPP in 2024-25</w:t>
      </w:r>
      <w:r w:rsidR="00054026">
        <w:t>.</w:t>
      </w:r>
    </w:p>
    <w:p w:rsidR="001708CE" w:rsidP="001708CE">
      <w:pPr>
        <w:spacing w:after="0" w:line="240" w:lineRule="auto"/>
        <w:rPr>
          <w:rFonts w:eastAsia="Times New Roman"/>
          <w:lang w:eastAsia="en-GB"/>
        </w:rPr>
      </w:pPr>
    </w:p>
    <w:p w:rsidR="001708CE" w:rsidRPr="001018E5" w:rsidP="001708CE">
      <w:pPr>
        <w:pStyle w:val="Heading4"/>
        <w:spacing w:line="240" w:lineRule="auto"/>
        <w:rPr>
          <w:rFonts w:cstheme="minorHAnsi"/>
          <w:b/>
          <w:i w:val="0"/>
          <w:sz w:val="24"/>
          <w:szCs w:val="24"/>
        </w:rPr>
      </w:pPr>
      <w:r w:rsidRPr="001018E5">
        <w:rPr>
          <w:rFonts w:cstheme="minorHAnsi"/>
          <w:b/>
          <w:i w:val="0"/>
          <w:sz w:val="24"/>
          <w:szCs w:val="24"/>
        </w:rPr>
        <w:t>Higher Technical Qualifications (HTE) (Skills Group)</w:t>
      </w:r>
    </w:p>
    <w:p w:rsidR="001708CE" w:rsidRPr="001018E5" w:rsidP="001708CE">
      <w:pPr>
        <w:pStyle w:val="Heading4"/>
        <w:spacing w:line="240" w:lineRule="auto"/>
        <w:rPr>
          <w:rFonts w:ascii="Calibri" w:eastAsia="MS Mincho" w:hAnsi="Calibri" w:cs="Arial"/>
          <w:i w:val="0"/>
          <w:color w:val="auto"/>
        </w:rPr>
      </w:pPr>
      <w:r w:rsidRPr="001018E5">
        <w:rPr>
          <w:rFonts w:ascii="Calibri" w:eastAsia="MS Mincho" w:hAnsi="Calibri" w:cs="Arial"/>
          <w:b/>
          <w:i w:val="0"/>
          <w:color w:val="auto"/>
        </w:rPr>
        <w:t xml:space="preserve">Scope: </w:t>
      </w:r>
      <w:r w:rsidRPr="001018E5">
        <w:rPr>
          <w:rFonts w:ascii="Calibri" w:eastAsia="MS Mincho" w:hAnsi="Calibri" w:cs="Arial"/>
          <w:i w:val="0"/>
          <w:color w:val="auto"/>
        </w:rPr>
        <w:t>The Higher Technical Education reforms are underpinned by the 2016 Sainsbury Review into Technical Education with the aim to grow the provision and raise the uptake of high-quality Levels 4/5 courses, with Higher Technical Qualifications (HTQs) as flagship technical courses offering attractive, employer-focussed alternatives to traditional 3-year degrees.</w:t>
      </w:r>
    </w:p>
    <w:p w:rsidR="001708CE" w:rsidRPr="002E3967" w:rsidP="001708CE">
      <w:pPr>
        <w:spacing w:before="240" w:after="90"/>
        <w:ind w:right="890"/>
      </w:pPr>
      <w:r>
        <w:rPr>
          <w:b/>
          <w:bCs/>
        </w:rPr>
        <w:t>Timing:</w:t>
      </w:r>
      <w:r>
        <w:t xml:space="preserve"> HTE joined GMPP in the third quarter of 2022-23. </w:t>
      </w:r>
    </w:p>
    <w:p w:rsidR="002A5DB3" w:rsidRPr="0054409A" w:rsidP="002E723E">
      <w:pPr>
        <w:spacing w:after="90" w:line="240" w:lineRule="auto"/>
        <w:ind w:right="890"/>
        <w:rPr>
          <w:color w:val="FF0000"/>
        </w:rPr>
      </w:pPr>
    </w:p>
    <w:p w:rsidR="00F47C51" w:rsidRPr="006704BB" w:rsidP="00140606">
      <w:pPr>
        <w:pStyle w:val="Heading1"/>
      </w:pPr>
      <w:r w:rsidRPr="0041096A">
        <w:rPr>
          <w:rFonts w:asciiTheme="minorHAnsi" w:hAnsiTheme="minorHAnsi" w:cstheme="minorHAnsi"/>
        </w:rPr>
        <w:t>4.</w:t>
      </w:r>
      <w:r w:rsidRPr="0041096A">
        <w:rPr>
          <w:rFonts w:asciiTheme="minorHAnsi" w:hAnsiTheme="minorHAnsi" w:cstheme="minorHAnsi"/>
        </w:rPr>
        <w:tab/>
        <w:t xml:space="preserve">Other </w:t>
      </w:r>
      <w:r w:rsidRPr="00C63CFD">
        <w:rPr>
          <w:rFonts w:asciiTheme="minorHAnsi" w:hAnsiTheme="minorHAnsi" w:cstheme="minorHAnsi"/>
        </w:rPr>
        <w:t>information</w:t>
      </w:r>
      <w:r w:rsidRPr="00C63CFD" w:rsidR="005A4249">
        <w:rPr>
          <w:rFonts w:asciiTheme="minorHAnsi" w:hAnsiTheme="minorHAnsi" w:cstheme="minorHAnsi"/>
        </w:rPr>
        <w:t xml:space="preserve">   </w:t>
      </w:r>
    </w:p>
    <w:p w:rsidR="00F47C51" w:rsidP="00F47C51">
      <w:pPr>
        <w:pStyle w:val="Heading2"/>
        <w:rPr>
          <w:rFonts w:asciiTheme="minorHAnsi" w:hAnsiTheme="minorHAnsi" w:cstheme="minorHAnsi"/>
        </w:rPr>
      </w:pPr>
      <w:r w:rsidRPr="0041096A">
        <w:rPr>
          <w:rFonts w:asciiTheme="minorHAnsi" w:hAnsiTheme="minorHAnsi" w:cstheme="minorHAnsi"/>
        </w:rPr>
        <w:t xml:space="preserve">4.1 Additional specific information required by the Select </w:t>
      </w:r>
      <w:r w:rsidRPr="0041096A" w:rsidR="00340746">
        <w:rPr>
          <w:rFonts w:asciiTheme="minorHAnsi" w:hAnsiTheme="minorHAnsi" w:cstheme="minorHAnsi"/>
        </w:rPr>
        <w:t>Committee.</w:t>
      </w:r>
    </w:p>
    <w:p w:rsidR="00880AF3" w:rsidP="00880AF3">
      <w:pPr>
        <w:rPr>
          <w:highlight w:val="yellow"/>
        </w:rPr>
      </w:pPr>
    </w:p>
    <w:p w:rsidR="008B7454" w:rsidRPr="00930E06" w:rsidP="002C45C8">
      <w:pPr>
        <w:spacing w:before="120" w:after="120"/>
        <w:jc w:val="both"/>
        <w:rPr>
          <w:b/>
          <w:bCs/>
        </w:rPr>
      </w:pPr>
      <w:bookmarkStart w:id="16" w:name="_Hlk63278161"/>
      <w:bookmarkStart w:id="17" w:name="_Hlk61535078"/>
      <w:r>
        <w:rPr>
          <w:b/>
          <w:bCs/>
        </w:rPr>
        <w:t xml:space="preserve">Breakdown of Schools budgets and expected spending per pupil </w:t>
      </w:r>
    </w:p>
    <w:p w:rsidR="008B7454" w:rsidP="008B7454">
      <w:pPr>
        <w:spacing w:before="120" w:after="120"/>
        <w:jc w:val="both"/>
      </w:pPr>
      <w:r w:rsidRPr="00F02714">
        <w:t xml:space="preserve">The table below shows data </w:t>
      </w:r>
      <w:r>
        <w:t xml:space="preserve">published in January 2023 </w:t>
      </w:r>
      <w:r w:rsidRPr="00F02714">
        <w:t xml:space="preserve">on revenue funding </w:t>
      </w:r>
      <w:r>
        <w:t xml:space="preserve">to state-funded schools </w:t>
      </w:r>
      <w:r w:rsidRPr="00F02714">
        <w:t>for pupils aged 5-16 in England</w:t>
      </w:r>
      <w:r>
        <w:t xml:space="preserve"> by financial year</w:t>
      </w:r>
      <w:r w:rsidRPr="00F02714">
        <w:t>. The figures for 201</w:t>
      </w:r>
      <w:r w:rsidR="0059313A">
        <w:t>8</w:t>
      </w:r>
      <w:r w:rsidRPr="00F02714">
        <w:t>-</w:t>
      </w:r>
      <w:r w:rsidRPr="00F02714" w:rsidR="00B611F5">
        <w:t>1</w:t>
      </w:r>
      <w:r w:rsidR="00B611F5">
        <w:t>9</w:t>
      </w:r>
      <w:r w:rsidRPr="00F02714">
        <w:t xml:space="preserve"> to 202</w:t>
      </w:r>
      <w:r>
        <w:t>2-23</w:t>
      </w:r>
      <w:r w:rsidRPr="00F02714">
        <w:t xml:space="preserve"> are based on the latest funding allocations that have been issued to schools and local authorities. </w:t>
      </w:r>
      <w:r w:rsidRPr="000B1812">
        <w:t>The figures for 2023-24 are based on a combination of published funding allocations, the budget settlements agreed at the 2021 Spending Review and 2022 Autumn Statement, and some estimates of small grant and high needs spending.</w:t>
      </w:r>
      <w:r w:rsidRPr="00F02714">
        <w:t xml:space="preserve"> </w:t>
      </w:r>
    </w:p>
    <w:tbl>
      <w:tblPr>
        <w:tblW w:w="9346" w:type="dxa"/>
        <w:tblLayout w:type="fixed"/>
        <w:tblCellMar>
          <w:left w:w="0" w:type="dxa"/>
          <w:right w:w="0" w:type="dxa"/>
        </w:tblCellMar>
        <w:tblLook w:val="04A0"/>
      </w:tblPr>
      <w:tblGrid>
        <w:gridCol w:w="2542"/>
        <w:gridCol w:w="1134"/>
        <w:gridCol w:w="1134"/>
        <w:gridCol w:w="1134"/>
        <w:gridCol w:w="1134"/>
        <w:gridCol w:w="1134"/>
        <w:gridCol w:w="1134"/>
      </w:tblGrid>
      <w:tr>
        <w:tblPrEx>
          <w:tblW w:w="9346" w:type="dxa"/>
          <w:tblLayout w:type="fixed"/>
          <w:tblCellMar>
            <w:left w:w="0" w:type="dxa"/>
            <w:right w:w="0" w:type="dxa"/>
          </w:tblCellMar>
          <w:tblLook w:val="04A0"/>
        </w:tblPrEx>
        <w:trPr>
          <w:trHeight w:val="240"/>
          <w:tblHeader/>
        </w:trPr>
        <w:tc>
          <w:tcPr>
            <w:tcW w:w="9346" w:type="dxa"/>
            <w:gridSpan w:val="7"/>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8B7454" w:rsidRPr="008663EB">
            <w:pPr>
              <w:ind w:left="-57"/>
              <w:rPr>
                <w:rFonts w:cstheme="minorHAnsi"/>
                <w:b/>
                <w:bCs/>
                <w:color w:val="000000"/>
                <w:sz w:val="20"/>
                <w:szCs w:val="20"/>
                <w:lang w:eastAsia="en-GB"/>
              </w:rPr>
            </w:pPr>
            <w:r w:rsidRPr="008663EB">
              <w:rPr>
                <w:rFonts w:cstheme="minorHAnsi"/>
                <w:b/>
                <w:bCs/>
                <w:color w:val="000000"/>
                <w:sz w:val="20"/>
                <w:szCs w:val="20"/>
                <w:lang w:eastAsia="en-GB"/>
              </w:rPr>
              <w:t>Revenue funding to state-funded schools for pupils aged 5-16, in cash and real terms</w:t>
            </w:r>
            <w:r>
              <w:rPr>
                <w:rFonts w:cstheme="minorHAnsi"/>
                <w:b/>
                <w:bCs/>
                <w:color w:val="000000"/>
                <w:sz w:val="20"/>
                <w:szCs w:val="20"/>
                <w:lang w:eastAsia="en-GB"/>
              </w:rPr>
              <w:t>, by financial year</w:t>
            </w:r>
            <w:r w:rsidRPr="008663EB">
              <w:rPr>
                <w:rFonts w:cstheme="minorHAnsi"/>
                <w:b/>
                <w:bCs/>
                <w:color w:val="000000"/>
                <w:sz w:val="20"/>
                <w:szCs w:val="20"/>
                <w:lang w:eastAsia="en-GB"/>
              </w:rPr>
              <w:t xml:space="preserve"> (1)(2)</w:t>
            </w:r>
          </w:p>
        </w:tc>
      </w:tr>
      <w:tr>
        <w:tblPrEx>
          <w:tblW w:w="9346" w:type="dxa"/>
          <w:tblLayout w:type="fixed"/>
          <w:tblCellMar>
            <w:left w:w="0" w:type="dxa"/>
            <w:right w:w="0" w:type="dxa"/>
          </w:tblCellMar>
          <w:tblLook w:val="04A0"/>
        </w:tblPrEx>
        <w:trPr>
          <w:tblHeader/>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sidRPr="008B6A55">
            <w:pPr>
              <w:ind w:left="-57"/>
              <w:rPr>
                <w:color w:val="000000"/>
              </w:rPr>
            </w:pPr>
            <w:r w:rsidRPr="008B6A55">
              <w:rPr>
                <w:color w:val="000000"/>
              </w:rPr>
              <w:t>Description</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7454" w:rsidRPr="008B6A55">
            <w:pPr>
              <w:ind w:left="-57"/>
              <w:rPr>
                <w:b/>
                <w:bCs/>
              </w:rPr>
            </w:pPr>
            <w:r>
              <w:rPr>
                <w:b/>
                <w:bCs/>
                <w:color w:val="000000"/>
              </w:rPr>
              <w:t>2018-19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7454">
            <w:pPr>
              <w:rPr>
                <w:b/>
                <w:bCs/>
              </w:rPr>
            </w:pPr>
            <w:r>
              <w:rPr>
                <w:b/>
                <w:bCs/>
                <w:color w:val="000000"/>
              </w:rPr>
              <w:t>2019-20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7454">
            <w:pPr>
              <w:rPr>
                <w:b/>
                <w:bCs/>
              </w:rPr>
            </w:pPr>
            <w:r>
              <w:rPr>
                <w:b/>
                <w:bCs/>
              </w:rPr>
              <w:t>2020-21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7454">
            <w:pPr>
              <w:rPr>
                <w:b/>
                <w:bCs/>
              </w:rPr>
            </w:pPr>
            <w:r>
              <w:rPr>
                <w:b/>
                <w:bCs/>
              </w:rPr>
              <w:t xml:space="preserve">2021-22 </w:t>
            </w:r>
          </w:p>
        </w:tc>
        <w:tc>
          <w:tcPr>
            <w:tcW w:w="1134" w:type="dxa"/>
            <w:tcBorders>
              <w:top w:val="nil"/>
              <w:left w:val="nil"/>
              <w:bottom w:val="single" w:sz="8" w:space="0" w:color="auto"/>
              <w:right w:val="single" w:sz="8" w:space="0" w:color="auto"/>
            </w:tcBorders>
            <w:vAlign w:val="center"/>
          </w:tcPr>
          <w:p w:rsidR="008B7454">
            <w:pPr>
              <w:rPr>
                <w:b/>
                <w:bCs/>
              </w:rPr>
            </w:pPr>
            <w:r>
              <w:rPr>
                <w:b/>
                <w:bCs/>
              </w:rPr>
              <w:t>2022-23</w:t>
            </w:r>
          </w:p>
        </w:tc>
        <w:tc>
          <w:tcPr>
            <w:tcW w:w="1134" w:type="dxa"/>
            <w:tcBorders>
              <w:top w:val="nil"/>
              <w:left w:val="nil"/>
              <w:bottom w:val="single" w:sz="8" w:space="0" w:color="auto"/>
              <w:right w:val="single" w:sz="8" w:space="0" w:color="auto"/>
            </w:tcBorders>
            <w:vAlign w:val="center"/>
          </w:tcPr>
          <w:p w:rsidR="008B7454">
            <w:pPr>
              <w:rPr>
                <w:b/>
                <w:bCs/>
              </w:rPr>
            </w:pPr>
            <w:r>
              <w:rPr>
                <w:b/>
                <w:bCs/>
              </w:rPr>
              <w:t>2023-24 (3)</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pPr>
              <w:ind w:left="-57"/>
            </w:pPr>
            <w:r>
              <w:rPr>
                <w:color w:val="000000"/>
              </w:rPr>
              <w:t>School funding, cash</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pPr>
              <w:ind w:left="-57"/>
            </w:pPr>
            <w:r w:rsidRPr="00F73770">
              <w:t>£42,500m</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£44,400m</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£47,600m</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£49,600m</w:t>
            </w:r>
          </w:p>
        </w:tc>
        <w:tc>
          <w:tcPr>
            <w:tcW w:w="1134" w:type="dxa"/>
            <w:tcBorders>
              <w:top w:val="nil"/>
              <w:left w:val="nil"/>
              <w:bottom w:val="single" w:sz="8" w:space="0" w:color="auto"/>
              <w:right w:val="single" w:sz="8" w:space="0" w:color="auto"/>
            </w:tcBorders>
          </w:tcPr>
          <w:p w:rsidR="008B7454">
            <w:r w:rsidRPr="00F73770">
              <w:t>£53,500m</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£57,300m</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pPr>
              <w:ind w:left="-57"/>
            </w:pPr>
            <w:r>
              <w:rPr>
                <w:color w:val="000000"/>
              </w:rPr>
              <w:t>annual growth in funding</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pPr>
              <w:ind w:left="-57"/>
            </w:pPr>
            <w:r w:rsidRPr="00F73770">
              <w:t>3.9%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7.3%</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4.1%</w:t>
            </w:r>
          </w:p>
        </w:tc>
        <w:tc>
          <w:tcPr>
            <w:tcW w:w="1134" w:type="dxa"/>
            <w:tcBorders>
              <w:top w:val="nil"/>
              <w:left w:val="nil"/>
              <w:bottom w:val="single" w:sz="8" w:space="0" w:color="auto"/>
              <w:right w:val="single" w:sz="8" w:space="0" w:color="auto"/>
            </w:tcBorders>
          </w:tcPr>
          <w:p w:rsidR="008B7454">
            <w:r w:rsidRPr="00F73770">
              <w:t>8.0%</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7.0%</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B7454">
            <w:pPr>
              <w:ind w:left="-57"/>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pPr>
              <w:ind w:left="-57"/>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Pr>
          <w:p w:rsidR="008B7454"/>
        </w:tc>
        <w:tc>
          <w:tcPr>
            <w:tcW w:w="1134" w:type="dxa"/>
            <w:tcBorders>
              <w:top w:val="nil"/>
              <w:left w:val="nil"/>
              <w:bottom w:val="single" w:sz="8" w:space="0" w:color="auto"/>
              <w:right w:val="single" w:sz="8" w:space="0" w:color="auto"/>
            </w:tcBorders>
          </w:tcPr>
          <w:p w:rsidR="008B7454"/>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pPr>
              <w:ind w:left="-57"/>
            </w:pPr>
            <w:r>
              <w:rPr>
                <w:color w:val="000000"/>
              </w:rPr>
              <w:t>School funding, 2022-23 terms</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pPr>
              <w:ind w:left="-57"/>
            </w:pPr>
            <w:r w:rsidRPr="00F73770">
              <w:t>£48,200m</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£49,100m</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£49,600m</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£52,000m</w:t>
            </w:r>
          </w:p>
        </w:tc>
        <w:tc>
          <w:tcPr>
            <w:tcW w:w="1134" w:type="dxa"/>
            <w:tcBorders>
              <w:top w:val="nil"/>
              <w:left w:val="nil"/>
              <w:bottom w:val="single" w:sz="8" w:space="0" w:color="auto"/>
              <w:right w:val="single" w:sz="8" w:space="0" w:color="auto"/>
            </w:tcBorders>
          </w:tcPr>
          <w:p w:rsidR="008B7454">
            <w:r w:rsidRPr="00F73770">
              <w:t>£53,500m</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£55,500m</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annual growth in funding</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2.1%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1.9%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1.0%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4.8%</w:t>
            </w:r>
          </w:p>
        </w:tc>
        <w:tc>
          <w:tcPr>
            <w:tcW w:w="1134" w:type="dxa"/>
            <w:tcBorders>
              <w:top w:val="nil"/>
              <w:left w:val="nil"/>
              <w:bottom w:val="single" w:sz="8" w:space="0" w:color="auto"/>
              <w:right w:val="single" w:sz="8" w:space="0" w:color="auto"/>
            </w:tcBorders>
          </w:tcPr>
          <w:p w:rsidR="008B7454">
            <w:r w:rsidRPr="00F73770">
              <w:t>3.0%</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3.6%</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cumulative growth since 2010-11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6.7%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8.7%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9.8%</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15.1%</w:t>
            </w:r>
          </w:p>
        </w:tc>
        <w:tc>
          <w:tcPr>
            <w:tcW w:w="1134" w:type="dxa"/>
            <w:tcBorders>
              <w:top w:val="nil"/>
              <w:left w:val="nil"/>
              <w:bottom w:val="single" w:sz="8" w:space="0" w:color="auto"/>
              <w:right w:val="single" w:sz="8" w:space="0" w:color="auto"/>
            </w:tcBorders>
          </w:tcPr>
          <w:p w:rsidR="008B7454">
            <w:r w:rsidRPr="00F73770">
              <w:t>18.5%</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22.8%</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cumulative growth since 2015-16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1.5%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3.5%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9.5%</w:t>
            </w:r>
          </w:p>
        </w:tc>
        <w:tc>
          <w:tcPr>
            <w:tcW w:w="1134" w:type="dxa"/>
            <w:tcBorders>
              <w:top w:val="nil"/>
              <w:left w:val="nil"/>
              <w:bottom w:val="single" w:sz="8" w:space="0" w:color="auto"/>
              <w:right w:val="single" w:sz="8" w:space="0" w:color="auto"/>
            </w:tcBorders>
          </w:tcPr>
          <w:p w:rsidR="008B7454">
            <w:r w:rsidRPr="00F73770">
              <w:t>12.8%</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16.9%</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Pr>
          <w:p w:rsidR="008B7454"/>
        </w:tc>
        <w:tc>
          <w:tcPr>
            <w:tcW w:w="1134" w:type="dxa"/>
            <w:tcBorders>
              <w:top w:val="nil"/>
              <w:left w:val="nil"/>
              <w:bottom w:val="single" w:sz="8" w:space="0" w:color="auto"/>
              <w:right w:val="single" w:sz="8" w:space="0" w:color="auto"/>
            </w:tcBorders>
          </w:tcPr>
          <w:p w:rsidR="008B7454"/>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Per pupil funding, cash</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£5,730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£5,920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£6,280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£6,510</w:t>
            </w:r>
          </w:p>
        </w:tc>
        <w:tc>
          <w:tcPr>
            <w:tcW w:w="1134" w:type="dxa"/>
            <w:tcBorders>
              <w:top w:val="nil"/>
              <w:left w:val="nil"/>
              <w:bottom w:val="single" w:sz="8" w:space="0" w:color="auto"/>
              <w:right w:val="single" w:sz="8" w:space="0" w:color="auto"/>
            </w:tcBorders>
          </w:tcPr>
          <w:p w:rsidR="008B7454">
            <w:r w:rsidRPr="00F73770">
              <w:t>£6,980</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£7,460</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annual growth in funding</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2.5%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3.2%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6.2%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3.6%</w:t>
            </w:r>
          </w:p>
        </w:tc>
        <w:tc>
          <w:tcPr>
            <w:tcW w:w="1134" w:type="dxa"/>
            <w:tcBorders>
              <w:top w:val="nil"/>
              <w:left w:val="nil"/>
              <w:bottom w:val="single" w:sz="8" w:space="0" w:color="auto"/>
              <w:right w:val="single" w:sz="8" w:space="0" w:color="auto"/>
            </w:tcBorders>
          </w:tcPr>
          <w:p w:rsidR="008B7454">
            <w:r w:rsidRPr="00F73770">
              <w:t>7.1%</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6.9%</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B7454">
            <w:pPr>
              <w:rPr>
                <w:color w:val="00000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pPr>
              <w:rPr>
                <w:rFonts w:ascii="Arial" w:hAnsi="Arial" w:cs="Arial"/>
                <w:color w:val="000000"/>
                <w:sz w:val="16"/>
                <w:szCs w:val="16"/>
                <w:lang w:eastAsia="en-GB"/>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pPr>
              <w:rPr>
                <w:rFonts w:ascii="Arial" w:hAnsi="Arial" w:cs="Arial"/>
                <w:color w:val="000000"/>
                <w:sz w:val="16"/>
                <w:szCs w:val="16"/>
                <w:lang w:eastAsia="en-GB"/>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pPr>
              <w:rPr>
                <w:rFonts w:ascii="Arial" w:hAnsi="Arial" w:cs="Arial"/>
                <w:color w:val="000000"/>
                <w:sz w:val="16"/>
                <w:szCs w:val="16"/>
                <w:lang w:eastAsia="en-GB"/>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pPr>
              <w:rPr>
                <w:rFonts w:ascii="Arial" w:hAnsi="Arial" w:cs="Arial"/>
                <w:color w:val="000000"/>
                <w:sz w:val="16"/>
                <w:szCs w:val="16"/>
                <w:lang w:eastAsia="en-GB"/>
              </w:rPr>
            </w:pPr>
          </w:p>
        </w:tc>
        <w:tc>
          <w:tcPr>
            <w:tcW w:w="1134" w:type="dxa"/>
            <w:tcBorders>
              <w:top w:val="nil"/>
              <w:left w:val="nil"/>
              <w:bottom w:val="single" w:sz="8" w:space="0" w:color="auto"/>
              <w:right w:val="single" w:sz="8" w:space="0" w:color="auto"/>
            </w:tcBorders>
          </w:tcPr>
          <w:p w:rsidR="008B7454"/>
        </w:tc>
        <w:tc>
          <w:tcPr>
            <w:tcW w:w="1134" w:type="dxa"/>
            <w:tcBorders>
              <w:top w:val="nil"/>
              <w:left w:val="nil"/>
              <w:bottom w:val="single" w:sz="8" w:space="0" w:color="auto"/>
              <w:right w:val="single" w:sz="8" w:space="0" w:color="auto"/>
            </w:tcBorders>
          </w:tcPr>
          <w:p w:rsidR="008B7454"/>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Per pupil funding, 2022-23 terms</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£6,510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£6,550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£6,540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£6,830</w:t>
            </w:r>
          </w:p>
        </w:tc>
        <w:tc>
          <w:tcPr>
            <w:tcW w:w="1134" w:type="dxa"/>
            <w:tcBorders>
              <w:top w:val="nil"/>
              <w:left w:val="nil"/>
              <w:bottom w:val="single" w:sz="8" w:space="0" w:color="auto"/>
              <w:right w:val="single" w:sz="8" w:space="0" w:color="auto"/>
            </w:tcBorders>
          </w:tcPr>
          <w:p w:rsidR="008B7454">
            <w:r w:rsidRPr="00F73770">
              <w:t>£6,980</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£7,220</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annual growth in funding</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0.7%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0.6%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-0.1%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4.4%</w:t>
            </w:r>
          </w:p>
        </w:tc>
        <w:tc>
          <w:tcPr>
            <w:tcW w:w="1134" w:type="dxa"/>
            <w:tcBorders>
              <w:top w:val="nil"/>
              <w:left w:val="nil"/>
              <w:bottom w:val="single" w:sz="8" w:space="0" w:color="auto"/>
              <w:right w:val="single" w:sz="8" w:space="0" w:color="auto"/>
            </w:tcBorders>
          </w:tcPr>
          <w:p w:rsidR="008B7454">
            <w:r w:rsidRPr="00F73770">
              <w:t>2.2%</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3.5%</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cumulative growth since 2010-11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-2.6%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-2.0%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-2.1%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2.2%</w:t>
            </w:r>
          </w:p>
        </w:tc>
        <w:tc>
          <w:tcPr>
            <w:tcW w:w="1134" w:type="dxa"/>
            <w:tcBorders>
              <w:top w:val="nil"/>
              <w:left w:val="nil"/>
              <w:bottom w:val="single" w:sz="8" w:space="0" w:color="auto"/>
              <w:right w:val="single" w:sz="8" w:space="0" w:color="auto"/>
            </w:tcBorders>
          </w:tcPr>
          <w:p w:rsidR="008B7454">
            <w:r w:rsidRPr="00F73770">
              <w:t>4.4%</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8.1%</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cumulative growth since 2015-16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-3.1%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-2.5%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-2.6%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1.6%</w:t>
            </w:r>
          </w:p>
        </w:tc>
        <w:tc>
          <w:tcPr>
            <w:tcW w:w="1134" w:type="dxa"/>
            <w:tcBorders>
              <w:top w:val="nil"/>
              <w:left w:val="nil"/>
              <w:bottom w:val="single" w:sz="8" w:space="0" w:color="auto"/>
              <w:right w:val="single" w:sz="8" w:space="0" w:color="auto"/>
            </w:tcBorders>
          </w:tcPr>
          <w:p w:rsidR="008B7454">
            <w:r w:rsidRPr="00F73770">
              <w:t>3.8%</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7.5%</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tc>
        <w:tc>
          <w:tcPr>
            <w:tcW w:w="1134" w:type="dxa"/>
            <w:tcBorders>
              <w:top w:val="nil"/>
              <w:left w:val="nil"/>
              <w:bottom w:val="single" w:sz="8" w:space="0" w:color="auto"/>
              <w:right w:val="single" w:sz="8" w:space="0" w:color="auto"/>
            </w:tcBorders>
          </w:tcPr>
          <w:p w:rsidR="008B7454"/>
        </w:tc>
        <w:tc>
          <w:tcPr>
            <w:tcW w:w="1134" w:type="dxa"/>
            <w:tcBorders>
              <w:top w:val="nil"/>
              <w:left w:val="nil"/>
              <w:bottom w:val="single" w:sz="8" w:space="0" w:color="auto"/>
              <w:right w:val="single" w:sz="8" w:space="0" w:color="auto"/>
            </w:tcBorders>
          </w:tcPr>
          <w:p w:rsidR="008B7454"/>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Pupil number, FTE (4)</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7,404,000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7,502,000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7,581,000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7,613,000</w:t>
            </w:r>
          </w:p>
        </w:tc>
        <w:tc>
          <w:tcPr>
            <w:tcW w:w="1134" w:type="dxa"/>
            <w:tcBorders>
              <w:top w:val="nil"/>
              <w:left w:val="nil"/>
              <w:bottom w:val="single" w:sz="8" w:space="0" w:color="auto"/>
              <w:right w:val="single" w:sz="8" w:space="0" w:color="auto"/>
            </w:tcBorders>
          </w:tcPr>
          <w:p w:rsidR="008B7454">
            <w:r w:rsidRPr="00F73770">
              <w:t>7,673,000</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7,680,000</w:t>
            </w:r>
          </w:p>
        </w:tc>
      </w:tr>
      <w:tr>
        <w:tblPrEx>
          <w:tblW w:w="9346" w:type="dxa"/>
          <w:tblLayout w:type="fixed"/>
          <w:tblCellMar>
            <w:left w:w="0" w:type="dxa"/>
            <w:right w:w="0" w:type="dxa"/>
          </w:tblCellMar>
          <w:tblLook w:val="04A0"/>
        </w:tblPrEx>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7454">
            <w:r>
              <w:rPr>
                <w:color w:val="000000"/>
              </w:rPr>
              <w:t>GDP deflator index (5)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88.1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90.4</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96.1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8B7454">
            <w:r w:rsidRPr="00F73770">
              <w:t>95.4</w:t>
            </w:r>
          </w:p>
        </w:tc>
        <w:tc>
          <w:tcPr>
            <w:tcW w:w="1134" w:type="dxa"/>
            <w:tcBorders>
              <w:top w:val="nil"/>
              <w:left w:val="nil"/>
              <w:bottom w:val="single" w:sz="8" w:space="0" w:color="auto"/>
              <w:right w:val="single" w:sz="8" w:space="0" w:color="auto"/>
            </w:tcBorders>
          </w:tcPr>
          <w:p w:rsidR="008B7454">
            <w:r w:rsidRPr="00F73770">
              <w:t>100.0</w:t>
            </w:r>
          </w:p>
        </w:tc>
        <w:tc>
          <w:tcPr>
            <w:tcW w:w="1134" w:type="dxa"/>
            <w:tcBorders>
              <w:top w:val="nil"/>
              <w:left w:val="nil"/>
              <w:bottom w:val="single" w:sz="8" w:space="0" w:color="auto"/>
              <w:right w:val="single" w:sz="8" w:space="0" w:color="auto"/>
            </w:tcBorders>
          </w:tcPr>
          <w:p w:rsidR="008B7454">
            <w:pPr>
              <w:rPr>
                <w:rFonts w:ascii="Arial" w:hAnsi="Arial" w:cs="Arial"/>
                <w:color w:val="000000"/>
                <w:sz w:val="16"/>
                <w:szCs w:val="16"/>
                <w:lang w:eastAsia="en-GB"/>
              </w:rPr>
            </w:pPr>
            <w:r w:rsidRPr="00F73770">
              <w:t>103.2</w:t>
            </w:r>
          </w:p>
        </w:tc>
      </w:tr>
    </w:tbl>
    <w:p w:rsidR="008B7454" w:rsidP="008B7454"/>
    <w:p w:rsidR="008B7454" w:rsidP="008B7454">
      <w:pPr>
        <w:rPr>
          <w:rFonts w:ascii="Calibri" w:hAnsi="Calibri" w:eastAsiaTheme="minorHAnsi" w:cs="Calibri"/>
        </w:rPr>
      </w:pPr>
      <w:r>
        <w:fldChar w:fldCharType="begin"/>
      </w:r>
      <w:r>
        <w:instrText xml:space="preserve"> HYPERLINK "https://explore-education-statistics.service.gov.uk/find-statistics/school-funding-statistics" </w:instrText>
      </w:r>
      <w:r>
        <w:fldChar w:fldCharType="separate"/>
      </w:r>
      <w:r w:rsidRPr="000A6D87">
        <w:rPr>
          <w:rStyle w:val="Hyperlink"/>
          <w:rFonts w:ascii="Calibri" w:hAnsi="Calibri" w:eastAsiaTheme="minorHAnsi" w:cs="Calibri"/>
        </w:rPr>
        <w:t>https://explore-education-statistics.service.gov.uk/find-statistics/school-funding-statistics</w:t>
      </w:r>
      <w:r>
        <w:fldChar w:fldCharType="end"/>
      </w:r>
    </w:p>
    <w:p w:rsidR="008B7454" w:rsidP="008B7454">
      <w:pPr>
        <w:spacing w:after="0"/>
      </w:pPr>
      <w:r>
        <w:t xml:space="preserve">1. </w:t>
      </w:r>
      <w:r w:rsidRPr="00501E09">
        <w:t>Funding covers the following grants: dedicated schools grant (excluding early years and post-16 high-needs funding); grants outside the DSG to the City of London, Isles of Scilly and City Technology Colleges; pre-16 high-needs funding in non-maintained special schools, special and alternative provision free schools; pupil premium (all pupil ages); schools supplementary grant (reception to year 11); mainstream schools additional grant; supplementary free school meals grant; teachers' pay grant (reception to year 11); teachers' pension employer contribution grant (TPECG) (reception to year 11).</w:t>
      </w:r>
    </w:p>
    <w:p w:rsidR="008B7454" w:rsidP="008B7454">
      <w:pPr>
        <w:spacing w:after="0"/>
      </w:pPr>
      <w:r>
        <w:t>2. State-funded providers, including mainstream primary and secondary schools, special schools, alternative provision, pupil referral units and non-maintained special schools.</w:t>
      </w:r>
    </w:p>
    <w:p w:rsidR="008B7454" w:rsidP="008B7454">
      <w:pPr>
        <w:spacing w:after="0"/>
      </w:pPr>
      <w:r>
        <w:t>3. Funding in 2023-24 is based on a combination of published funding allocations, and the budget settlement agreed at the 2021 Spending Review, and some estimates of small-grant and high needs spending.</w:t>
      </w:r>
    </w:p>
    <w:p w:rsidR="008B7454" w:rsidP="008B7454">
      <w:pPr>
        <w:spacing w:after="0"/>
      </w:pPr>
      <w:r>
        <w:t xml:space="preserve">4. Pupil number counts are taken from the January preceding each financial year. </w:t>
      </w:r>
    </w:p>
    <w:p w:rsidR="008B7454" w:rsidP="008B7454">
      <w:pPr>
        <w:spacing w:after="0"/>
      </w:pPr>
      <w:r>
        <w:t>5. Published in January 2023 by HM Treasury.</w:t>
      </w:r>
    </w:p>
    <w:p w:rsidR="008B7454" w:rsidP="008B7454"/>
    <w:p w:rsidR="008B7454" w:rsidP="008B7454">
      <w:r>
        <w:t xml:space="preserve">To calculate inflation-adjusted school funding figures in </w:t>
      </w:r>
      <w:r w:rsidR="00360D70">
        <w:t xml:space="preserve">the table </w:t>
      </w:r>
      <w:r>
        <w:t>we use the GDP deflator, for which the most recent figures were published in January 2023 by HM Treasury.</w:t>
      </w:r>
    </w:p>
    <w:p w:rsidR="008B7454" w:rsidP="008B7454">
      <w:r>
        <w:t>The GDP deflator is the broadest measure of inflation in the domestic economy. It is commonly used to indicate price changes in public sector expenditure and is the most suitable for this national-level time series. Price inflation experienced by individual schools may be different.</w:t>
      </w:r>
    </w:p>
    <w:p w:rsidR="008B7454" w:rsidRPr="00930E06" w:rsidP="00930E06">
      <w:pPr>
        <w:rPr>
          <w:rFonts w:ascii="Calibri" w:hAnsi="Calibri" w:eastAsiaTheme="minorHAnsi" w:cs="Calibri"/>
        </w:rPr>
      </w:pPr>
      <w:r>
        <w:t>The series displays atypical year-on-year movement in the data for years 2020-21 and 2021-22, which has arisen as a result of the impact of the COVID-19 pandemic. The deflator series indicates like-for-like price increases of about 5.5% over the two year period overall, equivalent to increases of 2.7% in each year.</w:t>
      </w:r>
    </w:p>
    <w:tbl>
      <w:tblPr>
        <w:tblW w:w="9026" w:type="dxa"/>
        <w:tblCellMar>
          <w:left w:w="0" w:type="dxa"/>
          <w:right w:w="0" w:type="dxa"/>
        </w:tblCellMar>
        <w:tblLook w:val="04A0"/>
      </w:tblPr>
      <w:tblGrid>
        <w:gridCol w:w="9026"/>
      </w:tblGrid>
      <w:tr w:rsidTr="00944EED">
        <w:tblPrEx>
          <w:tblW w:w="9026" w:type="dxa"/>
          <w:tblCellMar>
            <w:left w:w="0" w:type="dxa"/>
            <w:right w:w="0" w:type="dxa"/>
          </w:tblCellMar>
          <w:tblLook w:val="04A0"/>
        </w:tblPrEx>
        <w:trPr>
          <w:trHeight w:val="225"/>
        </w:trPr>
        <w:tc>
          <w:tcPr>
            <w:tcW w:w="9026" w:type="dxa"/>
            <w:noWrap/>
            <w:tcMar>
              <w:top w:w="0" w:type="dxa"/>
              <w:left w:w="108" w:type="dxa"/>
              <w:bottom w:w="0" w:type="dxa"/>
              <w:right w:w="108" w:type="dxa"/>
            </w:tcMar>
            <w:hideMark/>
          </w:tcPr>
          <w:p w:rsidR="002A5DB3" w:rsidP="007E567E">
            <w:pPr>
              <w:autoSpaceDE w:val="0"/>
              <w:autoSpaceDN w:val="0"/>
              <w:adjustRightInd w:val="0"/>
              <w:spacing w:after="0" w:line="240" w:lineRule="auto"/>
              <w:rPr>
                <w:rFonts w:eastAsiaTheme="majorEastAsia" w:cstheme="minorHAnsi"/>
                <w:color w:val="2F5496" w:themeColor="accent1" w:themeShade="BF"/>
                <w:sz w:val="28"/>
                <w:szCs w:val="28"/>
              </w:rPr>
            </w:pPr>
          </w:p>
          <w:p w:rsidR="007E567E" w:rsidRPr="006E5738" w:rsidP="007E567E">
            <w:pPr>
              <w:autoSpaceDE w:val="0"/>
              <w:autoSpaceDN w:val="0"/>
              <w:adjustRightInd w:val="0"/>
              <w:spacing w:after="0" w:line="240" w:lineRule="auto"/>
              <w:rPr>
                <w:rFonts w:eastAsiaTheme="majorEastAsia" w:cstheme="minorHAnsi"/>
                <w:color w:val="2F5496" w:themeColor="accent1" w:themeShade="BF"/>
                <w:sz w:val="28"/>
                <w:szCs w:val="28"/>
              </w:rPr>
            </w:pPr>
            <w:r w:rsidRPr="006E5738">
              <w:rPr>
                <w:rFonts w:eastAsiaTheme="majorEastAsia" w:cstheme="minorHAnsi"/>
                <w:color w:val="2F5496" w:themeColor="accent1" w:themeShade="BF"/>
                <w:sz w:val="28"/>
                <w:szCs w:val="28"/>
              </w:rPr>
              <w:t xml:space="preserve">5. Accounting Officer Approval </w:t>
            </w:r>
          </w:p>
          <w:p w:rsidR="007E567E" w:rsidP="007E567E">
            <w:pPr>
              <w:autoSpaceDE w:val="0"/>
              <w:autoSpaceDN w:val="0"/>
              <w:adjustRightInd w:val="0"/>
              <w:spacing w:after="0" w:line="240" w:lineRule="auto"/>
              <w:rPr>
                <w:rFonts w:ascii="Calibri" w:hAnsi="Calibri" w:cs="Calibri"/>
                <w:color w:val="000000"/>
              </w:rPr>
            </w:pPr>
          </w:p>
          <w:p w:rsidR="007E567E" w:rsidP="007E567E">
            <w:pPr>
              <w:autoSpaceDE w:val="0"/>
              <w:autoSpaceDN w:val="0"/>
              <w:adjustRightInd w:val="0"/>
              <w:spacing w:after="0" w:line="240" w:lineRule="auto"/>
              <w:rPr>
                <w:rFonts w:ascii="Calibri" w:hAnsi="Calibri" w:cs="Calibri"/>
                <w:color w:val="000000"/>
              </w:rPr>
            </w:pPr>
            <w:r w:rsidRPr="006E5738">
              <w:rPr>
                <w:rFonts w:ascii="Calibri" w:hAnsi="Calibri" w:cs="Calibri"/>
                <w:color w:val="000000"/>
              </w:rPr>
              <w:t xml:space="preserve">This memorandum has been prepared according to the requirements and guidance set out by the House of Commons Scrutiny Unit, available on the Scrutiny Unit website. </w:t>
            </w:r>
          </w:p>
          <w:p w:rsidR="007E567E" w:rsidRPr="006E5738" w:rsidP="007E567E">
            <w:pPr>
              <w:autoSpaceDE w:val="0"/>
              <w:autoSpaceDN w:val="0"/>
              <w:adjustRightInd w:val="0"/>
              <w:spacing w:after="0" w:line="240" w:lineRule="auto"/>
              <w:rPr>
                <w:rFonts w:ascii="Calibri" w:hAnsi="Calibri" w:cs="Calibri"/>
                <w:color w:val="000000"/>
              </w:rPr>
            </w:pPr>
          </w:p>
          <w:p w:rsidR="007E567E" w:rsidP="007E567E">
            <w:pPr>
              <w:pStyle w:val="paragraph"/>
              <w:textAlignment w:val="baseline"/>
              <w:rPr>
                <w:rFonts w:ascii="Calibri" w:hAnsi="Calibri" w:eastAsiaTheme="minorEastAsia" w:cs="Calibri"/>
                <w:color w:val="000000"/>
                <w:sz w:val="22"/>
                <w:szCs w:val="22"/>
                <w:lang w:eastAsia="en-US"/>
              </w:rPr>
            </w:pPr>
            <w:r w:rsidRPr="006E5738">
              <w:rPr>
                <w:rFonts w:ascii="Calibri" w:hAnsi="Calibri" w:eastAsiaTheme="minorEastAsia" w:cs="Calibri"/>
                <w:color w:val="000000"/>
                <w:sz w:val="22"/>
                <w:szCs w:val="22"/>
                <w:lang w:eastAsia="en-US"/>
              </w:rPr>
              <w:t>The information in this Estimates Memorandum has been approved by me as Departmental Accounting Officer.</w:t>
            </w:r>
          </w:p>
          <w:p w:rsidR="007E567E" w:rsidP="007E567E">
            <w:pPr>
              <w:pStyle w:val="paragraph"/>
              <w:textAlignment w:val="baseline"/>
              <w:rPr>
                <w:rFonts w:ascii="Calibri" w:hAnsi="Calibri" w:eastAsiaTheme="minorEastAsia" w:cs="Calibri"/>
                <w:color w:val="000000"/>
                <w:sz w:val="22"/>
                <w:szCs w:val="22"/>
                <w:lang w:eastAsia="en-US"/>
              </w:rPr>
            </w:pPr>
          </w:p>
          <w:p w:rsidR="007E567E" w:rsidP="007E567E">
            <w:pPr>
              <w:pStyle w:val="paragraph"/>
              <w:textAlignment w:val="baseline"/>
              <w:rPr>
                <w:rFonts w:ascii="Calibri" w:hAnsi="Calibri" w:eastAsiaTheme="minorEastAsia" w:cs="Calibri"/>
                <w:color w:val="000000"/>
                <w:sz w:val="22"/>
                <w:szCs w:val="22"/>
                <w:lang w:eastAsia="en-US"/>
              </w:rPr>
            </w:pPr>
            <w:r>
              <w:rPr>
                <w:rFonts w:ascii="Calibri" w:hAnsi="Calibri" w:eastAsiaTheme="minorEastAsia" w:cs="Calibri"/>
                <w:color w:val="000000"/>
                <w:sz w:val="22"/>
                <w:szCs w:val="22"/>
                <w:lang w:eastAsia="en-US"/>
              </w:rPr>
              <w:t xml:space="preserve">Susan Acland-Hood </w:t>
            </w:r>
          </w:p>
          <w:p w:rsidR="007E567E" w:rsidRPr="006E5738" w:rsidP="007E567E">
            <w:pPr>
              <w:pStyle w:val="paragraph"/>
              <w:textAlignment w:val="baseline"/>
              <w:rPr>
                <w:rFonts w:ascii="Calibri" w:hAnsi="Calibri" w:eastAsiaTheme="minorEastAsia" w:cs="Calibri"/>
                <w:color w:val="000000"/>
                <w:sz w:val="22"/>
                <w:szCs w:val="22"/>
                <w:lang w:eastAsia="en-US"/>
              </w:rPr>
            </w:pPr>
            <w:r w:rsidRPr="006E5738">
              <w:rPr>
                <w:rFonts w:ascii="Calibri" w:hAnsi="Calibri" w:eastAsiaTheme="minorEastAsia" w:cs="Calibri"/>
                <w:color w:val="000000"/>
                <w:sz w:val="22"/>
                <w:szCs w:val="22"/>
                <w:lang w:eastAsia="en-US"/>
              </w:rPr>
              <w:t>Accounting Officer</w:t>
            </w:r>
          </w:p>
          <w:p w:rsidR="007E567E" w:rsidRPr="006E5738" w:rsidP="007E567E">
            <w:pPr>
              <w:pStyle w:val="paragraph"/>
              <w:textAlignment w:val="baseline"/>
              <w:rPr>
                <w:rFonts w:ascii="Calibri" w:hAnsi="Calibri" w:eastAsiaTheme="minorEastAsia" w:cs="Calibri"/>
                <w:color w:val="000000"/>
                <w:sz w:val="22"/>
                <w:szCs w:val="22"/>
                <w:lang w:eastAsia="en-US"/>
              </w:rPr>
            </w:pPr>
            <w:r w:rsidRPr="006E5738">
              <w:rPr>
                <w:rFonts w:ascii="Calibri" w:hAnsi="Calibri" w:eastAsiaTheme="minorEastAsia" w:cs="Calibri"/>
                <w:color w:val="000000"/>
                <w:sz w:val="22"/>
                <w:szCs w:val="22"/>
                <w:lang w:eastAsia="en-US"/>
              </w:rPr>
              <w:t>Permanent Secretary</w:t>
            </w:r>
          </w:p>
          <w:p w:rsidR="007E567E" w:rsidP="007E567E">
            <w:pPr>
              <w:pStyle w:val="paragraph"/>
              <w:textAlignment w:val="baseline"/>
              <w:rPr>
                <w:rFonts w:ascii="Calibri" w:hAnsi="Calibri" w:eastAsiaTheme="minorEastAsia" w:cs="Calibri"/>
                <w:color w:val="000000"/>
                <w:sz w:val="22"/>
                <w:szCs w:val="22"/>
                <w:lang w:eastAsia="en-US"/>
              </w:rPr>
            </w:pPr>
            <w:r w:rsidRPr="006E5738">
              <w:rPr>
                <w:rFonts w:ascii="Calibri" w:hAnsi="Calibri" w:eastAsiaTheme="minorEastAsia" w:cs="Calibri"/>
                <w:color w:val="000000"/>
                <w:sz w:val="22"/>
                <w:szCs w:val="22"/>
                <w:lang w:eastAsia="en-US"/>
              </w:rPr>
              <w:t xml:space="preserve">Department </w:t>
            </w:r>
            <w:r>
              <w:rPr>
                <w:rFonts w:ascii="Calibri" w:hAnsi="Calibri" w:eastAsiaTheme="minorEastAsia" w:cs="Calibri"/>
                <w:color w:val="000000"/>
                <w:sz w:val="22"/>
                <w:szCs w:val="22"/>
                <w:lang w:eastAsia="en-US"/>
              </w:rPr>
              <w:t>for Education</w:t>
            </w:r>
          </w:p>
          <w:p w:rsidR="007E567E" w:rsidP="007E567E">
            <w:pPr>
              <w:pStyle w:val="paragraph"/>
              <w:textAlignment w:val="baseline"/>
              <w:rPr>
                <w:rFonts w:ascii="Calibri" w:hAnsi="Calibri" w:eastAsiaTheme="minorEastAsia" w:cs="Calibri"/>
                <w:color w:val="000000"/>
                <w:sz w:val="22"/>
                <w:szCs w:val="22"/>
                <w:lang w:eastAsia="en-US"/>
              </w:rPr>
            </w:pPr>
          </w:p>
          <w:p w:rsidR="005A4249" w:rsidRPr="00C61893" w:rsidP="00D01EDB">
            <w:pPr>
              <w:pStyle w:val="paragraph"/>
              <w:textAlignment w:val="baseline"/>
              <w:rPr>
                <w:color w:val="000000"/>
              </w:rPr>
            </w:pPr>
            <w:r w:rsidRPr="00D01EDB">
              <w:rPr>
                <w:rFonts w:ascii="Calibri" w:hAnsi="Calibri" w:eastAsiaTheme="minorEastAsia" w:cs="Calibri"/>
                <w:color w:val="000000"/>
                <w:sz w:val="22"/>
                <w:szCs w:val="22"/>
                <w:lang w:eastAsia="en-US"/>
              </w:rPr>
              <w:t xml:space="preserve">Date:  </w:t>
            </w:r>
            <w:r w:rsidRPr="00D01EDB" w:rsidR="00D01EDB">
              <w:rPr>
                <w:rFonts w:ascii="Calibri" w:hAnsi="Calibri" w:eastAsiaTheme="minorEastAsia" w:cs="Calibri"/>
                <w:color w:val="000000"/>
                <w:sz w:val="22"/>
                <w:szCs w:val="22"/>
                <w:lang w:eastAsia="en-US"/>
              </w:rPr>
              <w:t>17 May 2023</w:t>
            </w:r>
          </w:p>
        </w:tc>
      </w:tr>
    </w:tbl>
    <w:p w:rsidR="001431DA" w:rsidRPr="00E14FA9" w:rsidP="00F47C51">
      <w:pPr>
        <w:pStyle w:val="paragraph"/>
        <w:textAlignment w:val="baseline"/>
        <w:rPr>
          <w:rFonts w:asciiTheme="minorHAnsi" w:hAnsiTheme="minorHAnsi" w:cstheme="minorHAnsi"/>
          <w:sz w:val="22"/>
          <w:szCs w:val="22"/>
        </w:rPr>
        <w:sectPr w:rsidSect="00335656">
          <w:footerReference w:type="default" r:id="rId11"/>
          <w:pgSz w:w="11906" w:h="16838"/>
          <w:pgMar w:top="851" w:right="1440" w:bottom="1440" w:left="1440" w:header="708" w:footer="708" w:gutter="0"/>
          <w:cols w:space="708"/>
          <w:docGrid w:linePitch="360"/>
        </w:sectPr>
      </w:pPr>
      <w:bookmarkStart w:id="18" w:name="_Hlk67928658"/>
      <w:bookmarkEnd w:id="16"/>
      <w:bookmarkEnd w:id="17"/>
    </w:p>
    <w:p w:rsidR="009022B4" w:rsidRPr="00F07C5B" w:rsidP="009022B4">
      <w:pPr>
        <w:pStyle w:val="Heading1"/>
        <w:spacing w:after="240"/>
        <w:rPr>
          <w:rFonts w:asciiTheme="minorHAnsi" w:hAnsiTheme="minorHAnsi" w:cstheme="minorHAnsi"/>
          <w:b/>
          <w:color w:val="auto"/>
          <w:sz w:val="22"/>
          <w:szCs w:val="22"/>
        </w:rPr>
      </w:pPr>
      <w:bookmarkStart w:id="19" w:name="_Toc505071563"/>
      <w:bookmarkStart w:id="20" w:name="_Hlk67923966"/>
      <w:bookmarkEnd w:id="18"/>
      <w:r w:rsidRPr="00F07C5B">
        <w:rPr>
          <w:rFonts w:eastAsia="Calibri" w:asciiTheme="minorHAnsi" w:hAnsiTheme="minorHAnsi" w:cstheme="minorHAnsi"/>
          <w:b/>
          <w:color w:val="auto"/>
          <w:sz w:val="22"/>
          <w:szCs w:val="22"/>
        </w:rPr>
        <w:t>Analysis of Schools Capital Budgets</w:t>
      </w:r>
      <w:r>
        <w:rPr>
          <w:rFonts w:eastAsia="Calibri" w:asciiTheme="minorHAnsi" w:hAnsiTheme="minorHAnsi" w:cstheme="minorHAnsi"/>
          <w:b/>
          <w:color w:val="auto"/>
          <w:sz w:val="22"/>
          <w:szCs w:val="22"/>
        </w:rPr>
        <w:t xml:space="preserve"> </w:t>
      </w:r>
    </w:p>
    <w:p w:rsidR="009022B4" w:rsidP="009022B4">
      <w:pPr>
        <w:spacing w:before="240" w:after="240"/>
        <w:rPr>
          <w:rFonts w:ascii="Arial" w:hAnsi="Arial" w:cs="Arial"/>
          <w:b/>
          <w:sz w:val="24"/>
          <w:szCs w:val="24"/>
          <w:highlight w:val="yellow"/>
        </w:rPr>
      </w:pPr>
    </w:p>
    <w:p w:rsidR="009022B4" w:rsidRPr="00F47C51" w:rsidP="009022B4">
      <w:pPr>
        <w:widowControl w:val="0"/>
        <w:overflowPunct w:val="0"/>
        <w:autoSpaceDE w:val="0"/>
        <w:autoSpaceDN w:val="0"/>
        <w:adjustRightInd w:val="0"/>
        <w:spacing w:before="240" w:after="240"/>
        <w:textAlignment w:val="baseline"/>
        <w:rPr>
          <w:rFonts w:eastAsia="Times New Roman" w:cstheme="minorHAnsi"/>
        </w:rPr>
      </w:pPr>
      <w:r>
        <w:rPr>
          <w:rFonts w:eastAsia="Times New Roman" w:cstheme="minorHAnsi"/>
        </w:rPr>
        <w:t>Schools capital funding represents a significant majority of the department’s capital investment. It is</w:t>
      </w:r>
      <w:r w:rsidRPr="00F47C51">
        <w:rPr>
          <w:rFonts w:eastAsia="Times New Roman" w:cstheme="minorHAnsi"/>
        </w:rPr>
        <w:t xml:space="preserve"> broadly spent on three categories:</w:t>
      </w:r>
    </w:p>
    <w:p w:rsidR="009022B4" w:rsidRPr="00F47C51" w:rsidP="009022B4">
      <w:pPr>
        <w:widowControl w:val="0"/>
        <w:numPr>
          <w:ilvl w:val="0"/>
          <w:numId w:val="10"/>
        </w:numPr>
        <w:overflowPunct w:val="0"/>
        <w:autoSpaceDE w:val="0"/>
        <w:autoSpaceDN w:val="0"/>
        <w:adjustRightInd w:val="0"/>
        <w:spacing w:before="240" w:after="240" w:line="240" w:lineRule="auto"/>
        <w:textAlignment w:val="baseline"/>
        <w:rPr>
          <w:rFonts w:eastAsia="Times New Roman" w:cstheme="minorHAnsi"/>
        </w:rPr>
      </w:pPr>
      <w:r w:rsidRPr="00F47C51">
        <w:rPr>
          <w:rFonts w:eastAsia="Times New Roman" w:cstheme="minorHAnsi"/>
        </w:rPr>
        <w:t>enabling local authorities to discharge their duty to ensure there are enough school places;</w:t>
      </w:r>
    </w:p>
    <w:p w:rsidR="009022B4" w:rsidRPr="00F47C51" w:rsidP="009022B4">
      <w:pPr>
        <w:widowControl w:val="0"/>
        <w:numPr>
          <w:ilvl w:val="0"/>
          <w:numId w:val="10"/>
        </w:numPr>
        <w:overflowPunct w:val="0"/>
        <w:autoSpaceDE w:val="0"/>
        <w:autoSpaceDN w:val="0"/>
        <w:adjustRightInd w:val="0"/>
        <w:spacing w:before="240" w:after="240" w:line="240" w:lineRule="auto"/>
        <w:textAlignment w:val="baseline"/>
        <w:rPr>
          <w:rFonts w:eastAsia="Times New Roman" w:cstheme="minorHAnsi"/>
        </w:rPr>
      </w:pPr>
      <w:r w:rsidRPr="00F47C51">
        <w:rPr>
          <w:rFonts w:eastAsia="Times New Roman" w:cstheme="minorHAnsi"/>
        </w:rPr>
        <w:t>maintaining the school estate, including rebuilds and refurbishments through the Priority Schools Building Programme</w:t>
      </w:r>
      <w:r>
        <w:rPr>
          <w:rFonts w:eastAsia="Times New Roman" w:cstheme="minorHAnsi"/>
        </w:rPr>
        <w:t xml:space="preserve"> and School Rebuilding Programme</w:t>
      </w:r>
      <w:r w:rsidRPr="00F47C51">
        <w:rPr>
          <w:rFonts w:eastAsia="Times New Roman" w:cstheme="minorHAnsi"/>
        </w:rPr>
        <w:t>; and</w:t>
      </w:r>
    </w:p>
    <w:p w:rsidR="009022B4" w:rsidRPr="00F47C51" w:rsidP="009022B4">
      <w:pPr>
        <w:widowControl w:val="0"/>
        <w:numPr>
          <w:ilvl w:val="0"/>
          <w:numId w:val="10"/>
        </w:numPr>
        <w:overflowPunct w:val="0"/>
        <w:autoSpaceDE w:val="0"/>
        <w:autoSpaceDN w:val="0"/>
        <w:adjustRightInd w:val="0"/>
        <w:spacing w:before="240" w:after="240" w:line="240" w:lineRule="auto"/>
        <w:ind w:left="714" w:hanging="357"/>
        <w:textAlignment w:val="baseline"/>
        <w:rPr>
          <w:rFonts w:eastAsia="Times New Roman" w:cstheme="minorHAnsi"/>
        </w:rPr>
      </w:pPr>
      <w:r w:rsidRPr="00F47C51">
        <w:rPr>
          <w:rFonts w:eastAsia="Times New Roman" w:cstheme="minorHAnsi"/>
        </w:rPr>
        <w:t>facilitating education reform.</w:t>
      </w:r>
    </w:p>
    <w:p w:rsidR="009022B4" w:rsidRPr="00F47C51" w:rsidP="009022B4">
      <w:pPr>
        <w:spacing w:before="240" w:after="240"/>
        <w:rPr>
          <w:rFonts w:eastAsia="Times New Roman" w:cstheme="minorHAnsi"/>
        </w:rPr>
      </w:pPr>
      <w:r w:rsidRPr="00F47C51">
        <w:rPr>
          <w:rFonts w:eastAsia="Times New Roman" w:cstheme="minorHAnsi"/>
        </w:rPr>
        <w:t>The budgets listed represent our best estimate of how money will be spent this year. While formulaic and bid-based lines are unlikely to change significantly, estimates relating to construction programmes are more likely to experience in-year changes, going up or down depending on, for example, the price of land and construction costs, and the quality and mix of applications to receive funding.</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7"/>
        <w:gridCol w:w="1126"/>
        <w:gridCol w:w="1758"/>
        <w:gridCol w:w="1924"/>
        <w:gridCol w:w="2126"/>
        <w:gridCol w:w="2268"/>
      </w:tblGrid>
      <w:tr w:rsidTr="001018E5">
        <w:tblPrEx>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10"/>
        </w:trPr>
        <w:tc>
          <w:tcPr>
            <w:tcW w:w="5677" w:type="dxa"/>
            <w:noWrap/>
            <w:hideMark/>
          </w:tcPr>
          <w:p w:rsidR="009022B4">
            <w:pPr>
              <w:spacing w:before="240" w:after="240"/>
              <w:rPr>
                <w:rFonts w:cstheme="minorHAnsi"/>
                <w:b/>
                <w:bCs/>
                <w:color w:val="000000"/>
                <w:lang w:eastAsia="en-GB"/>
              </w:rPr>
            </w:pPr>
            <w:r>
              <w:rPr>
                <w:rFonts w:cstheme="minorHAnsi"/>
                <w:b/>
                <w:bCs/>
                <w:color w:val="000000"/>
                <w:lang w:eastAsia="en-GB"/>
              </w:rPr>
              <w:t>Programme</w:t>
            </w:r>
          </w:p>
        </w:tc>
        <w:tc>
          <w:tcPr>
            <w:tcW w:w="1126" w:type="dxa"/>
            <w:hideMark/>
          </w:tcPr>
          <w:p w:rsidR="009022B4">
            <w:pPr>
              <w:spacing w:before="240" w:after="240"/>
              <w:rPr>
                <w:rFonts w:cstheme="minorHAnsi"/>
                <w:b/>
                <w:bCs/>
                <w:color w:val="000000"/>
                <w:lang w:eastAsia="en-GB"/>
              </w:rPr>
            </w:pPr>
            <w:r>
              <w:rPr>
                <w:rFonts w:cstheme="minorHAnsi"/>
                <w:b/>
                <w:bCs/>
                <w:color w:val="000000"/>
                <w:lang w:eastAsia="en-GB"/>
              </w:rPr>
              <w:t>Open to new applications?</w:t>
            </w:r>
          </w:p>
        </w:tc>
        <w:tc>
          <w:tcPr>
            <w:tcW w:w="1758" w:type="dxa"/>
            <w:hideMark/>
          </w:tcPr>
          <w:p w:rsidR="009022B4">
            <w:pPr>
              <w:spacing w:before="240" w:after="240"/>
              <w:rPr>
                <w:rFonts w:cstheme="minorHAnsi"/>
                <w:b/>
                <w:bCs/>
                <w:color w:val="000000"/>
                <w:lang w:eastAsia="en-GB"/>
              </w:rPr>
            </w:pPr>
            <w:r>
              <w:rPr>
                <w:rFonts w:cstheme="minorHAnsi"/>
                <w:b/>
                <w:bCs/>
                <w:color w:val="000000"/>
                <w:lang w:eastAsia="en-GB"/>
              </w:rPr>
              <w:t>Type of school/ body eligible</w:t>
            </w:r>
          </w:p>
        </w:tc>
        <w:tc>
          <w:tcPr>
            <w:tcW w:w="1924" w:type="dxa"/>
            <w:hideMark/>
          </w:tcPr>
          <w:p w:rsidR="009022B4">
            <w:pPr>
              <w:spacing w:before="240" w:after="240"/>
              <w:rPr>
                <w:rFonts w:cstheme="minorHAnsi"/>
                <w:b/>
                <w:bCs/>
                <w:color w:val="000000"/>
                <w:lang w:eastAsia="en-GB"/>
              </w:rPr>
            </w:pPr>
            <w:r>
              <w:rPr>
                <w:rFonts w:cstheme="minorHAnsi"/>
                <w:b/>
                <w:bCs/>
                <w:color w:val="000000"/>
                <w:lang w:eastAsia="en-GB"/>
              </w:rPr>
              <w:t>Funding allocation approach</w:t>
            </w:r>
          </w:p>
        </w:tc>
        <w:tc>
          <w:tcPr>
            <w:tcW w:w="2126" w:type="dxa"/>
          </w:tcPr>
          <w:p w:rsidR="009022B4" w:rsidRPr="00D54DAF">
            <w:pPr>
              <w:spacing w:before="240" w:after="240"/>
              <w:rPr>
                <w:b/>
                <w:color w:val="000000"/>
                <w:lang w:eastAsia="en-GB"/>
              </w:rPr>
            </w:pPr>
            <w:r w:rsidRPr="24A59221">
              <w:rPr>
                <w:b/>
                <w:color w:val="000000" w:themeColor="text1"/>
                <w:lang w:eastAsia="en-GB"/>
              </w:rPr>
              <w:t>2022-23 budget (£m)</w:t>
            </w:r>
          </w:p>
        </w:tc>
        <w:tc>
          <w:tcPr>
            <w:tcW w:w="2268" w:type="dxa"/>
          </w:tcPr>
          <w:p w:rsidR="009022B4" w:rsidRPr="00285030">
            <w:pPr>
              <w:spacing w:before="240" w:after="240"/>
              <w:rPr>
                <w:rFonts w:cstheme="minorHAnsi"/>
                <w:b/>
                <w:bCs/>
                <w:color w:val="000000"/>
                <w:lang w:eastAsia="en-GB"/>
              </w:rPr>
            </w:pPr>
            <w:r>
              <w:rPr>
                <w:rFonts w:cstheme="minorHAnsi"/>
                <w:b/>
                <w:bCs/>
                <w:color w:val="000000"/>
                <w:lang w:eastAsia="en-GB"/>
              </w:rPr>
              <w:t>2023-24 budget (£m)</w:t>
            </w:r>
          </w:p>
        </w:tc>
      </w:tr>
      <w:tr w:rsidTr="001018E5">
        <w:tblPrEx>
          <w:tblW w:w="14879" w:type="dxa"/>
          <w:tblLayout w:type="fixed"/>
          <w:tblLook w:val="04A0"/>
        </w:tblPrEx>
        <w:trPr>
          <w:trHeight w:val="386"/>
        </w:trPr>
        <w:tc>
          <w:tcPr>
            <w:tcW w:w="14879" w:type="dxa"/>
            <w:gridSpan w:val="6"/>
            <w:noWrap/>
            <w:hideMark/>
          </w:tcPr>
          <w:p w:rsidR="009022B4" w:rsidRPr="00D54DAF">
            <w:pPr>
              <w:spacing w:before="240" w:after="240"/>
              <w:rPr>
                <w:rFonts w:cstheme="minorHAnsi"/>
                <w:b/>
                <w:bCs/>
                <w:i/>
                <w:color w:val="000000"/>
                <w:lang w:eastAsia="en-GB"/>
              </w:rPr>
            </w:pPr>
            <w:r>
              <w:rPr>
                <w:rFonts w:cstheme="minorHAnsi"/>
                <w:b/>
                <w:bCs/>
                <w:i/>
                <w:lang w:eastAsia="en-GB"/>
              </w:rPr>
              <w:t>Ensuring there are enough school places</w:t>
            </w:r>
          </w:p>
        </w:tc>
      </w:tr>
      <w:tr w:rsidTr="001018E5">
        <w:tblPrEx>
          <w:tblW w:w="14879" w:type="dxa"/>
          <w:tblLayout w:type="fixed"/>
          <w:tblLook w:val="04A0"/>
        </w:tblPrEx>
        <w:trPr>
          <w:trHeight w:val="1539"/>
        </w:trPr>
        <w:tc>
          <w:tcPr>
            <w:tcW w:w="5677" w:type="dxa"/>
            <w:noWrap/>
            <w:hideMark/>
          </w:tcPr>
          <w:p w:rsidR="009022B4">
            <w:pPr>
              <w:spacing w:before="240" w:after="240"/>
              <w:rPr>
                <w:b/>
                <w:lang w:eastAsia="en-GB"/>
              </w:rPr>
            </w:pPr>
            <w:r w:rsidRPr="7D8496F1">
              <w:rPr>
                <w:b/>
                <w:lang w:eastAsia="en-GB"/>
              </w:rPr>
              <w:t>Basic Need Funding</w:t>
            </w:r>
          </w:p>
          <w:p w:rsidR="009022B4">
            <w:pPr>
              <w:spacing w:before="240" w:after="240"/>
              <w:rPr>
                <w:lang w:eastAsia="en-GB"/>
              </w:rPr>
            </w:pPr>
            <w:r w:rsidRPr="6313F87F">
              <w:rPr>
                <w:lang w:eastAsia="en-GB"/>
              </w:rPr>
              <w:t xml:space="preserve">This funding is provided to local authorities to support the provision of new school places. It includes funding for additional mainstream primary and secondary school places for 5-16 year olds, </w:t>
            </w:r>
            <w:r>
              <w:rPr>
                <w:lang w:eastAsia="en-GB"/>
              </w:rPr>
              <w:t>needed</w:t>
            </w:r>
            <w:r w:rsidRPr="6313F87F">
              <w:rPr>
                <w:lang w:eastAsia="en-GB"/>
              </w:rPr>
              <w:t xml:space="preserve"> to meet demographic demand. Local authorities can work with any and all taxpayer-funded schools to deliver the new places, including voluntary-aided schools, open academies, and new free schools.</w:t>
            </w:r>
          </w:p>
        </w:tc>
        <w:tc>
          <w:tcPr>
            <w:tcW w:w="1126" w:type="dxa"/>
            <w:hideMark/>
          </w:tcPr>
          <w:p w:rsidR="009022B4">
            <w:pPr>
              <w:spacing w:before="240" w:after="240"/>
              <w:rPr>
                <w:rFonts w:cstheme="minorHAnsi"/>
                <w:lang w:eastAsia="en-GB"/>
              </w:rPr>
            </w:pPr>
            <w:r>
              <w:rPr>
                <w:rFonts w:cstheme="minorHAnsi"/>
                <w:lang w:eastAsia="en-GB"/>
              </w:rPr>
              <w:t>N/A</w:t>
            </w:r>
          </w:p>
        </w:tc>
        <w:tc>
          <w:tcPr>
            <w:tcW w:w="1758" w:type="dxa"/>
            <w:hideMark/>
          </w:tcPr>
          <w:p w:rsidR="009022B4">
            <w:pPr>
              <w:spacing w:before="240" w:after="240"/>
              <w:rPr>
                <w:rFonts w:cstheme="minorHAnsi"/>
                <w:lang w:eastAsia="en-GB"/>
              </w:rPr>
            </w:pPr>
            <w:r>
              <w:rPr>
                <w:rFonts w:cstheme="minorHAnsi"/>
                <w:lang w:eastAsia="en-GB"/>
              </w:rPr>
              <w:t>Local authorities</w:t>
            </w:r>
          </w:p>
        </w:tc>
        <w:tc>
          <w:tcPr>
            <w:tcW w:w="1924" w:type="dxa"/>
            <w:hideMark/>
          </w:tcPr>
          <w:p w:rsidR="009022B4">
            <w:pPr>
              <w:spacing w:before="240" w:after="240"/>
              <w:rPr>
                <w:rFonts w:cstheme="minorHAnsi"/>
                <w:lang w:eastAsia="en-GB"/>
              </w:rPr>
            </w:pPr>
            <w:r>
              <w:rPr>
                <w:rFonts w:cstheme="minorHAnsi"/>
                <w:lang w:eastAsia="en-GB"/>
              </w:rPr>
              <w:t>Formulaic</w:t>
            </w:r>
          </w:p>
        </w:tc>
        <w:tc>
          <w:tcPr>
            <w:tcW w:w="2126" w:type="dxa"/>
          </w:tcPr>
          <w:p w:rsidR="009022B4" w:rsidRPr="00D54DAF">
            <w:pPr>
              <w:spacing w:before="240" w:after="240"/>
              <w:jc w:val="right"/>
              <w:rPr>
                <w:rFonts w:cstheme="minorHAnsi"/>
                <w:b/>
                <w:bCs/>
                <w:lang w:eastAsia="en-GB"/>
              </w:rPr>
            </w:pPr>
            <w:r>
              <w:rPr>
                <w:rFonts w:cstheme="minorHAnsi"/>
                <w:b/>
                <w:bCs/>
                <w:lang w:eastAsia="en-GB"/>
              </w:rPr>
              <w:t>528</w:t>
            </w:r>
          </w:p>
        </w:tc>
        <w:tc>
          <w:tcPr>
            <w:tcW w:w="2268" w:type="dxa"/>
          </w:tcPr>
          <w:p w:rsidR="009022B4">
            <w:pPr>
              <w:spacing w:before="240" w:after="240"/>
              <w:jc w:val="right"/>
              <w:rPr>
                <w:rFonts w:cstheme="minorHAnsi"/>
                <w:b/>
                <w:bCs/>
                <w:lang w:eastAsia="en-GB"/>
              </w:rPr>
            </w:pPr>
            <w:r>
              <w:rPr>
                <w:rFonts w:cstheme="minorHAnsi"/>
                <w:b/>
                <w:bCs/>
                <w:lang w:eastAsia="en-GB"/>
              </w:rPr>
              <w:t>746</w:t>
            </w:r>
            <w:r>
              <w:rPr>
                <w:rStyle w:val="FootnoteReference"/>
                <w:rFonts w:cstheme="minorHAnsi"/>
                <w:b/>
                <w:bCs/>
                <w:lang w:eastAsia="en-GB"/>
              </w:rPr>
              <w:footnoteReference w:id="2"/>
            </w:r>
          </w:p>
        </w:tc>
      </w:tr>
      <w:tr w:rsidTr="001018E5">
        <w:tblPrEx>
          <w:tblW w:w="14879" w:type="dxa"/>
          <w:tblLayout w:type="fixed"/>
          <w:tblLook w:val="04A0"/>
        </w:tblPrEx>
        <w:trPr>
          <w:trHeight w:val="1539"/>
        </w:trPr>
        <w:tc>
          <w:tcPr>
            <w:tcW w:w="5677" w:type="dxa"/>
            <w:noWrap/>
          </w:tcPr>
          <w:p w:rsidR="009022B4">
            <w:pPr>
              <w:spacing w:before="240" w:after="240"/>
              <w:rPr>
                <w:b/>
                <w:lang w:eastAsia="en-GB"/>
              </w:rPr>
            </w:pPr>
            <w:r w:rsidRPr="5068497D">
              <w:rPr>
                <w:b/>
                <w:lang w:eastAsia="en-GB"/>
              </w:rPr>
              <w:t xml:space="preserve">High Needs </w:t>
            </w:r>
          </w:p>
          <w:p w:rsidR="009022B4" w:rsidRPr="0005196D">
            <w:pPr>
              <w:spacing w:before="240" w:after="240"/>
              <w:rPr>
                <w:lang w:eastAsia="en-GB"/>
              </w:rPr>
            </w:pPr>
            <w:r w:rsidRPr="6313F87F">
              <w:rPr>
                <w:lang w:eastAsia="en-GB"/>
              </w:rPr>
              <w:t xml:space="preserve">This funding is provided to local authorities to support the provision of new school places </w:t>
            </w:r>
            <w:r w:rsidRPr="254F4E37">
              <w:rPr>
                <w:lang w:eastAsia="en-GB"/>
              </w:rPr>
              <w:t xml:space="preserve">and improvements to </w:t>
            </w:r>
            <w:r w:rsidRPr="01FD3830">
              <w:rPr>
                <w:lang w:eastAsia="en-GB"/>
              </w:rPr>
              <w:t>existing provision for</w:t>
            </w:r>
            <w:r w:rsidRPr="6313F87F">
              <w:rPr>
                <w:lang w:eastAsia="en-GB"/>
              </w:rPr>
              <w:t xml:space="preserve"> children and young people with special educational needs and disabilities (SEND) or who require alternative provision (AP). </w:t>
            </w:r>
          </w:p>
        </w:tc>
        <w:tc>
          <w:tcPr>
            <w:tcW w:w="1126" w:type="dxa"/>
            <w:hideMark/>
          </w:tcPr>
          <w:p w:rsidR="009022B4">
            <w:pPr>
              <w:spacing w:before="240" w:after="240"/>
              <w:rPr>
                <w:rFonts w:cstheme="minorHAnsi"/>
                <w:lang w:eastAsia="en-GB"/>
              </w:rPr>
            </w:pPr>
            <w:r>
              <w:rPr>
                <w:rFonts w:cstheme="minorHAnsi"/>
                <w:lang w:eastAsia="en-GB"/>
              </w:rPr>
              <w:t>N/A</w:t>
            </w:r>
          </w:p>
        </w:tc>
        <w:tc>
          <w:tcPr>
            <w:tcW w:w="1758" w:type="dxa"/>
            <w:hideMark/>
          </w:tcPr>
          <w:p w:rsidR="009022B4">
            <w:pPr>
              <w:spacing w:before="240" w:after="240"/>
              <w:rPr>
                <w:rFonts w:cstheme="minorHAnsi"/>
                <w:lang w:eastAsia="en-GB"/>
              </w:rPr>
            </w:pPr>
            <w:r>
              <w:rPr>
                <w:rFonts w:cstheme="minorHAnsi"/>
                <w:lang w:eastAsia="en-GB"/>
              </w:rPr>
              <w:t xml:space="preserve">Local authorities </w:t>
            </w:r>
          </w:p>
        </w:tc>
        <w:tc>
          <w:tcPr>
            <w:tcW w:w="1924" w:type="dxa"/>
            <w:hideMark/>
          </w:tcPr>
          <w:p w:rsidR="009022B4">
            <w:pPr>
              <w:spacing w:before="240" w:after="240"/>
              <w:rPr>
                <w:rFonts w:cstheme="minorHAnsi"/>
                <w:lang w:eastAsia="en-GB"/>
              </w:rPr>
            </w:pPr>
            <w:r>
              <w:rPr>
                <w:rFonts w:cstheme="minorHAnsi"/>
                <w:lang w:eastAsia="en-GB"/>
              </w:rPr>
              <w:t>Various</w:t>
            </w:r>
          </w:p>
        </w:tc>
        <w:tc>
          <w:tcPr>
            <w:tcW w:w="2126" w:type="dxa"/>
          </w:tcPr>
          <w:p w:rsidR="009022B4" w:rsidRPr="00D54DAF">
            <w:pPr>
              <w:spacing w:before="240" w:after="240"/>
              <w:jc w:val="right"/>
              <w:rPr>
                <w:rFonts w:cstheme="minorHAnsi"/>
                <w:b/>
                <w:bCs/>
                <w:lang w:eastAsia="en-GB"/>
              </w:rPr>
            </w:pPr>
            <w:r>
              <w:rPr>
                <w:rFonts w:cstheme="minorHAnsi"/>
                <w:b/>
                <w:bCs/>
                <w:lang w:eastAsia="en-GB"/>
              </w:rPr>
              <w:t>1,262</w:t>
            </w:r>
          </w:p>
        </w:tc>
        <w:tc>
          <w:tcPr>
            <w:tcW w:w="2268" w:type="dxa"/>
          </w:tcPr>
          <w:p w:rsidR="009022B4">
            <w:pPr>
              <w:spacing w:before="240" w:after="240"/>
              <w:jc w:val="right"/>
              <w:rPr>
                <w:rFonts w:cstheme="minorHAnsi"/>
                <w:b/>
                <w:bCs/>
                <w:lang w:eastAsia="en-GB"/>
              </w:rPr>
            </w:pPr>
            <w:r>
              <w:rPr>
                <w:rFonts w:cstheme="minorHAnsi"/>
                <w:b/>
                <w:bCs/>
                <w:lang w:eastAsia="en-GB"/>
              </w:rPr>
              <w:t>365</w:t>
            </w:r>
            <w:r>
              <w:rPr>
                <w:rStyle w:val="FootnoteReference"/>
                <w:rFonts w:cstheme="minorHAnsi"/>
                <w:b/>
                <w:bCs/>
                <w:lang w:eastAsia="en-GB"/>
              </w:rPr>
              <w:footnoteReference w:id="3"/>
            </w:r>
          </w:p>
        </w:tc>
      </w:tr>
      <w:tr w:rsidTr="001018E5">
        <w:tblPrEx>
          <w:tblW w:w="14879" w:type="dxa"/>
          <w:tblLayout w:type="fixed"/>
          <w:tblLook w:val="04A0"/>
        </w:tblPrEx>
        <w:trPr>
          <w:trHeight w:val="1539"/>
        </w:trPr>
        <w:tc>
          <w:tcPr>
            <w:tcW w:w="14879" w:type="dxa"/>
            <w:gridSpan w:val="6"/>
            <w:noWrap/>
          </w:tcPr>
          <w:p w:rsidR="009022B4">
            <w:pPr>
              <w:pStyle w:val="paragraph"/>
              <w:spacing w:before="240" w:after="240"/>
              <w:textAlignment w:val="baseline"/>
              <w:rPr>
                <w:rStyle w:val="eop"/>
                <w:rFonts w:ascii="Calibri" w:hAnsi="Calibri" w:cs="Calibri"/>
                <w:sz w:val="22"/>
                <w:szCs w:val="22"/>
              </w:rPr>
            </w:pPr>
            <w:r>
              <w:rPr>
                <w:rStyle w:val="normaltextrun"/>
                <w:rFonts w:ascii="Calibri" w:hAnsi="Calibri" w:cs="Calibri"/>
                <w:b/>
                <w:bCs/>
                <w:sz w:val="22"/>
                <w:szCs w:val="22"/>
              </w:rPr>
              <w:t>Maintaining the School Estate </w:t>
            </w:r>
            <w:r>
              <w:rPr>
                <w:rStyle w:val="eop"/>
                <w:rFonts w:ascii="Calibri" w:hAnsi="Calibri" w:cs="Calibri"/>
                <w:sz w:val="22"/>
                <w:szCs w:val="22"/>
              </w:rPr>
              <w:t> </w:t>
            </w:r>
          </w:p>
          <w:p w:rsidR="009022B4">
            <w:pPr>
              <w:spacing w:before="240" w:after="240"/>
              <w:rPr>
                <w:b/>
                <w:bCs/>
                <w:lang w:eastAsia="en-GB"/>
              </w:rPr>
            </w:pPr>
            <w:r w:rsidRPr="60181D8C">
              <w:rPr>
                <w:rStyle w:val="normaltextrun"/>
                <w:rFonts w:ascii="Calibri" w:hAnsi="Calibri" w:cs="Calibri"/>
              </w:rPr>
              <w:t>Condition funding is apportioned, based broadly on pupil numbers and building condition, to local authorities, multi-academy trusts, schools and sixth-form colleges through the main funding routes below. These are Devolved Formula Capital, School Condition Allocations and the Condition Improvement Fund.</w:t>
            </w:r>
            <w:r w:rsidRPr="60181D8C">
              <w:rPr>
                <w:rStyle w:val="eop"/>
                <w:rFonts w:ascii="Calibri" w:hAnsi="Calibri" w:cs="Calibri"/>
              </w:rPr>
              <w:t> </w:t>
            </w:r>
          </w:p>
        </w:tc>
      </w:tr>
      <w:tr w:rsidTr="001018E5">
        <w:tblPrEx>
          <w:tblW w:w="14879" w:type="dxa"/>
          <w:tblLayout w:type="fixed"/>
          <w:tblLook w:val="04A0"/>
        </w:tblPrEx>
        <w:trPr>
          <w:trHeight w:val="1280"/>
        </w:trPr>
        <w:tc>
          <w:tcPr>
            <w:tcW w:w="5677" w:type="dxa"/>
            <w:noWrap/>
            <w:hideMark/>
          </w:tcPr>
          <w:p w:rsidR="009022B4">
            <w:pPr>
              <w:spacing w:before="240" w:after="240"/>
              <w:rPr>
                <w:rFonts w:cstheme="minorHAnsi"/>
                <w:lang w:eastAsia="en-GB"/>
              </w:rPr>
            </w:pPr>
            <w:r>
              <w:rPr>
                <w:rFonts w:cstheme="minorHAnsi"/>
                <w:b/>
                <w:lang w:eastAsia="en-GB"/>
              </w:rPr>
              <w:t xml:space="preserve">School Condition Allocations (SCA) </w:t>
            </w:r>
            <w:r>
              <w:rPr>
                <w:rFonts w:cstheme="minorHAnsi"/>
                <w:lang w:eastAsia="en-GB"/>
              </w:rPr>
              <w:t xml:space="preserve">(formerly Maintenance Allocations) </w:t>
            </w:r>
          </w:p>
          <w:p w:rsidR="009022B4">
            <w:pPr>
              <w:spacing w:before="240" w:after="240"/>
              <w:rPr>
                <w:lang w:eastAsia="en-GB"/>
              </w:rPr>
            </w:pPr>
            <w:r w:rsidRPr="315C18D8">
              <w:rPr>
                <w:lang w:eastAsia="en-GB"/>
              </w:rPr>
              <w:t xml:space="preserve">This funding is to support the maintenance needs of schools and institutions. For LA maintained schools, funding is passed to local authorities for them to allocate according to the needs of their schools and for the Sure Start children’s centres in their area. </w:t>
            </w:r>
          </w:p>
          <w:p w:rsidR="009022B4">
            <w:pPr>
              <w:spacing w:before="240" w:after="240"/>
              <w:rPr>
                <w:lang w:eastAsia="en-GB"/>
              </w:rPr>
            </w:pPr>
            <w:r w:rsidRPr="317C6472">
              <w:rPr>
                <w:lang w:eastAsia="en-GB"/>
              </w:rPr>
              <w:t>Funding is allocated directly to multi-academy trusts with 5 or more schools and at least 3,000 pupils. (Funded in this way from 2015-16).</w:t>
            </w:r>
          </w:p>
          <w:p w:rsidR="009022B4">
            <w:pPr>
              <w:spacing w:before="240" w:after="240"/>
              <w:rPr>
                <w:lang w:eastAsia="en-GB"/>
              </w:rPr>
            </w:pPr>
            <w:r w:rsidRPr="315C18D8">
              <w:rPr>
                <w:lang w:eastAsia="en-GB"/>
              </w:rPr>
              <w:t>From 2020-21, larger Voluntary-Aided school bodies meeting the size criteria (5 or more schools and 3,000 pupils) also receive direct school condition allocations.</w:t>
            </w:r>
          </w:p>
          <w:p w:rsidR="009022B4">
            <w:pPr>
              <w:spacing w:before="240" w:after="240"/>
              <w:rPr>
                <w:lang w:eastAsia="en-GB"/>
              </w:rPr>
            </w:pPr>
            <w:r w:rsidRPr="315C18D8">
              <w:rPr>
                <w:lang w:eastAsia="en-GB"/>
              </w:rPr>
              <w:t>Non-maintained special schools and specialist post-16 institutions receive funding directly.</w:t>
            </w:r>
          </w:p>
        </w:tc>
        <w:tc>
          <w:tcPr>
            <w:tcW w:w="1126" w:type="dxa"/>
            <w:hideMark/>
          </w:tcPr>
          <w:p w:rsidR="009022B4">
            <w:pPr>
              <w:spacing w:before="240" w:after="240"/>
              <w:rPr>
                <w:rFonts w:cstheme="minorHAnsi"/>
                <w:lang w:eastAsia="en-GB"/>
              </w:rPr>
            </w:pPr>
            <w:r>
              <w:rPr>
                <w:rFonts w:cstheme="minorHAnsi"/>
                <w:lang w:eastAsia="en-GB"/>
              </w:rPr>
              <w:t>N/A</w:t>
            </w:r>
          </w:p>
          <w:p w:rsidR="009022B4">
            <w:pPr>
              <w:spacing w:before="240" w:after="240"/>
              <w:rPr>
                <w:rFonts w:cstheme="minorHAnsi"/>
                <w:lang w:eastAsia="en-GB"/>
              </w:rPr>
            </w:pPr>
          </w:p>
        </w:tc>
        <w:tc>
          <w:tcPr>
            <w:tcW w:w="1758" w:type="dxa"/>
            <w:hideMark/>
          </w:tcPr>
          <w:p w:rsidR="009022B4">
            <w:pPr>
              <w:spacing w:before="240" w:after="240"/>
              <w:rPr>
                <w:rFonts w:cstheme="minorHAnsi"/>
                <w:lang w:eastAsia="en-GB"/>
              </w:rPr>
            </w:pPr>
            <w:r>
              <w:rPr>
                <w:rFonts w:cstheme="minorHAnsi"/>
                <w:lang w:eastAsia="en-GB"/>
              </w:rPr>
              <w:t>SCA - local authorities, large academy trusts, large voluntary aided school bodies, Sure Start centres, non-maintained special schools, specialist post-16 institutions</w:t>
            </w:r>
          </w:p>
          <w:p w:rsidR="009022B4">
            <w:pPr>
              <w:spacing w:before="240" w:after="240"/>
              <w:rPr>
                <w:rFonts w:cstheme="minorHAnsi"/>
                <w:lang w:eastAsia="en-GB"/>
              </w:rPr>
            </w:pPr>
          </w:p>
        </w:tc>
        <w:tc>
          <w:tcPr>
            <w:tcW w:w="1924" w:type="dxa"/>
            <w:hideMark/>
          </w:tcPr>
          <w:p w:rsidR="009022B4">
            <w:pPr>
              <w:spacing w:before="240" w:after="240"/>
              <w:rPr>
                <w:rFonts w:cstheme="minorHAnsi"/>
                <w:lang w:eastAsia="en-GB"/>
              </w:rPr>
            </w:pPr>
            <w:r>
              <w:rPr>
                <w:rFonts w:cstheme="minorHAnsi"/>
                <w:lang w:eastAsia="en-GB"/>
              </w:rPr>
              <w:t>Formulaic</w:t>
            </w:r>
          </w:p>
          <w:p w:rsidR="009022B4">
            <w:pPr>
              <w:spacing w:before="240" w:after="240"/>
              <w:rPr>
                <w:rFonts w:cstheme="minorHAnsi"/>
                <w:lang w:eastAsia="en-GB"/>
              </w:rPr>
            </w:pPr>
          </w:p>
        </w:tc>
        <w:tc>
          <w:tcPr>
            <w:tcW w:w="2126" w:type="dxa"/>
          </w:tcPr>
          <w:p w:rsidR="009022B4" w:rsidRPr="00D54DAF">
            <w:pPr>
              <w:spacing w:before="240" w:after="240"/>
              <w:jc w:val="right"/>
              <w:rPr>
                <w:rFonts w:cstheme="minorHAnsi"/>
                <w:b/>
                <w:bCs/>
                <w:lang w:eastAsia="en-GB"/>
              </w:rPr>
            </w:pPr>
            <w:r>
              <w:rPr>
                <w:rFonts w:cstheme="minorHAnsi"/>
                <w:b/>
                <w:bCs/>
                <w:lang w:eastAsia="en-GB"/>
              </w:rPr>
              <w:t>1,097</w:t>
            </w:r>
          </w:p>
        </w:tc>
        <w:tc>
          <w:tcPr>
            <w:tcW w:w="2268" w:type="dxa"/>
          </w:tcPr>
          <w:p w:rsidR="009022B4">
            <w:pPr>
              <w:spacing w:before="240" w:after="240"/>
              <w:jc w:val="right"/>
              <w:rPr>
                <w:rFonts w:cstheme="minorHAnsi"/>
                <w:b/>
                <w:bCs/>
                <w:lang w:eastAsia="en-GB"/>
              </w:rPr>
            </w:pPr>
            <w:r>
              <w:rPr>
                <w:rFonts w:cstheme="minorHAnsi"/>
                <w:b/>
                <w:bCs/>
                <w:lang w:eastAsia="en-GB"/>
              </w:rPr>
              <w:t>1,116</w:t>
            </w:r>
          </w:p>
        </w:tc>
      </w:tr>
      <w:tr w:rsidTr="001018E5">
        <w:tblPrEx>
          <w:tblW w:w="14879" w:type="dxa"/>
          <w:tblLayout w:type="fixed"/>
          <w:tblLook w:val="04A0"/>
        </w:tblPrEx>
        <w:trPr>
          <w:trHeight w:val="1280"/>
        </w:trPr>
        <w:tc>
          <w:tcPr>
            <w:tcW w:w="5677" w:type="dxa"/>
            <w:noWrap/>
          </w:tcPr>
          <w:p w:rsidR="009022B4">
            <w:pPr>
              <w:spacing w:before="240" w:after="240"/>
              <w:rPr>
                <w:rFonts w:cstheme="minorHAnsi"/>
                <w:b/>
                <w:bCs/>
                <w:lang w:eastAsia="en-GB"/>
              </w:rPr>
            </w:pPr>
            <w:r>
              <w:rPr>
                <w:rFonts w:cstheme="minorHAnsi"/>
                <w:b/>
                <w:bCs/>
                <w:lang w:eastAsia="en-GB"/>
              </w:rPr>
              <w:t>Devolved Formula Capital (DFC)</w:t>
            </w:r>
          </w:p>
          <w:p w:rsidR="009022B4" w:rsidRPr="0005196D">
            <w:pPr>
              <w:spacing w:before="240" w:after="240"/>
              <w:rPr>
                <w:rFonts w:cstheme="minorHAnsi"/>
                <w:lang w:eastAsia="en-GB"/>
              </w:rPr>
            </w:pPr>
            <w:r>
              <w:rPr>
                <w:rFonts w:cstheme="minorHAnsi"/>
                <w:lang w:eastAsia="en-GB"/>
              </w:rPr>
              <w:t>This funding is given to schools to spend on maintenance. Local authorities are required to pass on the DFC allocation to each of their maintained schools. Voluntary-aided schools and academies receive their allocation directly from the ESFA.</w:t>
            </w:r>
          </w:p>
        </w:tc>
        <w:tc>
          <w:tcPr>
            <w:tcW w:w="1126" w:type="dxa"/>
          </w:tcPr>
          <w:p w:rsidR="009022B4">
            <w:pPr>
              <w:spacing w:before="240" w:after="240"/>
              <w:rPr>
                <w:rFonts w:cstheme="minorHAnsi"/>
                <w:lang w:eastAsia="en-GB"/>
              </w:rPr>
            </w:pPr>
            <w:r>
              <w:rPr>
                <w:rFonts w:cstheme="minorHAnsi"/>
                <w:lang w:eastAsia="en-GB"/>
              </w:rPr>
              <w:t>N/A</w:t>
            </w:r>
          </w:p>
        </w:tc>
        <w:tc>
          <w:tcPr>
            <w:tcW w:w="1758" w:type="dxa"/>
          </w:tcPr>
          <w:p w:rsidR="009022B4" w:rsidRPr="00C47EE5">
            <w:pPr>
              <w:spacing w:before="240" w:after="240"/>
              <w:rPr>
                <w:rFonts w:cstheme="minorHAnsi"/>
                <w:lang w:eastAsia="en-GB"/>
              </w:rPr>
            </w:pPr>
            <w:r w:rsidRPr="00C47EE5">
              <w:rPr>
                <w:rFonts w:cstheme="minorHAnsi"/>
                <w:lang w:eastAsia="en-GB"/>
              </w:rPr>
              <w:t>DFC – all schools</w:t>
            </w:r>
          </w:p>
          <w:p w:rsidR="009022B4">
            <w:pPr>
              <w:spacing w:before="240" w:after="240"/>
              <w:rPr>
                <w:rFonts w:cstheme="minorHAnsi"/>
                <w:lang w:eastAsia="en-GB"/>
              </w:rPr>
            </w:pPr>
          </w:p>
        </w:tc>
        <w:tc>
          <w:tcPr>
            <w:tcW w:w="1924" w:type="dxa"/>
          </w:tcPr>
          <w:p w:rsidR="009022B4">
            <w:pPr>
              <w:spacing w:before="240" w:after="240"/>
              <w:rPr>
                <w:rFonts w:cstheme="minorHAnsi"/>
                <w:lang w:eastAsia="en-GB"/>
              </w:rPr>
            </w:pPr>
            <w:r>
              <w:rPr>
                <w:rFonts w:cstheme="minorHAnsi"/>
                <w:lang w:eastAsia="en-GB"/>
              </w:rPr>
              <w:t>Formulaic</w:t>
            </w:r>
          </w:p>
        </w:tc>
        <w:tc>
          <w:tcPr>
            <w:tcW w:w="2126" w:type="dxa"/>
          </w:tcPr>
          <w:p w:rsidR="009022B4" w:rsidRPr="00285030">
            <w:pPr>
              <w:spacing w:before="240" w:after="240"/>
              <w:jc w:val="right"/>
              <w:rPr>
                <w:rFonts w:cstheme="minorHAnsi"/>
                <w:b/>
                <w:bCs/>
                <w:lang w:eastAsia="en-GB"/>
              </w:rPr>
            </w:pPr>
            <w:r>
              <w:rPr>
                <w:rFonts w:cstheme="minorHAnsi"/>
                <w:b/>
                <w:bCs/>
                <w:lang w:eastAsia="en-GB"/>
              </w:rPr>
              <w:t>215</w:t>
            </w:r>
          </w:p>
        </w:tc>
        <w:tc>
          <w:tcPr>
            <w:tcW w:w="2268" w:type="dxa"/>
          </w:tcPr>
          <w:p w:rsidR="009022B4">
            <w:pPr>
              <w:spacing w:before="240" w:after="240"/>
              <w:jc w:val="right"/>
              <w:rPr>
                <w:rFonts w:cstheme="minorHAnsi"/>
                <w:b/>
                <w:bCs/>
                <w:lang w:eastAsia="en-GB"/>
              </w:rPr>
            </w:pPr>
            <w:r>
              <w:rPr>
                <w:rFonts w:cstheme="minorHAnsi"/>
                <w:b/>
                <w:bCs/>
                <w:lang w:eastAsia="en-GB"/>
              </w:rPr>
              <w:t>217</w:t>
            </w:r>
          </w:p>
        </w:tc>
      </w:tr>
      <w:tr w:rsidTr="001018E5">
        <w:tblPrEx>
          <w:tblW w:w="14879" w:type="dxa"/>
          <w:tblLayout w:type="fixed"/>
          <w:tblLook w:val="04A0"/>
        </w:tblPrEx>
        <w:trPr>
          <w:trHeight w:val="1280"/>
        </w:trPr>
        <w:tc>
          <w:tcPr>
            <w:tcW w:w="5677" w:type="dxa"/>
            <w:noWrap/>
          </w:tcPr>
          <w:p w:rsidR="009022B4">
            <w:pPr>
              <w:spacing w:before="240" w:after="240"/>
              <w:rPr>
                <w:rFonts w:cstheme="minorHAnsi"/>
                <w:b/>
                <w:bCs/>
                <w:lang w:eastAsia="en-GB"/>
              </w:rPr>
            </w:pPr>
            <w:r>
              <w:rPr>
                <w:rFonts w:cstheme="minorHAnsi"/>
                <w:b/>
                <w:bCs/>
                <w:lang w:eastAsia="en-GB"/>
              </w:rPr>
              <w:t>Condition Improvement Fund (CIF)</w:t>
            </w:r>
          </w:p>
          <w:p w:rsidR="009022B4">
            <w:pPr>
              <w:spacing w:before="240" w:after="240"/>
              <w:rPr>
                <w:b/>
                <w:bCs/>
                <w:u w:val="single"/>
                <w:lang w:eastAsia="en-GB"/>
              </w:rPr>
            </w:pPr>
            <w:r w:rsidRPr="58FADA4D">
              <w:rPr>
                <w:lang w:eastAsia="en-GB"/>
              </w:rPr>
              <w:t>This bid-based funding is awarded to projects that address condition and/or buildings compliance issues at schools in responsible bodies that do not meet eligibility criteria for School Condition Allocations. A small proportion of the fund is used for projects to expand existing facilities to accommodate more pupils or address a lack of specialist facilities. The overall allocations include the remaining proportion of the Healthy Pupils Capital Fund.</w:t>
            </w:r>
          </w:p>
        </w:tc>
        <w:tc>
          <w:tcPr>
            <w:tcW w:w="1126" w:type="dxa"/>
          </w:tcPr>
          <w:p w:rsidR="009022B4">
            <w:pPr>
              <w:spacing w:before="240" w:after="240"/>
              <w:rPr>
                <w:rFonts w:cstheme="minorHAnsi"/>
                <w:lang w:eastAsia="en-GB"/>
              </w:rPr>
            </w:pPr>
            <w:r>
              <w:rPr>
                <w:rFonts w:cstheme="minorHAnsi"/>
                <w:lang w:eastAsia="en-GB"/>
              </w:rPr>
              <w:t>Annually</w:t>
            </w:r>
          </w:p>
        </w:tc>
        <w:tc>
          <w:tcPr>
            <w:tcW w:w="1758" w:type="dxa"/>
          </w:tcPr>
          <w:p w:rsidR="009022B4">
            <w:pPr>
              <w:spacing w:before="240" w:after="240"/>
              <w:rPr>
                <w:rFonts w:cstheme="minorHAnsi"/>
                <w:lang w:eastAsia="en-GB"/>
              </w:rPr>
            </w:pPr>
            <w:r>
              <w:rPr>
                <w:rFonts w:cstheme="minorHAnsi"/>
                <w:lang w:eastAsia="en-GB"/>
              </w:rPr>
              <w:t>CIF – Academies and voluntary aided schools not part of bodies eligible for SCA, sixth form colleges and City Technical Colleges</w:t>
            </w:r>
          </w:p>
        </w:tc>
        <w:tc>
          <w:tcPr>
            <w:tcW w:w="1924" w:type="dxa"/>
          </w:tcPr>
          <w:p w:rsidR="009022B4">
            <w:pPr>
              <w:spacing w:before="240" w:after="240"/>
              <w:rPr>
                <w:rFonts w:cstheme="minorHAnsi"/>
                <w:lang w:eastAsia="en-GB"/>
              </w:rPr>
            </w:pPr>
            <w:r>
              <w:rPr>
                <w:rFonts w:cstheme="minorHAnsi"/>
                <w:lang w:eastAsia="en-GB"/>
              </w:rPr>
              <w:t>Bid-based</w:t>
            </w:r>
          </w:p>
        </w:tc>
        <w:tc>
          <w:tcPr>
            <w:tcW w:w="2126" w:type="dxa"/>
          </w:tcPr>
          <w:p w:rsidR="009022B4" w:rsidRPr="00285030">
            <w:pPr>
              <w:spacing w:before="240" w:after="240"/>
              <w:jc w:val="right"/>
              <w:rPr>
                <w:rFonts w:cstheme="minorHAnsi"/>
                <w:b/>
                <w:bCs/>
                <w:lang w:eastAsia="en-GB"/>
              </w:rPr>
            </w:pPr>
            <w:r w:rsidRPr="00285030">
              <w:rPr>
                <w:rFonts w:cstheme="minorHAnsi"/>
                <w:b/>
                <w:bCs/>
                <w:lang w:eastAsia="en-GB"/>
              </w:rPr>
              <w:t>462</w:t>
            </w:r>
          </w:p>
        </w:tc>
        <w:tc>
          <w:tcPr>
            <w:tcW w:w="2268" w:type="dxa"/>
          </w:tcPr>
          <w:p w:rsidR="009022B4" w:rsidRPr="00285030">
            <w:pPr>
              <w:spacing w:before="240" w:after="240"/>
              <w:jc w:val="right"/>
              <w:rPr>
                <w:rFonts w:cstheme="minorHAnsi"/>
                <w:b/>
                <w:bCs/>
                <w:lang w:eastAsia="en-GB"/>
              </w:rPr>
            </w:pPr>
            <w:r>
              <w:rPr>
                <w:rFonts w:cstheme="minorHAnsi"/>
                <w:b/>
                <w:bCs/>
                <w:lang w:eastAsia="en-GB"/>
              </w:rPr>
              <w:t>499</w:t>
            </w:r>
          </w:p>
        </w:tc>
      </w:tr>
      <w:tr w:rsidTr="001018E5">
        <w:tblPrEx>
          <w:tblW w:w="14879" w:type="dxa"/>
          <w:tblLayout w:type="fixed"/>
          <w:tblLook w:val="04A0"/>
        </w:tblPrEx>
        <w:trPr>
          <w:trHeight w:val="571"/>
        </w:trPr>
        <w:tc>
          <w:tcPr>
            <w:tcW w:w="5677" w:type="dxa"/>
            <w:noWrap/>
            <w:hideMark/>
          </w:tcPr>
          <w:p w:rsidR="009022B4">
            <w:pPr>
              <w:spacing w:before="240" w:after="240"/>
              <w:rPr>
                <w:rFonts w:cstheme="minorHAnsi"/>
                <w:b/>
                <w:u w:val="single"/>
                <w:lang w:eastAsia="en-GB"/>
              </w:rPr>
            </w:pPr>
            <w:r>
              <w:rPr>
                <w:rFonts w:cstheme="minorHAnsi"/>
                <w:b/>
                <w:u w:val="single"/>
                <w:lang w:eastAsia="en-GB"/>
              </w:rPr>
              <w:t>School Rebuilding</w:t>
            </w:r>
          </w:p>
          <w:p w:rsidR="009022B4">
            <w:pPr>
              <w:spacing w:before="240" w:after="240"/>
              <w:rPr>
                <w:rFonts w:cstheme="minorHAnsi"/>
                <w:b/>
                <w:lang w:eastAsia="en-GB"/>
              </w:rPr>
            </w:pPr>
            <w:r>
              <w:rPr>
                <w:rFonts w:cstheme="minorHAnsi"/>
                <w:b/>
                <w:lang w:eastAsia="en-GB"/>
              </w:rPr>
              <w:t>Priority School Building Programme 1</w:t>
            </w:r>
          </w:p>
          <w:p w:rsidR="009022B4">
            <w:pPr>
              <w:spacing w:before="240" w:after="240"/>
              <w:rPr>
                <w:rFonts w:cstheme="minorHAnsi"/>
                <w:b/>
                <w:lang w:eastAsia="en-GB"/>
              </w:rPr>
            </w:pPr>
            <w:r>
              <w:rPr>
                <w:rFonts w:cstheme="minorHAnsi"/>
                <w:lang w:eastAsia="en-GB"/>
              </w:rPr>
              <w:t>This programme is rebuilding or refurbishing the schools in the poorest condition around the country. PSBP will also provide additional school places, by expanding schools when they are rebuilt.</w:t>
            </w:r>
            <w:r>
              <w:rPr>
                <w:rFonts w:cstheme="minorHAnsi"/>
                <w:b/>
                <w:lang w:eastAsia="en-GB"/>
              </w:rPr>
              <w:t xml:space="preserve"> </w:t>
            </w:r>
          </w:p>
          <w:p w:rsidR="009022B4">
            <w:pPr>
              <w:spacing w:before="240" w:after="240"/>
              <w:rPr>
                <w:rFonts w:cstheme="minorHAnsi"/>
                <w:b/>
                <w:lang w:eastAsia="en-GB"/>
              </w:rPr>
            </w:pPr>
            <w:r>
              <w:rPr>
                <w:rFonts w:cstheme="minorHAnsi"/>
                <w:b/>
                <w:lang w:eastAsia="en-GB"/>
              </w:rPr>
              <w:t>Priority School Building Programme 2</w:t>
            </w:r>
          </w:p>
          <w:p w:rsidR="009022B4">
            <w:pPr>
              <w:spacing w:before="240" w:after="240"/>
              <w:rPr>
                <w:rFonts w:cstheme="minorHAnsi"/>
                <w:lang w:eastAsia="en-GB"/>
              </w:rPr>
            </w:pPr>
            <w:r>
              <w:rPr>
                <w:rFonts w:cstheme="minorHAnsi"/>
                <w:lang w:eastAsia="en-GB"/>
              </w:rPr>
              <w:t>The second phase of the programme, targeting individual school buildings rather than whole school projects.</w:t>
            </w:r>
          </w:p>
          <w:p w:rsidR="009022B4">
            <w:pPr>
              <w:spacing w:before="240" w:after="240"/>
              <w:rPr>
                <w:rFonts w:cstheme="minorHAnsi"/>
                <w:b/>
                <w:bCs/>
                <w:lang w:eastAsia="en-GB"/>
              </w:rPr>
            </w:pPr>
            <w:r>
              <w:rPr>
                <w:rFonts w:cstheme="minorHAnsi"/>
                <w:b/>
                <w:bCs/>
                <w:lang w:eastAsia="en-GB"/>
              </w:rPr>
              <w:t>School Rebuilding Programme</w:t>
            </w:r>
          </w:p>
          <w:p w:rsidR="009022B4">
            <w:pPr>
              <w:spacing w:before="240" w:after="240"/>
              <w:rPr>
                <w:rFonts w:cstheme="minorHAnsi"/>
                <w:b/>
                <w:bCs/>
                <w:lang w:eastAsia="en-GB"/>
              </w:rPr>
            </w:pPr>
            <w:r>
              <w:rPr>
                <w:rFonts w:cstheme="minorHAnsi"/>
                <w:bCs/>
                <w:lang w:eastAsia="en-GB"/>
              </w:rPr>
              <w:t>This is a ten-year rebuilding programme, replacing many poor condition and ageing school buildings with modern, energy efficient designs.</w:t>
            </w:r>
          </w:p>
        </w:tc>
        <w:tc>
          <w:tcPr>
            <w:tcW w:w="1126" w:type="dxa"/>
            <w:hideMark/>
          </w:tcPr>
          <w:p w:rsidR="009022B4">
            <w:pPr>
              <w:spacing w:before="240" w:after="240"/>
              <w:rPr>
                <w:rFonts w:cstheme="minorHAnsi"/>
                <w:lang w:eastAsia="en-GB"/>
              </w:rPr>
            </w:pPr>
            <w:r>
              <w:rPr>
                <w:rFonts w:cstheme="minorHAnsi"/>
                <w:lang w:eastAsia="en-GB"/>
              </w:rPr>
              <w:t>No</w:t>
            </w:r>
          </w:p>
        </w:tc>
        <w:tc>
          <w:tcPr>
            <w:tcW w:w="1758" w:type="dxa"/>
            <w:hideMark/>
          </w:tcPr>
          <w:p w:rsidR="009022B4">
            <w:pPr>
              <w:spacing w:before="240" w:after="240"/>
              <w:rPr>
                <w:rFonts w:cstheme="minorHAnsi"/>
                <w:lang w:eastAsia="en-GB"/>
              </w:rPr>
            </w:pPr>
            <w:r>
              <w:rPr>
                <w:rFonts w:cstheme="minorHAnsi"/>
                <w:lang w:eastAsia="en-GB"/>
              </w:rPr>
              <w:t>All</w:t>
            </w:r>
          </w:p>
        </w:tc>
        <w:tc>
          <w:tcPr>
            <w:tcW w:w="1924" w:type="dxa"/>
            <w:hideMark/>
          </w:tcPr>
          <w:p w:rsidR="009022B4">
            <w:pPr>
              <w:spacing w:before="240" w:after="240"/>
              <w:rPr>
                <w:rFonts w:cstheme="minorHAnsi"/>
                <w:lang w:eastAsia="en-GB"/>
              </w:rPr>
            </w:pPr>
            <w:r>
              <w:rPr>
                <w:rFonts w:cstheme="minorHAnsi"/>
                <w:lang w:eastAsia="en-GB"/>
              </w:rPr>
              <w:t>PSBP - Bid based</w:t>
            </w:r>
          </w:p>
          <w:p w:rsidR="009022B4">
            <w:pPr>
              <w:spacing w:before="240" w:after="240"/>
              <w:rPr>
                <w:lang w:eastAsia="en-GB"/>
              </w:rPr>
            </w:pPr>
            <w:r w:rsidRPr="78A80DEA">
              <w:rPr>
                <w:lang w:eastAsia="en-GB"/>
              </w:rPr>
              <w:t>SRP – There are currently 400 projects in the programme, announced in four waves across 2021 and</w:t>
            </w:r>
            <w:r w:rsidRPr="1F979EB5">
              <w:rPr>
                <w:lang w:eastAsia="en-GB"/>
              </w:rPr>
              <w:t xml:space="preserve"> </w:t>
            </w:r>
            <w:r w:rsidRPr="78A80DEA">
              <w:rPr>
                <w:lang w:eastAsia="en-GB"/>
              </w:rPr>
              <w:t xml:space="preserve">22. Schools were prioritised on the basis of need and the 300 schools prioritised in 2022 were identified from nominations received from schools’ responsible bodies. </w:t>
            </w:r>
          </w:p>
        </w:tc>
        <w:tc>
          <w:tcPr>
            <w:tcW w:w="2126" w:type="dxa"/>
          </w:tcPr>
          <w:p w:rsidR="009022B4" w:rsidRPr="00D54DAF">
            <w:pPr>
              <w:spacing w:before="240" w:after="240"/>
              <w:jc w:val="right"/>
              <w:rPr>
                <w:rFonts w:cstheme="minorHAnsi"/>
                <w:b/>
                <w:bCs/>
                <w:lang w:eastAsia="en-GB"/>
              </w:rPr>
            </w:pPr>
            <w:r>
              <w:rPr>
                <w:rFonts w:cstheme="minorHAnsi"/>
                <w:b/>
                <w:bCs/>
                <w:lang w:eastAsia="en-GB"/>
              </w:rPr>
              <w:t>440</w:t>
            </w:r>
          </w:p>
        </w:tc>
        <w:tc>
          <w:tcPr>
            <w:tcW w:w="2268" w:type="dxa"/>
          </w:tcPr>
          <w:p w:rsidR="009022B4">
            <w:pPr>
              <w:spacing w:before="240" w:after="240"/>
              <w:jc w:val="right"/>
              <w:rPr>
                <w:rFonts w:cstheme="minorHAnsi"/>
                <w:b/>
                <w:bCs/>
                <w:lang w:eastAsia="en-GB"/>
              </w:rPr>
            </w:pPr>
            <w:r>
              <w:rPr>
                <w:rFonts w:cstheme="minorHAnsi"/>
                <w:b/>
                <w:bCs/>
                <w:lang w:eastAsia="en-GB"/>
              </w:rPr>
              <w:t>694</w:t>
            </w:r>
          </w:p>
        </w:tc>
      </w:tr>
      <w:tr w:rsidTr="001018E5">
        <w:tblPrEx>
          <w:tblW w:w="14879" w:type="dxa"/>
          <w:tblLayout w:type="fixed"/>
          <w:tblLook w:val="04A0"/>
        </w:tblPrEx>
        <w:trPr>
          <w:trHeight w:val="857"/>
        </w:trPr>
        <w:tc>
          <w:tcPr>
            <w:tcW w:w="5677" w:type="dxa"/>
            <w:noWrap/>
            <w:hideMark/>
          </w:tcPr>
          <w:p w:rsidR="009022B4">
            <w:pPr>
              <w:spacing w:before="240" w:after="240"/>
              <w:rPr>
                <w:rFonts w:cstheme="minorHAnsi"/>
                <w:b/>
                <w:lang w:eastAsia="en-GB"/>
              </w:rPr>
            </w:pPr>
            <w:r>
              <w:rPr>
                <w:rFonts w:cstheme="minorHAnsi"/>
                <w:b/>
                <w:lang w:eastAsia="en-GB"/>
              </w:rPr>
              <w:t xml:space="preserve">Smaller Programmes and Additional Capital Spend </w:t>
            </w:r>
          </w:p>
          <w:p w:rsidR="009022B4">
            <w:pPr>
              <w:spacing w:before="240" w:after="240"/>
              <w:rPr>
                <w:rFonts w:cstheme="minorHAnsi"/>
                <w:lang w:eastAsia="en-GB"/>
              </w:rPr>
            </w:pPr>
            <w:r>
              <w:rPr>
                <w:rFonts w:cstheme="minorHAnsi"/>
                <w:lang w:eastAsia="en-GB"/>
              </w:rPr>
              <w:t>New demands or unpredictable events can cause additional pressures on maintenance spending. The department will allocate this funding as appropriate during the year.</w:t>
            </w:r>
          </w:p>
        </w:tc>
        <w:tc>
          <w:tcPr>
            <w:tcW w:w="1126" w:type="dxa"/>
            <w:hideMark/>
          </w:tcPr>
          <w:p w:rsidR="009022B4">
            <w:pPr>
              <w:spacing w:before="240" w:after="240"/>
              <w:rPr>
                <w:rFonts w:cstheme="minorHAnsi"/>
                <w:lang w:eastAsia="en-GB"/>
              </w:rPr>
            </w:pPr>
            <w:r>
              <w:rPr>
                <w:rFonts w:cstheme="minorHAnsi"/>
                <w:lang w:eastAsia="en-GB"/>
              </w:rPr>
              <w:t>N/A</w:t>
            </w:r>
          </w:p>
        </w:tc>
        <w:tc>
          <w:tcPr>
            <w:tcW w:w="1758" w:type="dxa"/>
            <w:hideMark/>
          </w:tcPr>
          <w:p w:rsidR="009022B4">
            <w:pPr>
              <w:spacing w:before="240" w:after="240"/>
              <w:rPr>
                <w:rFonts w:cstheme="minorHAnsi"/>
                <w:lang w:eastAsia="en-GB"/>
              </w:rPr>
            </w:pPr>
            <w:r>
              <w:rPr>
                <w:rFonts w:cstheme="minorHAnsi"/>
                <w:lang w:eastAsia="en-GB"/>
              </w:rPr>
              <w:t>Various / all</w:t>
            </w:r>
          </w:p>
        </w:tc>
        <w:tc>
          <w:tcPr>
            <w:tcW w:w="1924" w:type="dxa"/>
            <w:hideMark/>
          </w:tcPr>
          <w:p w:rsidR="009022B4">
            <w:pPr>
              <w:spacing w:before="240" w:after="240"/>
              <w:rPr>
                <w:rFonts w:cstheme="minorHAnsi"/>
                <w:lang w:eastAsia="en-GB"/>
              </w:rPr>
            </w:pPr>
            <w:r>
              <w:rPr>
                <w:rFonts w:cstheme="minorHAnsi"/>
                <w:lang w:eastAsia="en-GB"/>
              </w:rPr>
              <w:t xml:space="preserve">Various </w:t>
            </w:r>
          </w:p>
        </w:tc>
        <w:tc>
          <w:tcPr>
            <w:tcW w:w="2126" w:type="dxa"/>
          </w:tcPr>
          <w:p w:rsidR="009022B4" w:rsidRPr="00D54DAF">
            <w:pPr>
              <w:spacing w:before="240" w:after="240"/>
              <w:jc w:val="right"/>
              <w:rPr>
                <w:rFonts w:cstheme="minorHAnsi"/>
                <w:b/>
                <w:bCs/>
                <w:lang w:eastAsia="en-GB"/>
              </w:rPr>
            </w:pPr>
            <w:r>
              <w:rPr>
                <w:rFonts w:cstheme="minorHAnsi"/>
                <w:b/>
                <w:bCs/>
                <w:lang w:eastAsia="en-GB"/>
              </w:rPr>
              <w:t>512</w:t>
            </w:r>
            <w:r>
              <w:rPr>
                <w:rStyle w:val="FootnoteReference"/>
                <w:rFonts w:ascii="Calibri" w:hAnsi="Calibri" w:cs="Calibri"/>
              </w:rPr>
              <w:footnoteReference w:id="4"/>
            </w:r>
          </w:p>
        </w:tc>
        <w:tc>
          <w:tcPr>
            <w:tcW w:w="2268" w:type="dxa"/>
          </w:tcPr>
          <w:p w:rsidR="009022B4">
            <w:pPr>
              <w:spacing w:before="240" w:after="240"/>
              <w:jc w:val="right"/>
              <w:rPr>
                <w:b/>
                <w:lang w:eastAsia="en-GB"/>
              </w:rPr>
            </w:pPr>
            <w:r w:rsidRPr="00204943">
              <w:rPr>
                <w:b/>
                <w:bCs/>
                <w:lang w:eastAsia="en-GB"/>
              </w:rPr>
              <w:t>273</w:t>
            </w:r>
          </w:p>
        </w:tc>
      </w:tr>
      <w:tr w:rsidTr="001018E5">
        <w:tblPrEx>
          <w:tblW w:w="14879" w:type="dxa"/>
          <w:tblLayout w:type="fixed"/>
          <w:tblLook w:val="04A0"/>
        </w:tblPrEx>
        <w:trPr>
          <w:trHeight w:val="378"/>
        </w:trPr>
        <w:tc>
          <w:tcPr>
            <w:tcW w:w="14879" w:type="dxa"/>
            <w:gridSpan w:val="6"/>
            <w:noWrap/>
            <w:hideMark/>
          </w:tcPr>
          <w:p w:rsidR="009022B4" w:rsidRPr="00D54DAF">
            <w:pPr>
              <w:spacing w:before="240" w:after="240"/>
              <w:rPr>
                <w:rFonts w:cstheme="minorHAnsi"/>
                <w:b/>
                <w:bCs/>
                <w:lang w:eastAsia="en-GB"/>
              </w:rPr>
            </w:pPr>
            <w:r>
              <w:rPr>
                <w:rFonts w:cstheme="minorHAnsi"/>
                <w:b/>
                <w:bCs/>
                <w:i/>
                <w:lang w:eastAsia="en-GB"/>
              </w:rPr>
              <w:t>Facilitating education reform through Free Schools provision and selective schools expansion</w:t>
            </w:r>
          </w:p>
        </w:tc>
      </w:tr>
      <w:tr w:rsidTr="001018E5">
        <w:tblPrEx>
          <w:tblW w:w="14879" w:type="dxa"/>
          <w:tblLayout w:type="fixed"/>
          <w:tblLook w:val="04A0"/>
        </w:tblPrEx>
        <w:trPr>
          <w:trHeight w:val="571"/>
        </w:trPr>
        <w:tc>
          <w:tcPr>
            <w:tcW w:w="5677" w:type="dxa"/>
            <w:noWrap/>
            <w:hideMark/>
          </w:tcPr>
          <w:p w:rsidR="009022B4">
            <w:pPr>
              <w:spacing w:before="240" w:after="240"/>
              <w:rPr>
                <w:rFonts w:cstheme="minorHAnsi"/>
                <w:b/>
                <w:lang w:eastAsia="en-GB"/>
              </w:rPr>
            </w:pPr>
            <w:r>
              <w:rPr>
                <w:rFonts w:cstheme="minorHAnsi"/>
                <w:b/>
                <w:lang w:eastAsia="en-GB"/>
              </w:rPr>
              <w:t>Free Schools, University Technical Colleges (UTCs) and Studio Schools</w:t>
            </w:r>
          </w:p>
          <w:p w:rsidR="009022B4">
            <w:pPr>
              <w:spacing w:before="240" w:after="240"/>
              <w:rPr>
                <w:rFonts w:cstheme="minorHAnsi"/>
                <w:lang w:eastAsia="en-GB"/>
              </w:rPr>
            </w:pPr>
            <w:r>
              <w:rPr>
                <w:rFonts w:cstheme="minorHAnsi"/>
                <w:lang w:eastAsia="en-GB"/>
              </w:rPr>
              <w:t xml:space="preserve">This capital budget covers the costs of purchasing and refurbishing sites to make them fit for purpose for a new school. Similar funding for maths schools, UTCs and Studio Schools also comes from this budget. This also includes funding for the Selective Schools Expansion Fund (SSEF), which supports the expansion of selective schools where there is a need for additional places and plans are in place to increase access for disadvantaged pupils. </w:t>
            </w:r>
          </w:p>
        </w:tc>
        <w:tc>
          <w:tcPr>
            <w:tcW w:w="1126" w:type="dxa"/>
            <w:hideMark/>
          </w:tcPr>
          <w:p w:rsidR="009022B4">
            <w:pPr>
              <w:spacing w:before="240" w:after="240"/>
              <w:rPr>
                <w:rFonts w:cstheme="minorHAnsi"/>
                <w:lang w:eastAsia="en-GB"/>
              </w:rPr>
            </w:pPr>
            <w:r>
              <w:rPr>
                <w:rFonts w:cstheme="minorHAnsi"/>
                <w:lang w:eastAsia="en-GB"/>
              </w:rPr>
              <w:t>Yes</w:t>
            </w:r>
          </w:p>
        </w:tc>
        <w:tc>
          <w:tcPr>
            <w:tcW w:w="1758" w:type="dxa"/>
            <w:hideMark/>
          </w:tcPr>
          <w:p w:rsidR="009022B4">
            <w:pPr>
              <w:spacing w:before="240" w:after="240"/>
              <w:rPr>
                <w:rFonts w:cstheme="minorHAnsi"/>
                <w:lang w:eastAsia="en-GB"/>
              </w:rPr>
            </w:pPr>
            <w:r>
              <w:rPr>
                <w:rFonts w:cstheme="minorHAnsi"/>
                <w:lang w:eastAsia="en-GB"/>
              </w:rPr>
              <w:t>New schools proposers for FS, UTCs and studio schools and selective schools</w:t>
            </w:r>
          </w:p>
        </w:tc>
        <w:tc>
          <w:tcPr>
            <w:tcW w:w="1924" w:type="dxa"/>
            <w:hideMark/>
          </w:tcPr>
          <w:p w:rsidR="009022B4">
            <w:pPr>
              <w:spacing w:before="240" w:after="240"/>
              <w:rPr>
                <w:rFonts w:cstheme="minorHAnsi"/>
                <w:lang w:eastAsia="en-GB"/>
              </w:rPr>
            </w:pPr>
            <w:r>
              <w:rPr>
                <w:rFonts w:cstheme="minorHAnsi"/>
                <w:lang w:eastAsia="en-GB"/>
              </w:rPr>
              <w:t>Bid based</w:t>
            </w:r>
          </w:p>
        </w:tc>
        <w:tc>
          <w:tcPr>
            <w:tcW w:w="2126" w:type="dxa"/>
          </w:tcPr>
          <w:p w:rsidR="009022B4" w:rsidRPr="00D54DAF">
            <w:pPr>
              <w:spacing w:before="240" w:after="240"/>
              <w:jc w:val="right"/>
              <w:rPr>
                <w:rFonts w:cstheme="minorHAnsi"/>
                <w:b/>
                <w:bCs/>
                <w:lang w:eastAsia="en-GB"/>
              </w:rPr>
            </w:pPr>
            <w:r>
              <w:rPr>
                <w:rFonts w:cstheme="minorHAnsi"/>
                <w:b/>
                <w:bCs/>
                <w:lang w:eastAsia="en-GB"/>
              </w:rPr>
              <w:t>876</w:t>
            </w:r>
          </w:p>
        </w:tc>
        <w:tc>
          <w:tcPr>
            <w:tcW w:w="2268" w:type="dxa"/>
          </w:tcPr>
          <w:p w:rsidR="009022B4">
            <w:pPr>
              <w:spacing w:before="240" w:after="240"/>
              <w:jc w:val="right"/>
              <w:rPr>
                <w:rFonts w:cstheme="minorHAnsi"/>
                <w:b/>
                <w:bCs/>
                <w:lang w:eastAsia="en-GB"/>
              </w:rPr>
            </w:pPr>
            <w:r>
              <w:rPr>
                <w:rFonts w:cstheme="minorHAnsi"/>
                <w:b/>
                <w:bCs/>
                <w:lang w:eastAsia="en-GB"/>
              </w:rPr>
              <w:t>875</w:t>
            </w:r>
          </w:p>
        </w:tc>
      </w:tr>
      <w:tr w:rsidTr="001018E5">
        <w:tblPrEx>
          <w:tblW w:w="14879" w:type="dxa"/>
          <w:tblLayout w:type="fixed"/>
          <w:tblLook w:val="04A0"/>
        </w:tblPrEx>
        <w:trPr>
          <w:trHeight w:val="28"/>
        </w:trPr>
        <w:tc>
          <w:tcPr>
            <w:tcW w:w="5677" w:type="dxa"/>
            <w:noWrap/>
          </w:tcPr>
          <w:p w:rsidR="009022B4">
            <w:pPr>
              <w:spacing w:before="240" w:after="240"/>
              <w:rPr>
                <w:rFonts w:cstheme="minorHAnsi"/>
                <w:b/>
                <w:bCs/>
                <w:i/>
                <w:lang w:eastAsia="en-GB"/>
              </w:rPr>
            </w:pPr>
          </w:p>
        </w:tc>
        <w:tc>
          <w:tcPr>
            <w:tcW w:w="1126" w:type="dxa"/>
            <w:noWrap/>
          </w:tcPr>
          <w:p w:rsidR="009022B4">
            <w:pPr>
              <w:spacing w:before="240" w:after="240"/>
              <w:rPr>
                <w:rFonts w:cstheme="minorHAnsi"/>
                <w:i/>
                <w:lang w:eastAsia="en-GB"/>
              </w:rPr>
            </w:pPr>
          </w:p>
        </w:tc>
        <w:tc>
          <w:tcPr>
            <w:tcW w:w="1758" w:type="dxa"/>
            <w:noWrap/>
          </w:tcPr>
          <w:p w:rsidR="009022B4">
            <w:pPr>
              <w:spacing w:before="240" w:after="240"/>
              <w:rPr>
                <w:rFonts w:cstheme="minorHAnsi"/>
                <w:i/>
                <w:lang w:eastAsia="en-GB"/>
              </w:rPr>
            </w:pPr>
          </w:p>
        </w:tc>
        <w:tc>
          <w:tcPr>
            <w:tcW w:w="1924" w:type="dxa"/>
            <w:noWrap/>
          </w:tcPr>
          <w:p w:rsidR="009022B4">
            <w:pPr>
              <w:spacing w:before="240" w:after="240"/>
              <w:rPr>
                <w:rFonts w:cstheme="minorHAnsi"/>
                <w:i/>
                <w:lang w:eastAsia="en-GB"/>
              </w:rPr>
            </w:pPr>
          </w:p>
        </w:tc>
        <w:tc>
          <w:tcPr>
            <w:tcW w:w="2126" w:type="dxa"/>
          </w:tcPr>
          <w:p w:rsidR="009022B4" w:rsidRPr="00D54DAF">
            <w:pPr>
              <w:spacing w:before="240" w:after="240"/>
              <w:jc w:val="right"/>
              <w:rPr>
                <w:rFonts w:cstheme="minorHAnsi"/>
                <w:b/>
                <w:bCs/>
                <w:lang w:eastAsia="en-GB"/>
              </w:rPr>
            </w:pPr>
          </w:p>
        </w:tc>
        <w:tc>
          <w:tcPr>
            <w:tcW w:w="2268" w:type="dxa"/>
          </w:tcPr>
          <w:p w:rsidR="009022B4" w:rsidRPr="00D54DAF">
            <w:pPr>
              <w:spacing w:before="240" w:after="240"/>
              <w:jc w:val="right"/>
              <w:rPr>
                <w:rFonts w:cstheme="minorHAnsi"/>
                <w:b/>
                <w:bCs/>
                <w:lang w:eastAsia="en-GB"/>
              </w:rPr>
            </w:pPr>
          </w:p>
        </w:tc>
      </w:tr>
      <w:tr w:rsidTr="001018E5">
        <w:tblPrEx>
          <w:tblW w:w="14879" w:type="dxa"/>
          <w:tblLayout w:type="fixed"/>
          <w:tblLook w:val="04A0"/>
        </w:tblPrEx>
        <w:trPr>
          <w:trHeight w:val="300"/>
        </w:trPr>
        <w:tc>
          <w:tcPr>
            <w:tcW w:w="10485" w:type="dxa"/>
            <w:gridSpan w:val="4"/>
            <w:noWrap/>
            <w:hideMark/>
          </w:tcPr>
          <w:p w:rsidR="009022B4">
            <w:pPr>
              <w:spacing w:before="240" w:after="240"/>
              <w:rPr>
                <w:rFonts w:cstheme="minorHAnsi"/>
                <w:i/>
                <w:lang w:eastAsia="en-GB"/>
              </w:rPr>
            </w:pPr>
            <w:r>
              <w:rPr>
                <w:rFonts w:cstheme="minorHAnsi"/>
                <w:b/>
                <w:bCs/>
                <w:i/>
                <w:lang w:eastAsia="en-GB"/>
              </w:rPr>
              <w:t>Total</w:t>
            </w:r>
          </w:p>
        </w:tc>
        <w:tc>
          <w:tcPr>
            <w:tcW w:w="2126" w:type="dxa"/>
          </w:tcPr>
          <w:p w:rsidR="009022B4" w:rsidRPr="00D54DAF">
            <w:pPr>
              <w:spacing w:before="240" w:after="240"/>
              <w:jc w:val="right"/>
              <w:rPr>
                <w:rFonts w:cstheme="minorHAnsi"/>
                <w:b/>
                <w:bCs/>
                <w:lang w:eastAsia="en-GB"/>
              </w:rPr>
            </w:pPr>
            <w:r>
              <w:rPr>
                <w:rFonts w:cstheme="minorHAnsi"/>
                <w:b/>
                <w:bCs/>
                <w:lang w:eastAsia="en-GB"/>
              </w:rPr>
              <w:t>5,392</w:t>
            </w:r>
            <w:r>
              <w:rPr>
                <w:rStyle w:val="FootnoteReference"/>
                <w:rFonts w:cstheme="minorHAnsi"/>
                <w:b/>
                <w:bCs/>
                <w:lang w:eastAsia="en-GB"/>
              </w:rPr>
              <w:footnoteReference w:id="5"/>
            </w:r>
          </w:p>
        </w:tc>
        <w:tc>
          <w:tcPr>
            <w:tcW w:w="2268" w:type="dxa"/>
          </w:tcPr>
          <w:p w:rsidR="009022B4" w:rsidRPr="00737F8A">
            <w:pPr>
              <w:spacing w:before="240" w:after="240"/>
              <w:jc w:val="right"/>
              <w:rPr>
                <w:b/>
                <w:lang w:eastAsia="en-GB"/>
              </w:rPr>
            </w:pPr>
            <w:r w:rsidRPr="00C63CFD">
              <w:rPr>
                <w:b/>
                <w:bCs/>
                <w:lang w:eastAsia="en-GB"/>
              </w:rPr>
              <w:t>4,784</w:t>
            </w:r>
          </w:p>
        </w:tc>
      </w:tr>
    </w:tbl>
    <w:p w:rsidR="009022B4" w:rsidP="009022B4">
      <w:pPr>
        <w:spacing w:before="240" w:after="240"/>
      </w:pPr>
    </w:p>
    <w:p w:rsidR="00F47C51" w:rsidRPr="00F47C51" w:rsidP="00F47C51">
      <w:pPr>
        <w:pStyle w:val="Heading1"/>
        <w:rPr>
          <w:rFonts w:asciiTheme="minorHAnsi" w:hAnsiTheme="minorHAnsi" w:cstheme="minorHAnsi"/>
          <w:sz w:val="22"/>
          <w:szCs w:val="22"/>
        </w:rPr>
      </w:pPr>
      <w:bookmarkEnd w:id="19"/>
    </w:p>
    <w:p w:rsidR="00EF21F5">
      <w:pPr>
        <w:rPr>
          <w:rFonts w:cstheme="minorHAnsi"/>
          <w:b/>
          <w:sz w:val="28"/>
          <w:szCs w:val="28"/>
        </w:rPr>
      </w:pPr>
      <w:bookmarkEnd w:id="20"/>
      <w:r>
        <w:rPr>
          <w:rFonts w:cstheme="minorHAnsi"/>
          <w:b/>
          <w:sz w:val="28"/>
          <w:szCs w:val="28"/>
        </w:rPr>
        <w:br w:type="page"/>
      </w:r>
    </w:p>
    <w:p w:rsidR="00F55654" w:rsidP="00F47C51">
      <w:pPr>
        <w:rPr>
          <w:rFonts w:cstheme="minorHAnsi"/>
          <w:b/>
          <w:sz w:val="28"/>
          <w:szCs w:val="28"/>
        </w:rPr>
        <w:sectPr w:rsidSect="00F55654">
          <w:footerReference w:type="default" r:id="rId12"/>
          <w:pgSz w:w="16838" w:h="11906" w:orient="landscape"/>
          <w:pgMar w:top="720" w:right="720" w:bottom="720" w:left="720" w:header="709" w:footer="709" w:gutter="0"/>
          <w:cols w:space="708"/>
          <w:docGrid w:linePitch="360"/>
        </w:sectPr>
      </w:pPr>
    </w:p>
    <w:p w:rsidR="00F47C51" w:rsidP="00F47C51">
      <w:pPr>
        <w:rPr>
          <w:rFonts w:cstheme="minorHAnsi"/>
          <w:bCs/>
        </w:rPr>
      </w:pPr>
      <w:r>
        <w:rPr>
          <w:rFonts w:cstheme="minorHAnsi"/>
          <w:b/>
        </w:rPr>
        <w:t>Annex A</w:t>
      </w:r>
      <w:r w:rsidRPr="00574477">
        <w:rPr>
          <w:rFonts w:cstheme="minorHAnsi"/>
          <w:b/>
        </w:rPr>
        <w:t xml:space="preserve"> </w:t>
      </w:r>
      <w:r>
        <w:rPr>
          <w:rFonts w:cstheme="minorHAnsi"/>
          <w:b/>
        </w:rPr>
        <w:t>- Resource DEL</w:t>
      </w:r>
      <w:r w:rsidRPr="00574477">
        <w:rPr>
          <w:rFonts w:cstheme="minorHAnsi"/>
          <w:b/>
        </w:rPr>
        <w:t xml:space="preserve"> Expenditure Categorisation</w:t>
      </w:r>
      <w:r w:rsidR="00CE78E0">
        <w:rPr>
          <w:rFonts w:cstheme="minorHAnsi"/>
          <w:bCs/>
        </w:rPr>
        <w:t xml:space="preserve"> </w:t>
      </w:r>
    </w:p>
    <w:p w:rsidR="007E3EA8" w:rsidP="008A26C3">
      <w:pPr>
        <w:spacing w:after="0" w:line="240" w:lineRule="auto"/>
      </w:pPr>
      <w:r w:rsidRPr="00FE7ECB">
        <w:t xml:space="preserve">To help the reader of the </w:t>
      </w:r>
      <w:r w:rsidR="00BA2BB9">
        <w:t>Main</w:t>
      </w:r>
      <w:r w:rsidRPr="00FE7ECB">
        <w:t xml:space="preserve"> Estimate Memorandum understand how the Department spends resources, the table below has been designed to set out the total RDEL </w:t>
      </w:r>
      <w:r>
        <w:t>Main Estimate 202</w:t>
      </w:r>
      <w:r w:rsidR="0054409A">
        <w:t>3</w:t>
      </w:r>
      <w:r>
        <w:t>-2</w:t>
      </w:r>
      <w:r w:rsidR="0054409A">
        <w:t>4</w:t>
      </w:r>
      <w:r>
        <w:t xml:space="preserve"> budget</w:t>
      </w:r>
      <w:r w:rsidRPr="00FE7ECB">
        <w:t xml:space="preserve"> of </w:t>
      </w:r>
      <w:r w:rsidRPr="00526769" w:rsidR="00D3663A">
        <w:t>£</w:t>
      </w:r>
      <w:r w:rsidRPr="00526769" w:rsidR="00177281">
        <w:t>85</w:t>
      </w:r>
      <w:r w:rsidRPr="00526769" w:rsidR="006F381A">
        <w:t>,</w:t>
      </w:r>
      <w:r w:rsidRPr="00526769" w:rsidR="00177281">
        <w:t>993</w:t>
      </w:r>
      <w:r w:rsidRPr="00526769">
        <w:t xml:space="preserve"> </w:t>
      </w:r>
      <w:r w:rsidRPr="00FE7ECB">
        <w:t>m</w:t>
      </w:r>
      <w:r>
        <w:t>illion</w:t>
      </w:r>
      <w:r w:rsidRPr="00FE7ECB">
        <w:t xml:space="preserve"> in a way that shows spending </w:t>
      </w:r>
      <w:r w:rsidR="00057AB8">
        <w:t>against outcomes</w:t>
      </w:r>
      <w:r w:rsidR="00526769">
        <w:t>.</w:t>
      </w:r>
      <w:r w:rsidRPr="00FE7ECB" w:rsidR="00526769">
        <w:t xml:space="preserve"> </w:t>
      </w:r>
    </w:p>
    <w:p w:rsidR="003F70C1" w:rsidP="008A26C3">
      <w:pPr>
        <w:spacing w:after="0" w:line="240" w:lineRule="auto"/>
      </w:pPr>
    </w:p>
    <w:tbl>
      <w:tblPr>
        <w:tblW w:w="8784" w:type="dxa"/>
        <w:tblLook w:val="04A0"/>
      </w:tblPr>
      <w:tblGrid>
        <w:gridCol w:w="2860"/>
        <w:gridCol w:w="1220"/>
        <w:gridCol w:w="1300"/>
        <w:gridCol w:w="1419"/>
        <w:gridCol w:w="1134"/>
        <w:gridCol w:w="851"/>
      </w:tblGrid>
      <w:tr w:rsidTr="00EF049C">
        <w:tblPrEx>
          <w:tblW w:w="8784" w:type="dxa"/>
          <w:tblLook w:val="04A0"/>
        </w:tblPrEx>
        <w:trPr>
          <w:trHeight w:val="825"/>
        </w:trPr>
        <w:tc>
          <w:tcPr>
            <w:tcW w:w="2860" w:type="dxa"/>
            <w:tcBorders>
              <w:top w:val="single" w:sz="4" w:space="0" w:color="auto"/>
              <w:left w:val="single" w:sz="4" w:space="0" w:color="auto"/>
              <w:bottom w:val="single" w:sz="4" w:space="0" w:color="auto"/>
              <w:right w:val="single" w:sz="4" w:space="0" w:color="auto"/>
            </w:tcBorders>
            <w:shd w:val="clear" w:color="000000" w:fill="DDEBF7"/>
            <w:hideMark/>
          </w:tcPr>
          <w:p w:rsidR="00FD5F9A" w:rsidRPr="00FD5F9A" w:rsidP="00FD5F9A">
            <w:pPr>
              <w:spacing w:after="0" w:line="240" w:lineRule="auto"/>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Resource DEL expenditure category</w:t>
            </w:r>
          </w:p>
        </w:tc>
        <w:tc>
          <w:tcPr>
            <w:tcW w:w="1220" w:type="dxa"/>
            <w:tcBorders>
              <w:top w:val="single" w:sz="4" w:space="0" w:color="auto"/>
              <w:left w:val="nil"/>
              <w:bottom w:val="single" w:sz="4" w:space="0" w:color="auto"/>
              <w:right w:val="single" w:sz="4" w:space="0" w:color="auto"/>
            </w:tcBorders>
            <w:shd w:val="clear" w:color="000000" w:fill="DDEBF7"/>
            <w:hideMark/>
          </w:tcPr>
          <w:p w:rsidR="00FD5F9A" w:rsidRPr="00FD5F9A" w:rsidP="00FD5F9A">
            <w:pPr>
              <w:spacing w:after="0" w:line="240" w:lineRule="auto"/>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Outcome</w:t>
            </w:r>
          </w:p>
        </w:tc>
        <w:tc>
          <w:tcPr>
            <w:tcW w:w="1300" w:type="dxa"/>
            <w:tcBorders>
              <w:top w:val="single" w:sz="4" w:space="0" w:color="auto"/>
              <w:left w:val="nil"/>
              <w:bottom w:val="single" w:sz="4" w:space="0" w:color="auto"/>
              <w:right w:val="single" w:sz="4" w:space="0" w:color="auto"/>
            </w:tcBorders>
            <w:shd w:val="clear" w:color="000000" w:fill="DDEBF7"/>
            <w:hideMark/>
          </w:tcPr>
          <w:p w:rsidR="00FD5F9A" w:rsidRPr="00FD5F9A" w:rsidP="00FD5F9A">
            <w:pPr>
              <w:spacing w:after="0" w:line="240" w:lineRule="auto"/>
              <w:jc w:val="right"/>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Main Estimate 23-24</w:t>
            </w:r>
            <w:r w:rsidRPr="00FD5F9A">
              <w:rPr>
                <w:rFonts w:ascii="Calibri" w:eastAsia="Times New Roman" w:hAnsi="Calibri" w:cs="Calibri"/>
                <w:b/>
                <w:bCs/>
                <w:color w:val="000000"/>
                <w:sz w:val="16"/>
                <w:szCs w:val="16"/>
                <w:lang w:eastAsia="en-GB"/>
              </w:rPr>
              <w:br/>
              <w:t>£000</w:t>
            </w:r>
          </w:p>
        </w:tc>
        <w:tc>
          <w:tcPr>
            <w:tcW w:w="1419" w:type="dxa"/>
            <w:tcBorders>
              <w:top w:val="single" w:sz="4" w:space="0" w:color="auto"/>
              <w:left w:val="nil"/>
              <w:bottom w:val="single" w:sz="4" w:space="0" w:color="auto"/>
              <w:right w:val="single" w:sz="4" w:space="0" w:color="auto"/>
            </w:tcBorders>
            <w:shd w:val="clear" w:color="000000" w:fill="DDEBF7"/>
            <w:hideMark/>
          </w:tcPr>
          <w:p w:rsidR="00FD5F9A" w:rsidRPr="00FD5F9A" w:rsidP="00FD5F9A">
            <w:pPr>
              <w:spacing w:after="0" w:line="240" w:lineRule="auto"/>
              <w:jc w:val="right"/>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Supplementary Estimate 22-23</w:t>
            </w:r>
            <w:r w:rsidRPr="00FD5F9A">
              <w:rPr>
                <w:rFonts w:ascii="Calibri" w:eastAsia="Times New Roman" w:hAnsi="Calibri" w:cs="Calibri"/>
                <w:b/>
                <w:bCs/>
                <w:color w:val="000000"/>
                <w:sz w:val="16"/>
                <w:szCs w:val="16"/>
                <w:lang w:eastAsia="en-GB"/>
              </w:rPr>
              <w:br/>
              <w:t>£000</w:t>
            </w:r>
          </w:p>
        </w:tc>
        <w:tc>
          <w:tcPr>
            <w:tcW w:w="1134" w:type="dxa"/>
            <w:tcBorders>
              <w:top w:val="single" w:sz="4" w:space="0" w:color="auto"/>
              <w:left w:val="nil"/>
              <w:bottom w:val="single" w:sz="4" w:space="0" w:color="auto"/>
              <w:right w:val="single" w:sz="4" w:space="0" w:color="auto"/>
            </w:tcBorders>
            <w:shd w:val="clear" w:color="000000" w:fill="DDEBF7"/>
            <w:hideMark/>
          </w:tcPr>
          <w:p w:rsidR="00FD5F9A" w:rsidRPr="00FD5F9A" w:rsidP="00FD5F9A">
            <w:pPr>
              <w:spacing w:after="0" w:line="240" w:lineRule="auto"/>
              <w:jc w:val="right"/>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Variance</w:t>
            </w:r>
            <w:r w:rsidRPr="00FD5F9A">
              <w:rPr>
                <w:rFonts w:ascii="Calibri" w:eastAsia="Times New Roman" w:hAnsi="Calibri" w:cs="Calibri"/>
                <w:b/>
                <w:bCs/>
                <w:color w:val="000000"/>
                <w:sz w:val="16"/>
                <w:szCs w:val="16"/>
                <w:lang w:eastAsia="en-GB"/>
              </w:rPr>
              <w:br/>
              <w:t>£000</w:t>
            </w:r>
          </w:p>
        </w:tc>
        <w:tc>
          <w:tcPr>
            <w:tcW w:w="851" w:type="dxa"/>
            <w:tcBorders>
              <w:top w:val="single" w:sz="4" w:space="0" w:color="auto"/>
              <w:left w:val="nil"/>
              <w:bottom w:val="single" w:sz="4" w:space="0" w:color="auto"/>
              <w:right w:val="single" w:sz="4" w:space="0" w:color="auto"/>
            </w:tcBorders>
            <w:shd w:val="clear" w:color="000000" w:fill="DDEBF7"/>
            <w:hideMark/>
          </w:tcPr>
          <w:p w:rsidR="00FD5F9A" w:rsidRPr="00FD5F9A" w:rsidP="00FD5F9A">
            <w:pPr>
              <w:spacing w:after="0" w:line="240" w:lineRule="auto"/>
              <w:jc w:val="right"/>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Variance</w:t>
            </w:r>
            <w:r w:rsidRPr="00FD5F9A">
              <w:rPr>
                <w:rFonts w:ascii="Calibri" w:eastAsia="Times New Roman" w:hAnsi="Calibri" w:cs="Calibri"/>
                <w:b/>
                <w:bCs/>
                <w:color w:val="000000"/>
                <w:sz w:val="16"/>
                <w:szCs w:val="16"/>
                <w:lang w:eastAsia="en-GB"/>
              </w:rPr>
              <w:br/>
              <w:t>%</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16-19 Education</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6,809,867</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6,437,065</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372,802</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5.8%</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Apprenticeships - Protected</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2,585,009</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2,554,008</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31,001</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1.2%</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Apprenticeships - Other</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36,632</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37,558</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-926</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-2.5%</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Careers and Skills</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120,766</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116,246</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4,520</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3.9%</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 xml:space="preserve">Children and Social Care </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Families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594,140</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458,149</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135,991</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29.7%</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Corporate Services</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Cross Cutting</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578,081</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572,059</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6,022</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1.1%</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Curriculum and Qualifications</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232,448</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222,466</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9,982</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4.5%</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Early Years Education</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Families / Schools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4,183,898</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3,833,204</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350,694</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9.1%</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Further Education (FE)</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Schools / 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1,907,913</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1,855,242</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52,671</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2.8%</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Higher Education (HE)</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2,147,021</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1,849,521</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297,500</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16.1%</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International Education</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9,678</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21,328</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-11,650</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-54.6%</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Pupil Health and Wellbeing</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292,466</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300,630</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-8,164</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-2.7%</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 Funding and Analysis</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Families / Schools / 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60,488,957</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56,920,790</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3,568,167</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6.3%</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 Quality and Safeguarding</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-4,155</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5,843</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-9,998</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-171.1%</w:t>
            </w:r>
          </w:p>
        </w:tc>
      </w:tr>
      <w:tr w:rsidTr="00EF049C">
        <w:tblPrEx>
          <w:tblW w:w="8784" w:type="dxa"/>
          <w:tblLook w:val="04A0"/>
        </w:tblPrEx>
        <w:trPr>
          <w:trHeight w:val="285"/>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 System and Infrastructure</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855,051</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854,316</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735</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0.1%</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Standards and Testing</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48,849</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45,795</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3,054</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6.7%</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Student Loans</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4,577,442</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-739,165</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5,316,607</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-719.3%</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T-Levels</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Skills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73,492</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60,390</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13,102</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21.7%</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auto" w:fill="auto"/>
            <w:noWrap/>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Teaching Workforce</w:t>
            </w:r>
          </w:p>
        </w:tc>
        <w:tc>
          <w:tcPr>
            <w:tcW w:w="1220" w:type="dxa"/>
            <w:tcBorders>
              <w:top w:val="nil"/>
              <w:left w:val="nil"/>
              <w:bottom w:val="single" w:sz="4" w:space="0" w:color="auto"/>
              <w:right w:val="single" w:sz="4" w:space="0" w:color="auto"/>
            </w:tcBorders>
            <w:shd w:val="clear" w:color="auto" w:fill="auto"/>
            <w:hideMark/>
          </w:tcPr>
          <w:p w:rsidR="00FD5F9A" w:rsidRPr="00FD5F9A" w:rsidP="00FD5F9A">
            <w:pPr>
              <w:spacing w:after="0" w:line="240" w:lineRule="auto"/>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Schools</w:t>
            </w:r>
          </w:p>
        </w:tc>
        <w:tc>
          <w:tcPr>
            <w:tcW w:w="1300"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455,732</w:t>
            </w:r>
          </w:p>
        </w:tc>
        <w:tc>
          <w:tcPr>
            <w:tcW w:w="1419"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sz w:val="16"/>
                <w:szCs w:val="16"/>
                <w:lang w:eastAsia="en-GB"/>
              </w:rPr>
            </w:pPr>
            <w:r w:rsidRPr="00FD5F9A">
              <w:rPr>
                <w:rFonts w:ascii="Calibri" w:eastAsia="Times New Roman" w:hAnsi="Calibri" w:cs="Calibri"/>
                <w:sz w:val="16"/>
                <w:szCs w:val="16"/>
                <w:lang w:eastAsia="en-GB"/>
              </w:rPr>
              <w:t>391,976</w:t>
            </w:r>
          </w:p>
        </w:tc>
        <w:tc>
          <w:tcPr>
            <w:tcW w:w="1134"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63,756</w:t>
            </w:r>
          </w:p>
        </w:tc>
        <w:tc>
          <w:tcPr>
            <w:tcW w:w="851" w:type="dxa"/>
            <w:tcBorders>
              <w:top w:val="nil"/>
              <w:left w:val="nil"/>
              <w:bottom w:val="single" w:sz="4" w:space="0" w:color="auto"/>
              <w:right w:val="single" w:sz="4" w:space="0" w:color="auto"/>
            </w:tcBorders>
            <w:shd w:val="clear" w:color="auto" w:fill="auto"/>
            <w:noWrap/>
            <w:hideMark/>
          </w:tcPr>
          <w:p w:rsidR="00FD5F9A" w:rsidRPr="00FD5F9A" w:rsidP="00FD5F9A">
            <w:pPr>
              <w:spacing w:after="0" w:line="240" w:lineRule="auto"/>
              <w:jc w:val="right"/>
              <w:rPr>
                <w:rFonts w:ascii="Calibri" w:eastAsia="Times New Roman" w:hAnsi="Calibri" w:cs="Calibri"/>
                <w:color w:val="000000"/>
                <w:sz w:val="16"/>
                <w:szCs w:val="16"/>
                <w:lang w:eastAsia="en-GB"/>
              </w:rPr>
            </w:pPr>
            <w:r w:rsidRPr="00FD5F9A">
              <w:rPr>
                <w:rFonts w:ascii="Calibri" w:eastAsia="Times New Roman" w:hAnsi="Calibri" w:cs="Calibri"/>
                <w:color w:val="000000"/>
                <w:sz w:val="16"/>
                <w:szCs w:val="16"/>
                <w:lang w:eastAsia="en-GB"/>
              </w:rPr>
              <w:t>16.3%</w:t>
            </w:r>
          </w:p>
        </w:tc>
      </w:tr>
      <w:tr w:rsidTr="00EF049C">
        <w:tblPrEx>
          <w:tblW w:w="8784" w:type="dxa"/>
          <w:tblLook w:val="04A0"/>
        </w:tblPrEx>
        <w:trPr>
          <w:trHeight w:val="270"/>
        </w:trPr>
        <w:tc>
          <w:tcPr>
            <w:tcW w:w="2860" w:type="dxa"/>
            <w:tcBorders>
              <w:top w:val="nil"/>
              <w:left w:val="single" w:sz="4" w:space="0" w:color="auto"/>
              <w:bottom w:val="single" w:sz="4" w:space="0" w:color="auto"/>
              <w:right w:val="single" w:sz="4" w:space="0" w:color="auto"/>
            </w:tcBorders>
            <w:shd w:val="clear" w:color="000000" w:fill="DDEBF7"/>
            <w:noWrap/>
            <w:hideMark/>
          </w:tcPr>
          <w:p w:rsidR="00FD5F9A" w:rsidRPr="00FD5F9A" w:rsidP="00FD5F9A">
            <w:pPr>
              <w:spacing w:after="0" w:line="240" w:lineRule="auto"/>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Total</w:t>
            </w:r>
          </w:p>
        </w:tc>
        <w:tc>
          <w:tcPr>
            <w:tcW w:w="1220" w:type="dxa"/>
            <w:tcBorders>
              <w:top w:val="nil"/>
              <w:left w:val="nil"/>
              <w:bottom w:val="single" w:sz="4" w:space="0" w:color="auto"/>
              <w:right w:val="single" w:sz="4" w:space="0" w:color="auto"/>
            </w:tcBorders>
            <w:shd w:val="clear" w:color="000000" w:fill="DDEBF7"/>
            <w:noWrap/>
            <w:hideMark/>
          </w:tcPr>
          <w:p w:rsidR="00FD5F9A" w:rsidRPr="00FD5F9A" w:rsidP="00FD5F9A">
            <w:pPr>
              <w:spacing w:after="0" w:line="240" w:lineRule="auto"/>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 </w:t>
            </w:r>
          </w:p>
        </w:tc>
        <w:tc>
          <w:tcPr>
            <w:tcW w:w="1300" w:type="dxa"/>
            <w:tcBorders>
              <w:top w:val="nil"/>
              <w:left w:val="nil"/>
              <w:bottom w:val="single" w:sz="4" w:space="0" w:color="auto"/>
              <w:right w:val="single" w:sz="4" w:space="0" w:color="auto"/>
            </w:tcBorders>
            <w:shd w:val="clear" w:color="000000" w:fill="DDEBF7"/>
            <w:noWrap/>
            <w:hideMark/>
          </w:tcPr>
          <w:p w:rsidR="00FD5F9A" w:rsidRPr="00FD5F9A" w:rsidP="00FD5F9A">
            <w:pPr>
              <w:spacing w:after="0" w:line="240" w:lineRule="auto"/>
              <w:jc w:val="right"/>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85,993,287</w:t>
            </w:r>
          </w:p>
        </w:tc>
        <w:tc>
          <w:tcPr>
            <w:tcW w:w="1419" w:type="dxa"/>
            <w:tcBorders>
              <w:top w:val="nil"/>
              <w:left w:val="nil"/>
              <w:bottom w:val="single" w:sz="4" w:space="0" w:color="auto"/>
              <w:right w:val="single" w:sz="4" w:space="0" w:color="auto"/>
            </w:tcBorders>
            <w:shd w:val="clear" w:color="000000" w:fill="DDEBF7"/>
            <w:noWrap/>
            <w:hideMark/>
          </w:tcPr>
          <w:p w:rsidR="00FD5F9A" w:rsidRPr="00FD5F9A" w:rsidP="00FD5F9A">
            <w:pPr>
              <w:spacing w:after="0" w:line="240" w:lineRule="auto"/>
              <w:jc w:val="right"/>
              <w:rPr>
                <w:rFonts w:ascii="Calibri" w:eastAsia="Times New Roman" w:hAnsi="Calibri" w:cs="Calibri"/>
                <w:b/>
                <w:bCs/>
                <w:sz w:val="16"/>
                <w:szCs w:val="16"/>
                <w:lang w:eastAsia="en-GB"/>
              </w:rPr>
            </w:pPr>
            <w:r w:rsidRPr="00FD5F9A">
              <w:rPr>
                <w:rFonts w:ascii="Calibri" w:eastAsia="Times New Roman" w:hAnsi="Calibri" w:cs="Calibri"/>
                <w:b/>
                <w:bCs/>
                <w:sz w:val="16"/>
                <w:szCs w:val="16"/>
                <w:lang w:eastAsia="en-GB"/>
              </w:rPr>
              <w:t>75,797,421</w:t>
            </w:r>
          </w:p>
        </w:tc>
        <w:tc>
          <w:tcPr>
            <w:tcW w:w="1134" w:type="dxa"/>
            <w:tcBorders>
              <w:top w:val="nil"/>
              <w:left w:val="nil"/>
              <w:bottom w:val="single" w:sz="4" w:space="0" w:color="auto"/>
              <w:right w:val="single" w:sz="4" w:space="0" w:color="auto"/>
            </w:tcBorders>
            <w:shd w:val="clear" w:color="000000" w:fill="DDEBF7"/>
            <w:noWrap/>
            <w:hideMark/>
          </w:tcPr>
          <w:p w:rsidR="00FD5F9A" w:rsidRPr="00FD5F9A" w:rsidP="00FD5F9A">
            <w:pPr>
              <w:spacing w:after="0" w:line="240" w:lineRule="auto"/>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 </w:t>
            </w:r>
          </w:p>
        </w:tc>
        <w:tc>
          <w:tcPr>
            <w:tcW w:w="851" w:type="dxa"/>
            <w:tcBorders>
              <w:top w:val="nil"/>
              <w:left w:val="nil"/>
              <w:bottom w:val="single" w:sz="4" w:space="0" w:color="auto"/>
              <w:right w:val="single" w:sz="4" w:space="0" w:color="auto"/>
            </w:tcBorders>
            <w:shd w:val="clear" w:color="000000" w:fill="DDEBF7"/>
            <w:noWrap/>
            <w:hideMark/>
          </w:tcPr>
          <w:p w:rsidR="00FD5F9A" w:rsidRPr="00FD5F9A" w:rsidP="00FD5F9A">
            <w:pPr>
              <w:spacing w:after="0" w:line="240" w:lineRule="auto"/>
              <w:rPr>
                <w:rFonts w:ascii="Calibri" w:eastAsia="Times New Roman" w:hAnsi="Calibri" w:cs="Calibri"/>
                <w:b/>
                <w:bCs/>
                <w:color w:val="000000"/>
                <w:sz w:val="16"/>
                <w:szCs w:val="16"/>
                <w:lang w:eastAsia="en-GB"/>
              </w:rPr>
            </w:pPr>
            <w:r w:rsidRPr="00FD5F9A">
              <w:rPr>
                <w:rFonts w:ascii="Calibri" w:eastAsia="Times New Roman" w:hAnsi="Calibri" w:cs="Calibri"/>
                <w:b/>
                <w:bCs/>
                <w:color w:val="000000"/>
                <w:sz w:val="16"/>
                <w:szCs w:val="16"/>
                <w:lang w:eastAsia="en-GB"/>
              </w:rPr>
              <w:t> </w:t>
            </w:r>
          </w:p>
        </w:tc>
      </w:tr>
    </w:tbl>
    <w:p w:rsidR="003F70C1" w:rsidRPr="007E3EA8" w:rsidP="008A26C3">
      <w:pPr>
        <w:spacing w:after="0" w:line="240" w:lineRule="auto"/>
      </w:pPr>
    </w:p>
    <w:p w:rsidR="00D37DFB" w:rsidP="00526D72">
      <w:pPr>
        <w:rPr>
          <w:b/>
        </w:rPr>
      </w:pPr>
    </w:p>
    <w:p w:rsidR="00904DEC" w:rsidP="00526D72">
      <w:pPr>
        <w:rPr>
          <w:b/>
        </w:rPr>
      </w:pPr>
      <w:r w:rsidRPr="00CD5D3D">
        <w:rPr>
          <w:noProof/>
        </w:rPr>
        <w:drawing>
          <wp:inline distT="0" distB="0" distL="0" distR="0">
            <wp:extent cx="6482715" cy="1866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3">
                      <a:extLst>
                        <a:ext uri="{28A0092B-C50C-407E-A947-70E740481C1C}">
                          <a14:useLocalDpi xmlns:a14="http://schemas.microsoft.com/office/drawing/2010/main" val="0"/>
                        </a:ext>
                      </a:extLst>
                    </a:blip>
                    <a:srcRect/>
                    <a:stretch>
                      <a:fillRect/>
                    </a:stretch>
                  </pic:blipFill>
                  <pic:spPr bwMode="auto">
                    <a:xfrm>
                      <a:off x="0" y="0"/>
                      <a:ext cx="6482715" cy="1866900"/>
                    </a:xfrm>
                    <a:prstGeom prst="rect">
                      <a:avLst/>
                    </a:prstGeom>
                    <a:noFill/>
                    <a:ln>
                      <a:noFill/>
                    </a:ln>
                  </pic:spPr>
                </pic:pic>
              </a:graphicData>
            </a:graphic>
          </wp:inline>
        </w:drawing>
      </w:r>
    </w:p>
    <w:p w:rsidR="00827452" w:rsidP="00526D72">
      <w:pPr>
        <w:rPr>
          <w:b/>
        </w:rPr>
      </w:pPr>
    </w:p>
    <w:p w:rsidR="00D34B6C" w:rsidP="00526D72">
      <w:pPr>
        <w:rPr>
          <w:b/>
        </w:rPr>
      </w:pPr>
    </w:p>
    <w:p w:rsidR="00F47D81">
      <w:pPr>
        <w:rPr>
          <w:b/>
        </w:rPr>
      </w:pPr>
      <w:r>
        <w:rPr>
          <w:b/>
        </w:rPr>
        <w:br w:type="page"/>
      </w:r>
    </w:p>
    <w:p w:rsidR="00F47D81" w:rsidP="00526D72">
      <w:pPr>
        <w:rPr>
          <w:b/>
        </w:rPr>
        <w:sectPr w:rsidSect="007B0A07">
          <w:pgSz w:w="11906" w:h="16838"/>
          <w:pgMar w:top="720" w:right="720" w:bottom="720" w:left="720" w:header="709" w:footer="709" w:gutter="0"/>
          <w:cols w:space="708"/>
          <w:docGrid w:linePitch="360"/>
        </w:sectPr>
      </w:pPr>
    </w:p>
    <w:p w:rsidR="00D62C52" w:rsidP="00526D72">
      <w:pPr>
        <w:rPr>
          <w:b/>
        </w:rPr>
      </w:pPr>
      <w:r w:rsidRPr="003C3D63">
        <w:rPr>
          <w:b/>
        </w:rPr>
        <w:t>Annex B: Control total changes during Spending Review period</w:t>
      </w:r>
    </w:p>
    <w:p w:rsidR="00941E3F" w:rsidP="00526D72">
      <w:pPr>
        <w:rPr>
          <w:rFonts w:cstheme="minorHAnsi"/>
        </w:rPr>
      </w:pPr>
    </w:p>
    <w:tbl>
      <w:tblPr>
        <w:tblW w:w="15680" w:type="dxa"/>
        <w:tblLook w:val="04A0"/>
      </w:tblPr>
      <w:tblGrid>
        <w:gridCol w:w="7420"/>
        <w:gridCol w:w="1180"/>
        <w:gridCol w:w="1180"/>
        <w:gridCol w:w="1180"/>
        <w:gridCol w:w="1180"/>
        <w:gridCol w:w="1180"/>
        <w:gridCol w:w="1180"/>
        <w:gridCol w:w="1180"/>
      </w:tblGrid>
      <w:tr w:rsidTr="00D75F68">
        <w:tblPrEx>
          <w:tblW w:w="15680" w:type="dxa"/>
          <w:tblLook w:val="04A0"/>
        </w:tblPrEx>
        <w:trPr>
          <w:trHeight w:val="533"/>
          <w:tblHeader/>
        </w:trPr>
        <w:tc>
          <w:tcPr>
            <w:tcW w:w="7420" w:type="dxa"/>
            <w:tcBorders>
              <w:top w:val="single" w:sz="4" w:space="0" w:color="auto"/>
              <w:left w:val="single" w:sz="4" w:space="0" w:color="auto"/>
              <w:bottom w:val="single" w:sz="4" w:space="0" w:color="auto"/>
              <w:right w:val="single" w:sz="4" w:space="0" w:color="auto"/>
            </w:tcBorders>
            <w:shd w:val="clear" w:color="000000" w:fill="365F91"/>
            <w:noWrap/>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xml:space="preserve">Annex B: Control total changes during Spending Review period </w:t>
            </w:r>
          </w:p>
        </w:tc>
        <w:tc>
          <w:tcPr>
            <w:tcW w:w="1180"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bookmarkStart w:id="21" w:name="RANGE!B1"/>
            <w:r w:rsidRPr="00EA719C">
              <w:rPr>
                <w:rFonts w:ascii="Calibri" w:eastAsia="Times New Roman" w:hAnsi="Calibri" w:cs="Calibri"/>
                <w:color w:val="FFFFFF"/>
                <w:sz w:val="20"/>
                <w:szCs w:val="20"/>
                <w:lang w:eastAsia="en-GB"/>
              </w:rPr>
              <w:t>RDEL</w:t>
            </w:r>
            <w:bookmarkEnd w:id="21"/>
          </w:p>
        </w:tc>
        <w:tc>
          <w:tcPr>
            <w:tcW w:w="1180"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RDEL</w:t>
            </w:r>
          </w:p>
        </w:tc>
        <w:tc>
          <w:tcPr>
            <w:tcW w:w="1180" w:type="dxa"/>
            <w:tcBorders>
              <w:top w:val="single" w:sz="4" w:space="0" w:color="auto"/>
              <w:left w:val="single" w:sz="4" w:space="0" w:color="auto"/>
              <w:bottom w:val="single" w:sz="4" w:space="0" w:color="auto"/>
              <w:right w:val="single" w:sz="4" w:space="0" w:color="auto"/>
            </w:tcBorders>
            <w:shd w:val="clear" w:color="000000" w:fill="365F91"/>
            <w:noWrap/>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RDEL</w:t>
            </w:r>
          </w:p>
        </w:tc>
        <w:tc>
          <w:tcPr>
            <w:tcW w:w="1180" w:type="dxa"/>
            <w:tcBorders>
              <w:top w:val="single" w:sz="4" w:space="0" w:color="auto"/>
              <w:left w:val="single" w:sz="4" w:space="0" w:color="auto"/>
              <w:bottom w:val="single" w:sz="4" w:space="0" w:color="auto"/>
              <w:right w:val="single" w:sz="4" w:space="0" w:color="auto"/>
            </w:tcBorders>
            <w:shd w:val="clear" w:color="000000" w:fill="365F91"/>
            <w:noWrap/>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CDEL</w:t>
            </w:r>
          </w:p>
        </w:tc>
        <w:tc>
          <w:tcPr>
            <w:tcW w:w="1180" w:type="dxa"/>
            <w:tcBorders>
              <w:top w:val="single" w:sz="4" w:space="0" w:color="auto"/>
              <w:left w:val="single" w:sz="4" w:space="0" w:color="auto"/>
              <w:bottom w:val="single" w:sz="4" w:space="0" w:color="auto"/>
              <w:right w:val="single" w:sz="4" w:space="0" w:color="auto"/>
            </w:tcBorders>
            <w:shd w:val="clear" w:color="000000" w:fill="365F91"/>
            <w:noWrap/>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RAME</w:t>
            </w:r>
          </w:p>
        </w:tc>
        <w:tc>
          <w:tcPr>
            <w:tcW w:w="1180" w:type="dxa"/>
            <w:tcBorders>
              <w:top w:val="single" w:sz="4" w:space="0" w:color="auto"/>
              <w:left w:val="single" w:sz="4" w:space="0" w:color="auto"/>
              <w:bottom w:val="single" w:sz="4" w:space="0" w:color="auto"/>
              <w:right w:val="single" w:sz="4" w:space="0" w:color="auto"/>
            </w:tcBorders>
            <w:shd w:val="clear" w:color="000000" w:fill="365F91"/>
            <w:noWrap/>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xml:space="preserve">CAME </w:t>
            </w:r>
          </w:p>
        </w:tc>
        <w:tc>
          <w:tcPr>
            <w:tcW w:w="1180" w:type="dxa"/>
            <w:tcBorders>
              <w:top w:val="single" w:sz="4" w:space="0" w:color="auto"/>
              <w:left w:val="single" w:sz="4" w:space="0" w:color="auto"/>
              <w:bottom w:val="single" w:sz="4" w:space="0" w:color="auto"/>
              <w:right w:val="single" w:sz="4"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Voted-Non-Budget</w:t>
            </w:r>
          </w:p>
        </w:tc>
      </w:tr>
      <w:tr w:rsidTr="00D75F68">
        <w:tblPrEx>
          <w:tblW w:w="15680" w:type="dxa"/>
          <w:tblLook w:val="04A0"/>
        </w:tblPrEx>
        <w:trPr>
          <w:trHeight w:val="360"/>
        </w:trPr>
        <w:tc>
          <w:tcPr>
            <w:tcW w:w="7420" w:type="dxa"/>
            <w:vMerge w:val="restart"/>
            <w:tcBorders>
              <w:top w:val="single" w:sz="4" w:space="0" w:color="auto"/>
              <w:left w:val="single" w:sz="8" w:space="0" w:color="auto"/>
              <w:bottom w:val="single" w:sz="8" w:space="0" w:color="000000"/>
              <w:right w:val="single" w:sz="8" w:space="0" w:color="auto"/>
            </w:tcBorders>
            <w:shd w:val="clear" w:color="000000" w:fill="365F91"/>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Spending Review (SR21) 2023-24 CONTROL TOTALS - DfE Parliamentary Voted Control Totals 2023-24</w:t>
            </w:r>
          </w:p>
        </w:tc>
        <w:tc>
          <w:tcPr>
            <w:tcW w:w="1180" w:type="dxa"/>
            <w:tcBorders>
              <w:top w:val="single" w:sz="4" w:space="0" w:color="auto"/>
              <w:left w:val="nil"/>
              <w:bottom w:val="nil"/>
              <w:right w:val="single" w:sz="8" w:space="0" w:color="auto"/>
            </w:tcBorders>
            <w:shd w:val="clear" w:color="000000" w:fill="95B3D7"/>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Admin</w:t>
            </w:r>
          </w:p>
        </w:tc>
        <w:tc>
          <w:tcPr>
            <w:tcW w:w="1180" w:type="dxa"/>
            <w:tcBorders>
              <w:top w:val="single" w:sz="4" w:space="0" w:color="auto"/>
              <w:left w:val="nil"/>
              <w:bottom w:val="nil"/>
              <w:right w:val="single" w:sz="8" w:space="0" w:color="auto"/>
            </w:tcBorders>
            <w:shd w:val="clear" w:color="000000" w:fill="95B3D7"/>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Programme</w:t>
            </w:r>
          </w:p>
        </w:tc>
        <w:tc>
          <w:tcPr>
            <w:tcW w:w="1180" w:type="dxa"/>
            <w:tcBorders>
              <w:top w:val="single" w:sz="4" w:space="0" w:color="auto"/>
              <w:left w:val="nil"/>
              <w:bottom w:val="nil"/>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TOTAL (1)</w:t>
            </w:r>
          </w:p>
        </w:tc>
        <w:tc>
          <w:tcPr>
            <w:tcW w:w="1180" w:type="dxa"/>
            <w:tcBorders>
              <w:top w:val="single" w:sz="4" w:space="0" w:color="auto"/>
              <w:left w:val="nil"/>
              <w:bottom w:val="nil"/>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Capital (2)</w:t>
            </w:r>
          </w:p>
        </w:tc>
        <w:tc>
          <w:tcPr>
            <w:tcW w:w="1180" w:type="dxa"/>
            <w:tcBorders>
              <w:top w:val="single" w:sz="4" w:space="0" w:color="auto"/>
              <w:left w:val="nil"/>
              <w:bottom w:val="nil"/>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Resource (3)</w:t>
            </w:r>
          </w:p>
        </w:tc>
        <w:tc>
          <w:tcPr>
            <w:tcW w:w="1180" w:type="dxa"/>
            <w:tcBorders>
              <w:top w:val="single" w:sz="4" w:space="0" w:color="auto"/>
              <w:left w:val="nil"/>
              <w:bottom w:val="nil"/>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Capital (4)</w:t>
            </w:r>
          </w:p>
        </w:tc>
        <w:tc>
          <w:tcPr>
            <w:tcW w:w="1180" w:type="dxa"/>
            <w:tcBorders>
              <w:top w:val="single" w:sz="4" w:space="0" w:color="auto"/>
              <w:left w:val="nil"/>
              <w:bottom w:val="nil"/>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i.e. Grant in Aid</w:t>
            </w:r>
          </w:p>
        </w:tc>
      </w:tr>
      <w:tr w:rsidTr="00EA719C">
        <w:tblPrEx>
          <w:tblW w:w="15680" w:type="dxa"/>
          <w:tblLook w:val="04A0"/>
        </w:tblPrEx>
        <w:trPr>
          <w:trHeight w:val="180"/>
        </w:trPr>
        <w:tc>
          <w:tcPr>
            <w:tcW w:w="7420" w:type="dxa"/>
            <w:vMerge/>
            <w:tcBorders>
              <w:top w:val="nil"/>
              <w:left w:val="single" w:sz="8" w:space="0" w:color="auto"/>
              <w:bottom w:val="single" w:sz="8" w:space="0" w:color="000000"/>
              <w:right w:val="single" w:sz="8" w:space="0" w:color="auto"/>
            </w:tcBorders>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p>
        </w:tc>
        <w:tc>
          <w:tcPr>
            <w:tcW w:w="1180" w:type="dxa"/>
            <w:tcBorders>
              <w:top w:val="nil"/>
              <w:left w:val="nil"/>
              <w:bottom w:val="single" w:sz="8" w:space="0" w:color="auto"/>
              <w:right w:val="single" w:sz="8" w:space="0" w:color="auto"/>
            </w:tcBorders>
            <w:shd w:val="clear" w:color="000000" w:fill="95B3D7"/>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£000</w:t>
            </w:r>
          </w:p>
        </w:tc>
        <w:tc>
          <w:tcPr>
            <w:tcW w:w="1180" w:type="dxa"/>
            <w:tcBorders>
              <w:top w:val="nil"/>
              <w:left w:val="nil"/>
              <w:bottom w:val="single" w:sz="8" w:space="0" w:color="auto"/>
              <w:right w:val="single" w:sz="8" w:space="0" w:color="auto"/>
            </w:tcBorders>
            <w:shd w:val="clear" w:color="000000" w:fill="95B3D7"/>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£000</w:t>
            </w:r>
          </w:p>
        </w:tc>
        <w:tc>
          <w:tcPr>
            <w:tcW w:w="1180" w:type="dxa"/>
            <w:tcBorders>
              <w:top w:val="nil"/>
              <w:left w:val="nil"/>
              <w:bottom w:val="single" w:sz="8" w:space="0" w:color="auto"/>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£000</w:t>
            </w:r>
          </w:p>
        </w:tc>
        <w:tc>
          <w:tcPr>
            <w:tcW w:w="1180" w:type="dxa"/>
            <w:tcBorders>
              <w:top w:val="nil"/>
              <w:left w:val="nil"/>
              <w:bottom w:val="single" w:sz="8" w:space="0" w:color="auto"/>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£000</w:t>
            </w:r>
          </w:p>
        </w:tc>
        <w:tc>
          <w:tcPr>
            <w:tcW w:w="1180" w:type="dxa"/>
            <w:tcBorders>
              <w:top w:val="nil"/>
              <w:left w:val="nil"/>
              <w:bottom w:val="single" w:sz="8" w:space="0" w:color="auto"/>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£000</w:t>
            </w:r>
          </w:p>
        </w:tc>
        <w:tc>
          <w:tcPr>
            <w:tcW w:w="1180" w:type="dxa"/>
            <w:tcBorders>
              <w:top w:val="nil"/>
              <w:left w:val="nil"/>
              <w:bottom w:val="single" w:sz="8" w:space="0" w:color="auto"/>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£000</w:t>
            </w:r>
          </w:p>
        </w:tc>
        <w:tc>
          <w:tcPr>
            <w:tcW w:w="1180" w:type="dxa"/>
            <w:tcBorders>
              <w:top w:val="nil"/>
              <w:left w:val="nil"/>
              <w:bottom w:val="single" w:sz="8" w:space="0" w:color="auto"/>
              <w:right w:val="single" w:sz="8" w:space="0" w:color="auto"/>
            </w:tcBorders>
            <w:shd w:val="clear" w:color="000000" w:fill="365F91"/>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£000</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xml:space="preserve">Control Totals at start of Spending Review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546,252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82,979,178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83,525,430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7,035,000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color w:val="FF0000"/>
                <w:sz w:val="20"/>
                <w:szCs w:val="20"/>
                <w:lang w:eastAsia="en-GB"/>
              </w:rPr>
              <w:t>(4,410,901)</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34,426,188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xml:space="preserve">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SR 21 Control Total </w:t>
            </w:r>
            <w:r w:rsidR="006B2043">
              <w:rPr>
                <w:rFonts w:ascii="Calibri" w:eastAsia="Times New Roman" w:hAnsi="Calibri" w:cs="Calibri"/>
                <w:color w:val="000000"/>
                <w:sz w:val="20"/>
                <w:szCs w:val="20"/>
                <w:lang w:eastAsia="en-GB"/>
              </w:rPr>
              <w:t>–</w:t>
            </w:r>
            <w:r w:rsidRPr="00EA719C">
              <w:rPr>
                <w:rFonts w:ascii="Calibri" w:eastAsia="Times New Roman" w:hAnsi="Calibri" w:cs="Calibri"/>
                <w:color w:val="000000"/>
                <w:sz w:val="20"/>
                <w:szCs w:val="20"/>
                <w:lang w:eastAsia="en-GB"/>
              </w:rPr>
              <w:t xml:space="preserve"> </w:t>
            </w:r>
            <w:r w:rsidR="001818C5">
              <w:rPr>
                <w:rFonts w:ascii="Calibri" w:eastAsia="Times New Roman" w:hAnsi="Calibri" w:cs="Calibri"/>
                <w:color w:val="000000"/>
                <w:sz w:val="20"/>
                <w:szCs w:val="20"/>
                <w:lang w:eastAsia="en-GB"/>
              </w:rPr>
              <w:t>N</w:t>
            </w:r>
            <w:r w:rsidRPr="00EA719C" w:rsidR="001818C5">
              <w:rPr>
                <w:rFonts w:ascii="Calibri" w:eastAsia="Times New Roman" w:hAnsi="Calibri" w:cs="Calibri"/>
                <w:color w:val="000000"/>
                <w:sz w:val="20"/>
                <w:szCs w:val="20"/>
                <w:lang w:eastAsia="en-GB"/>
              </w:rPr>
              <w:t>on</w:t>
            </w:r>
            <w:r w:rsidR="001818C5">
              <w:rPr>
                <w:rFonts w:ascii="Calibri" w:eastAsia="Times New Roman" w:hAnsi="Calibri" w:cs="Calibri"/>
                <w:color w:val="000000"/>
                <w:sz w:val="20"/>
                <w:szCs w:val="20"/>
                <w:lang w:eastAsia="en-GB"/>
              </w:rPr>
              <w:t>-ring-fenced</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500,182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78,715,938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79,216,120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7,035,000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color w:val="FF0000"/>
                <w:sz w:val="20"/>
                <w:szCs w:val="20"/>
                <w:lang w:eastAsia="en-GB"/>
              </w:rPr>
              <w:t>(4,410,901)</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34,426,188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SR 21 Control Total - </w:t>
            </w:r>
            <w:r w:rsidR="006B2043">
              <w:rPr>
                <w:rFonts w:ascii="Calibri" w:eastAsia="Times New Roman" w:hAnsi="Calibri" w:cs="Calibri"/>
                <w:color w:val="000000"/>
                <w:sz w:val="20"/>
                <w:szCs w:val="20"/>
                <w:lang w:eastAsia="en-GB"/>
              </w:rPr>
              <w:t>R</w:t>
            </w:r>
            <w:r w:rsidRPr="00EA719C">
              <w:rPr>
                <w:rFonts w:ascii="Calibri" w:eastAsia="Times New Roman" w:hAnsi="Calibri" w:cs="Calibri"/>
                <w:color w:val="000000"/>
                <w:sz w:val="20"/>
                <w:szCs w:val="20"/>
                <w:lang w:eastAsia="en-GB"/>
              </w:rPr>
              <w:t>ing-fenced (depreciation)</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46,070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4,263,240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4,309,310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sz w:val="20"/>
                <w:szCs w:val="20"/>
                <w:lang w:eastAsia="en-GB"/>
              </w:rPr>
            </w:pPr>
            <w:r w:rsidRPr="00EA719C">
              <w:rPr>
                <w:rFonts w:ascii="Calibri" w:eastAsia="Times New Roman" w:hAnsi="Calibri" w:cs="Calibri"/>
                <w:sz w:val="20"/>
                <w:szCs w:val="20"/>
                <w:lang w:eastAsia="en-GB"/>
              </w:rPr>
              <w:t>0</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Changes since SR to Main Estimate</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IFRS 16 conversion Ring-fenced</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17,017</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17,017</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IFRS 16 conversion </w:t>
            </w:r>
            <w:r w:rsidRPr="00EA719C">
              <w:rPr>
                <w:rFonts w:ascii="Calibri" w:eastAsia="Times New Roman" w:hAnsi="Calibri" w:cs="Calibri"/>
                <w:color w:val="000000"/>
                <w:sz w:val="20"/>
                <w:szCs w:val="20"/>
                <w:lang w:eastAsia="en-GB"/>
              </w:rPr>
              <w:t>Non</w:t>
            </w:r>
            <w:r w:rsidR="001818C5">
              <w:rPr>
                <w:rFonts w:ascii="Calibri" w:eastAsia="Times New Roman" w:hAnsi="Calibri" w:cs="Calibri"/>
                <w:color w:val="000000"/>
                <w:sz w:val="20"/>
                <w:szCs w:val="20"/>
                <w:lang w:eastAsia="en-GB"/>
              </w:rPr>
              <w:t>-</w:t>
            </w:r>
            <w:r w:rsidRPr="00EA719C">
              <w:rPr>
                <w:rFonts w:ascii="Calibri" w:eastAsia="Times New Roman" w:hAnsi="Calibri" w:cs="Calibri"/>
                <w:color w:val="000000"/>
                <w:sz w:val="20"/>
                <w:szCs w:val="20"/>
                <w:lang w:eastAsia="en-GB"/>
              </w:rPr>
              <w:t>Ring</w:t>
            </w:r>
            <w:r w:rsidRPr="00EA719C">
              <w:rPr>
                <w:rFonts w:ascii="Calibri" w:eastAsia="Times New Roman" w:hAnsi="Calibri" w:cs="Calibri"/>
                <w:color w:val="000000"/>
                <w:sz w:val="20"/>
                <w:szCs w:val="20"/>
                <w:lang w:eastAsia="en-GB"/>
              </w:rPr>
              <w:t>-fenced</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(12,914)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(430)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(13,344)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3,400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Adjustment from summer exercise for depreciation.</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2,955</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5,036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7,991</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7,058</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4,606</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11,664</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3,400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r>
      <w:tr w:rsidTr="00EA719C">
        <w:tblPrEx>
          <w:tblW w:w="15680" w:type="dxa"/>
          <w:tblLook w:val="04A0"/>
        </w:tblPrEx>
        <w:trPr>
          <w:trHeight w:val="12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Control Totals at Main Estimate</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553,310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82,983,784</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83,537,094</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7,038,400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(4,410,901)</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34,426,188</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Main Estimate </w:t>
            </w:r>
            <w:r w:rsidR="006B2043">
              <w:rPr>
                <w:rFonts w:ascii="Calibri" w:eastAsia="Times New Roman" w:hAnsi="Calibri" w:cs="Calibri"/>
                <w:color w:val="000000"/>
                <w:sz w:val="20"/>
                <w:szCs w:val="20"/>
                <w:lang w:eastAsia="en-GB"/>
              </w:rPr>
              <w:t>–</w:t>
            </w:r>
            <w:r w:rsidRPr="00EA719C">
              <w:rPr>
                <w:rFonts w:ascii="Calibri" w:eastAsia="Times New Roman" w:hAnsi="Calibri" w:cs="Calibri"/>
                <w:color w:val="000000"/>
                <w:sz w:val="20"/>
                <w:szCs w:val="20"/>
                <w:lang w:eastAsia="en-GB"/>
              </w:rPr>
              <w:t xml:space="preserve"> </w:t>
            </w:r>
            <w:r w:rsidR="006B2043">
              <w:rPr>
                <w:rFonts w:ascii="Calibri" w:eastAsia="Times New Roman" w:hAnsi="Calibri" w:cs="Calibri"/>
                <w:color w:val="000000"/>
                <w:sz w:val="20"/>
                <w:szCs w:val="20"/>
                <w:lang w:eastAsia="en-GB"/>
              </w:rPr>
              <w:t>N</w:t>
            </w:r>
            <w:r w:rsidRPr="00EA719C">
              <w:rPr>
                <w:rFonts w:ascii="Calibri" w:eastAsia="Times New Roman" w:hAnsi="Calibri" w:cs="Calibri"/>
                <w:color w:val="000000"/>
                <w:sz w:val="20"/>
                <w:szCs w:val="20"/>
                <w:lang w:eastAsia="en-GB"/>
              </w:rPr>
              <w:t>on</w:t>
            </w:r>
            <w:r w:rsidR="006B2043">
              <w:rPr>
                <w:rFonts w:ascii="Calibri" w:eastAsia="Times New Roman" w:hAnsi="Calibri" w:cs="Calibri"/>
                <w:color w:val="000000"/>
                <w:sz w:val="20"/>
                <w:szCs w:val="20"/>
                <w:lang w:eastAsia="en-GB"/>
              </w:rPr>
              <w:t xml:space="preserve"> </w:t>
            </w:r>
            <w:r w:rsidRPr="00EA719C">
              <w:rPr>
                <w:rFonts w:ascii="Calibri" w:eastAsia="Times New Roman" w:hAnsi="Calibri" w:cs="Calibri"/>
                <w:color w:val="000000"/>
                <w:sz w:val="20"/>
                <w:szCs w:val="20"/>
                <w:lang w:eastAsia="en-GB"/>
              </w:rPr>
              <w:t>ring-fenced</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487,268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78,715,508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79,202,776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7,038,400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(4,410,901)</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34,426,188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Main Estimate - </w:t>
            </w:r>
            <w:r w:rsidR="006B2043">
              <w:rPr>
                <w:rFonts w:ascii="Calibri" w:eastAsia="Times New Roman" w:hAnsi="Calibri" w:cs="Calibri"/>
                <w:color w:val="000000"/>
                <w:sz w:val="20"/>
                <w:szCs w:val="20"/>
                <w:lang w:eastAsia="en-GB"/>
              </w:rPr>
              <w:t>R</w:t>
            </w:r>
            <w:r w:rsidRPr="00EA719C">
              <w:rPr>
                <w:rFonts w:ascii="Calibri" w:eastAsia="Times New Roman" w:hAnsi="Calibri" w:cs="Calibri"/>
                <w:color w:val="000000"/>
                <w:sz w:val="20"/>
                <w:szCs w:val="20"/>
                <w:lang w:eastAsia="en-GB"/>
              </w:rPr>
              <w:t>ing-fenced (depreciation)</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66,042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4,268,276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4,334,318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Changes agreed with HMT for Main Estimate 2023-24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Region’s</w:t>
            </w:r>
            <w:r w:rsidRPr="00EA719C">
              <w:rPr>
                <w:rFonts w:ascii="Calibri" w:eastAsia="Times New Roman" w:hAnsi="Calibri" w:cs="Calibri"/>
                <w:color w:val="000000"/>
                <w:sz w:val="20"/>
                <w:szCs w:val="20"/>
                <w:lang w:eastAsia="en-GB"/>
              </w:rPr>
              <w:t xml:space="preserve"> reclassification admin to programme</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(7,359)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7,359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DA income reclassification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8,455</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(8,455)</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60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Cost classification switch (Independent Education &amp; Boarding Schools) and (Subject Knowledge Enhancement (SKE) integration)</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(720)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720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ST Pauls Place </w:t>
            </w:r>
            <w:r w:rsidRPr="00EA719C" w:rsidR="006B2043">
              <w:rPr>
                <w:rFonts w:ascii="Calibri" w:eastAsia="Times New Roman" w:hAnsi="Calibri" w:cs="Calibri"/>
                <w:color w:val="000000"/>
                <w:sz w:val="20"/>
                <w:szCs w:val="20"/>
                <w:lang w:eastAsia="en-GB"/>
              </w:rPr>
              <w:t>rent -</w:t>
            </w:r>
            <w:r w:rsidRPr="00EA719C">
              <w:rPr>
                <w:rFonts w:ascii="Calibri" w:eastAsia="Times New Roman" w:hAnsi="Calibri" w:cs="Calibri"/>
                <w:color w:val="000000"/>
                <w:sz w:val="20"/>
                <w:szCs w:val="20"/>
                <w:lang w:eastAsia="en-GB"/>
              </w:rPr>
              <w:t xml:space="preserve"> switch programme to admin</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1,227</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(1,227)</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Childcare switches programme to admin </w:t>
            </w:r>
          </w:p>
        </w:tc>
        <w:tc>
          <w:tcPr>
            <w:tcW w:w="1180" w:type="dxa"/>
            <w:tcBorders>
              <w:top w:val="nil"/>
              <w:left w:val="nil"/>
              <w:bottom w:val="nil"/>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5,786</w:t>
            </w:r>
          </w:p>
        </w:tc>
        <w:tc>
          <w:tcPr>
            <w:tcW w:w="1180" w:type="dxa"/>
            <w:tcBorders>
              <w:top w:val="nil"/>
              <w:left w:val="nil"/>
              <w:bottom w:val="nil"/>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(5,786)</w:t>
            </w:r>
          </w:p>
        </w:tc>
        <w:tc>
          <w:tcPr>
            <w:tcW w:w="1180" w:type="dxa"/>
            <w:tcBorders>
              <w:top w:val="nil"/>
              <w:left w:val="nil"/>
              <w:bottom w:val="nil"/>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nil"/>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nil"/>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nil"/>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nil"/>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sub totals of HMT agreed changes</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7,389</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(7,389)</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Reserves  -</w:t>
            </w:r>
            <w:r w:rsidRPr="00EA719C">
              <w:rPr>
                <w:rFonts w:ascii="Calibri" w:eastAsia="Times New Roman" w:hAnsi="Calibri" w:cs="Calibri"/>
                <w:color w:val="FFFFFF"/>
                <w:sz w:val="20"/>
                <w:szCs w:val="20"/>
                <w:lang w:eastAsia="en-GB"/>
              </w:rPr>
              <w:t xml:space="preserve"> Shared Outcome Funding (SOF)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SOF 2 - Family hubs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1,120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8,860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9,980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SOF </w:t>
            </w:r>
            <w:r w:rsidR="003A0598">
              <w:rPr>
                <w:rFonts w:ascii="Calibri" w:eastAsia="Times New Roman" w:hAnsi="Calibri" w:cs="Calibri"/>
                <w:color w:val="000000"/>
                <w:sz w:val="20"/>
                <w:szCs w:val="20"/>
                <w:lang w:eastAsia="en-GB"/>
              </w:rPr>
              <w:t>2</w:t>
            </w:r>
            <w:r w:rsidRPr="00EA719C">
              <w:rPr>
                <w:rFonts w:ascii="Calibri" w:eastAsia="Times New Roman" w:hAnsi="Calibri" w:cs="Calibri"/>
                <w:color w:val="000000"/>
                <w:sz w:val="20"/>
                <w:szCs w:val="20"/>
                <w:lang w:eastAsia="en-GB"/>
              </w:rPr>
              <w:t xml:space="preserve"> - Family hubs march letter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91</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102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193</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SOF 2 -</w:t>
            </w:r>
            <w:r w:rsidR="006A0583">
              <w:rPr>
                <w:rFonts w:ascii="Calibri" w:eastAsia="Times New Roman" w:hAnsi="Calibri" w:cs="Calibri"/>
                <w:color w:val="000000"/>
                <w:sz w:val="20"/>
                <w:szCs w:val="20"/>
                <w:lang w:eastAsia="en-GB"/>
              </w:rPr>
              <w:t xml:space="preserve"> </w:t>
            </w:r>
            <w:r w:rsidRPr="00EA719C">
              <w:rPr>
                <w:rFonts w:ascii="Calibri" w:eastAsia="Times New Roman" w:hAnsi="Calibri" w:cs="Calibri"/>
                <w:color w:val="000000"/>
                <w:sz w:val="20"/>
                <w:szCs w:val="20"/>
                <w:lang w:eastAsia="en-GB"/>
              </w:rPr>
              <w:t xml:space="preserve">Alternative provision specialist taskforce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330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2,300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2,630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SOF </w:t>
            </w:r>
            <w:r w:rsidR="003A0598">
              <w:rPr>
                <w:rFonts w:ascii="Calibri" w:eastAsia="Times New Roman" w:hAnsi="Calibri" w:cs="Calibri"/>
                <w:color w:val="000000"/>
                <w:sz w:val="20"/>
                <w:szCs w:val="20"/>
                <w:lang w:eastAsia="en-GB"/>
              </w:rPr>
              <w:t>2</w:t>
            </w:r>
            <w:r w:rsidRPr="00EA719C">
              <w:rPr>
                <w:rFonts w:ascii="Calibri" w:eastAsia="Times New Roman" w:hAnsi="Calibri" w:cs="Calibri"/>
                <w:color w:val="000000"/>
                <w:sz w:val="20"/>
                <w:szCs w:val="20"/>
                <w:lang w:eastAsia="en-GB"/>
              </w:rPr>
              <w:t xml:space="preserve"> - Alternative provision specialist taskforce - </w:t>
            </w:r>
            <w:r w:rsidRPr="00EA719C" w:rsidR="00585638">
              <w:rPr>
                <w:rFonts w:ascii="Calibri" w:eastAsia="Times New Roman" w:hAnsi="Calibri" w:cs="Calibri"/>
                <w:color w:val="000000"/>
                <w:sz w:val="20"/>
                <w:szCs w:val="20"/>
                <w:lang w:eastAsia="en-GB"/>
              </w:rPr>
              <w:t>Jan</w:t>
            </w:r>
            <w:r w:rsidRPr="00EA719C">
              <w:rPr>
                <w:rFonts w:ascii="Calibri" w:eastAsia="Times New Roman" w:hAnsi="Calibri" w:cs="Calibri"/>
                <w:color w:val="000000"/>
                <w:sz w:val="20"/>
                <w:szCs w:val="20"/>
                <w:lang w:eastAsia="en-GB"/>
              </w:rPr>
              <w:t xml:space="preserve"> letter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249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1,353</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1,602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Data improvement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596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596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Su</w:t>
            </w:r>
            <w:r w:rsidR="005033C2">
              <w:rPr>
                <w:rFonts w:ascii="Calibri" w:eastAsia="Times New Roman" w:hAnsi="Calibri" w:cs="Calibri"/>
                <w:color w:val="FFFFFF"/>
                <w:sz w:val="20"/>
                <w:szCs w:val="20"/>
                <w:lang w:eastAsia="en-GB"/>
              </w:rPr>
              <w:t>b</w:t>
            </w:r>
            <w:r w:rsidRPr="00EA719C" w:rsidR="00791B85">
              <w:rPr>
                <w:rFonts w:ascii="Calibri" w:eastAsia="Times New Roman" w:hAnsi="Calibri" w:cs="Calibri"/>
                <w:color w:val="FFFFFF"/>
                <w:sz w:val="20"/>
                <w:szCs w:val="20"/>
                <w:lang w:eastAsia="en-GB"/>
              </w:rPr>
              <w:t>total -</w:t>
            </w:r>
            <w:r w:rsidRPr="00EA719C">
              <w:rPr>
                <w:rFonts w:ascii="Calibri" w:eastAsia="Times New Roman" w:hAnsi="Calibri" w:cs="Calibri"/>
                <w:color w:val="FFFFFF"/>
                <w:sz w:val="20"/>
                <w:szCs w:val="20"/>
                <w:lang w:eastAsia="en-GB"/>
              </w:rPr>
              <w:t xml:space="preserve"> </w:t>
            </w:r>
            <w:r w:rsidRPr="00EA719C" w:rsidR="005033C2">
              <w:rPr>
                <w:rFonts w:ascii="Calibri" w:eastAsia="Times New Roman" w:hAnsi="Calibri" w:cs="Calibri"/>
                <w:color w:val="FFFFFF"/>
                <w:sz w:val="20"/>
                <w:szCs w:val="20"/>
                <w:lang w:eastAsia="en-GB"/>
              </w:rPr>
              <w:t>Reserves -</w:t>
            </w:r>
            <w:r w:rsidRPr="00EA719C">
              <w:rPr>
                <w:rFonts w:ascii="Calibri" w:eastAsia="Times New Roman" w:hAnsi="Calibri" w:cs="Calibri"/>
                <w:color w:val="FFFFFF"/>
                <w:sz w:val="20"/>
                <w:szCs w:val="20"/>
                <w:lang w:eastAsia="en-GB"/>
              </w:rPr>
              <w:t xml:space="preserve"> Shared Outcome Funding (SOF)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2,386</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12,615</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15,001</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165"/>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xml:space="preserve">Subtotal - Other agreed HMT changes/Funding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9,775</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5,226</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15,001</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r>
      <w:tr w:rsidTr="00EA719C">
        <w:tblPrEx>
          <w:tblW w:w="15680" w:type="dxa"/>
          <w:tblLook w:val="04A0"/>
        </w:tblPrEx>
        <w:trPr>
          <w:trHeight w:val="165"/>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Other Funding Changes - Autumn Budget Announcements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Re</w:t>
            </w:r>
            <w:r w:rsidR="001818C5">
              <w:rPr>
                <w:rFonts w:ascii="Calibri" w:eastAsia="Times New Roman" w:hAnsi="Calibri" w:cs="Calibri"/>
                <w:color w:val="000000"/>
                <w:sz w:val="20"/>
                <w:szCs w:val="20"/>
                <w:lang w:eastAsia="en-GB"/>
              </w:rPr>
              <w:t xml:space="preserve">duction for HSC levy compensation core </w:t>
            </w:r>
            <w:r w:rsidRPr="00EA719C">
              <w:rPr>
                <w:rFonts w:ascii="Calibri" w:eastAsia="Times New Roman" w:hAnsi="Calibri" w:cs="Calibri"/>
                <w:color w:val="000000"/>
                <w:sz w:val="20"/>
                <w:szCs w:val="20"/>
                <w:lang w:eastAsia="en-GB"/>
              </w:rPr>
              <w:t xml:space="preserve">DfE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(2,389)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(2,762)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(5,151)</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Re</w:t>
            </w:r>
            <w:r>
              <w:rPr>
                <w:rFonts w:ascii="Calibri" w:eastAsia="Times New Roman" w:hAnsi="Calibri" w:cs="Calibri"/>
                <w:color w:val="000000"/>
                <w:sz w:val="20"/>
                <w:szCs w:val="20"/>
                <w:lang w:eastAsia="en-GB"/>
              </w:rPr>
              <w:t xml:space="preserve">duction for HSC levy compensation core </w:t>
            </w:r>
            <w:r w:rsidRPr="00EA719C">
              <w:rPr>
                <w:rFonts w:ascii="Calibri" w:eastAsia="Times New Roman" w:hAnsi="Calibri" w:cs="Calibri"/>
                <w:color w:val="000000"/>
                <w:sz w:val="20"/>
                <w:szCs w:val="20"/>
                <w:lang w:eastAsia="en-GB"/>
              </w:rPr>
              <w:t xml:space="preserve">schools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(322,209)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(322,209)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Additional funding for c</w:t>
            </w:r>
            <w:r w:rsidRPr="00EA719C">
              <w:rPr>
                <w:rFonts w:ascii="Calibri" w:eastAsia="Times New Roman" w:hAnsi="Calibri" w:cs="Calibri"/>
                <w:color w:val="000000"/>
                <w:sz w:val="20"/>
                <w:szCs w:val="20"/>
                <w:lang w:eastAsia="en-GB"/>
              </w:rPr>
              <w:t>ore schools uplift 23-24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2,322,209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2,322,209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Subtotal</w:t>
            </w:r>
            <w:r w:rsidR="005033C2">
              <w:rPr>
                <w:rFonts w:ascii="Calibri" w:eastAsia="Times New Roman" w:hAnsi="Calibri" w:cs="Calibri"/>
                <w:color w:val="FFFFFF"/>
                <w:sz w:val="20"/>
                <w:szCs w:val="20"/>
                <w:lang w:eastAsia="en-GB"/>
              </w:rPr>
              <w:t xml:space="preserve"> -</w:t>
            </w:r>
            <w:r w:rsidR="00791B85">
              <w:rPr>
                <w:rFonts w:ascii="Calibri" w:eastAsia="Times New Roman" w:hAnsi="Calibri" w:cs="Calibri"/>
                <w:color w:val="FFFFFF"/>
                <w:sz w:val="20"/>
                <w:szCs w:val="20"/>
                <w:lang w:eastAsia="en-GB"/>
              </w:rPr>
              <w:t xml:space="preserve"> </w:t>
            </w:r>
            <w:r w:rsidRPr="00EA719C">
              <w:rPr>
                <w:rFonts w:ascii="Calibri" w:eastAsia="Times New Roman" w:hAnsi="Calibri" w:cs="Calibri"/>
                <w:color w:val="FFFFFF"/>
                <w:sz w:val="20"/>
                <w:szCs w:val="20"/>
                <w:lang w:eastAsia="en-GB"/>
              </w:rPr>
              <w:t>Other Funding Changes - Autumn Budget Announcements</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(2,389)</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1,997,238</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1,994,849</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Spring budget - new funding</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Spring Budget 2023: SWAPs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Spring Budget 2023: Staying Close</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8,100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8,100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Childcare - uplift to hourly rate of existing offer</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203,798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203,798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Wrap around pathfinder programme in all LAs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860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3,140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Childminder grants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Subtotal:</w:t>
            </w:r>
            <w:r w:rsidRPr="00EA719C">
              <w:rPr>
                <w:rFonts w:ascii="Calibri" w:eastAsia="Times New Roman" w:hAnsi="Calibri" w:cs="Calibri"/>
                <w:color w:val="FFFFFF"/>
                <w:sz w:val="20"/>
                <w:szCs w:val="20"/>
                <w:lang w:eastAsia="en-GB"/>
              </w:rPr>
              <w:t xml:space="preserve"> spring budget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860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223,438</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224,298</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BCT Out</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w:t>
            </w:r>
            <w:r w:rsidRPr="00EA719C" w:rsidR="00FA14B0">
              <w:rPr>
                <w:rFonts w:ascii="Calibri" w:eastAsia="Times New Roman" w:hAnsi="Calibri" w:cs="Calibri"/>
                <w:color w:val="000000"/>
                <w:sz w:val="20"/>
                <w:szCs w:val="20"/>
                <w:lang w:eastAsia="en-GB"/>
              </w:rPr>
              <w:t>CO -</w:t>
            </w:r>
            <w:r w:rsidRPr="00EA719C">
              <w:rPr>
                <w:rFonts w:ascii="Calibri" w:eastAsia="Times New Roman" w:hAnsi="Calibri" w:cs="Calibri"/>
                <w:color w:val="000000"/>
                <w:sz w:val="20"/>
                <w:szCs w:val="20"/>
                <w:lang w:eastAsia="en-GB"/>
              </w:rPr>
              <w:t xml:space="preserve"> Special Advisors and Public Appointments Digital Service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(342)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(342)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w:t>
            </w:r>
            <w:r w:rsidRPr="00EA719C" w:rsidR="00FA14B0">
              <w:rPr>
                <w:rFonts w:ascii="Calibri" w:eastAsia="Times New Roman" w:hAnsi="Calibri" w:cs="Calibri"/>
                <w:color w:val="000000"/>
                <w:sz w:val="20"/>
                <w:szCs w:val="20"/>
                <w:lang w:eastAsia="en-GB"/>
              </w:rPr>
              <w:t>CO -</w:t>
            </w:r>
            <w:r w:rsidRPr="00EA719C">
              <w:rPr>
                <w:rFonts w:ascii="Calibri" w:eastAsia="Times New Roman" w:hAnsi="Calibri" w:cs="Calibri"/>
                <w:color w:val="000000"/>
                <w:sz w:val="20"/>
                <w:szCs w:val="20"/>
                <w:lang w:eastAsia="en-GB"/>
              </w:rPr>
              <w:t xml:space="preserve"> Public Appointments Digital Service - Licencing Costs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w:t>
            </w:r>
            <w:r w:rsidRPr="00EA719C" w:rsidR="00FA14B0">
              <w:rPr>
                <w:rFonts w:ascii="Calibri" w:eastAsia="Times New Roman" w:hAnsi="Calibri" w:cs="Calibri"/>
                <w:color w:val="000000"/>
                <w:sz w:val="20"/>
                <w:szCs w:val="20"/>
                <w:lang w:eastAsia="en-GB"/>
              </w:rPr>
              <w:t>CO -</w:t>
            </w:r>
            <w:r w:rsidRPr="00EA719C">
              <w:rPr>
                <w:rFonts w:ascii="Calibri" w:eastAsia="Times New Roman" w:hAnsi="Calibri" w:cs="Calibri"/>
                <w:color w:val="000000"/>
                <w:sz w:val="20"/>
                <w:szCs w:val="20"/>
                <w:lang w:eastAsia="en-GB"/>
              </w:rPr>
              <w:t xml:space="preserve"> Civil Service Live</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w:t>
            </w:r>
            <w:r w:rsidRPr="00EA719C" w:rsidR="00FA14B0">
              <w:rPr>
                <w:rFonts w:ascii="Calibri" w:eastAsia="Times New Roman" w:hAnsi="Calibri" w:cs="Calibri"/>
                <w:color w:val="000000"/>
                <w:sz w:val="20"/>
                <w:szCs w:val="20"/>
                <w:lang w:eastAsia="en-GB"/>
              </w:rPr>
              <w:t>DLUHC -</w:t>
            </w:r>
            <w:r w:rsidRPr="00EA719C">
              <w:rPr>
                <w:rFonts w:ascii="Calibri" w:eastAsia="Times New Roman" w:hAnsi="Calibri" w:cs="Calibri"/>
                <w:color w:val="000000"/>
                <w:sz w:val="20"/>
                <w:szCs w:val="20"/>
                <w:lang w:eastAsia="en-GB"/>
              </w:rPr>
              <w:t xml:space="preserve"> Family Voice project</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49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OUT to Local Gov (DLUHC) Financial Transparency of Local Authority Maintained Schools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(772)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(772)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MOD </w:t>
            </w:r>
            <w:r w:rsidRPr="00EA719C" w:rsidR="00FA14B0">
              <w:rPr>
                <w:rFonts w:ascii="Calibri" w:eastAsia="Times New Roman" w:hAnsi="Calibri" w:cs="Calibri"/>
                <w:color w:val="000000"/>
                <w:sz w:val="20"/>
                <w:szCs w:val="20"/>
                <w:lang w:eastAsia="en-GB"/>
              </w:rPr>
              <w:t xml:space="preserve">- </w:t>
            </w:r>
            <w:r w:rsidRPr="00EA719C" w:rsidR="006B2043">
              <w:rPr>
                <w:rFonts w:ascii="Calibri" w:eastAsia="Times New Roman" w:hAnsi="Calibri" w:cs="Calibri"/>
                <w:color w:val="000000"/>
                <w:sz w:val="20"/>
                <w:szCs w:val="20"/>
                <w:lang w:eastAsia="en-GB"/>
              </w:rPr>
              <w:t>App</w:t>
            </w:r>
            <w:r w:rsidR="006B2043">
              <w:rPr>
                <w:rFonts w:ascii="Calibri" w:eastAsia="Times New Roman" w:hAnsi="Calibri" w:cs="Calibri"/>
                <w:color w:val="000000"/>
                <w:sz w:val="20"/>
                <w:szCs w:val="20"/>
                <w:lang w:eastAsia="en-GB"/>
              </w:rPr>
              <w:t>renticeships</w:t>
            </w:r>
            <w:r w:rsidRPr="00EA719C">
              <w:rPr>
                <w:rFonts w:ascii="Calibri" w:eastAsia="Times New Roman" w:hAnsi="Calibri" w:cs="Calibri"/>
                <w:color w:val="000000"/>
                <w:sz w:val="20"/>
                <w:szCs w:val="20"/>
                <w:lang w:eastAsia="en-GB"/>
              </w:rPr>
              <w:t xml:space="preserve"> - National shipbuilding office</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Out to OFSTED inspection of outstanding providers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(5,000)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(5,000)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OFSTED - </w:t>
            </w:r>
            <w:r w:rsidR="006B2043">
              <w:rPr>
                <w:rFonts w:ascii="Calibri" w:eastAsia="Times New Roman" w:hAnsi="Calibri" w:cs="Calibri"/>
                <w:color w:val="000000"/>
                <w:sz w:val="20"/>
                <w:szCs w:val="20"/>
                <w:lang w:eastAsia="en-GB"/>
              </w:rPr>
              <w:t>E</w:t>
            </w:r>
            <w:r w:rsidRPr="00EA719C">
              <w:rPr>
                <w:rFonts w:ascii="Calibri" w:eastAsia="Times New Roman" w:hAnsi="Calibri" w:cs="Calibri"/>
                <w:color w:val="000000"/>
                <w:sz w:val="20"/>
                <w:szCs w:val="20"/>
                <w:lang w:eastAsia="en-GB"/>
              </w:rPr>
              <w:t>arly years fees shortfall</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(4,500)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(4,500)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Out to OFSTED - Inspect all schools by July 2025</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18"/>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Out to OFSTED - Move G2 school inspections.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78"/>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Out to OFSTED - Move to a 3-year cycle for Colleges /SFC / SDI</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413"/>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OFSTED - Move from short to full inspections for Colleges / SFC / SDIs.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(900)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(900)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54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Out to OFSTED - Introduce enhanced inspections of Colleges / Sixth Form College / Special Designated Institutes to cover local skills needs.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(1,350)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(1,350)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95"/>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OFSTED - </w:t>
            </w:r>
            <w:r w:rsidRPr="002A7110" w:rsidR="002A7110">
              <w:rPr>
                <w:rFonts w:ascii="Calibri" w:eastAsia="Times New Roman" w:hAnsi="Calibri" w:cs="Calibri"/>
                <w:color w:val="000000"/>
                <w:sz w:val="20"/>
                <w:szCs w:val="20"/>
                <w:lang w:eastAsia="en-GB"/>
              </w:rPr>
              <w:t>supported accommodation - Children in Care</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463"/>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Out to OFSTED - Inspect 33% of good providers (excluding colleges) as a full inspection.</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(200)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(200)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OFSTED - </w:t>
            </w:r>
            <w:r w:rsidRPr="002A7110" w:rsidR="002A7110">
              <w:rPr>
                <w:rFonts w:ascii="Calibri" w:eastAsia="Times New Roman" w:hAnsi="Calibri" w:cs="Calibri"/>
                <w:color w:val="000000"/>
                <w:sz w:val="20"/>
                <w:szCs w:val="20"/>
                <w:lang w:eastAsia="en-GB"/>
              </w:rPr>
              <w:t>Inspect all FES providers (excluding colleges)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OFQUAL - </w:t>
            </w:r>
            <w:r w:rsidR="006B2043">
              <w:rPr>
                <w:rFonts w:ascii="Calibri" w:eastAsia="Times New Roman" w:hAnsi="Calibri" w:cs="Calibri"/>
                <w:color w:val="000000"/>
                <w:sz w:val="20"/>
                <w:szCs w:val="20"/>
                <w:lang w:eastAsia="en-GB"/>
              </w:rPr>
              <w:t>Q</w:t>
            </w:r>
            <w:r w:rsidRPr="00EA719C">
              <w:rPr>
                <w:rFonts w:ascii="Calibri" w:eastAsia="Times New Roman" w:hAnsi="Calibri" w:cs="Calibri"/>
                <w:color w:val="000000"/>
                <w:sz w:val="20"/>
                <w:szCs w:val="20"/>
                <w:lang w:eastAsia="en-GB"/>
              </w:rPr>
              <w:t xml:space="preserve">ualification review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(2,000)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(2,000)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DHSC - Fruit and Veg Scheme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(7,709)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(7,709)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OUT to </w:t>
            </w:r>
            <w:r w:rsidRPr="00EA719C" w:rsidR="00FA14B0">
              <w:rPr>
                <w:rFonts w:ascii="Calibri" w:eastAsia="Times New Roman" w:hAnsi="Calibri" w:cs="Calibri"/>
                <w:color w:val="000000"/>
                <w:sz w:val="20"/>
                <w:szCs w:val="20"/>
                <w:lang w:eastAsia="en-GB"/>
              </w:rPr>
              <w:t>DWP -</w:t>
            </w:r>
            <w:r w:rsidRPr="00EA719C">
              <w:rPr>
                <w:rFonts w:ascii="Calibri" w:eastAsia="Times New Roman" w:hAnsi="Calibri" w:cs="Calibri"/>
                <w:color w:val="000000"/>
                <w:sz w:val="20"/>
                <w:szCs w:val="20"/>
                <w:lang w:eastAsia="en-GB"/>
              </w:rPr>
              <w:t xml:space="preserve"> SOF Funding - Family Hubs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(38)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Subtotal Mains BCT Out</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(406)</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(27,961)</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(28,367)</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(700)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xml:space="preserve">BCT IN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IN from </w:t>
            </w:r>
            <w:r w:rsidRPr="00EA719C" w:rsidR="00734378">
              <w:rPr>
                <w:rFonts w:ascii="Calibri" w:eastAsia="Times New Roman" w:hAnsi="Calibri" w:cs="Calibri"/>
                <w:color w:val="000000"/>
                <w:sz w:val="20"/>
                <w:szCs w:val="20"/>
                <w:lang w:eastAsia="en-GB"/>
              </w:rPr>
              <w:t>DLU</w:t>
            </w:r>
            <w:r w:rsidR="00734378">
              <w:rPr>
                <w:rFonts w:ascii="Calibri" w:eastAsia="Times New Roman" w:hAnsi="Calibri" w:cs="Calibri"/>
                <w:color w:val="000000"/>
                <w:sz w:val="20"/>
                <w:szCs w:val="20"/>
                <w:lang w:eastAsia="en-GB"/>
              </w:rPr>
              <w:t>H</w:t>
            </w:r>
            <w:r w:rsidRPr="00EA719C" w:rsidR="00734378">
              <w:rPr>
                <w:rFonts w:ascii="Calibri" w:eastAsia="Times New Roman" w:hAnsi="Calibri" w:cs="Calibri"/>
                <w:color w:val="000000"/>
                <w:sz w:val="20"/>
                <w:szCs w:val="20"/>
                <w:lang w:eastAsia="en-GB"/>
              </w:rPr>
              <w:t>C -</w:t>
            </w:r>
            <w:r w:rsidRPr="00EA719C">
              <w:rPr>
                <w:rFonts w:ascii="Calibri" w:eastAsia="Times New Roman" w:hAnsi="Calibri" w:cs="Calibri"/>
                <w:color w:val="000000"/>
                <w:sz w:val="20"/>
                <w:szCs w:val="20"/>
                <w:lang w:eastAsia="en-GB"/>
              </w:rPr>
              <w:t xml:space="preserve"> Supporting Families evaluation work 2023-24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190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618"/>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IN from </w:t>
            </w:r>
            <w:r w:rsidRPr="00EA719C" w:rsidR="00734378">
              <w:rPr>
                <w:rFonts w:ascii="Calibri" w:eastAsia="Times New Roman" w:hAnsi="Calibri" w:cs="Calibri"/>
                <w:color w:val="000000"/>
                <w:sz w:val="20"/>
                <w:szCs w:val="20"/>
                <w:lang w:eastAsia="en-GB"/>
              </w:rPr>
              <w:t>DLU</w:t>
            </w:r>
            <w:r w:rsidR="00734378">
              <w:rPr>
                <w:rFonts w:ascii="Calibri" w:eastAsia="Times New Roman" w:hAnsi="Calibri" w:cs="Calibri"/>
                <w:color w:val="000000"/>
                <w:sz w:val="20"/>
                <w:szCs w:val="20"/>
                <w:lang w:eastAsia="en-GB"/>
              </w:rPr>
              <w:t>H</w:t>
            </w:r>
            <w:r w:rsidRPr="00EA719C" w:rsidR="00734378">
              <w:rPr>
                <w:rFonts w:ascii="Calibri" w:eastAsia="Times New Roman" w:hAnsi="Calibri" w:cs="Calibri"/>
                <w:color w:val="000000"/>
                <w:sz w:val="20"/>
                <w:szCs w:val="20"/>
                <w:lang w:eastAsia="en-GB"/>
              </w:rPr>
              <w:t>C -</w:t>
            </w:r>
            <w:r w:rsidRPr="00EA719C">
              <w:rPr>
                <w:rFonts w:ascii="Calibri" w:eastAsia="Times New Roman" w:hAnsi="Calibri" w:cs="Calibri"/>
                <w:color w:val="000000"/>
                <w:sz w:val="20"/>
                <w:szCs w:val="20"/>
                <w:lang w:eastAsia="en-GB"/>
              </w:rPr>
              <w:t xml:space="preserve"> Transfer for Digital - To provide </w:t>
            </w:r>
            <w:r w:rsidRPr="00EA719C" w:rsidR="00C3442D">
              <w:rPr>
                <w:rFonts w:ascii="Calibri" w:eastAsia="Times New Roman" w:hAnsi="Calibri" w:cs="Calibri"/>
                <w:color w:val="000000"/>
                <w:sz w:val="20"/>
                <w:szCs w:val="20"/>
                <w:lang w:eastAsia="en-GB"/>
              </w:rPr>
              <w:t>adult</w:t>
            </w:r>
            <w:r w:rsidRPr="00EA719C">
              <w:rPr>
                <w:rFonts w:ascii="Calibri" w:eastAsia="Times New Roman" w:hAnsi="Calibri" w:cs="Calibri"/>
                <w:color w:val="000000"/>
                <w:sz w:val="20"/>
                <w:szCs w:val="20"/>
                <w:lang w:eastAsia="en-GB"/>
              </w:rPr>
              <w:t xml:space="preserve"> numeracy (Multiply) funding</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40,000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40,000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IN from DLUH</w:t>
            </w:r>
            <w:r w:rsidR="001470D8">
              <w:rPr>
                <w:rFonts w:ascii="Calibri" w:eastAsia="Times New Roman" w:hAnsi="Calibri" w:cs="Calibri"/>
                <w:color w:val="000000"/>
                <w:sz w:val="20"/>
                <w:szCs w:val="20"/>
                <w:lang w:eastAsia="en-GB"/>
              </w:rPr>
              <w:t>C</w:t>
            </w:r>
            <w:r w:rsidRPr="00EA719C">
              <w:rPr>
                <w:rFonts w:ascii="Calibri" w:eastAsia="Times New Roman" w:hAnsi="Calibri" w:cs="Calibri"/>
                <w:color w:val="000000"/>
                <w:sz w:val="20"/>
                <w:szCs w:val="20"/>
                <w:lang w:eastAsia="en-GB"/>
              </w:rPr>
              <w:t xml:space="preserve"> </w:t>
            </w:r>
            <w:r w:rsidRPr="00EA719C" w:rsidR="00734378">
              <w:rPr>
                <w:rFonts w:ascii="Calibri" w:eastAsia="Times New Roman" w:hAnsi="Calibri" w:cs="Calibri"/>
                <w:color w:val="000000"/>
                <w:sz w:val="20"/>
                <w:szCs w:val="20"/>
                <w:lang w:eastAsia="en-GB"/>
              </w:rPr>
              <w:t xml:space="preserve">- </w:t>
            </w:r>
            <w:r w:rsidR="006B2043">
              <w:rPr>
                <w:rFonts w:ascii="Calibri" w:eastAsia="Times New Roman" w:hAnsi="Calibri" w:cs="Calibri"/>
                <w:color w:val="000000"/>
                <w:sz w:val="20"/>
                <w:szCs w:val="20"/>
                <w:lang w:eastAsia="en-GB"/>
              </w:rPr>
              <w:t>Adult</w:t>
            </w:r>
            <w:r w:rsidRPr="00EA719C">
              <w:rPr>
                <w:rFonts w:ascii="Calibri" w:eastAsia="Times New Roman" w:hAnsi="Calibri" w:cs="Calibri"/>
                <w:color w:val="000000"/>
                <w:sz w:val="20"/>
                <w:szCs w:val="20"/>
                <w:lang w:eastAsia="en-GB"/>
              </w:rPr>
              <w:t xml:space="preserve"> numeracy (Multiply) funding to DfE</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94,338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94,338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w:t>
            </w:r>
            <w:r w:rsidRPr="00EA719C" w:rsidR="00734378">
              <w:rPr>
                <w:rFonts w:ascii="Calibri" w:eastAsia="Times New Roman" w:hAnsi="Calibri" w:cs="Calibri"/>
                <w:color w:val="000000"/>
                <w:sz w:val="20"/>
                <w:szCs w:val="20"/>
                <w:lang w:eastAsia="en-GB"/>
              </w:rPr>
              <w:t xml:space="preserve">IN </w:t>
            </w:r>
            <w:r w:rsidRPr="00EA719C">
              <w:rPr>
                <w:rFonts w:ascii="Calibri" w:eastAsia="Times New Roman" w:hAnsi="Calibri" w:cs="Calibri"/>
                <w:color w:val="000000"/>
                <w:sz w:val="20"/>
                <w:szCs w:val="20"/>
                <w:lang w:eastAsia="en-GB"/>
              </w:rPr>
              <w:t>from DLUH</w:t>
            </w:r>
            <w:r w:rsidR="001470D8">
              <w:rPr>
                <w:rFonts w:ascii="Calibri" w:eastAsia="Times New Roman" w:hAnsi="Calibri" w:cs="Calibri"/>
                <w:color w:val="000000"/>
                <w:sz w:val="20"/>
                <w:szCs w:val="20"/>
                <w:lang w:eastAsia="en-GB"/>
              </w:rPr>
              <w:t>C</w:t>
            </w:r>
            <w:r w:rsidRPr="00EA719C">
              <w:rPr>
                <w:rFonts w:ascii="Calibri" w:eastAsia="Times New Roman" w:hAnsi="Calibri" w:cs="Calibri"/>
                <w:color w:val="000000"/>
                <w:sz w:val="20"/>
                <w:szCs w:val="20"/>
                <w:lang w:eastAsia="en-GB"/>
              </w:rPr>
              <w:t xml:space="preserve"> - Food education programme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1,600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1,600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IN from </w:t>
            </w:r>
            <w:r w:rsidRPr="00EA719C" w:rsidR="00523896">
              <w:rPr>
                <w:rFonts w:ascii="Calibri" w:eastAsia="Times New Roman" w:hAnsi="Calibri" w:cs="Calibri"/>
                <w:color w:val="000000"/>
                <w:sz w:val="20"/>
                <w:szCs w:val="20"/>
                <w:lang w:eastAsia="en-GB"/>
              </w:rPr>
              <w:t>DLUHC</w:t>
            </w:r>
            <w:r w:rsidR="00523896">
              <w:rPr>
                <w:rFonts w:ascii="Calibri" w:eastAsia="Times New Roman" w:hAnsi="Calibri" w:cs="Calibri"/>
                <w:color w:val="000000"/>
                <w:sz w:val="20"/>
                <w:szCs w:val="20"/>
                <w:lang w:eastAsia="en-GB"/>
              </w:rPr>
              <w:t xml:space="preserve"> - </w:t>
            </w:r>
            <w:r w:rsidRPr="00EA719C" w:rsidR="00523896">
              <w:rPr>
                <w:rFonts w:ascii="Calibri" w:eastAsia="Times New Roman" w:hAnsi="Calibri" w:cs="Calibri"/>
                <w:color w:val="000000"/>
                <w:sz w:val="20"/>
                <w:szCs w:val="20"/>
                <w:lang w:eastAsia="en-GB"/>
              </w:rPr>
              <w:t>Oak</w:t>
            </w:r>
            <w:r w:rsidRPr="00EA719C">
              <w:rPr>
                <w:rFonts w:ascii="Calibri" w:eastAsia="Times New Roman" w:hAnsi="Calibri" w:cs="Calibri"/>
                <w:color w:val="000000"/>
                <w:sz w:val="20"/>
                <w:szCs w:val="20"/>
                <w:lang w:eastAsia="en-GB"/>
              </w:rPr>
              <w:t xml:space="preserve"> </w:t>
            </w:r>
            <w:r w:rsidRPr="00EA719C" w:rsidR="00EF4F8B">
              <w:rPr>
                <w:rFonts w:ascii="Calibri" w:eastAsia="Times New Roman" w:hAnsi="Calibri" w:cs="Calibri"/>
                <w:color w:val="000000"/>
                <w:sz w:val="20"/>
                <w:szCs w:val="20"/>
                <w:lang w:eastAsia="en-GB"/>
              </w:rPr>
              <w:t>Academy,</w:t>
            </w:r>
            <w:r w:rsidRPr="00EA719C">
              <w:rPr>
                <w:rFonts w:ascii="Calibri" w:eastAsia="Times New Roman" w:hAnsi="Calibri" w:cs="Calibri"/>
                <w:color w:val="000000"/>
                <w:sz w:val="20"/>
                <w:szCs w:val="20"/>
                <w:lang w:eastAsia="en-GB"/>
              </w:rPr>
              <w:t xml:space="preserve"> stretch </w:t>
            </w:r>
            <w:r w:rsidRPr="00EA719C" w:rsidR="001470D8">
              <w:rPr>
                <w:rFonts w:ascii="Calibri" w:eastAsia="Times New Roman" w:hAnsi="Calibri" w:cs="Calibri"/>
                <w:color w:val="000000"/>
                <w:sz w:val="20"/>
                <w:szCs w:val="20"/>
                <w:lang w:eastAsia="en-GB"/>
              </w:rPr>
              <w:t>material</w:t>
            </w:r>
            <w:r w:rsidRPr="00EA719C">
              <w:rPr>
                <w:rFonts w:ascii="Calibri" w:eastAsia="Times New Roman" w:hAnsi="Calibri" w:cs="Calibri"/>
                <w:color w:val="000000"/>
                <w:sz w:val="20"/>
                <w:szCs w:val="20"/>
                <w:lang w:eastAsia="en-GB"/>
              </w:rPr>
              <w:t xml:space="preserve"> as per white paper.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333</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333</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In from DCMS - AI Conversion Courses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8,517</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8,517</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BCT IN from DHSC - Family Hubs &amp; Start for Life programme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58,384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58,384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BCT IN from D</w:t>
            </w:r>
            <w:r w:rsidR="00523896">
              <w:rPr>
                <w:rFonts w:ascii="Calibri" w:eastAsia="Times New Roman" w:hAnsi="Calibri" w:cs="Calibri"/>
                <w:color w:val="000000"/>
                <w:sz w:val="20"/>
                <w:szCs w:val="20"/>
                <w:lang w:eastAsia="en-GB"/>
              </w:rPr>
              <w:t>H</w:t>
            </w:r>
            <w:r w:rsidRPr="00EA719C" w:rsidR="00FA14B0">
              <w:rPr>
                <w:rFonts w:ascii="Calibri" w:eastAsia="Times New Roman" w:hAnsi="Calibri" w:cs="Calibri"/>
                <w:color w:val="000000"/>
                <w:sz w:val="20"/>
                <w:szCs w:val="20"/>
                <w:lang w:eastAsia="en-GB"/>
              </w:rPr>
              <w:t>SC -</w:t>
            </w:r>
            <w:r w:rsidRPr="00EA719C">
              <w:rPr>
                <w:rFonts w:ascii="Calibri" w:eastAsia="Times New Roman" w:hAnsi="Calibri" w:cs="Calibri"/>
                <w:color w:val="000000"/>
                <w:sz w:val="20"/>
                <w:szCs w:val="20"/>
                <w:lang w:eastAsia="en-GB"/>
              </w:rPr>
              <w:t xml:space="preserve"> Medical Expansion places (</w:t>
            </w:r>
            <w:r w:rsidR="00EF4F8B">
              <w:rPr>
                <w:rFonts w:ascii="Calibri" w:eastAsia="Times New Roman" w:hAnsi="Calibri" w:cs="Calibri"/>
                <w:color w:val="000000"/>
                <w:sz w:val="20"/>
                <w:szCs w:val="20"/>
                <w:lang w:eastAsia="en-GB"/>
              </w:rPr>
              <w:t>OFS</w:t>
            </w:r>
            <w:r w:rsidR="00FA14B0">
              <w:rPr>
                <w:rFonts w:ascii="Calibri" w:eastAsia="Times New Roman" w:hAnsi="Calibri" w:cs="Calibri"/>
                <w:color w:val="000000"/>
                <w:sz w:val="20"/>
                <w:szCs w:val="20"/>
                <w:lang w:eastAsia="en-GB"/>
              </w:rPr>
              <w:t>)</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46,700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46,700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Subtotal Mains BCT IN</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249,872</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249,872</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190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138"/>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MOG from DHSC for historic child migration agreed in 2022-23 for 2023-24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540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540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145"/>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xml:space="preserve">Subtotal Mains BCT In and </w:t>
            </w:r>
            <w:r w:rsidRPr="00EA719C">
              <w:rPr>
                <w:rFonts w:ascii="Calibri" w:eastAsia="Times New Roman" w:hAnsi="Calibri" w:cs="Calibri"/>
                <w:color w:val="FFFFFF"/>
                <w:sz w:val="20"/>
                <w:szCs w:val="20"/>
                <w:lang w:eastAsia="en-GB"/>
              </w:rPr>
              <w:t>Out  and</w:t>
            </w:r>
            <w:r w:rsidRPr="00EA719C">
              <w:rPr>
                <w:rFonts w:ascii="Calibri" w:eastAsia="Times New Roman" w:hAnsi="Calibri" w:cs="Calibri"/>
                <w:color w:val="FFFFFF"/>
                <w:sz w:val="20"/>
                <w:szCs w:val="20"/>
                <w:lang w:eastAsia="en-GB"/>
              </w:rPr>
              <w:t xml:space="preserve"> MOG </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(406)</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222,451</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222,045</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(510)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r>
      <w:tr w:rsidTr="00EA719C">
        <w:tblPrEx>
          <w:tblW w:w="15680" w:type="dxa"/>
          <w:tblLook w:val="04A0"/>
        </w:tblPrEx>
        <w:trPr>
          <w:trHeight w:val="283"/>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xml:space="preserve">Other changes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Other AME - Provision increases</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29,796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Other AME - Provision utilisation / decrease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b/>
                <w:bCs/>
                <w:color w:val="000000"/>
                <w:sz w:val="20"/>
                <w:szCs w:val="20"/>
                <w:lang w:eastAsia="en-GB"/>
              </w:rPr>
            </w:pPr>
            <w:r w:rsidRPr="00EA719C">
              <w:rPr>
                <w:rFonts w:ascii="Calibri" w:eastAsia="Times New Roman" w:hAnsi="Calibri" w:cs="Calibri"/>
                <w:b/>
                <w:bCs/>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b/>
                <w:bCs/>
                <w:color w:val="000000"/>
                <w:sz w:val="20"/>
                <w:szCs w:val="20"/>
                <w:lang w:eastAsia="en-GB"/>
              </w:rPr>
            </w:pPr>
            <w:r w:rsidRPr="00EA719C">
              <w:rPr>
                <w:rFonts w:ascii="Calibri" w:eastAsia="Times New Roman" w:hAnsi="Calibri" w:cs="Calibri"/>
                <w:b/>
                <w:bCs/>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b/>
                <w:bCs/>
                <w:color w:val="000000"/>
                <w:sz w:val="20"/>
                <w:szCs w:val="20"/>
                <w:lang w:eastAsia="en-GB"/>
              </w:rPr>
            </w:pPr>
            <w:r w:rsidRPr="00EA719C">
              <w:rPr>
                <w:rFonts w:ascii="Calibri" w:eastAsia="Times New Roman" w:hAnsi="Calibri" w:cs="Calibri"/>
                <w:b/>
                <w:bCs/>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b/>
                <w:bCs/>
                <w:color w:val="000000"/>
                <w:sz w:val="20"/>
                <w:szCs w:val="20"/>
                <w:lang w:eastAsia="en-GB"/>
              </w:rPr>
            </w:pPr>
            <w:r w:rsidRPr="00EA719C">
              <w:rPr>
                <w:rFonts w:ascii="Calibri" w:eastAsia="Times New Roman" w:hAnsi="Calibri" w:cs="Calibri"/>
                <w:b/>
                <w:bCs/>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b/>
                <w:bCs/>
                <w:color w:val="000000"/>
                <w:sz w:val="20"/>
                <w:szCs w:val="20"/>
                <w:lang w:eastAsia="en-GB"/>
              </w:rPr>
            </w:pPr>
            <w:r w:rsidRPr="00EA719C">
              <w:rPr>
                <w:rFonts w:ascii="Calibri" w:eastAsia="Times New Roman" w:hAnsi="Calibri" w:cs="Calibri"/>
                <w:b/>
                <w:bCs/>
                <w:color w:val="FF0000"/>
                <w:sz w:val="20"/>
                <w:szCs w:val="20"/>
                <w:lang w:eastAsia="en-GB"/>
              </w:rPr>
              <w:t>(55,413)</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b/>
                <w:bCs/>
                <w:color w:val="000000"/>
                <w:sz w:val="20"/>
                <w:szCs w:val="20"/>
                <w:lang w:eastAsia="en-GB"/>
              </w:rPr>
            </w:pPr>
            <w:r w:rsidRPr="00EA719C">
              <w:rPr>
                <w:rFonts w:ascii="Calibri" w:eastAsia="Times New Roman" w:hAnsi="Calibri" w:cs="Calibri"/>
                <w:b/>
                <w:bCs/>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b/>
                <w:bCs/>
                <w:color w:val="000000"/>
                <w:sz w:val="20"/>
                <w:szCs w:val="20"/>
                <w:lang w:eastAsia="en-GB"/>
              </w:rPr>
            </w:pPr>
            <w:r w:rsidRPr="00EA719C">
              <w:rPr>
                <w:rFonts w:ascii="Calibri" w:eastAsia="Times New Roman" w:hAnsi="Calibri" w:cs="Calibri"/>
                <w:b/>
                <w:bCs/>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Other AME changes agreed with HMT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4,900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2,500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Net cash requirement for Mains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GIA funding for ALBs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2,040,264</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Subtotal other changes</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(20,717)</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2,500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2,040,264</w:t>
            </w:r>
          </w:p>
        </w:tc>
      </w:tr>
      <w:tr w:rsidTr="001818C5">
        <w:tblPrEx>
          <w:tblW w:w="15680" w:type="dxa"/>
          <w:tblLook w:val="04A0"/>
        </w:tblPrEx>
        <w:trPr>
          <w:trHeight w:val="19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xml:space="preserve"> </w:t>
            </w:r>
          </w:p>
        </w:tc>
        <w:tc>
          <w:tcPr>
            <w:tcW w:w="1180" w:type="dxa"/>
            <w:tcBorders>
              <w:top w:val="nil"/>
              <w:left w:val="nil"/>
              <w:bottom w:val="single" w:sz="8" w:space="0" w:color="auto"/>
              <w:right w:val="single" w:sz="8" w:space="0" w:color="auto"/>
            </w:tcBorders>
            <w:shd w:val="clear" w:color="auto" w:fill="auto"/>
            <w:noWrap/>
            <w:vAlign w:val="center"/>
          </w:tcPr>
          <w:p w:rsidR="00EA719C" w:rsidRPr="00EA719C" w:rsidP="00EA719C">
            <w:pPr>
              <w:spacing w:after="0" w:line="240" w:lineRule="auto"/>
              <w:jc w:val="right"/>
              <w:rPr>
                <w:rFonts w:ascii="Calibri" w:eastAsia="Times New Roman" w:hAnsi="Calibri" w:cs="Calibri"/>
                <w:color w:val="000000"/>
                <w:sz w:val="20"/>
                <w:szCs w:val="20"/>
                <w:lang w:eastAsia="en-GB"/>
              </w:rPr>
            </w:pPr>
          </w:p>
        </w:tc>
        <w:tc>
          <w:tcPr>
            <w:tcW w:w="1180" w:type="dxa"/>
            <w:tcBorders>
              <w:top w:val="nil"/>
              <w:left w:val="nil"/>
              <w:bottom w:val="single" w:sz="8" w:space="0" w:color="auto"/>
              <w:right w:val="single" w:sz="8" w:space="0" w:color="auto"/>
            </w:tcBorders>
            <w:shd w:val="clear" w:color="auto" w:fill="auto"/>
            <w:noWrap/>
            <w:vAlign w:val="center"/>
          </w:tcPr>
          <w:p w:rsidR="00EA719C" w:rsidRPr="00EA719C" w:rsidP="00EA719C">
            <w:pPr>
              <w:spacing w:after="0" w:line="240" w:lineRule="auto"/>
              <w:jc w:val="right"/>
              <w:rPr>
                <w:rFonts w:ascii="Calibri" w:eastAsia="Times New Roman" w:hAnsi="Calibri" w:cs="Calibri"/>
                <w:color w:val="000000"/>
                <w:sz w:val="20"/>
                <w:szCs w:val="20"/>
                <w:lang w:eastAsia="en-GB"/>
              </w:rPr>
            </w:pPr>
          </w:p>
        </w:tc>
        <w:tc>
          <w:tcPr>
            <w:tcW w:w="1180" w:type="dxa"/>
            <w:tcBorders>
              <w:top w:val="nil"/>
              <w:left w:val="nil"/>
              <w:bottom w:val="single" w:sz="8" w:space="0" w:color="auto"/>
              <w:right w:val="single" w:sz="8" w:space="0" w:color="auto"/>
            </w:tcBorders>
            <w:shd w:val="clear" w:color="auto" w:fill="auto"/>
            <w:noWrap/>
            <w:vAlign w:val="center"/>
          </w:tcPr>
          <w:p w:rsidR="00EA719C" w:rsidRPr="00EA719C" w:rsidP="00EA719C">
            <w:pPr>
              <w:spacing w:after="0" w:line="240" w:lineRule="auto"/>
              <w:jc w:val="right"/>
              <w:rPr>
                <w:rFonts w:ascii="Calibri" w:eastAsia="Times New Roman" w:hAnsi="Calibri" w:cs="Calibri"/>
                <w:color w:val="000000"/>
                <w:sz w:val="20"/>
                <w:szCs w:val="20"/>
                <w:lang w:eastAsia="en-GB"/>
              </w:rPr>
            </w:pPr>
          </w:p>
        </w:tc>
        <w:tc>
          <w:tcPr>
            <w:tcW w:w="1180" w:type="dxa"/>
            <w:tcBorders>
              <w:top w:val="nil"/>
              <w:left w:val="nil"/>
              <w:bottom w:val="single" w:sz="8" w:space="0" w:color="auto"/>
              <w:right w:val="single" w:sz="8" w:space="0" w:color="auto"/>
            </w:tcBorders>
            <w:shd w:val="clear" w:color="auto" w:fill="auto"/>
            <w:noWrap/>
            <w:vAlign w:val="center"/>
          </w:tcPr>
          <w:p w:rsidR="00EA719C" w:rsidRPr="00EA719C" w:rsidP="00EA719C">
            <w:pPr>
              <w:spacing w:after="0" w:line="240" w:lineRule="auto"/>
              <w:jc w:val="right"/>
              <w:rPr>
                <w:rFonts w:ascii="Calibri" w:eastAsia="Times New Roman" w:hAnsi="Calibri" w:cs="Calibri"/>
                <w:color w:val="000000"/>
                <w:sz w:val="20"/>
                <w:szCs w:val="20"/>
                <w:lang w:eastAsia="en-GB"/>
              </w:rPr>
            </w:pPr>
          </w:p>
        </w:tc>
        <w:tc>
          <w:tcPr>
            <w:tcW w:w="1180" w:type="dxa"/>
            <w:tcBorders>
              <w:top w:val="nil"/>
              <w:left w:val="nil"/>
              <w:bottom w:val="single" w:sz="8" w:space="0" w:color="auto"/>
              <w:right w:val="single" w:sz="8" w:space="0" w:color="auto"/>
            </w:tcBorders>
            <w:shd w:val="clear" w:color="auto" w:fill="auto"/>
            <w:noWrap/>
            <w:vAlign w:val="center"/>
          </w:tcPr>
          <w:p w:rsidR="00EA719C" w:rsidRPr="00EA719C" w:rsidP="00EA719C">
            <w:pPr>
              <w:spacing w:after="0" w:line="240" w:lineRule="auto"/>
              <w:jc w:val="right"/>
              <w:rPr>
                <w:rFonts w:ascii="Calibri" w:eastAsia="Times New Roman" w:hAnsi="Calibri" w:cs="Calibri"/>
                <w:color w:val="000000"/>
                <w:sz w:val="20"/>
                <w:szCs w:val="20"/>
                <w:lang w:eastAsia="en-GB"/>
              </w:rPr>
            </w:pPr>
          </w:p>
        </w:tc>
        <w:tc>
          <w:tcPr>
            <w:tcW w:w="1180" w:type="dxa"/>
            <w:tcBorders>
              <w:top w:val="nil"/>
              <w:left w:val="nil"/>
              <w:bottom w:val="single" w:sz="8" w:space="0" w:color="auto"/>
              <w:right w:val="single" w:sz="8" w:space="0" w:color="auto"/>
            </w:tcBorders>
            <w:shd w:val="clear" w:color="auto" w:fill="auto"/>
            <w:noWrap/>
            <w:vAlign w:val="center"/>
          </w:tcPr>
          <w:p w:rsidR="00EA719C" w:rsidRPr="00EA719C" w:rsidP="00EA719C">
            <w:pPr>
              <w:spacing w:after="0" w:line="240" w:lineRule="auto"/>
              <w:jc w:val="right"/>
              <w:rPr>
                <w:rFonts w:ascii="Calibri" w:eastAsia="Times New Roman" w:hAnsi="Calibri" w:cs="Calibri"/>
                <w:color w:val="000000"/>
                <w:sz w:val="20"/>
                <w:szCs w:val="20"/>
                <w:lang w:eastAsia="en-GB"/>
              </w:rPr>
            </w:pPr>
          </w:p>
        </w:tc>
        <w:tc>
          <w:tcPr>
            <w:tcW w:w="1180" w:type="dxa"/>
            <w:tcBorders>
              <w:top w:val="nil"/>
              <w:left w:val="nil"/>
              <w:bottom w:val="single" w:sz="8" w:space="0" w:color="auto"/>
              <w:right w:val="single" w:sz="8" w:space="0" w:color="auto"/>
            </w:tcBorders>
            <w:shd w:val="clear" w:color="auto" w:fill="auto"/>
            <w:noWrap/>
            <w:vAlign w:val="center"/>
          </w:tcPr>
          <w:p w:rsidR="00EA719C" w:rsidRPr="00EA719C" w:rsidP="00EA719C">
            <w:pPr>
              <w:spacing w:after="0" w:line="240" w:lineRule="auto"/>
              <w:jc w:val="right"/>
              <w:rPr>
                <w:rFonts w:ascii="Calibri" w:eastAsia="Times New Roman" w:hAnsi="Calibri" w:cs="Calibri"/>
                <w:color w:val="000000"/>
                <w:sz w:val="20"/>
                <w:szCs w:val="20"/>
                <w:lang w:eastAsia="en-GB"/>
              </w:rPr>
            </w:pPr>
          </w:p>
        </w:tc>
      </w:tr>
      <w:tr w:rsidTr="00EA719C">
        <w:tblPrEx>
          <w:tblW w:w="15680" w:type="dxa"/>
          <w:tblLook w:val="04A0"/>
        </w:tblPrEx>
        <w:trPr>
          <w:trHeight w:val="353"/>
        </w:trPr>
        <w:tc>
          <w:tcPr>
            <w:tcW w:w="7420" w:type="dxa"/>
            <w:tcBorders>
              <w:top w:val="nil"/>
              <w:left w:val="single" w:sz="8" w:space="0" w:color="auto"/>
              <w:bottom w:val="single" w:sz="8" w:space="0" w:color="auto"/>
              <w:right w:val="single" w:sz="8" w:space="0" w:color="auto"/>
            </w:tcBorders>
            <w:shd w:val="clear" w:color="000000" w:fill="8497B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Changes for Main Estimate 2023-24</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14,898</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2,452,959</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2,467,857</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2,910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0000"/>
                <w:sz w:val="20"/>
                <w:szCs w:val="20"/>
                <w:lang w:eastAsia="en-GB"/>
              </w:rPr>
              <w:t>(20,717)</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2,500</w:t>
            </w:r>
          </w:p>
        </w:tc>
        <w:tc>
          <w:tcPr>
            <w:tcW w:w="1180" w:type="dxa"/>
            <w:tcBorders>
              <w:top w:val="nil"/>
              <w:left w:val="nil"/>
              <w:bottom w:val="single" w:sz="8" w:space="0" w:color="auto"/>
              <w:right w:val="single" w:sz="8" w:space="0" w:color="auto"/>
            </w:tcBorders>
            <w:shd w:val="clear" w:color="000000" w:fill="8497B0"/>
            <w:vAlign w:val="center"/>
            <w:hideMark/>
          </w:tcPr>
          <w:p w:rsidR="00EA719C" w:rsidRPr="00EA719C" w:rsidP="00EA719C">
            <w:pPr>
              <w:spacing w:after="0" w:line="240" w:lineRule="auto"/>
              <w:jc w:val="right"/>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2,040,264</w:t>
            </w:r>
          </w:p>
        </w:tc>
      </w:tr>
      <w:tr w:rsidTr="00EA719C">
        <w:tblPrEx>
          <w:tblW w:w="15680" w:type="dxa"/>
          <w:tblLook w:val="04A0"/>
        </w:tblPrEx>
        <w:trPr>
          <w:trHeight w:val="12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c>
          <w:tcPr>
            <w:tcW w:w="1180" w:type="dxa"/>
            <w:tcBorders>
              <w:top w:val="nil"/>
              <w:left w:val="nil"/>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000000" w:fill="002060"/>
            <w:vAlign w:val="center"/>
            <w:hideMark/>
          </w:tcPr>
          <w:p w:rsidR="00EA719C" w:rsidRPr="00EA719C" w:rsidP="00EA719C">
            <w:pPr>
              <w:spacing w:after="0" w:line="240" w:lineRule="auto"/>
              <w:rPr>
                <w:rFonts w:ascii="Calibri" w:eastAsia="Times New Roman" w:hAnsi="Calibri" w:cs="Calibri"/>
                <w:color w:val="FFFFFF"/>
                <w:sz w:val="20"/>
                <w:szCs w:val="20"/>
                <w:lang w:eastAsia="en-GB"/>
              </w:rPr>
            </w:pPr>
            <w:r w:rsidRPr="00EA719C">
              <w:rPr>
                <w:rFonts w:ascii="Calibri" w:eastAsia="Times New Roman" w:hAnsi="Calibri" w:cs="Calibri"/>
                <w:color w:val="FFFFFF"/>
                <w:sz w:val="20"/>
                <w:szCs w:val="20"/>
                <w:lang w:eastAsia="en-GB"/>
              </w:rPr>
              <w:t>Final Control Totals at Main Estimate 2023-24</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561,150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85,432,137</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85,993,287</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7,037,910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(4,431,618)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34,428,688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2,040,264</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b/>
                <w:bCs/>
                <w:color w:val="000000"/>
                <w:sz w:val="20"/>
                <w:szCs w:val="20"/>
                <w:lang w:eastAsia="en-GB"/>
              </w:rPr>
            </w:pPr>
            <w:r w:rsidRPr="00EA719C">
              <w:rPr>
                <w:rFonts w:ascii="Calibri" w:eastAsia="Times New Roman" w:hAnsi="Calibri" w:cs="Calibri"/>
                <w:b/>
                <w:bCs/>
                <w:color w:val="000000"/>
                <w:sz w:val="20"/>
                <w:szCs w:val="20"/>
                <w:lang w:eastAsia="en-GB"/>
              </w:rPr>
              <w:t xml:space="preserve">Of which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 </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i/>
                <w:iCs/>
                <w:color w:val="000000"/>
                <w:sz w:val="20"/>
                <w:szCs w:val="20"/>
                <w:lang w:eastAsia="en-GB"/>
              </w:rPr>
            </w:pPr>
            <w:r w:rsidRPr="00EA719C">
              <w:rPr>
                <w:rFonts w:ascii="Calibri" w:eastAsia="Times New Roman" w:hAnsi="Calibri" w:cs="Calibri"/>
                <w:i/>
                <w:iCs/>
                <w:color w:val="000000"/>
                <w:sz w:val="20"/>
                <w:szCs w:val="20"/>
                <w:lang w:eastAsia="en-GB"/>
              </w:rPr>
              <w:t xml:space="preserve">non-ringfenced </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495,108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81,163,861</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81,658,969</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7,037,910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FF0000"/>
                <w:sz w:val="20"/>
                <w:szCs w:val="20"/>
                <w:lang w:eastAsia="en-GB"/>
              </w:rPr>
              <w:t>(4,431,618)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34,428,688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2,040,264</w:t>
            </w:r>
          </w:p>
        </w:tc>
      </w:tr>
      <w:tr w:rsidTr="00EA719C">
        <w:tblPrEx>
          <w:tblW w:w="15680" w:type="dxa"/>
          <w:tblLook w:val="04A0"/>
        </w:tblPrEx>
        <w:trPr>
          <w:trHeight w:val="360"/>
        </w:trPr>
        <w:tc>
          <w:tcPr>
            <w:tcW w:w="7420" w:type="dxa"/>
            <w:tcBorders>
              <w:top w:val="nil"/>
              <w:left w:val="single" w:sz="8" w:space="0" w:color="auto"/>
              <w:bottom w:val="single" w:sz="8" w:space="0" w:color="auto"/>
              <w:right w:val="single" w:sz="8" w:space="0" w:color="auto"/>
            </w:tcBorders>
            <w:shd w:val="clear" w:color="auto" w:fill="auto"/>
            <w:vAlign w:val="center"/>
            <w:hideMark/>
          </w:tcPr>
          <w:p w:rsidR="00EA719C" w:rsidRPr="00EA719C" w:rsidP="00EA719C">
            <w:pPr>
              <w:spacing w:after="0" w:line="240" w:lineRule="auto"/>
              <w:rPr>
                <w:rFonts w:ascii="Calibri" w:eastAsia="Times New Roman" w:hAnsi="Calibri" w:cs="Calibri"/>
                <w:i/>
                <w:iCs/>
                <w:color w:val="000000"/>
                <w:sz w:val="20"/>
                <w:szCs w:val="20"/>
                <w:lang w:eastAsia="en-GB"/>
              </w:rPr>
            </w:pPr>
            <w:r w:rsidRPr="00EA719C">
              <w:rPr>
                <w:rFonts w:ascii="Calibri" w:eastAsia="Times New Roman" w:hAnsi="Calibri" w:cs="Calibri"/>
                <w:i/>
                <w:iCs/>
                <w:color w:val="000000"/>
                <w:sz w:val="20"/>
                <w:szCs w:val="20"/>
                <w:lang w:eastAsia="en-GB"/>
              </w:rPr>
              <w:t>ringfenced</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66,042</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4,268,276</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4,334,318</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c>
          <w:tcPr>
            <w:tcW w:w="1180" w:type="dxa"/>
            <w:tcBorders>
              <w:top w:val="nil"/>
              <w:left w:val="nil"/>
              <w:bottom w:val="single" w:sz="8" w:space="0" w:color="auto"/>
              <w:right w:val="single" w:sz="8" w:space="0" w:color="auto"/>
            </w:tcBorders>
            <w:shd w:val="clear" w:color="auto" w:fill="auto"/>
            <w:noWrap/>
            <w:vAlign w:val="center"/>
            <w:hideMark/>
          </w:tcPr>
          <w:p w:rsidR="00EA719C" w:rsidRPr="00EA719C" w:rsidP="00EA719C">
            <w:pPr>
              <w:spacing w:after="0" w:line="240" w:lineRule="auto"/>
              <w:jc w:val="right"/>
              <w:rPr>
                <w:rFonts w:ascii="Calibri" w:eastAsia="Times New Roman" w:hAnsi="Calibri" w:cs="Calibri"/>
                <w:color w:val="000000"/>
                <w:sz w:val="20"/>
                <w:szCs w:val="20"/>
                <w:lang w:eastAsia="en-GB"/>
              </w:rPr>
            </w:pPr>
            <w:r w:rsidRPr="00EA719C">
              <w:rPr>
                <w:rFonts w:ascii="Calibri" w:eastAsia="Times New Roman" w:hAnsi="Calibri" w:cs="Calibri"/>
                <w:color w:val="000000"/>
                <w:sz w:val="20"/>
                <w:szCs w:val="20"/>
                <w:lang w:eastAsia="en-GB"/>
              </w:rPr>
              <w:t>0</w:t>
            </w:r>
          </w:p>
        </w:tc>
      </w:tr>
    </w:tbl>
    <w:p w:rsidR="00EA719C" w:rsidRPr="006A46B9" w:rsidP="00526D72">
      <w:pPr>
        <w:rPr>
          <w:rFonts w:cstheme="minorHAnsi"/>
        </w:rPr>
      </w:pPr>
    </w:p>
    <w:sectPr w:rsidSect="007B0A07">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umnst777 Lt BT">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9566928"/>
      <w:docPartObj>
        <w:docPartGallery w:val="Page Numbers (Bottom of Page)"/>
        <w:docPartUnique/>
      </w:docPartObj>
    </w:sdtPr>
    <w:sdtEndPr>
      <w:rPr>
        <w:noProof/>
      </w:rPr>
    </w:sdtEndPr>
    <w:sdtContent>
      <w:p w:rsidR="002242F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2242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4584553"/>
      <w:docPartObj>
        <w:docPartGallery w:val="Page Numbers (Bottom of Page)"/>
        <w:docPartUnique/>
      </w:docPartObj>
    </w:sdtPr>
    <w:sdtEndPr>
      <w:rPr>
        <w:noProof/>
      </w:rPr>
    </w:sdtEndPr>
    <w:sdtContent>
      <w:p w:rsidR="002242FA">
        <w:pPr>
          <w:pStyle w:val="Footer"/>
          <w:jc w:val="center"/>
        </w:pPr>
        <w:r w:rsidRPr="00FE51E8">
          <w:rPr>
            <w:rFonts w:ascii="Arial" w:hAnsi="Arial" w:cs="Arial"/>
          </w:rPr>
          <w:fldChar w:fldCharType="begin"/>
        </w:r>
        <w:r w:rsidRPr="00FE51E8">
          <w:rPr>
            <w:rFonts w:ascii="Arial" w:hAnsi="Arial" w:cs="Arial"/>
          </w:rPr>
          <w:instrText xml:space="preserve"> PAGE   \* MERGEFORMAT </w:instrText>
        </w:r>
        <w:r w:rsidRPr="00FE51E8">
          <w:rPr>
            <w:rFonts w:ascii="Arial" w:hAnsi="Arial" w:cs="Arial"/>
          </w:rPr>
          <w:fldChar w:fldCharType="separate"/>
        </w:r>
        <w:r>
          <w:rPr>
            <w:rFonts w:ascii="Arial" w:hAnsi="Arial" w:cs="Arial"/>
            <w:noProof/>
          </w:rPr>
          <w:t>27</w:t>
        </w:r>
        <w:r w:rsidRPr="00FE51E8">
          <w:rPr>
            <w:rFonts w:ascii="Arial" w:hAnsi="Arial" w:cs="Arial"/>
            <w:noProof/>
          </w:rPr>
          <w:fldChar w:fldCharType="end"/>
        </w:r>
      </w:p>
    </w:sdtContent>
  </w:sdt>
  <w:p w:rsidR="002242FA" w:rsidP="00F47C51">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66FE2" w:rsidP="00EF63D2">
      <w:pPr>
        <w:spacing w:after="0" w:line="240" w:lineRule="auto"/>
      </w:pPr>
      <w:r>
        <w:separator/>
      </w:r>
    </w:p>
  </w:footnote>
  <w:footnote w:type="continuationSeparator" w:id="1">
    <w:p w:rsidR="00C66FE2" w:rsidP="00EF63D2">
      <w:pPr>
        <w:spacing w:after="0" w:line="240" w:lineRule="auto"/>
      </w:pPr>
      <w:r>
        <w:continuationSeparator/>
      </w:r>
    </w:p>
  </w:footnote>
  <w:footnote w:id="2">
    <w:p w:rsidR="009022B4" w:rsidP="009022B4">
      <w:pPr>
        <w:pStyle w:val="FootnoteText"/>
        <w:rPr>
          <w:rFonts w:asciiTheme="minorHAnsi" w:eastAsiaTheme="minorEastAsia" w:hAnsiTheme="minorHAnsi" w:cstheme="minorBidi"/>
        </w:rPr>
      </w:pPr>
      <w:r w:rsidRPr="00204943">
        <w:rPr>
          <w:rStyle w:val="FootnoteReference"/>
          <w:rFonts w:asciiTheme="minorHAnsi" w:eastAsiaTheme="majorEastAsia" w:hAnsiTheme="minorHAnsi" w:cstheme="minorHAnsi"/>
        </w:rPr>
        <w:footnoteRef/>
      </w:r>
      <w:r w:rsidRPr="00204943">
        <w:rPr>
          <w:rFonts w:asciiTheme="minorHAnsi" w:hAnsiTheme="minorHAnsi" w:cstheme="minorHAnsi"/>
        </w:rPr>
        <w:t xml:space="preserve"> </w:t>
      </w:r>
      <w:r w:rsidRPr="00204943">
        <w:rPr>
          <w:rFonts w:asciiTheme="minorHAnsi" w:hAnsiTheme="minorHAnsi" w:cstheme="minorHAnsi"/>
          <w:lang w:eastAsia="en-GB"/>
        </w:rPr>
        <w:t>The total value of Basic Need allocations fluctuate year-by-year as they are determined by the changing need for school places.</w:t>
      </w:r>
    </w:p>
  </w:footnote>
  <w:footnote w:id="3">
    <w:p w:rsidR="009022B4" w:rsidP="009022B4">
      <w:pPr>
        <w:pStyle w:val="FootnoteText"/>
      </w:pPr>
      <w:r w:rsidRPr="00204943">
        <w:rPr>
          <w:rStyle w:val="FootnoteReference"/>
          <w:rFonts w:asciiTheme="minorHAnsi" w:eastAsiaTheme="majorEastAsia" w:hAnsiTheme="minorHAnsi" w:cstheme="minorHAnsi"/>
        </w:rPr>
        <w:footnoteRef/>
      </w:r>
      <w:r>
        <w:rPr>
          <w:rFonts w:asciiTheme="minorHAnsi" w:hAnsiTheme="minorHAnsi" w:cstheme="minorHAnsi"/>
        </w:rPr>
        <w:t xml:space="preserve"> In March 2023,</w:t>
      </w:r>
      <w:r w:rsidRPr="00072338">
        <w:rPr>
          <w:rFonts w:asciiTheme="minorHAnsi" w:hAnsiTheme="minorHAnsi" w:cstheme="minorHAnsi"/>
        </w:rPr>
        <w:t xml:space="preserve"> </w:t>
      </w:r>
      <w:r>
        <w:rPr>
          <w:rFonts w:asciiTheme="minorHAnsi" w:hAnsiTheme="minorHAnsi" w:cstheme="minorHAnsi"/>
        </w:rPr>
        <w:t xml:space="preserve">the department announced to LAs an additional allocation of </w:t>
      </w:r>
      <w:r w:rsidRPr="00204943">
        <w:rPr>
          <w:rFonts w:asciiTheme="minorHAnsi" w:hAnsiTheme="minorHAnsi" w:cstheme="minorHAnsi"/>
        </w:rPr>
        <w:t>£430m of High Needs funding</w:t>
      </w:r>
      <w:r>
        <w:rPr>
          <w:rFonts w:asciiTheme="minorHAnsi" w:hAnsiTheme="minorHAnsi" w:cstheme="minorHAnsi"/>
        </w:rPr>
        <w:t>, reprofiled from the 23-24 allocation into 22-23.</w:t>
      </w:r>
    </w:p>
  </w:footnote>
  <w:footnote w:id="4">
    <w:p w:rsidR="009022B4" w:rsidRPr="00204943" w:rsidP="009022B4">
      <w:pPr>
        <w:pStyle w:val="NormalWeb"/>
        <w:shd w:val="clear" w:color="auto" w:fill="FFFFFF"/>
        <w:spacing w:before="0" w:beforeAutospacing="0" w:after="0" w:afterAutospacing="0"/>
        <w:rPr>
          <w:rFonts w:asciiTheme="minorHAnsi" w:hAnsiTheme="minorHAnsi" w:cstheme="minorHAnsi"/>
          <w:sz w:val="22"/>
          <w:szCs w:val="22"/>
        </w:rPr>
      </w:pPr>
      <w:r w:rsidRPr="00204943">
        <w:rPr>
          <w:rStyle w:val="FootnoteReference"/>
          <w:rFonts w:asciiTheme="minorHAnsi" w:eastAsiaTheme="majorEastAsia" w:hAnsiTheme="minorHAnsi" w:cstheme="minorHAnsi"/>
          <w:sz w:val="22"/>
          <w:szCs w:val="22"/>
        </w:rPr>
        <w:footnoteRef/>
      </w:r>
      <w:r w:rsidRPr="00204943">
        <w:rPr>
          <w:rFonts w:asciiTheme="minorHAnsi" w:hAnsiTheme="minorHAnsi" w:cstheme="minorHAnsi"/>
          <w:sz w:val="22"/>
          <w:szCs w:val="22"/>
        </w:rPr>
        <w:t xml:space="preserve"> </w:t>
      </w:r>
      <w:r w:rsidRPr="00204943">
        <w:rPr>
          <w:rFonts w:asciiTheme="minorHAnsi" w:hAnsiTheme="minorHAnsi" w:cstheme="minorHAnsi"/>
          <w:color w:val="242424"/>
          <w:sz w:val="22"/>
          <w:szCs w:val="22"/>
        </w:rPr>
        <w:t>This includes the £447 million of additional capital funding allocated in 2022-23 for eligible schools and sixth form colleges to spend on capital improvements to buildings and facilities, prioritising works to improve energy efficiency. </w:t>
      </w:r>
    </w:p>
  </w:footnote>
  <w:footnote w:id="5">
    <w:p w:rsidR="009022B4" w:rsidRPr="00505348" w:rsidP="009022B4">
      <w:pPr>
        <w:pStyle w:val="FootnoteText"/>
        <w:rPr>
          <w:rFonts w:asciiTheme="minorHAnsi" w:hAnsiTheme="minorHAnsi" w:cstheme="minorHAnsi"/>
        </w:rPr>
      </w:pPr>
      <w:r w:rsidRPr="001018E5">
        <w:rPr>
          <w:rStyle w:val="FootnoteReference"/>
          <w:rFonts w:asciiTheme="minorHAnsi" w:eastAsiaTheme="majorEastAsia" w:hAnsiTheme="minorHAnsi" w:cstheme="minorHAnsi"/>
        </w:rPr>
        <w:footnoteRef/>
      </w:r>
      <w:r w:rsidRPr="00505348">
        <w:rPr>
          <w:rFonts w:asciiTheme="minorHAnsi" w:hAnsiTheme="minorHAnsi" w:cstheme="minorHAnsi"/>
        </w:rPr>
        <w:t xml:space="preserve"> Higher spend in 2022-23 when compared to 2023-24 is in part a result of reprofiling a significant amount of High Needs funding from the 23-24 allocation into 22-23 (see footnote 2) and the additional capital funding allocated to improve energy efficiency (see footnote 3).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13000D"/>
    <w:multiLevelType w:val="hybridMultilevel"/>
    <w:tmpl w:val="57D64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8DD27DE"/>
    <w:multiLevelType w:val="hybridMultilevel"/>
    <w:tmpl w:val="4A8660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A737FF9"/>
    <w:multiLevelType w:val="hybridMultilevel"/>
    <w:tmpl w:val="48AA1A78"/>
    <w:lvl w:ilvl="0">
      <w:start w:val="0"/>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B2C3A01"/>
    <w:multiLevelType w:val="hybridMultilevel"/>
    <w:tmpl w:val="0472EDA6"/>
    <w:lvl w:ilvl="0">
      <w:start w:val="1"/>
      <w:numFmt w:val="bullet"/>
      <w:lvlText w:val="•"/>
      <w:lvlJc w:val="left"/>
      <w:pPr>
        <w:ind w:left="766" w:firstLine="0"/>
      </w:pPr>
      <w:rPr>
        <w:rFonts w:ascii="Arial" w:eastAsia="Arial" w:hAnsi="Arial" w:cs="Arial"/>
        <w:b w:val="0"/>
        <w:i w:val="0"/>
        <w:strike w:val="0"/>
        <w:dstrike w:val="0"/>
        <w:color w:val="000000"/>
        <w:sz w:val="22"/>
        <w:szCs w:val="22"/>
        <w:u w:val="none" w:color="000000"/>
        <w:effect w:val="none"/>
        <w:bdr w:val="nil"/>
        <w:vertAlign w:val="baseline"/>
      </w:rPr>
    </w:lvl>
    <w:lvl w:ilvl="1">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il"/>
        <w:vertAlign w:val="baseline"/>
      </w:rPr>
    </w:lvl>
    <w:lvl w:ilvl="2">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il"/>
        <w:vertAlign w:val="baseline"/>
      </w:rPr>
    </w:lvl>
    <w:lvl w:ilvl="3">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il"/>
        <w:vertAlign w:val="baseline"/>
      </w:rPr>
    </w:lvl>
    <w:lvl w:ilvl="4">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il"/>
        <w:vertAlign w:val="baseline"/>
      </w:rPr>
    </w:lvl>
    <w:lvl w:ilvl="5">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il"/>
        <w:vertAlign w:val="baseline"/>
      </w:rPr>
    </w:lvl>
    <w:lvl w:ilvl="6">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il"/>
        <w:vertAlign w:val="baseline"/>
      </w:rPr>
    </w:lvl>
    <w:lvl w:ilvl="7">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il"/>
        <w:vertAlign w:val="baseline"/>
      </w:rPr>
    </w:lvl>
    <w:lvl w:ilvl="8">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il"/>
        <w:vertAlign w:val="baseline"/>
      </w:rPr>
    </w:lvl>
  </w:abstractNum>
  <w:abstractNum w:abstractNumId="4">
    <w:nsid w:val="0BA9744B"/>
    <w:multiLevelType w:val="hybridMultilevel"/>
    <w:tmpl w:val="38FA3F2A"/>
    <w:lvl w:ilvl="0">
      <w:start w:val="1"/>
      <w:numFmt w:val="decimal"/>
      <w:lvlText w:val="%1."/>
      <w:lvlJc w:val="left"/>
      <w:pPr>
        <w:ind w:left="720" w:hanging="360"/>
      </w:pPr>
      <w:rPr>
        <w:rFonts w:asciiTheme="minorHAnsi" w:hAnsiTheme="minorHAnsi" w:cstheme="minorHAnsi" w:hint="default"/>
        <w:i w:val="0"/>
        <w:color w:val="8EAADB" w:themeColor="accent1" w:themeTint="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51D2EBF"/>
    <w:multiLevelType w:val="hybridMultilevel"/>
    <w:tmpl w:val="3F9E08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62006D0"/>
    <w:multiLevelType w:val="hybridMultilevel"/>
    <w:tmpl w:val="1098F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62A06C0"/>
    <w:multiLevelType w:val="hybridMultilevel"/>
    <w:tmpl w:val="638416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6370317"/>
    <w:multiLevelType w:val="hybridMultilevel"/>
    <w:tmpl w:val="4AECD10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19B748E1"/>
    <w:multiLevelType w:val="multilevel"/>
    <w:tmpl w:val="44AE43A2"/>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nsid w:val="1A3B024B"/>
    <w:multiLevelType w:val="hybridMultilevel"/>
    <w:tmpl w:val="3FE807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F6D5B97"/>
    <w:multiLevelType w:val="hybridMultilevel"/>
    <w:tmpl w:val="228E2CB2"/>
    <w:lvl w:ilvl="0">
      <w:start w:val="1"/>
      <w:numFmt w:val="decimal"/>
      <w:lvlText w:val="%1."/>
      <w:lvlJc w:val="left"/>
      <w:pPr>
        <w:ind w:left="720" w:hanging="360"/>
      </w:pPr>
      <w:rPr>
        <w:rFonts w:asciiTheme="minorHAnsi" w:hAnsiTheme="minorHAnsi" w:cstheme="minorHAnsi" w:hint="default"/>
        <w:i w:val="0"/>
        <w:color w:val="8EAADB" w:themeColor="accent1" w:themeTint="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1C3703A"/>
    <w:multiLevelType w:val="hybridMultilevel"/>
    <w:tmpl w:val="BA640378"/>
    <w:lvl w:ilvl="0">
      <w:start w:val="1"/>
      <w:numFmt w:val="decimal"/>
      <w:lvlText w:val="%1."/>
      <w:lvlJc w:val="left"/>
      <w:pPr>
        <w:ind w:left="720" w:hanging="360"/>
      </w:pPr>
      <w:rPr>
        <w:rFonts w:asciiTheme="minorHAnsi" w:hAnsiTheme="minorHAnsi" w:cstheme="min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2821935"/>
    <w:multiLevelType w:val="hybridMultilevel"/>
    <w:tmpl w:val="93A222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39E1E13"/>
    <w:multiLevelType w:val="hybridMultilevel"/>
    <w:tmpl w:val="D99A726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25B077F8"/>
    <w:multiLevelType w:val="hybridMultilevel"/>
    <w:tmpl w:val="59103C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7F75A78"/>
    <w:multiLevelType w:val="hybridMultilevel"/>
    <w:tmpl w:val="FDC4F8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88B280A"/>
    <w:multiLevelType w:val="hybridMultilevel"/>
    <w:tmpl w:val="4E66FA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CD82463"/>
    <w:multiLevelType w:val="hybridMultilevel"/>
    <w:tmpl w:val="3190EC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2570132"/>
    <w:multiLevelType w:val="hybridMultilevel"/>
    <w:tmpl w:val="F502D9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4AF512A"/>
    <w:multiLevelType w:val="hybridMultilevel"/>
    <w:tmpl w:val="44DE6AB6"/>
    <w:lvl w:ilvl="0">
      <w:start w:val="0"/>
      <w:numFmt w:val="bullet"/>
      <w:lvlText w:val=""/>
      <w:lvlJc w:val="left"/>
      <w:pPr>
        <w:ind w:left="720" w:hanging="360"/>
      </w:pPr>
      <w:rPr>
        <w:rFonts w:ascii="Symbol" w:hAnsi="Symbol"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4FF5829"/>
    <w:multiLevelType w:val="hybridMultilevel"/>
    <w:tmpl w:val="76D8C41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54A1DC0"/>
    <w:multiLevelType w:val="hybridMultilevel"/>
    <w:tmpl w:val="F6723E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BD75F35"/>
    <w:multiLevelType w:val="hybridMultilevel"/>
    <w:tmpl w:val="EC7AA2B4"/>
    <w:lvl w:ilvl="0">
      <w:start w:val="0"/>
      <w:numFmt w:val="bullet"/>
      <w:lvlText w:val="·"/>
      <w:lvlJc w:val="left"/>
      <w:pPr>
        <w:ind w:left="765" w:hanging="405"/>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DBD3D62"/>
    <w:multiLevelType w:val="hybridMultilevel"/>
    <w:tmpl w:val="1CBA92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3E591FAE"/>
    <w:multiLevelType w:val="hybridMultilevel"/>
    <w:tmpl w:val="30DCCC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6">
    <w:nsid w:val="3F3341C0"/>
    <w:multiLevelType w:val="hybridMultilevel"/>
    <w:tmpl w:val="5E62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277002E"/>
    <w:multiLevelType w:val="hybridMultilevel"/>
    <w:tmpl w:val="4C48B5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70258D6"/>
    <w:multiLevelType w:val="hybridMultilevel"/>
    <w:tmpl w:val="AC1C1F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nsid w:val="47B529C0"/>
    <w:multiLevelType w:val="hybridMultilevel"/>
    <w:tmpl w:val="DA7A2A04"/>
    <w:lvl w:ilvl="0">
      <w:start w:val="1"/>
      <w:numFmt w:val="bullet"/>
      <w:pStyle w:val="DeptBullets"/>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Marlett" w:hAnsi="Marlett"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Marlett" w:hAnsi="Marlett"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Marlett" w:hAnsi="Marlett" w:hint="default"/>
      </w:rPr>
    </w:lvl>
  </w:abstractNum>
  <w:abstractNum w:abstractNumId="30">
    <w:nsid w:val="4828723F"/>
    <w:multiLevelType w:val="hybridMultilevel"/>
    <w:tmpl w:val="D96484B2"/>
    <w:lvl w:ilvl="0">
      <w:start w:val="1"/>
      <w:numFmt w:val="decimal"/>
      <w:lvlText w:val="%1."/>
      <w:lvlJc w:val="left"/>
      <w:pPr>
        <w:ind w:left="720" w:hanging="360"/>
      </w:pPr>
      <w:rPr>
        <w:rFonts w:asciiTheme="minorHAnsi" w:hAnsiTheme="minorHAnsi" w:cstheme="minorHAnsi" w:hint="default"/>
        <w:i w:val="0"/>
        <w:color w:val="8EAADB" w:themeColor="accent1" w:themeTint="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4AF14D69"/>
    <w:multiLevelType w:val="hybridMultilevel"/>
    <w:tmpl w:val="01E026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4EFD01C6"/>
    <w:multiLevelType w:val="hybridMultilevel"/>
    <w:tmpl w:val="6EC61B2E"/>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nsid w:val="4F34524F"/>
    <w:multiLevelType w:val="hybridMultilevel"/>
    <w:tmpl w:val="94DAE3A0"/>
    <w:lvl w:ilvl="0">
      <w:start w:val="1"/>
      <w:numFmt w:val="decimal"/>
      <w:lvlText w:val="%1."/>
      <w:lvlJc w:val="left"/>
      <w:pPr>
        <w:ind w:left="720" w:hanging="360"/>
      </w:pPr>
      <w:rPr>
        <w:rFonts w:asciiTheme="minorHAnsi" w:hAnsiTheme="minorHAnsi" w:cstheme="minorHAnsi" w:hint="default"/>
        <w:i w:val="0"/>
        <w:color w:val="8EAADB" w:themeColor="accent1" w:themeTint="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0255069"/>
    <w:multiLevelType w:val="hybridMultilevel"/>
    <w:tmpl w:val="57AA783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nsid w:val="53D55DFE"/>
    <w:multiLevelType w:val="hybridMultilevel"/>
    <w:tmpl w:val="81AC3D1E"/>
    <w:lvl w:ilvl="0">
      <w:start w:val="0"/>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58101386"/>
    <w:multiLevelType w:val="hybridMultilevel"/>
    <w:tmpl w:val="3F18C8B0"/>
    <w:lvl w:ilvl="0">
      <w:start w:val="1"/>
      <w:numFmt w:val="bullet"/>
      <w:lvlText w:val="•"/>
      <w:lvlJc w:val="left"/>
      <w:pPr>
        <w:ind w:left="810" w:hanging="405"/>
      </w:pPr>
      <w:rPr>
        <w:rFonts w:ascii="Arial" w:eastAsia="Arial" w:hAnsi="Arial" w:cs="Arial" w:hint="default"/>
        <w:b w:val="0"/>
        <w:i w:val="0"/>
        <w:strike w:val="0"/>
        <w:dstrike w:val="0"/>
        <w:color w:val="000000"/>
        <w:sz w:val="22"/>
        <w:szCs w:val="22"/>
        <w:u w:val="none" w:color="000000"/>
        <w:effect w:val="none"/>
        <w:bdr w:val="nil"/>
        <w:vertAlign w:val="baseline"/>
      </w:rPr>
    </w:lvl>
    <w:lvl w:ilvl="1">
      <w:start w:val="1"/>
      <w:numFmt w:val="bullet"/>
      <w:lvlText w:val="o"/>
      <w:lvlJc w:val="left"/>
      <w:pPr>
        <w:ind w:left="1488" w:hanging="360"/>
      </w:pPr>
      <w:rPr>
        <w:rFonts w:ascii="Courier New" w:hAnsi="Courier New" w:cs="Courier New" w:hint="default"/>
      </w:rPr>
    </w:lvl>
    <w:lvl w:ilvl="2">
      <w:start w:val="1"/>
      <w:numFmt w:val="bullet"/>
      <w:lvlText w:val=""/>
      <w:lvlJc w:val="left"/>
      <w:pPr>
        <w:ind w:left="2208" w:hanging="360"/>
      </w:pPr>
      <w:rPr>
        <w:rFonts w:ascii="Wingdings" w:hAnsi="Wingdings" w:hint="default"/>
      </w:rPr>
    </w:lvl>
    <w:lvl w:ilvl="3">
      <w:start w:val="1"/>
      <w:numFmt w:val="bullet"/>
      <w:lvlText w:val=""/>
      <w:lvlJc w:val="left"/>
      <w:pPr>
        <w:ind w:left="2928" w:hanging="360"/>
      </w:pPr>
      <w:rPr>
        <w:rFonts w:ascii="Symbol" w:hAnsi="Symbol" w:hint="default"/>
      </w:rPr>
    </w:lvl>
    <w:lvl w:ilvl="4">
      <w:start w:val="1"/>
      <w:numFmt w:val="bullet"/>
      <w:lvlText w:val="o"/>
      <w:lvlJc w:val="left"/>
      <w:pPr>
        <w:ind w:left="3648" w:hanging="360"/>
      </w:pPr>
      <w:rPr>
        <w:rFonts w:ascii="Courier New" w:hAnsi="Courier New" w:cs="Courier New" w:hint="default"/>
      </w:rPr>
    </w:lvl>
    <w:lvl w:ilvl="5">
      <w:start w:val="1"/>
      <w:numFmt w:val="bullet"/>
      <w:lvlText w:val=""/>
      <w:lvlJc w:val="left"/>
      <w:pPr>
        <w:ind w:left="4368" w:hanging="360"/>
      </w:pPr>
      <w:rPr>
        <w:rFonts w:ascii="Wingdings" w:hAnsi="Wingdings" w:hint="default"/>
      </w:rPr>
    </w:lvl>
    <w:lvl w:ilvl="6">
      <w:start w:val="1"/>
      <w:numFmt w:val="bullet"/>
      <w:lvlText w:val=""/>
      <w:lvlJc w:val="left"/>
      <w:pPr>
        <w:ind w:left="5088" w:hanging="360"/>
      </w:pPr>
      <w:rPr>
        <w:rFonts w:ascii="Symbol" w:hAnsi="Symbol" w:hint="default"/>
      </w:rPr>
    </w:lvl>
    <w:lvl w:ilvl="7">
      <w:start w:val="1"/>
      <w:numFmt w:val="bullet"/>
      <w:lvlText w:val="o"/>
      <w:lvlJc w:val="left"/>
      <w:pPr>
        <w:ind w:left="5808" w:hanging="360"/>
      </w:pPr>
      <w:rPr>
        <w:rFonts w:ascii="Courier New" w:hAnsi="Courier New" w:cs="Courier New" w:hint="default"/>
      </w:rPr>
    </w:lvl>
    <w:lvl w:ilvl="8">
      <w:start w:val="1"/>
      <w:numFmt w:val="bullet"/>
      <w:lvlText w:val=""/>
      <w:lvlJc w:val="left"/>
      <w:pPr>
        <w:ind w:left="6528" w:hanging="360"/>
      </w:pPr>
      <w:rPr>
        <w:rFonts w:ascii="Wingdings" w:hAnsi="Wingdings" w:hint="default"/>
      </w:rPr>
    </w:lvl>
  </w:abstractNum>
  <w:abstractNum w:abstractNumId="37">
    <w:nsid w:val="58CB31B0"/>
    <w:multiLevelType w:val="hybridMultilevel"/>
    <w:tmpl w:val="AFF4B9BE"/>
    <w:lvl w:ilvl="0">
      <w:start w:val="1"/>
      <w:numFmt w:val="bullet"/>
      <w:lvlText w:val=""/>
      <w:lvlJc w:val="left"/>
      <w:pPr>
        <w:ind w:left="765" w:hanging="405"/>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5F2258A4"/>
    <w:multiLevelType w:val="hybridMultilevel"/>
    <w:tmpl w:val="98A0E0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5F482724"/>
    <w:multiLevelType w:val="hybridMultilevel"/>
    <w:tmpl w:val="815C03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0D76826"/>
    <w:multiLevelType w:val="hybridMultilevel"/>
    <w:tmpl w:val="6D0A87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02F0C91"/>
    <w:multiLevelType w:val="hybridMultilevel"/>
    <w:tmpl w:val="18F6EEDE"/>
    <w:lvl w:ilvl="0">
      <w:start w:val="1"/>
      <w:numFmt w:val="decimal"/>
      <w:lvlText w:val="%1."/>
      <w:lvlJc w:val="left"/>
      <w:pPr>
        <w:ind w:left="720" w:hanging="360"/>
      </w:pPr>
      <w:rPr>
        <w:rFonts w:asciiTheme="minorHAnsi" w:hAnsiTheme="minorHAnsi" w:cstheme="minorHAnsi" w:hint="default"/>
        <w:i w:val="0"/>
        <w:color w:val="8EAADB" w:themeColor="accent1" w:themeTint="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76EA4C59"/>
    <w:multiLevelType w:val="hybridMultilevel"/>
    <w:tmpl w:val="94DAE3A0"/>
    <w:lvl w:ilvl="0">
      <w:start w:val="1"/>
      <w:numFmt w:val="decimal"/>
      <w:lvlText w:val="%1."/>
      <w:lvlJc w:val="left"/>
      <w:pPr>
        <w:ind w:left="720" w:hanging="360"/>
      </w:pPr>
      <w:rPr>
        <w:rFonts w:ascii="Calibri" w:hAnsi="Calibri" w:cs="Calibri" w:hint="default"/>
        <w:i w:val="0"/>
        <w:color w:val="8EAAD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7FB05838"/>
    <w:multiLevelType w:val="hybridMultilevel"/>
    <w:tmpl w:val="23B4F4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8"/>
  </w:num>
  <w:num w:numId="4">
    <w:abstractNumId w:val="33"/>
  </w:num>
  <w:num w:numId="5">
    <w:abstractNumId w:val="25"/>
  </w:num>
  <w:num w:numId="6">
    <w:abstractNumId w:val="15"/>
  </w:num>
  <w:num w:numId="7">
    <w:abstractNumId w:val="18"/>
  </w:num>
  <w:num w:numId="8">
    <w:abstractNumId w:val="9"/>
  </w:num>
  <w:num w:numId="9">
    <w:abstractNumId w:val="29"/>
  </w:num>
  <w:num w:numId="10">
    <w:abstractNumId w:val="10"/>
  </w:num>
  <w:num w:numId="11">
    <w:abstractNumId w:val="31"/>
  </w:num>
  <w:num w:numId="12">
    <w:abstractNumId w:val="35"/>
  </w:num>
  <w:num w:numId="13">
    <w:abstractNumId w:val="20"/>
  </w:num>
  <w:num w:numId="14">
    <w:abstractNumId w:val="34"/>
  </w:num>
  <w:num w:numId="15">
    <w:abstractNumId w:val="2"/>
  </w:num>
  <w:num w:numId="16">
    <w:abstractNumId w:val="2"/>
  </w:num>
  <w:num w:numId="17">
    <w:abstractNumId w:val="38"/>
  </w:num>
  <w:num w:numId="18">
    <w:abstractNumId w:val="6"/>
  </w:num>
  <w:num w:numId="19">
    <w:abstractNumId w:val="27"/>
  </w:num>
  <w:num w:numId="20">
    <w:abstractNumId w:val="0"/>
  </w:num>
  <w:num w:numId="21">
    <w:abstractNumId w:val="1"/>
  </w:num>
  <w:num w:numId="22">
    <w:abstractNumId w:val="24"/>
  </w:num>
  <w:num w:numId="23">
    <w:abstractNumId w:val="39"/>
  </w:num>
  <w:num w:numId="24">
    <w:abstractNumId w:val="23"/>
  </w:num>
  <w:num w:numId="25">
    <w:abstractNumId w:val="37"/>
  </w:num>
  <w:num w:numId="26">
    <w:abstractNumId w:val="29"/>
  </w:num>
  <w:num w:numId="27">
    <w:abstractNumId w:val="32"/>
    <w:lvlOverride w:ilvl="0">
      <w:startOverride w:val="1"/>
    </w:lvlOverride>
    <w:lvlOverride w:ilvl="1"/>
    <w:lvlOverride w:ilvl="2"/>
    <w:lvlOverride w:ilvl="3"/>
    <w:lvlOverride w:ilvl="4"/>
    <w:lvlOverride w:ilvl="5"/>
    <w:lvlOverride w:ilvl="6"/>
    <w:lvlOverride w:ilvl="7"/>
    <w:lvlOverride w:ilv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8"/>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29"/>
  </w:num>
  <w:num w:numId="34">
    <w:abstractNumId w:val="12"/>
  </w:num>
  <w:num w:numId="35">
    <w:abstractNumId w:val="40"/>
  </w:num>
  <w:num w:numId="36">
    <w:abstractNumId w:val="14"/>
  </w:num>
  <w:num w:numId="37">
    <w:abstractNumId w:val="43"/>
  </w:num>
  <w:num w:numId="38">
    <w:abstractNumId w:val="11"/>
  </w:num>
  <w:num w:numId="39">
    <w:abstractNumId w:val="30"/>
  </w:num>
  <w:num w:numId="40">
    <w:abstractNumId w:val="41"/>
  </w:num>
  <w:num w:numId="41">
    <w:abstractNumId w:val="4"/>
  </w:num>
  <w:num w:numId="42">
    <w:abstractNumId w:val="16"/>
  </w:num>
  <w:num w:numId="43">
    <w:abstractNumId w:val="24"/>
  </w:num>
  <w:num w:numId="44">
    <w:abstractNumId w:val="5"/>
  </w:num>
  <w:num w:numId="45">
    <w:abstractNumId w:val="36"/>
  </w:num>
  <w:num w:numId="46">
    <w:abstractNumId w:val="21"/>
  </w:num>
  <w:num w:numId="47">
    <w:abstractNumId w:val="22"/>
  </w:num>
  <w:num w:numId="48">
    <w:abstractNumId w:val="19"/>
  </w:num>
  <w:num w:numId="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18D7"/>
  </w:style>
  <w:style w:type="paragraph" w:styleId="Heading1">
    <w:name w:val="heading 1"/>
    <w:basedOn w:val="Normal"/>
    <w:next w:val="Normal"/>
    <w:link w:val="Heading1Char"/>
    <w:uiPriority w:val="9"/>
    <w:qFormat/>
    <w:rsid w:val="00EE5B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5BFD"/>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unhideWhenUsed/>
    <w:qFormat/>
    <w:rsid w:val="00EE5BFD"/>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EE5BF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E5BF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EE5BFD"/>
    <w:pPr>
      <w:keepNext/>
      <w:keepLines/>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EE5BFD"/>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EE5BFD"/>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EE5BF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BF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E5BFD"/>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rsid w:val="00EE5BFD"/>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EE5BF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E5BF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EE5BFD"/>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EE5BFD"/>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EE5BFD"/>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EE5BFD"/>
    <w:rPr>
      <w:rFonts w:asciiTheme="majorHAnsi" w:eastAsiaTheme="majorEastAsia" w:hAnsiTheme="majorHAnsi" w:cstheme="majorBidi"/>
      <w:i/>
      <w:iCs/>
      <w:color w:val="262626" w:themeColor="text1" w:themeTint="D9"/>
      <w:sz w:val="21"/>
      <w:szCs w:val="21"/>
    </w:rPr>
  </w:style>
  <w:style w:type="paragraph" w:customStyle="1" w:styleId="appendixparacontinued">
    <w:name w:val="appendixparacontinued"/>
    <w:basedOn w:val="Normal"/>
    <w:rsid w:val="00740C96"/>
    <w:pPr>
      <w:spacing w:after="180" w:line="288"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E5BFD"/>
    <w:rPr>
      <w:b/>
      <w:bCs/>
      <w:color w:val="auto"/>
    </w:rPr>
  </w:style>
  <w:style w:type="character" w:customStyle="1" w:styleId="strong-frutiger1">
    <w:name w:val="strong-frutiger1"/>
    <w:basedOn w:val="DefaultParagraphFont"/>
    <w:rsid w:val="00740C96"/>
  </w:style>
  <w:style w:type="paragraph" w:customStyle="1" w:styleId="jcsipara-1-1">
    <w:name w:val="jcsi_para-1-1"/>
    <w:basedOn w:val="Normal"/>
    <w:rsid w:val="00740C96"/>
    <w:pPr>
      <w:spacing w:after="180" w:line="288" w:lineRule="auto"/>
    </w:pPr>
    <w:rPr>
      <w:rFonts w:ascii="Times New Roman" w:eastAsia="Times New Roman" w:hAnsi="Times New Roman" w:cs="Times New Roman"/>
      <w:sz w:val="24"/>
      <w:szCs w:val="24"/>
      <w:lang w:eastAsia="en-GB"/>
    </w:rPr>
  </w:style>
  <w:style w:type="paragraph" w:customStyle="1" w:styleId="tablefrutiger-table-header-white">
    <w:name w:val="table_frutiger-table-header-white"/>
    <w:basedOn w:val="Normal"/>
    <w:rsid w:val="00740C96"/>
    <w:pPr>
      <w:spacing w:after="180" w:line="288" w:lineRule="auto"/>
    </w:pPr>
    <w:rPr>
      <w:rFonts w:ascii="Times New Roman" w:eastAsia="Times New Roman" w:hAnsi="Times New Roman" w:cs="Times New Roman"/>
      <w:sz w:val="24"/>
      <w:szCs w:val="24"/>
      <w:lang w:eastAsia="en-GB"/>
    </w:rPr>
  </w:style>
  <w:style w:type="paragraph" w:customStyle="1" w:styleId="pastreportstitles">
    <w:name w:val="pastreportstitles"/>
    <w:basedOn w:val="Normal"/>
    <w:rsid w:val="00740C96"/>
    <w:pPr>
      <w:spacing w:after="180" w:line="288" w:lineRule="auto"/>
    </w:pPr>
    <w:rPr>
      <w:rFonts w:ascii="Times New Roman" w:eastAsia="Times New Roman" w:hAnsi="Times New Roman" w:cs="Times New Roman"/>
      <w:sz w:val="24"/>
      <w:szCs w:val="24"/>
      <w:lang w:eastAsia="en-GB"/>
    </w:rPr>
  </w:style>
  <w:style w:type="paragraph" w:styleId="ListParagraph">
    <w:name w:val="List Paragraph"/>
    <w:aliases w:val="Bullet 1,Bullet Points,Bullet Style,Colorful List - Accent 11,Dot pt,F5 List Paragraph,Indicator Text,List Paragraph Char Char Char,List Paragraph1,List Paragraph12,List Paragraph2,MAIN CONTENT,No Spacing1,Normal numbered,Numbered Para 1"/>
    <w:basedOn w:val="Normal"/>
    <w:link w:val="ListParagraphChar"/>
    <w:uiPriority w:val="34"/>
    <w:qFormat/>
    <w:rsid w:val="003325FE"/>
    <w:pPr>
      <w:ind w:left="720"/>
      <w:contextualSpacing/>
    </w:pPr>
  </w:style>
  <w:style w:type="character" w:customStyle="1" w:styleId="ListParagraphChar">
    <w:name w:val="List Paragraph Char"/>
    <w:aliases w:val="Bullet 1 Char,Bullet Points Char,Dot pt Char,F5 List Paragraph Char,Indicator Text Char,List Paragraph Char Char Char Char,List Paragraph1 Char,List Paragraph12 Char,MAIN CONTENT Char,No Spacing1 Char,Numbered Para 1 Char"/>
    <w:basedOn w:val="DefaultParagraphFont"/>
    <w:link w:val="ListParagraph"/>
    <w:uiPriority w:val="34"/>
    <w:locked/>
    <w:rsid w:val="00F24A06"/>
  </w:style>
  <w:style w:type="table" w:styleId="TableGrid">
    <w:name w:val="Table Grid"/>
    <w:basedOn w:val="TableNormal"/>
    <w:uiPriority w:val="39"/>
    <w:rsid w:val="00D52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E6379"/>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9E6379"/>
  </w:style>
  <w:style w:type="character" w:customStyle="1" w:styleId="eop">
    <w:name w:val="eop"/>
    <w:basedOn w:val="DefaultParagraphFont"/>
    <w:rsid w:val="009E6379"/>
  </w:style>
  <w:style w:type="character" w:customStyle="1" w:styleId="advancedproofingissue">
    <w:name w:val="advancedproofingissue"/>
    <w:basedOn w:val="DefaultParagraphFont"/>
    <w:rsid w:val="006F30CB"/>
  </w:style>
  <w:style w:type="paragraph" w:styleId="Header">
    <w:name w:val="header"/>
    <w:basedOn w:val="Normal"/>
    <w:link w:val="HeaderChar"/>
    <w:uiPriority w:val="99"/>
    <w:unhideWhenUsed/>
    <w:rsid w:val="00EF63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3D2"/>
  </w:style>
  <w:style w:type="paragraph" w:styleId="Footer">
    <w:name w:val="footer"/>
    <w:basedOn w:val="Normal"/>
    <w:link w:val="FooterChar"/>
    <w:uiPriority w:val="99"/>
    <w:unhideWhenUsed/>
    <w:rsid w:val="00EF63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3D2"/>
  </w:style>
  <w:style w:type="character" w:styleId="Hyperlink">
    <w:name w:val="Hyperlink"/>
    <w:basedOn w:val="DefaultParagraphFont"/>
    <w:uiPriority w:val="99"/>
    <w:unhideWhenUsed/>
    <w:rsid w:val="00D3514F"/>
    <w:rPr>
      <w:color w:val="0000FF"/>
      <w:u w:val="single"/>
    </w:rPr>
  </w:style>
  <w:style w:type="character" w:customStyle="1" w:styleId="gem-c-contents-listnumber">
    <w:name w:val="gem-c-contents-list__number"/>
    <w:basedOn w:val="DefaultParagraphFont"/>
    <w:rsid w:val="00D3514F"/>
  </w:style>
  <w:style w:type="character" w:customStyle="1" w:styleId="gem-c-contents-listnumbered-text">
    <w:name w:val="gem-c-contents-list__numbered-text"/>
    <w:basedOn w:val="DefaultParagraphFont"/>
    <w:rsid w:val="00D3514F"/>
  </w:style>
  <w:style w:type="paragraph" w:styleId="Subtitle">
    <w:name w:val="Subtitle"/>
    <w:basedOn w:val="Normal"/>
    <w:next w:val="Normal"/>
    <w:link w:val="SubtitleChar"/>
    <w:uiPriority w:val="11"/>
    <w:qFormat/>
    <w:rsid w:val="00EE5BFD"/>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E5BFD"/>
    <w:rPr>
      <w:color w:val="5A5A5A" w:themeColor="text1" w:themeTint="A5"/>
      <w:spacing w:val="15"/>
    </w:rPr>
  </w:style>
  <w:style w:type="character" w:styleId="CommentReference">
    <w:name w:val="annotation reference"/>
    <w:basedOn w:val="DefaultParagraphFont"/>
    <w:semiHidden/>
    <w:unhideWhenUsed/>
    <w:rsid w:val="00561797"/>
    <w:rPr>
      <w:sz w:val="16"/>
      <w:szCs w:val="16"/>
    </w:rPr>
  </w:style>
  <w:style w:type="paragraph" w:styleId="CommentText">
    <w:name w:val="annotation text"/>
    <w:basedOn w:val="Normal"/>
    <w:link w:val="CommentTextChar"/>
    <w:unhideWhenUsed/>
    <w:rsid w:val="00561797"/>
    <w:pPr>
      <w:spacing w:line="240" w:lineRule="auto"/>
    </w:pPr>
    <w:rPr>
      <w:sz w:val="20"/>
      <w:szCs w:val="20"/>
    </w:rPr>
  </w:style>
  <w:style w:type="character" w:customStyle="1" w:styleId="CommentTextChar">
    <w:name w:val="Comment Text Char"/>
    <w:basedOn w:val="DefaultParagraphFont"/>
    <w:link w:val="CommentText"/>
    <w:rsid w:val="00561797"/>
    <w:rPr>
      <w:sz w:val="20"/>
      <w:szCs w:val="20"/>
    </w:rPr>
  </w:style>
  <w:style w:type="paragraph" w:styleId="CommentSubject">
    <w:name w:val="annotation subject"/>
    <w:basedOn w:val="CommentText"/>
    <w:next w:val="CommentText"/>
    <w:link w:val="CommentSubjectChar"/>
    <w:uiPriority w:val="99"/>
    <w:semiHidden/>
    <w:unhideWhenUsed/>
    <w:rsid w:val="00561797"/>
    <w:rPr>
      <w:b/>
      <w:bCs/>
    </w:rPr>
  </w:style>
  <w:style w:type="character" w:customStyle="1" w:styleId="CommentSubjectChar">
    <w:name w:val="Comment Subject Char"/>
    <w:basedOn w:val="CommentTextChar"/>
    <w:link w:val="CommentSubject"/>
    <w:uiPriority w:val="99"/>
    <w:semiHidden/>
    <w:rsid w:val="00561797"/>
    <w:rPr>
      <w:b/>
      <w:bCs/>
      <w:sz w:val="20"/>
      <w:szCs w:val="20"/>
    </w:rPr>
  </w:style>
  <w:style w:type="paragraph" w:styleId="BalloonText">
    <w:name w:val="Balloon Text"/>
    <w:basedOn w:val="Normal"/>
    <w:link w:val="BalloonTextChar"/>
    <w:uiPriority w:val="99"/>
    <w:semiHidden/>
    <w:unhideWhenUsed/>
    <w:rsid w:val="00561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797"/>
    <w:rPr>
      <w:rFonts w:ascii="Segoe UI" w:hAnsi="Segoe UI" w:cs="Segoe UI"/>
      <w:sz w:val="18"/>
      <w:szCs w:val="18"/>
    </w:rPr>
  </w:style>
  <w:style w:type="character" w:customStyle="1" w:styleId="number">
    <w:name w:val="number"/>
    <w:basedOn w:val="DefaultParagraphFont"/>
    <w:rsid w:val="007A4142"/>
  </w:style>
  <w:style w:type="character" w:customStyle="1" w:styleId="UnresolvedMention1">
    <w:name w:val="Unresolved Mention1"/>
    <w:basedOn w:val="DefaultParagraphFont"/>
    <w:uiPriority w:val="99"/>
    <w:semiHidden/>
    <w:unhideWhenUsed/>
    <w:rsid w:val="001A0DB4"/>
    <w:rPr>
      <w:color w:val="808080"/>
      <w:shd w:val="clear" w:color="auto" w:fill="E6E6E6"/>
    </w:rPr>
  </w:style>
  <w:style w:type="paragraph" w:customStyle="1" w:styleId="Default">
    <w:name w:val="Default"/>
    <w:rsid w:val="008302F2"/>
    <w:pPr>
      <w:autoSpaceDE w:val="0"/>
      <w:autoSpaceDN w:val="0"/>
      <w:adjustRightInd w:val="0"/>
      <w:spacing w:after="0" w:line="240" w:lineRule="auto"/>
    </w:pPr>
    <w:rPr>
      <w:rFonts w:ascii="Humnst777 Lt BT" w:hAnsi="Humnst777 Lt BT" w:cs="Humnst777 Lt BT"/>
      <w:color w:val="000000"/>
      <w:sz w:val="24"/>
      <w:szCs w:val="24"/>
    </w:rPr>
  </w:style>
  <w:style w:type="paragraph" w:styleId="FootnoteText">
    <w:name w:val="footnote text"/>
    <w:aliases w:val="Footnote,Footnote Text Arial,Footnote Text Char Char,Footnote Text Char Char Char,Footnote Text Char Char Char Char,Footnote Text1,Footnote Text1 Char,Footnote Text1 Char Char Char,Footnote Text1 Char Char Char Char Char Char Char Char,fn"/>
    <w:basedOn w:val="Normal"/>
    <w:link w:val="FootnoteTextChar"/>
    <w:uiPriority w:val="99"/>
    <w:rsid w:val="004D18B6"/>
    <w:pPr>
      <w:widowControl w:val="0"/>
      <w:overflowPunct w:val="0"/>
      <w:autoSpaceDE w:val="0"/>
      <w:autoSpaceDN w:val="0"/>
      <w:adjustRightInd w:val="0"/>
      <w:spacing w:after="0" w:line="240" w:lineRule="auto"/>
      <w:textAlignment w:val="baseline"/>
    </w:pPr>
    <w:rPr>
      <w:rFonts w:ascii="Arial" w:eastAsia="Times New Roman" w:hAnsi="Arial" w:cs="Times New Roman"/>
      <w:sz w:val="20"/>
      <w:szCs w:val="20"/>
    </w:rPr>
  </w:style>
  <w:style w:type="character" w:customStyle="1" w:styleId="FootnoteTextChar">
    <w:name w:val="Footnote Text Char"/>
    <w:aliases w:val="Footnote Char,Footnote Text Arial Char,Footnote Text Char Char Char Char Char,Footnote Text Char Char Char Char1,Footnote Text Char Char Char1,Footnote Text1 Char Char,Footnote Text1 Char Char Char Char,Footnote Text1 Char1,fn Char"/>
    <w:basedOn w:val="DefaultParagraphFont"/>
    <w:link w:val="FootnoteText"/>
    <w:uiPriority w:val="99"/>
    <w:rsid w:val="004D18B6"/>
    <w:rPr>
      <w:rFonts w:ascii="Arial" w:eastAsia="Times New Roman" w:hAnsi="Arial" w:cs="Times New Roman"/>
      <w:sz w:val="20"/>
      <w:szCs w:val="20"/>
    </w:rPr>
  </w:style>
  <w:style w:type="character" w:styleId="FootnoteReference">
    <w:name w:val="footnote reference"/>
    <w:aliases w:val="-E Funotenzeichen,-E Fußnotenzeichen,16 Poin,BVI fnr,EN Footnote Reference,Error-Fußnotenzeichen5,Exposant 3 Point,FR,Footnote reference number,Footnote symbol,Ref,SUPERS,Times 10 Point,de nota al pie,note TESI,stylish"/>
    <w:basedOn w:val="DefaultParagraphFont"/>
    <w:uiPriority w:val="99"/>
    <w:rsid w:val="004D18B6"/>
    <w:rPr>
      <w:vertAlign w:val="superscript"/>
    </w:rPr>
  </w:style>
  <w:style w:type="table" w:customStyle="1" w:styleId="TableGrid1">
    <w:name w:val="Table Grid1"/>
    <w:basedOn w:val="TableNormal"/>
    <w:next w:val="TableGrid"/>
    <w:rsid w:val="004D18B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E5BF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EE5BFD"/>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E5BFD"/>
    <w:rPr>
      <w:rFonts w:asciiTheme="majorHAnsi" w:eastAsiaTheme="majorEastAsia" w:hAnsiTheme="majorHAnsi" w:cstheme="majorBidi"/>
      <w:spacing w:val="-10"/>
      <w:sz w:val="56"/>
      <w:szCs w:val="56"/>
    </w:rPr>
  </w:style>
  <w:style w:type="character" w:styleId="Emphasis">
    <w:name w:val="Emphasis"/>
    <w:basedOn w:val="DefaultParagraphFont"/>
    <w:uiPriority w:val="20"/>
    <w:qFormat/>
    <w:rsid w:val="00EE5BFD"/>
    <w:rPr>
      <w:i/>
      <w:iCs/>
      <w:color w:val="auto"/>
    </w:rPr>
  </w:style>
  <w:style w:type="paragraph" w:styleId="NoSpacing">
    <w:name w:val="No Spacing"/>
    <w:uiPriority w:val="1"/>
    <w:qFormat/>
    <w:rsid w:val="00EE5BFD"/>
    <w:pPr>
      <w:spacing w:after="0" w:line="240" w:lineRule="auto"/>
    </w:pPr>
  </w:style>
  <w:style w:type="paragraph" w:styleId="Quote">
    <w:name w:val="Quote"/>
    <w:basedOn w:val="Normal"/>
    <w:next w:val="Normal"/>
    <w:link w:val="QuoteChar"/>
    <w:uiPriority w:val="29"/>
    <w:qFormat/>
    <w:rsid w:val="00EE5BFD"/>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E5BFD"/>
    <w:rPr>
      <w:i/>
      <w:iCs/>
      <w:color w:val="404040" w:themeColor="text1" w:themeTint="BF"/>
    </w:rPr>
  </w:style>
  <w:style w:type="paragraph" w:styleId="IntenseQuote">
    <w:name w:val="Intense Quote"/>
    <w:basedOn w:val="Normal"/>
    <w:next w:val="Normal"/>
    <w:link w:val="IntenseQuoteChar"/>
    <w:uiPriority w:val="30"/>
    <w:qFormat/>
    <w:rsid w:val="00EE5BF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E5BFD"/>
    <w:rPr>
      <w:i/>
      <w:iCs/>
      <w:color w:val="4472C4" w:themeColor="accent1"/>
    </w:rPr>
  </w:style>
  <w:style w:type="character" w:styleId="SubtleEmphasis">
    <w:name w:val="Subtle Emphasis"/>
    <w:basedOn w:val="DefaultParagraphFont"/>
    <w:uiPriority w:val="19"/>
    <w:qFormat/>
    <w:rsid w:val="00EE5BFD"/>
    <w:rPr>
      <w:i/>
      <w:iCs/>
      <w:color w:val="404040" w:themeColor="text1" w:themeTint="BF"/>
    </w:rPr>
  </w:style>
  <w:style w:type="character" w:styleId="IntenseEmphasis">
    <w:name w:val="Intense Emphasis"/>
    <w:basedOn w:val="DefaultParagraphFont"/>
    <w:uiPriority w:val="21"/>
    <w:qFormat/>
    <w:rsid w:val="00EE5BFD"/>
    <w:rPr>
      <w:i/>
      <w:iCs/>
      <w:color w:val="4472C4" w:themeColor="accent1"/>
    </w:rPr>
  </w:style>
  <w:style w:type="character" w:styleId="SubtleReference">
    <w:name w:val="Subtle Reference"/>
    <w:basedOn w:val="DefaultParagraphFont"/>
    <w:uiPriority w:val="31"/>
    <w:qFormat/>
    <w:rsid w:val="00EE5BFD"/>
    <w:rPr>
      <w:smallCaps/>
      <w:color w:val="404040" w:themeColor="text1" w:themeTint="BF"/>
    </w:rPr>
  </w:style>
  <w:style w:type="character" w:styleId="IntenseReference">
    <w:name w:val="Intense Reference"/>
    <w:basedOn w:val="DefaultParagraphFont"/>
    <w:uiPriority w:val="32"/>
    <w:qFormat/>
    <w:rsid w:val="00EE5BFD"/>
    <w:rPr>
      <w:b/>
      <w:bCs/>
      <w:smallCaps/>
      <w:color w:val="4472C4" w:themeColor="accent1"/>
      <w:spacing w:val="5"/>
    </w:rPr>
  </w:style>
  <w:style w:type="character" w:styleId="BookTitle">
    <w:name w:val="Book Title"/>
    <w:basedOn w:val="DefaultParagraphFont"/>
    <w:uiPriority w:val="33"/>
    <w:qFormat/>
    <w:rsid w:val="00EE5BFD"/>
    <w:rPr>
      <w:b/>
      <w:bCs/>
      <w:i/>
      <w:iCs/>
      <w:spacing w:val="5"/>
    </w:rPr>
  </w:style>
  <w:style w:type="paragraph" w:styleId="TOCHeading">
    <w:name w:val="TOC Heading"/>
    <w:basedOn w:val="Heading1"/>
    <w:next w:val="Normal"/>
    <w:uiPriority w:val="39"/>
    <w:semiHidden/>
    <w:unhideWhenUsed/>
    <w:qFormat/>
    <w:rsid w:val="00EE5BFD"/>
    <w:pPr>
      <w:outlineLvl w:val="9"/>
    </w:pPr>
  </w:style>
  <w:style w:type="character" w:customStyle="1" w:styleId="text">
    <w:name w:val="text"/>
    <w:basedOn w:val="DefaultParagraphFont"/>
    <w:uiPriority w:val="99"/>
    <w:rsid w:val="00E8788A"/>
    <w:rPr>
      <w:rFonts w:ascii="Times New Roman" w:hAnsi="Times New Roman" w:cs="Times New Roman" w:hint="default"/>
    </w:rPr>
  </w:style>
  <w:style w:type="character" w:customStyle="1" w:styleId="normaltextrun">
    <w:name w:val="normaltextrun"/>
    <w:basedOn w:val="DefaultParagraphFont"/>
    <w:rsid w:val="00D97FEB"/>
  </w:style>
  <w:style w:type="character" w:customStyle="1" w:styleId="spellingerror">
    <w:name w:val="spellingerror"/>
    <w:basedOn w:val="DefaultParagraphFont"/>
    <w:rsid w:val="00D97FEB"/>
  </w:style>
  <w:style w:type="character" w:customStyle="1" w:styleId="contextualspellingandgrammarerror">
    <w:name w:val="contextualspellingandgrammarerror"/>
    <w:basedOn w:val="DefaultParagraphFont"/>
    <w:rsid w:val="000263F0"/>
  </w:style>
  <w:style w:type="paragraph" w:customStyle="1" w:styleId="DfESOutNumbered">
    <w:name w:val="DfESOutNumbered"/>
    <w:basedOn w:val="Normal"/>
    <w:link w:val="DfESOutNumberedChar"/>
    <w:rsid w:val="000050BD"/>
    <w:pPr>
      <w:widowControl w:val="0"/>
      <w:numPr>
        <w:numId w:val="8"/>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Heading1Char"/>
    <w:link w:val="DfESOutNumbered"/>
    <w:rsid w:val="000050BD"/>
    <w:rPr>
      <w:rFonts w:ascii="Arial" w:eastAsia="Times New Roman" w:hAnsi="Arial" w:cs="Arial"/>
      <w:color w:val="2F5496" w:themeColor="accent1" w:themeShade="BF"/>
      <w:sz w:val="32"/>
      <w:szCs w:val="20"/>
    </w:rPr>
  </w:style>
  <w:style w:type="paragraph" w:customStyle="1" w:styleId="DeptBullets">
    <w:name w:val="DeptBullets"/>
    <w:basedOn w:val="Normal"/>
    <w:link w:val="DeptBulletsChar"/>
    <w:uiPriority w:val="99"/>
    <w:rsid w:val="000050BD"/>
    <w:pPr>
      <w:widowControl w:val="0"/>
      <w:numPr>
        <w:numId w:val="9"/>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Heading1Char"/>
    <w:link w:val="DeptBullets"/>
    <w:uiPriority w:val="99"/>
    <w:rsid w:val="000050BD"/>
    <w:rPr>
      <w:rFonts w:ascii="Arial" w:eastAsia="Times New Roman" w:hAnsi="Arial" w:cs="Times New Roman"/>
      <w:color w:val="2F5496" w:themeColor="accent1" w:themeShade="BF"/>
      <w:sz w:val="24"/>
      <w:szCs w:val="20"/>
    </w:rPr>
  </w:style>
  <w:style w:type="paragraph" w:styleId="Revision">
    <w:name w:val="Revision"/>
    <w:hidden/>
    <w:uiPriority w:val="99"/>
    <w:semiHidden/>
    <w:rsid w:val="00727618"/>
    <w:pPr>
      <w:spacing w:after="0" w:line="240" w:lineRule="auto"/>
    </w:pPr>
  </w:style>
  <w:style w:type="character" w:styleId="FollowedHyperlink">
    <w:name w:val="FollowedHyperlink"/>
    <w:basedOn w:val="DefaultParagraphFont"/>
    <w:uiPriority w:val="99"/>
    <w:semiHidden/>
    <w:unhideWhenUsed/>
    <w:rsid w:val="007F62FD"/>
    <w:rPr>
      <w:color w:val="954F72" w:themeColor="followedHyperlink"/>
      <w:u w:val="single"/>
    </w:rPr>
  </w:style>
  <w:style w:type="paragraph" w:styleId="NormalWeb">
    <w:name w:val="Normal (Web)"/>
    <w:basedOn w:val="Normal"/>
    <w:uiPriority w:val="99"/>
    <w:unhideWhenUsed/>
    <w:rsid w:val="001010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C50F76"/>
    <w:rPr>
      <w:color w:val="605E5C"/>
      <w:shd w:val="clear" w:color="auto" w:fill="E1DFDD"/>
    </w:rPr>
  </w:style>
  <w:style w:type="character" w:customStyle="1" w:styleId="Mention">
    <w:name w:val="Mention"/>
    <w:basedOn w:val="DefaultParagraphFont"/>
    <w:uiPriority w:val="99"/>
    <w:unhideWhenUsed/>
    <w:rsid w:val="003E78EC"/>
    <w:rPr>
      <w:color w:val="2B579A"/>
      <w:shd w:val="clear" w:color="auto" w:fill="E1DFDD"/>
    </w:rPr>
  </w:style>
  <w:style w:type="character" w:styleId="PlaceholderText">
    <w:name w:val="Placeholder Text"/>
    <w:basedOn w:val="DefaultParagraphFont"/>
    <w:uiPriority w:val="99"/>
    <w:semiHidden/>
    <w:rsid w:val="00104E1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5.png"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image" Target="media/image6.emf"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jpeg" /><Relationship Id="rId8" Type="http://schemas.openxmlformats.org/officeDocument/2006/relationships/image" Target="media/image3.jpeg" /><Relationship Id="rId9"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D7B8D-FEF9-4B30-A7EE-D80AE03BB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