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7DAED1B4" w:rsidRPr="007630C4" w:rsidP="7DAED1B4">
      <w:pPr>
        <w:rPr>
          <w:rFonts w:asciiTheme="minorHAnsi" w:hAnsiTheme="minorHAnsi" w:cstheme="minorHAnsi"/>
          <w:color w:val="auto"/>
          <w:sz w:val="24"/>
          <w:szCs w:val="24"/>
        </w:rPr>
      </w:pPr>
    </w:p>
    <w:p w:rsidR="72AD4CBE" w:rsidRPr="007630C4" w:rsidP="7DAED1B4">
      <w:pPr>
        <w:jc w:val="right"/>
        <w:rPr>
          <w:rFonts w:asciiTheme="minorHAnsi" w:hAnsiTheme="minorHAnsi" w:cstheme="minorHAnsi"/>
          <w:color w:val="auto"/>
          <w:sz w:val="24"/>
          <w:szCs w:val="24"/>
        </w:rPr>
      </w:pPr>
      <w:r w:rsidRPr="007630C4">
        <w:rPr>
          <w:rFonts w:asciiTheme="minorHAnsi" w:hAnsiTheme="minorHAnsi" w:cstheme="minorHAnsi"/>
          <w:color w:val="auto"/>
          <w:sz w:val="24"/>
          <w:szCs w:val="24"/>
        </w:rPr>
        <w:t>20</w:t>
      </w:r>
      <w:r w:rsidRPr="007630C4">
        <w:rPr>
          <w:rFonts w:asciiTheme="minorHAnsi" w:hAnsiTheme="minorHAnsi" w:cstheme="minorHAnsi"/>
          <w:color w:val="auto"/>
          <w:sz w:val="24"/>
          <w:szCs w:val="24"/>
          <w:vertAlign w:val="superscript"/>
        </w:rPr>
        <w:t>th</w:t>
      </w:r>
      <w:r w:rsidRPr="007630C4">
        <w:rPr>
          <w:rFonts w:asciiTheme="minorHAnsi" w:hAnsiTheme="minorHAnsi" w:cstheme="minorHAnsi"/>
          <w:color w:val="auto"/>
          <w:sz w:val="24"/>
          <w:szCs w:val="24"/>
        </w:rPr>
        <w:t xml:space="preserve"> November 2020</w:t>
      </w:r>
    </w:p>
    <w:p w:rsidR="007630C4" w:rsidRPr="007630C4" w:rsidP="007630C4">
      <w:pPr>
        <w:spacing w:line="257" w:lineRule="auto"/>
        <w:rPr>
          <w:rFonts w:eastAsia="Arial"/>
          <w:color w:val="auto"/>
        </w:rPr>
      </w:pPr>
      <w:r w:rsidRPr="007630C4">
        <w:rPr>
          <w:rFonts w:eastAsia="Arial"/>
          <w:color w:val="auto"/>
        </w:rPr>
        <w:t>Dear Mr Clark and Mr Hunt,</w:t>
      </w:r>
    </w:p>
    <w:p w:rsidR="007630C4" w:rsidRPr="007630C4" w:rsidP="007630C4">
      <w:pPr>
        <w:spacing w:line="257" w:lineRule="auto"/>
        <w:rPr>
          <w:rFonts w:eastAsia="Arial"/>
          <w:color w:val="auto"/>
        </w:rPr>
      </w:pPr>
      <w:r w:rsidRPr="007630C4">
        <w:rPr>
          <w:rFonts w:eastAsia="Arial"/>
          <w:color w:val="auto"/>
        </w:rPr>
        <w:t>Thank you for your letter of 13</w:t>
      </w:r>
      <w:r w:rsidRPr="007630C4">
        <w:rPr>
          <w:rFonts w:eastAsia="Arial"/>
          <w:color w:val="auto"/>
          <w:vertAlign w:val="superscript"/>
        </w:rPr>
        <w:t>th</w:t>
      </w:r>
      <w:r w:rsidRPr="007630C4">
        <w:rPr>
          <w:rFonts w:eastAsia="Arial"/>
          <w:color w:val="auto"/>
        </w:rPr>
        <w:t xml:space="preserve"> November following the Health and Social Care and Science and Technology Committees. I have set out answers to your questions below.</w:t>
      </w:r>
    </w:p>
    <w:p w:rsidR="007630C4" w:rsidRPr="007630C4" w:rsidP="007630C4">
      <w:pPr>
        <w:rPr>
          <w:color w:val="auto"/>
        </w:rPr>
      </w:pPr>
      <w:r w:rsidRPr="007630C4">
        <w:rPr>
          <w:color w:val="auto"/>
        </w:rPr>
        <w:t>You asked about the statistics for contact tracing in Blackburn with Darwen. The targeted contact tracing operation in the city showed the benefits of the local and national working together. The focus for the first 24 hours after each test was on the national teams in order to reduce the total volume of individuals that need to be contacted by local teams. The remaining index cases were then passed over to local teams so that they could target their expertise to the most difficult to reach cases.</w:t>
      </w:r>
    </w:p>
    <w:p w:rsidR="007630C4" w:rsidRPr="007630C4" w:rsidP="007630C4">
      <w:pPr>
        <w:rPr>
          <w:rFonts w:eastAsia="Arial"/>
          <w:color w:val="auto"/>
        </w:rPr>
      </w:pPr>
      <w:r w:rsidRPr="007630C4">
        <w:rPr>
          <w:rFonts w:eastAsia="Arial"/>
          <w:color w:val="auto"/>
        </w:rPr>
        <w:t>As you say, the 87% figure quoted in the 28 May – 28 October data covers the percentage of all referred cases in Blackburn with Darwen that were subsequently contacted, regardless of whether this was by a local or national contact tracer. We use this as a primary metric because it captures the success of the whole system; the national contact tracers provide critical contact tracing capacity, whilst the local contact tracers provide the on-the-ground expertise necessary for the most difficult to reach contacts.</w:t>
      </w:r>
    </w:p>
    <w:p w:rsidR="007630C4" w:rsidRPr="007630C4" w:rsidP="007630C4">
      <w:pPr>
        <w:rPr>
          <w:rFonts w:eastAsia="Arial"/>
          <w:color w:val="auto"/>
        </w:rPr>
      </w:pPr>
      <w:r w:rsidRPr="007630C4">
        <w:rPr>
          <w:rFonts w:eastAsia="Arial"/>
          <w:color w:val="auto"/>
        </w:rPr>
        <w:t>We recognise that it is a priority to get more granularity in this data so that we can better understand which team has contacted a specific person. This is not currently captured in aggregate due to the rapid pace at which we have had to scale the system. However, the 89% success rate in Blackburn with Darwen demonstrates the success of the operation in utilising the available capacity and skills at a local level which feed into the national system.  We are constantly iterating and improving our systems, including looking into how we can improve our capacity to provide the kind of aggregate data that you reference.</w:t>
      </w:r>
    </w:p>
    <w:p w:rsidR="007630C4" w:rsidRPr="007630C4" w:rsidP="007630C4">
      <w:pPr>
        <w:spacing w:line="257" w:lineRule="auto"/>
        <w:rPr>
          <w:rStyle w:val="normaltextrun"/>
          <w:color w:val="auto"/>
          <w:shd w:val="clear" w:color="auto" w:fill="FFFFFF"/>
        </w:rPr>
      </w:pPr>
      <w:r w:rsidRPr="007630C4">
        <w:rPr>
          <w:rStyle w:val="normaltextrun"/>
          <w:color w:val="auto"/>
          <w:shd w:val="clear" w:color="auto" w:fill="FFFFFF"/>
        </w:rPr>
        <w:t xml:space="preserve">You also asked about the basis for my response when asked about remarks given to the CBI in September. For clarity, I agree that clear, easily understood communications are central to an effective Covid response. New technologies and capabilities have the potential to give us more of our lives back and we continue to invest in delivering the </w:t>
      </w:r>
      <w:r w:rsidRPr="007630C4">
        <w:rPr>
          <w:color w:val="auto"/>
        </w:rPr>
        <w:t>most cutting-edge tec</w:t>
      </w:r>
      <w:r w:rsidRPr="007630C4">
        <w:rPr>
          <w:rStyle w:val="normaltextrun"/>
          <w:color w:val="auto"/>
          <w:shd w:val="clear" w:color="auto" w:fill="FFFFFF"/>
        </w:rPr>
        <w:t>hnologies. However, they are not the silver bullet and my remarks about the business potential of rapid flow tests at the CBI in September were not intended to give that impression. Social distancing and excellent public health strategies remain at the heart of an effective Covid response.</w:t>
      </w:r>
    </w:p>
    <w:p w:rsidR="007630C4" w:rsidRPr="007630C4" w:rsidP="007630C4">
      <w:pPr>
        <w:spacing w:line="257" w:lineRule="auto"/>
        <w:rPr>
          <w:rFonts w:eastAsia="Arial"/>
          <w:color w:val="auto"/>
        </w:rPr>
      </w:pPr>
      <w:r w:rsidRPr="007630C4">
        <w:rPr>
          <w:rFonts w:eastAsia="Arial"/>
          <w:color w:val="auto"/>
        </w:rPr>
        <w:t xml:space="preserve">You listed </w:t>
      </w:r>
      <w:r w:rsidRPr="007630C4">
        <w:rPr>
          <w:rFonts w:eastAsia="Arial"/>
          <w:color w:val="auto"/>
        </w:rPr>
        <w:t>a number of</w:t>
      </w:r>
      <w:r w:rsidRPr="007630C4">
        <w:rPr>
          <w:rFonts w:eastAsia="Arial"/>
          <w:color w:val="auto"/>
        </w:rPr>
        <w:t xml:space="preserve"> further questions around the programme’s spending, which I will answer below.</w:t>
      </w:r>
    </w:p>
    <w:p w:rsidR="007630C4" w:rsidRPr="007630C4" w:rsidP="007630C4">
      <w:pPr>
        <w:spacing w:line="257" w:lineRule="auto"/>
        <w:rPr>
          <w:rFonts w:eastAsia="Arial"/>
          <w:color w:val="auto"/>
        </w:rPr>
      </w:pPr>
      <w:r w:rsidRPr="007630C4">
        <w:rPr>
          <w:rFonts w:eastAsia="Arial"/>
          <w:color w:val="auto"/>
        </w:rPr>
        <w:t xml:space="preserve"> </w:t>
      </w:r>
    </w:p>
    <w:p w:rsidR="007630C4" w:rsidRPr="007630C4" w:rsidP="007630C4">
      <w:pPr>
        <w:pStyle w:val="ListParagraph"/>
        <w:numPr>
          <w:ilvl w:val="0"/>
          <w:numId w:val="32"/>
        </w:numPr>
        <w:tabs>
          <w:tab w:val="clear" w:pos="1329"/>
        </w:tabs>
        <w:spacing w:after="160" w:line="257" w:lineRule="auto"/>
        <w:rPr>
          <w:rFonts w:eastAsia="Arial"/>
          <w:b/>
          <w:bCs/>
          <w:color w:val="auto"/>
        </w:rPr>
      </w:pPr>
      <w:r w:rsidRPr="007630C4">
        <w:rPr>
          <w:rFonts w:eastAsia="Arial"/>
          <w:b/>
          <w:bCs/>
          <w:color w:val="auto"/>
        </w:rPr>
        <w:t>The monthly expenditure of NHS Test and Trace, since it started until the last month for which figures are available.</w:t>
      </w:r>
      <w:bookmarkStart w:id="0" w:name="_GoBack"/>
      <w:bookmarkEnd w:id="0"/>
    </w:p>
    <w:p w:rsidR="007630C4" w:rsidRPr="007630C4" w:rsidP="007630C4">
      <w:pPr>
        <w:spacing w:line="257" w:lineRule="auto"/>
        <w:rPr>
          <w:rFonts w:eastAsia="Arial"/>
          <w:color w:val="auto"/>
        </w:rPr>
      </w:pPr>
      <w:r w:rsidRPr="007630C4">
        <w:rPr>
          <w:rFonts w:eastAsia="Arial"/>
          <w:color w:val="auto"/>
        </w:rPr>
        <w:t xml:space="preserve">The monthly expenditure of NHS Test and Trace is as follows: in April, £91.1 million; in May £97.5 million; in June £449.9 million; in July £287.5 million; in August £239.1 million; in September £1.5 billion. </w:t>
      </w:r>
    </w:p>
    <w:p w:rsidR="007630C4" w:rsidRPr="007630C4" w:rsidP="007630C4">
      <w:pPr>
        <w:spacing w:line="257" w:lineRule="auto"/>
        <w:rPr>
          <w:rFonts w:eastAsia="Arial"/>
          <w:color w:val="auto"/>
        </w:rPr>
      </w:pPr>
    </w:p>
    <w:p w:rsidR="007630C4" w:rsidRPr="007630C4" w:rsidP="007630C4">
      <w:pPr>
        <w:pStyle w:val="ListParagraph"/>
        <w:numPr>
          <w:ilvl w:val="0"/>
          <w:numId w:val="32"/>
        </w:numPr>
        <w:tabs>
          <w:tab w:val="clear" w:pos="1329"/>
        </w:tabs>
        <w:spacing w:after="160" w:line="240" w:lineRule="auto"/>
        <w:rPr>
          <w:rFonts w:eastAsia="Arial"/>
          <w:b/>
          <w:bCs/>
          <w:color w:val="auto"/>
        </w:rPr>
      </w:pPr>
      <w:r w:rsidRPr="007630C4">
        <w:rPr>
          <w:rFonts w:eastAsia="Arial"/>
          <w:b/>
          <w:bCs/>
          <w:color w:val="auto"/>
        </w:rPr>
        <w:t>How much of that expenditure in answer to question 1 is spent monthly on testing, contact tracing and other functions.</w:t>
      </w:r>
    </w:p>
    <w:p w:rsidR="007630C4" w:rsidRPr="007630C4" w:rsidP="007630C4">
      <w:pPr>
        <w:spacing w:line="240" w:lineRule="auto"/>
        <w:rPr>
          <w:rFonts w:eastAsia="Arial"/>
          <w:color w:val="auto"/>
        </w:rPr>
      </w:pPr>
      <w:r w:rsidRPr="007630C4">
        <w:rPr>
          <w:rFonts w:eastAsia="Arial"/>
          <w:color w:val="auto"/>
        </w:rPr>
        <w:t>The breakdown of spending into testing, contact tracing and other functions is set out in the table below. ‘Other’ functions include the development of NHS Covid-19 App (£14 million), spending on media and technologies (£130 million), the Joint Biosecurity Centre and the Office of National Statistics (£209 million), the ‘Contain’ function (£317 million) and corporate departments such as HR and Finance (£40 million).</w:t>
      </w:r>
    </w:p>
    <w:p w:rsidR="007630C4" w:rsidRPr="007630C4" w:rsidP="007630C4">
      <w:pPr>
        <w:spacing w:line="240" w:lineRule="auto"/>
        <w:rPr>
          <w:rFonts w:eastAsia="Arial"/>
          <w:color w:val="auto"/>
        </w:rPr>
      </w:pPr>
    </w:p>
    <w:p w:rsidR="007630C4" w:rsidRPr="007630C4" w:rsidP="007630C4">
      <w:pPr>
        <w:rPr>
          <w:rFonts w:eastAsia="Arial"/>
          <w:b/>
          <w:bCs/>
          <w:color w:val="auto"/>
        </w:rPr>
      </w:pPr>
      <w:r w:rsidRPr="007630C4">
        <w:rPr>
          <w:rFonts w:eastAsia="Arial"/>
          <w:b/>
          <w:bCs/>
          <w:color w:val="auto"/>
        </w:rPr>
        <w:t>Table 1: Breakdown of spend across test, trace and other activities for YTD.</w:t>
      </w:r>
    </w:p>
    <w:tbl>
      <w:tblPr>
        <w:tblStyle w:val="PlainTable1"/>
        <w:tblW w:w="0" w:type="auto"/>
        <w:tblLook w:val="04A0"/>
      </w:tblPr>
      <w:tblGrid>
        <w:gridCol w:w="1648"/>
        <w:gridCol w:w="1050"/>
        <w:gridCol w:w="1044"/>
        <w:gridCol w:w="1059"/>
        <w:gridCol w:w="1087"/>
        <w:gridCol w:w="1115"/>
        <w:gridCol w:w="1017"/>
        <w:gridCol w:w="996"/>
      </w:tblGrid>
      <w:tr w:rsidTr="0062040E">
        <w:tblPrEx>
          <w:tblW w:w="0" w:type="auto"/>
          <w:tblLook w:val="04A0"/>
        </w:tblPrEx>
        <w:tc>
          <w:tcPr>
            <w:tcW w:w="1648" w:type="dxa"/>
          </w:tcPr>
          <w:p w:rsidR="007630C4" w:rsidRPr="007630C4" w:rsidP="0062040E">
            <w:pPr>
              <w:rPr>
                <w:rFonts w:eastAsia="Arial"/>
                <w:color w:val="auto"/>
              </w:rPr>
            </w:pPr>
            <w:r w:rsidRPr="007630C4">
              <w:rPr>
                <w:rFonts w:eastAsia="Arial"/>
                <w:color w:val="auto"/>
              </w:rPr>
              <w:t xml:space="preserve">Programme Area </w:t>
            </w:r>
          </w:p>
        </w:tc>
        <w:tc>
          <w:tcPr>
            <w:tcW w:w="1050" w:type="dxa"/>
          </w:tcPr>
          <w:p w:rsidR="007630C4" w:rsidRPr="007630C4" w:rsidP="0062040E">
            <w:pPr>
              <w:jc w:val="center"/>
              <w:rPr>
                <w:rFonts w:eastAsia="Arial"/>
                <w:color w:val="auto"/>
              </w:rPr>
            </w:pPr>
            <w:r w:rsidRPr="007630C4">
              <w:rPr>
                <w:rFonts w:eastAsia="Arial"/>
                <w:color w:val="auto"/>
              </w:rPr>
              <w:t>Apr-20</w:t>
            </w:r>
          </w:p>
        </w:tc>
        <w:tc>
          <w:tcPr>
            <w:tcW w:w="1044" w:type="dxa"/>
          </w:tcPr>
          <w:p w:rsidR="007630C4" w:rsidRPr="007630C4" w:rsidP="0062040E">
            <w:pPr>
              <w:jc w:val="center"/>
              <w:rPr>
                <w:rFonts w:eastAsia="Arial"/>
                <w:color w:val="auto"/>
              </w:rPr>
            </w:pPr>
            <w:r w:rsidRPr="007630C4">
              <w:rPr>
                <w:rFonts w:eastAsia="Arial"/>
                <w:color w:val="auto"/>
              </w:rPr>
              <w:t>May-20</w:t>
            </w:r>
          </w:p>
        </w:tc>
        <w:tc>
          <w:tcPr>
            <w:tcW w:w="1059" w:type="dxa"/>
          </w:tcPr>
          <w:p w:rsidR="007630C4" w:rsidRPr="007630C4" w:rsidP="0062040E">
            <w:pPr>
              <w:jc w:val="center"/>
              <w:rPr>
                <w:rFonts w:eastAsia="Arial"/>
                <w:color w:val="auto"/>
              </w:rPr>
            </w:pPr>
            <w:r w:rsidRPr="007630C4">
              <w:rPr>
                <w:rFonts w:eastAsia="Arial"/>
                <w:color w:val="auto"/>
              </w:rPr>
              <w:t>Jun-20</w:t>
            </w:r>
          </w:p>
        </w:tc>
        <w:tc>
          <w:tcPr>
            <w:tcW w:w="1087" w:type="dxa"/>
          </w:tcPr>
          <w:p w:rsidR="007630C4" w:rsidRPr="007630C4" w:rsidP="0062040E">
            <w:pPr>
              <w:jc w:val="center"/>
              <w:rPr>
                <w:rFonts w:eastAsia="Arial"/>
                <w:color w:val="auto"/>
              </w:rPr>
            </w:pPr>
            <w:r w:rsidRPr="007630C4">
              <w:rPr>
                <w:rFonts w:eastAsia="Arial"/>
                <w:color w:val="auto"/>
              </w:rPr>
              <w:t>Jul-20</w:t>
            </w:r>
          </w:p>
        </w:tc>
        <w:tc>
          <w:tcPr>
            <w:tcW w:w="1115" w:type="dxa"/>
          </w:tcPr>
          <w:p w:rsidR="007630C4" w:rsidRPr="007630C4" w:rsidP="0062040E">
            <w:pPr>
              <w:jc w:val="center"/>
              <w:rPr>
                <w:rFonts w:eastAsia="Arial"/>
                <w:color w:val="auto"/>
              </w:rPr>
            </w:pPr>
            <w:r w:rsidRPr="007630C4">
              <w:rPr>
                <w:rFonts w:eastAsia="Arial"/>
                <w:color w:val="auto"/>
              </w:rPr>
              <w:t>Aug-20</w:t>
            </w:r>
          </w:p>
        </w:tc>
        <w:tc>
          <w:tcPr>
            <w:tcW w:w="1017" w:type="dxa"/>
          </w:tcPr>
          <w:p w:rsidR="007630C4" w:rsidRPr="007630C4" w:rsidP="0062040E">
            <w:pPr>
              <w:jc w:val="center"/>
              <w:rPr>
                <w:rFonts w:eastAsia="Arial"/>
                <w:color w:val="auto"/>
              </w:rPr>
            </w:pPr>
            <w:r w:rsidRPr="007630C4">
              <w:rPr>
                <w:rFonts w:eastAsia="Arial"/>
                <w:color w:val="auto"/>
              </w:rPr>
              <w:t>Sep-20</w:t>
            </w:r>
          </w:p>
        </w:tc>
        <w:tc>
          <w:tcPr>
            <w:tcW w:w="996" w:type="dxa"/>
          </w:tcPr>
          <w:p w:rsidR="007630C4" w:rsidRPr="007630C4" w:rsidP="0062040E">
            <w:pPr>
              <w:jc w:val="center"/>
              <w:rPr>
                <w:rFonts w:eastAsia="Arial"/>
                <w:color w:val="auto"/>
              </w:rPr>
            </w:pPr>
            <w:r w:rsidRPr="007630C4">
              <w:rPr>
                <w:rFonts w:eastAsia="Arial"/>
                <w:color w:val="auto"/>
              </w:rPr>
              <w:t xml:space="preserve"> Year to Date </w:t>
            </w:r>
          </w:p>
        </w:tc>
      </w:tr>
      <w:tr w:rsidTr="0062040E">
        <w:tblPrEx>
          <w:tblW w:w="0" w:type="auto"/>
          <w:tblLook w:val="04A0"/>
        </w:tblPrEx>
        <w:tc>
          <w:tcPr>
            <w:tcW w:w="1648" w:type="dxa"/>
          </w:tcPr>
          <w:p w:rsidR="007630C4" w:rsidRPr="007630C4" w:rsidP="0062040E">
            <w:pPr>
              <w:rPr>
                <w:rFonts w:eastAsia="Arial"/>
                <w:color w:val="auto"/>
              </w:rPr>
            </w:pPr>
            <w:r w:rsidRPr="007630C4">
              <w:rPr>
                <w:rFonts w:eastAsia="Arial"/>
                <w:color w:val="auto"/>
              </w:rPr>
              <w:t xml:space="preserve"> </w:t>
            </w:r>
          </w:p>
        </w:tc>
        <w:tc>
          <w:tcPr>
            <w:tcW w:w="1050" w:type="dxa"/>
          </w:tcPr>
          <w:p w:rsidR="007630C4" w:rsidRPr="007630C4" w:rsidP="0062040E">
            <w:pPr>
              <w:jc w:val="center"/>
              <w:rPr>
                <w:rFonts w:eastAsia="Arial"/>
                <w:b/>
                <w:bCs/>
                <w:color w:val="auto"/>
              </w:rPr>
            </w:pPr>
            <w:r w:rsidRPr="007630C4">
              <w:rPr>
                <w:rFonts w:eastAsia="Arial"/>
                <w:b/>
                <w:bCs/>
                <w:color w:val="auto"/>
              </w:rPr>
              <w:t xml:space="preserve"> £m </w:t>
            </w:r>
          </w:p>
        </w:tc>
        <w:tc>
          <w:tcPr>
            <w:tcW w:w="1044" w:type="dxa"/>
          </w:tcPr>
          <w:p w:rsidR="007630C4" w:rsidRPr="007630C4" w:rsidP="0062040E">
            <w:pPr>
              <w:jc w:val="center"/>
              <w:rPr>
                <w:rFonts w:eastAsia="Arial"/>
                <w:b/>
                <w:bCs/>
                <w:color w:val="auto"/>
              </w:rPr>
            </w:pPr>
            <w:r w:rsidRPr="007630C4">
              <w:rPr>
                <w:rFonts w:eastAsia="Arial"/>
                <w:b/>
                <w:bCs/>
                <w:color w:val="auto"/>
              </w:rPr>
              <w:t xml:space="preserve"> £m </w:t>
            </w:r>
          </w:p>
        </w:tc>
        <w:tc>
          <w:tcPr>
            <w:tcW w:w="1059" w:type="dxa"/>
          </w:tcPr>
          <w:p w:rsidR="007630C4" w:rsidRPr="007630C4" w:rsidP="0062040E">
            <w:pPr>
              <w:jc w:val="center"/>
              <w:rPr>
                <w:rFonts w:eastAsia="Arial"/>
                <w:b/>
                <w:bCs/>
                <w:color w:val="auto"/>
              </w:rPr>
            </w:pPr>
            <w:r w:rsidRPr="007630C4">
              <w:rPr>
                <w:rFonts w:eastAsia="Arial"/>
                <w:b/>
                <w:bCs/>
                <w:color w:val="auto"/>
              </w:rPr>
              <w:t xml:space="preserve"> £m </w:t>
            </w:r>
          </w:p>
        </w:tc>
        <w:tc>
          <w:tcPr>
            <w:tcW w:w="1087" w:type="dxa"/>
          </w:tcPr>
          <w:p w:rsidR="007630C4" w:rsidRPr="007630C4" w:rsidP="0062040E">
            <w:pPr>
              <w:jc w:val="center"/>
              <w:rPr>
                <w:rFonts w:eastAsia="Arial"/>
                <w:b/>
                <w:bCs/>
                <w:color w:val="auto"/>
              </w:rPr>
            </w:pPr>
            <w:r w:rsidRPr="007630C4">
              <w:rPr>
                <w:rFonts w:eastAsia="Arial"/>
                <w:b/>
                <w:bCs/>
                <w:color w:val="auto"/>
              </w:rPr>
              <w:t xml:space="preserve"> £m </w:t>
            </w:r>
          </w:p>
        </w:tc>
        <w:tc>
          <w:tcPr>
            <w:tcW w:w="1115" w:type="dxa"/>
          </w:tcPr>
          <w:p w:rsidR="007630C4" w:rsidRPr="007630C4" w:rsidP="0062040E">
            <w:pPr>
              <w:jc w:val="center"/>
              <w:rPr>
                <w:rFonts w:eastAsia="Arial"/>
                <w:b/>
                <w:bCs/>
                <w:color w:val="auto"/>
              </w:rPr>
            </w:pPr>
            <w:r w:rsidRPr="007630C4">
              <w:rPr>
                <w:rFonts w:eastAsia="Arial"/>
                <w:b/>
                <w:bCs/>
                <w:color w:val="auto"/>
              </w:rPr>
              <w:t xml:space="preserve"> £m </w:t>
            </w:r>
          </w:p>
        </w:tc>
        <w:tc>
          <w:tcPr>
            <w:tcW w:w="1017" w:type="dxa"/>
          </w:tcPr>
          <w:p w:rsidR="007630C4" w:rsidRPr="007630C4" w:rsidP="0062040E">
            <w:pPr>
              <w:jc w:val="center"/>
              <w:rPr>
                <w:rFonts w:eastAsia="Arial"/>
                <w:b/>
                <w:bCs/>
                <w:color w:val="auto"/>
              </w:rPr>
            </w:pPr>
            <w:r w:rsidRPr="007630C4">
              <w:rPr>
                <w:rFonts w:eastAsia="Arial"/>
                <w:b/>
                <w:bCs/>
                <w:color w:val="auto"/>
              </w:rPr>
              <w:t xml:space="preserve"> £m </w:t>
            </w:r>
          </w:p>
        </w:tc>
        <w:tc>
          <w:tcPr>
            <w:tcW w:w="996" w:type="dxa"/>
          </w:tcPr>
          <w:p w:rsidR="007630C4" w:rsidRPr="007630C4" w:rsidP="0062040E">
            <w:pPr>
              <w:jc w:val="center"/>
              <w:rPr>
                <w:rFonts w:eastAsia="Arial"/>
                <w:b/>
                <w:bCs/>
                <w:color w:val="auto"/>
              </w:rPr>
            </w:pPr>
            <w:r w:rsidRPr="007630C4">
              <w:rPr>
                <w:rFonts w:eastAsia="Arial"/>
                <w:b/>
                <w:bCs/>
                <w:color w:val="auto"/>
              </w:rPr>
              <w:t xml:space="preserve"> £m </w:t>
            </w:r>
          </w:p>
        </w:tc>
      </w:tr>
      <w:tr w:rsidTr="0062040E">
        <w:tblPrEx>
          <w:tblW w:w="0" w:type="auto"/>
          <w:tblLook w:val="04A0"/>
        </w:tblPrEx>
        <w:tc>
          <w:tcPr>
            <w:tcW w:w="1648" w:type="dxa"/>
          </w:tcPr>
          <w:p w:rsidR="007630C4" w:rsidRPr="007630C4" w:rsidP="0062040E">
            <w:pPr>
              <w:rPr>
                <w:rFonts w:eastAsia="Arial"/>
                <w:color w:val="auto"/>
              </w:rPr>
            </w:pPr>
            <w:r w:rsidRPr="007630C4">
              <w:rPr>
                <w:rFonts w:eastAsia="Arial"/>
                <w:color w:val="auto"/>
              </w:rPr>
              <w:t>Test</w:t>
            </w:r>
          </w:p>
        </w:tc>
        <w:tc>
          <w:tcPr>
            <w:tcW w:w="1050" w:type="dxa"/>
          </w:tcPr>
          <w:p w:rsidR="007630C4" w:rsidRPr="007630C4" w:rsidP="0062040E">
            <w:pPr>
              <w:jc w:val="center"/>
              <w:rPr>
                <w:rFonts w:eastAsia="Arial"/>
                <w:color w:val="auto"/>
              </w:rPr>
            </w:pPr>
            <w:r w:rsidRPr="007630C4">
              <w:rPr>
                <w:rFonts w:eastAsia="Arial"/>
                <w:color w:val="auto"/>
              </w:rPr>
              <w:t xml:space="preserve">             90.5 </w:t>
            </w:r>
          </w:p>
        </w:tc>
        <w:tc>
          <w:tcPr>
            <w:tcW w:w="1044" w:type="dxa"/>
          </w:tcPr>
          <w:p w:rsidR="007630C4" w:rsidRPr="007630C4" w:rsidP="0062040E">
            <w:pPr>
              <w:jc w:val="center"/>
              <w:rPr>
                <w:rFonts w:eastAsia="Arial"/>
                <w:color w:val="auto"/>
              </w:rPr>
            </w:pPr>
            <w:r w:rsidRPr="007630C4">
              <w:rPr>
                <w:rFonts w:eastAsia="Arial"/>
                <w:color w:val="auto"/>
              </w:rPr>
              <w:t xml:space="preserve">             93.5 </w:t>
            </w:r>
          </w:p>
        </w:tc>
        <w:tc>
          <w:tcPr>
            <w:tcW w:w="1059" w:type="dxa"/>
          </w:tcPr>
          <w:p w:rsidR="007630C4" w:rsidRPr="007630C4" w:rsidP="0062040E">
            <w:pPr>
              <w:jc w:val="center"/>
              <w:rPr>
                <w:rFonts w:eastAsia="Arial"/>
                <w:color w:val="auto"/>
              </w:rPr>
            </w:pPr>
            <w:r w:rsidRPr="007630C4">
              <w:rPr>
                <w:rFonts w:eastAsia="Arial"/>
                <w:color w:val="auto"/>
              </w:rPr>
              <w:t xml:space="preserve">             75.3 </w:t>
            </w:r>
          </w:p>
        </w:tc>
        <w:tc>
          <w:tcPr>
            <w:tcW w:w="1087" w:type="dxa"/>
          </w:tcPr>
          <w:p w:rsidR="007630C4" w:rsidRPr="007630C4" w:rsidP="0062040E">
            <w:pPr>
              <w:jc w:val="center"/>
              <w:rPr>
                <w:rFonts w:eastAsia="Arial"/>
                <w:color w:val="auto"/>
              </w:rPr>
            </w:pPr>
            <w:r w:rsidRPr="007630C4">
              <w:rPr>
                <w:rFonts w:eastAsia="Arial"/>
                <w:color w:val="auto"/>
              </w:rPr>
              <w:t xml:space="preserve">          109.2 </w:t>
            </w:r>
          </w:p>
        </w:tc>
        <w:tc>
          <w:tcPr>
            <w:tcW w:w="1115" w:type="dxa"/>
          </w:tcPr>
          <w:p w:rsidR="007630C4" w:rsidRPr="007630C4" w:rsidP="0062040E">
            <w:pPr>
              <w:jc w:val="center"/>
              <w:rPr>
                <w:rFonts w:eastAsia="Arial"/>
                <w:color w:val="auto"/>
              </w:rPr>
            </w:pPr>
            <w:r w:rsidRPr="007630C4">
              <w:rPr>
                <w:rFonts w:eastAsia="Arial"/>
                <w:color w:val="auto"/>
              </w:rPr>
              <w:t xml:space="preserve">          120.7 </w:t>
            </w:r>
          </w:p>
        </w:tc>
        <w:tc>
          <w:tcPr>
            <w:tcW w:w="1017" w:type="dxa"/>
          </w:tcPr>
          <w:p w:rsidR="007630C4" w:rsidRPr="007630C4" w:rsidP="0062040E">
            <w:pPr>
              <w:jc w:val="center"/>
              <w:rPr>
                <w:rFonts w:eastAsia="Arial"/>
                <w:color w:val="auto"/>
              </w:rPr>
            </w:pPr>
            <w:r w:rsidRPr="007630C4">
              <w:rPr>
                <w:rFonts w:eastAsia="Arial"/>
                <w:color w:val="auto"/>
              </w:rPr>
              <w:t xml:space="preserve">       1,039.1 </w:t>
            </w:r>
          </w:p>
        </w:tc>
        <w:tc>
          <w:tcPr>
            <w:tcW w:w="996" w:type="dxa"/>
          </w:tcPr>
          <w:p w:rsidR="007630C4" w:rsidRPr="007630C4" w:rsidP="0062040E">
            <w:pPr>
              <w:jc w:val="center"/>
              <w:rPr>
                <w:rFonts w:eastAsia="Arial"/>
                <w:b/>
                <w:bCs/>
                <w:color w:val="auto"/>
              </w:rPr>
            </w:pPr>
            <w:r w:rsidRPr="007630C4">
              <w:rPr>
                <w:rFonts w:eastAsia="Arial"/>
                <w:b/>
                <w:bCs/>
                <w:color w:val="auto"/>
              </w:rPr>
              <w:t xml:space="preserve">       1,528.2 </w:t>
            </w:r>
          </w:p>
        </w:tc>
      </w:tr>
      <w:tr w:rsidTr="0062040E">
        <w:tblPrEx>
          <w:tblW w:w="0" w:type="auto"/>
          <w:tblLook w:val="04A0"/>
        </w:tblPrEx>
        <w:tc>
          <w:tcPr>
            <w:tcW w:w="1648" w:type="dxa"/>
          </w:tcPr>
          <w:p w:rsidR="007630C4" w:rsidRPr="007630C4" w:rsidP="0062040E">
            <w:pPr>
              <w:rPr>
                <w:rFonts w:eastAsia="Arial"/>
                <w:color w:val="auto"/>
              </w:rPr>
            </w:pPr>
            <w:r w:rsidRPr="007630C4">
              <w:rPr>
                <w:rFonts w:eastAsia="Arial"/>
                <w:color w:val="auto"/>
              </w:rPr>
              <w:t xml:space="preserve"> </w:t>
            </w:r>
          </w:p>
        </w:tc>
        <w:tc>
          <w:tcPr>
            <w:tcW w:w="1050" w:type="dxa"/>
          </w:tcPr>
          <w:p w:rsidR="007630C4" w:rsidRPr="007630C4" w:rsidP="0062040E">
            <w:pPr>
              <w:jc w:val="center"/>
              <w:rPr>
                <w:rFonts w:eastAsia="Arial"/>
                <w:color w:val="auto"/>
              </w:rPr>
            </w:pPr>
            <w:r w:rsidRPr="007630C4">
              <w:rPr>
                <w:rFonts w:eastAsia="Arial"/>
                <w:color w:val="auto"/>
              </w:rPr>
              <w:t xml:space="preserve"> </w:t>
            </w:r>
          </w:p>
        </w:tc>
        <w:tc>
          <w:tcPr>
            <w:tcW w:w="1044" w:type="dxa"/>
          </w:tcPr>
          <w:p w:rsidR="007630C4" w:rsidRPr="007630C4" w:rsidP="0062040E">
            <w:pPr>
              <w:jc w:val="center"/>
              <w:rPr>
                <w:rFonts w:eastAsia="Arial"/>
                <w:color w:val="auto"/>
              </w:rPr>
            </w:pPr>
            <w:r w:rsidRPr="007630C4">
              <w:rPr>
                <w:rFonts w:eastAsia="Arial"/>
                <w:color w:val="auto"/>
              </w:rPr>
              <w:t xml:space="preserve"> </w:t>
            </w:r>
          </w:p>
        </w:tc>
        <w:tc>
          <w:tcPr>
            <w:tcW w:w="1059" w:type="dxa"/>
          </w:tcPr>
          <w:p w:rsidR="007630C4" w:rsidRPr="007630C4" w:rsidP="0062040E">
            <w:pPr>
              <w:jc w:val="center"/>
              <w:rPr>
                <w:rFonts w:eastAsia="Arial"/>
                <w:color w:val="auto"/>
              </w:rPr>
            </w:pPr>
          </w:p>
        </w:tc>
        <w:tc>
          <w:tcPr>
            <w:tcW w:w="1087" w:type="dxa"/>
          </w:tcPr>
          <w:p w:rsidR="007630C4" w:rsidRPr="007630C4" w:rsidP="0062040E">
            <w:pPr>
              <w:jc w:val="center"/>
              <w:rPr>
                <w:rFonts w:eastAsia="Arial"/>
                <w:color w:val="auto"/>
              </w:rPr>
            </w:pPr>
            <w:r w:rsidRPr="007630C4">
              <w:rPr>
                <w:rFonts w:eastAsia="Arial"/>
                <w:color w:val="auto"/>
              </w:rPr>
              <w:t xml:space="preserve"> </w:t>
            </w:r>
          </w:p>
        </w:tc>
        <w:tc>
          <w:tcPr>
            <w:tcW w:w="1115" w:type="dxa"/>
          </w:tcPr>
          <w:p w:rsidR="007630C4" w:rsidRPr="007630C4" w:rsidP="0062040E">
            <w:pPr>
              <w:jc w:val="center"/>
              <w:rPr>
                <w:rFonts w:eastAsia="Arial"/>
                <w:color w:val="auto"/>
              </w:rPr>
            </w:pPr>
            <w:r w:rsidRPr="007630C4">
              <w:rPr>
                <w:rFonts w:eastAsia="Arial"/>
                <w:color w:val="auto"/>
              </w:rPr>
              <w:t xml:space="preserve"> </w:t>
            </w:r>
          </w:p>
        </w:tc>
        <w:tc>
          <w:tcPr>
            <w:tcW w:w="1017" w:type="dxa"/>
          </w:tcPr>
          <w:p w:rsidR="007630C4" w:rsidRPr="007630C4" w:rsidP="0062040E">
            <w:pPr>
              <w:jc w:val="center"/>
              <w:rPr>
                <w:rFonts w:eastAsia="Arial"/>
                <w:color w:val="auto"/>
              </w:rPr>
            </w:pPr>
            <w:r w:rsidRPr="007630C4">
              <w:rPr>
                <w:rFonts w:eastAsia="Arial"/>
                <w:color w:val="auto"/>
              </w:rPr>
              <w:t xml:space="preserve"> </w:t>
            </w:r>
          </w:p>
        </w:tc>
        <w:tc>
          <w:tcPr>
            <w:tcW w:w="996" w:type="dxa"/>
          </w:tcPr>
          <w:p w:rsidR="007630C4" w:rsidRPr="007630C4" w:rsidP="0062040E">
            <w:pPr>
              <w:jc w:val="center"/>
              <w:rPr>
                <w:rFonts w:eastAsia="Arial"/>
                <w:color w:val="auto"/>
              </w:rPr>
            </w:pPr>
            <w:r w:rsidRPr="007630C4">
              <w:rPr>
                <w:rFonts w:eastAsia="Arial"/>
                <w:color w:val="auto"/>
              </w:rPr>
              <w:t xml:space="preserve"> </w:t>
            </w:r>
          </w:p>
        </w:tc>
      </w:tr>
      <w:tr w:rsidTr="0062040E">
        <w:tblPrEx>
          <w:tblW w:w="0" w:type="auto"/>
          <w:tblLook w:val="04A0"/>
        </w:tblPrEx>
        <w:tc>
          <w:tcPr>
            <w:tcW w:w="1648" w:type="dxa"/>
          </w:tcPr>
          <w:p w:rsidR="007630C4" w:rsidRPr="007630C4" w:rsidP="0062040E">
            <w:pPr>
              <w:rPr>
                <w:rFonts w:eastAsia="Arial"/>
                <w:color w:val="auto"/>
              </w:rPr>
            </w:pPr>
            <w:r w:rsidRPr="007630C4">
              <w:rPr>
                <w:rFonts w:eastAsia="Arial"/>
                <w:color w:val="auto"/>
              </w:rPr>
              <w:t xml:space="preserve">Trace </w:t>
            </w:r>
          </w:p>
          <w:p w:rsidR="007630C4" w:rsidRPr="007630C4" w:rsidP="0062040E">
            <w:pPr>
              <w:rPr>
                <w:rFonts w:eastAsia="Arial"/>
                <w:color w:val="auto"/>
              </w:rPr>
            </w:pPr>
          </w:p>
        </w:tc>
        <w:tc>
          <w:tcPr>
            <w:tcW w:w="1050" w:type="dxa"/>
          </w:tcPr>
          <w:p w:rsidR="007630C4" w:rsidRPr="007630C4" w:rsidP="0062040E">
            <w:pPr>
              <w:jc w:val="center"/>
              <w:rPr>
                <w:rFonts w:eastAsia="Arial"/>
                <w:color w:val="auto"/>
              </w:rPr>
            </w:pPr>
            <w:r w:rsidRPr="007630C4">
              <w:rPr>
                <w:rFonts w:eastAsia="Arial"/>
                <w:color w:val="auto"/>
              </w:rPr>
              <w:t xml:space="preserve">                  -   </w:t>
            </w:r>
          </w:p>
        </w:tc>
        <w:tc>
          <w:tcPr>
            <w:tcW w:w="1044" w:type="dxa"/>
          </w:tcPr>
          <w:p w:rsidR="007630C4" w:rsidRPr="007630C4" w:rsidP="0062040E">
            <w:pPr>
              <w:jc w:val="center"/>
              <w:rPr>
                <w:rFonts w:eastAsia="Arial"/>
                <w:color w:val="auto"/>
              </w:rPr>
            </w:pPr>
            <w:r w:rsidRPr="007630C4">
              <w:rPr>
                <w:rFonts w:eastAsia="Arial"/>
                <w:color w:val="auto"/>
              </w:rPr>
              <w:t xml:space="preserve">                  -   </w:t>
            </w:r>
          </w:p>
        </w:tc>
        <w:tc>
          <w:tcPr>
            <w:tcW w:w="1059" w:type="dxa"/>
          </w:tcPr>
          <w:p w:rsidR="007630C4" w:rsidRPr="007630C4" w:rsidP="0062040E">
            <w:pPr>
              <w:jc w:val="center"/>
              <w:rPr>
                <w:rFonts w:eastAsia="Arial"/>
                <w:color w:val="auto"/>
              </w:rPr>
            </w:pPr>
            <w:r w:rsidRPr="007630C4">
              <w:rPr>
                <w:rFonts w:eastAsia="Arial"/>
                <w:color w:val="auto"/>
              </w:rPr>
              <w:t xml:space="preserve">             52.9 </w:t>
            </w:r>
          </w:p>
        </w:tc>
        <w:tc>
          <w:tcPr>
            <w:tcW w:w="1087" w:type="dxa"/>
          </w:tcPr>
          <w:p w:rsidR="007630C4" w:rsidRPr="007630C4" w:rsidP="0062040E">
            <w:pPr>
              <w:jc w:val="center"/>
              <w:rPr>
                <w:rFonts w:eastAsia="Arial"/>
                <w:color w:val="auto"/>
              </w:rPr>
            </w:pPr>
            <w:r w:rsidRPr="007630C4">
              <w:rPr>
                <w:rFonts w:eastAsia="Arial"/>
                <w:color w:val="auto"/>
              </w:rPr>
              <w:t xml:space="preserve">          111.9 </w:t>
            </w:r>
          </w:p>
        </w:tc>
        <w:tc>
          <w:tcPr>
            <w:tcW w:w="1115" w:type="dxa"/>
          </w:tcPr>
          <w:p w:rsidR="007630C4" w:rsidRPr="007630C4" w:rsidP="0062040E">
            <w:pPr>
              <w:jc w:val="center"/>
              <w:rPr>
                <w:rFonts w:eastAsia="Arial"/>
                <w:color w:val="auto"/>
              </w:rPr>
            </w:pPr>
            <w:r w:rsidRPr="007630C4">
              <w:rPr>
                <w:rFonts w:eastAsia="Arial"/>
                <w:color w:val="auto"/>
              </w:rPr>
              <w:t xml:space="preserve">             58.9 </w:t>
            </w:r>
          </w:p>
        </w:tc>
        <w:tc>
          <w:tcPr>
            <w:tcW w:w="1017" w:type="dxa"/>
          </w:tcPr>
          <w:p w:rsidR="007630C4" w:rsidRPr="007630C4" w:rsidP="0062040E">
            <w:pPr>
              <w:jc w:val="center"/>
              <w:rPr>
                <w:rFonts w:eastAsia="Arial"/>
                <w:color w:val="auto"/>
              </w:rPr>
            </w:pPr>
            <w:r w:rsidRPr="007630C4">
              <w:rPr>
                <w:rFonts w:eastAsia="Arial"/>
                <w:color w:val="auto"/>
              </w:rPr>
              <w:t xml:space="preserve">          207.8 </w:t>
            </w:r>
          </w:p>
        </w:tc>
        <w:tc>
          <w:tcPr>
            <w:tcW w:w="996" w:type="dxa"/>
          </w:tcPr>
          <w:p w:rsidR="007630C4" w:rsidRPr="007630C4" w:rsidP="0062040E">
            <w:pPr>
              <w:jc w:val="center"/>
              <w:rPr>
                <w:rFonts w:eastAsia="Arial"/>
                <w:b/>
                <w:bCs/>
                <w:color w:val="auto"/>
              </w:rPr>
            </w:pPr>
            <w:r w:rsidRPr="007630C4">
              <w:rPr>
                <w:rFonts w:eastAsia="Arial"/>
                <w:b/>
                <w:bCs/>
                <w:color w:val="auto"/>
              </w:rPr>
              <w:t xml:space="preserve">          431.6 </w:t>
            </w:r>
          </w:p>
        </w:tc>
      </w:tr>
      <w:tr w:rsidTr="0062040E">
        <w:tblPrEx>
          <w:tblW w:w="0" w:type="auto"/>
          <w:tblLook w:val="04A0"/>
        </w:tblPrEx>
        <w:tc>
          <w:tcPr>
            <w:tcW w:w="1648" w:type="dxa"/>
          </w:tcPr>
          <w:p w:rsidR="007630C4" w:rsidRPr="007630C4" w:rsidP="0062040E">
            <w:pPr>
              <w:rPr>
                <w:rFonts w:eastAsia="Arial"/>
                <w:color w:val="auto"/>
              </w:rPr>
            </w:pPr>
            <w:r w:rsidRPr="007630C4">
              <w:rPr>
                <w:rFonts w:eastAsia="Arial"/>
                <w:color w:val="auto"/>
              </w:rPr>
              <w:t xml:space="preserve"> </w:t>
            </w:r>
          </w:p>
        </w:tc>
        <w:tc>
          <w:tcPr>
            <w:tcW w:w="1050" w:type="dxa"/>
          </w:tcPr>
          <w:p w:rsidR="007630C4" w:rsidRPr="007630C4" w:rsidP="0062040E">
            <w:pPr>
              <w:jc w:val="center"/>
              <w:rPr>
                <w:rFonts w:eastAsia="Arial"/>
                <w:color w:val="auto"/>
              </w:rPr>
            </w:pPr>
            <w:r w:rsidRPr="007630C4">
              <w:rPr>
                <w:rFonts w:eastAsia="Arial"/>
                <w:color w:val="auto"/>
              </w:rPr>
              <w:t xml:space="preserve"> </w:t>
            </w:r>
          </w:p>
        </w:tc>
        <w:tc>
          <w:tcPr>
            <w:tcW w:w="1044" w:type="dxa"/>
          </w:tcPr>
          <w:p w:rsidR="007630C4" w:rsidRPr="007630C4" w:rsidP="0062040E">
            <w:pPr>
              <w:jc w:val="center"/>
              <w:rPr>
                <w:rFonts w:eastAsia="Arial"/>
                <w:color w:val="auto"/>
              </w:rPr>
            </w:pPr>
            <w:r w:rsidRPr="007630C4">
              <w:rPr>
                <w:rFonts w:eastAsia="Arial"/>
                <w:color w:val="auto"/>
              </w:rPr>
              <w:t xml:space="preserve"> </w:t>
            </w:r>
          </w:p>
        </w:tc>
        <w:tc>
          <w:tcPr>
            <w:tcW w:w="1059" w:type="dxa"/>
          </w:tcPr>
          <w:p w:rsidR="007630C4" w:rsidRPr="007630C4" w:rsidP="0062040E">
            <w:pPr>
              <w:jc w:val="center"/>
              <w:rPr>
                <w:rFonts w:eastAsia="Arial"/>
                <w:color w:val="auto"/>
              </w:rPr>
            </w:pPr>
            <w:r w:rsidRPr="007630C4">
              <w:rPr>
                <w:rFonts w:eastAsia="Arial"/>
                <w:color w:val="auto"/>
              </w:rPr>
              <w:t xml:space="preserve"> </w:t>
            </w:r>
          </w:p>
        </w:tc>
        <w:tc>
          <w:tcPr>
            <w:tcW w:w="1087" w:type="dxa"/>
          </w:tcPr>
          <w:p w:rsidR="007630C4" w:rsidRPr="007630C4" w:rsidP="0062040E">
            <w:pPr>
              <w:jc w:val="center"/>
              <w:rPr>
                <w:rFonts w:eastAsia="Arial"/>
                <w:color w:val="auto"/>
              </w:rPr>
            </w:pPr>
            <w:r w:rsidRPr="007630C4">
              <w:rPr>
                <w:rFonts w:eastAsia="Arial"/>
                <w:color w:val="auto"/>
              </w:rPr>
              <w:t xml:space="preserve"> </w:t>
            </w:r>
          </w:p>
        </w:tc>
        <w:tc>
          <w:tcPr>
            <w:tcW w:w="1115" w:type="dxa"/>
          </w:tcPr>
          <w:p w:rsidR="007630C4" w:rsidRPr="007630C4" w:rsidP="0062040E">
            <w:pPr>
              <w:jc w:val="center"/>
              <w:rPr>
                <w:rFonts w:eastAsia="Arial"/>
                <w:color w:val="auto"/>
              </w:rPr>
            </w:pPr>
            <w:r w:rsidRPr="007630C4">
              <w:rPr>
                <w:rFonts w:eastAsia="Arial"/>
                <w:color w:val="auto"/>
              </w:rPr>
              <w:t xml:space="preserve"> </w:t>
            </w:r>
          </w:p>
        </w:tc>
        <w:tc>
          <w:tcPr>
            <w:tcW w:w="1017" w:type="dxa"/>
          </w:tcPr>
          <w:p w:rsidR="007630C4" w:rsidRPr="007630C4" w:rsidP="0062040E">
            <w:pPr>
              <w:jc w:val="center"/>
              <w:rPr>
                <w:rFonts w:eastAsia="Arial"/>
                <w:color w:val="auto"/>
              </w:rPr>
            </w:pPr>
            <w:r w:rsidRPr="007630C4">
              <w:rPr>
                <w:rFonts w:eastAsia="Arial"/>
                <w:color w:val="auto"/>
              </w:rPr>
              <w:t xml:space="preserve"> </w:t>
            </w:r>
          </w:p>
        </w:tc>
        <w:tc>
          <w:tcPr>
            <w:tcW w:w="996" w:type="dxa"/>
          </w:tcPr>
          <w:p w:rsidR="007630C4" w:rsidRPr="007630C4" w:rsidP="0062040E">
            <w:pPr>
              <w:jc w:val="center"/>
              <w:rPr>
                <w:rFonts w:eastAsia="Arial"/>
                <w:color w:val="auto"/>
              </w:rPr>
            </w:pPr>
            <w:r w:rsidRPr="007630C4">
              <w:rPr>
                <w:rFonts w:eastAsia="Arial"/>
                <w:color w:val="auto"/>
              </w:rPr>
              <w:t xml:space="preserve"> </w:t>
            </w:r>
          </w:p>
        </w:tc>
      </w:tr>
      <w:tr w:rsidTr="0062040E">
        <w:tblPrEx>
          <w:tblW w:w="0" w:type="auto"/>
          <w:tblLook w:val="04A0"/>
        </w:tblPrEx>
        <w:tc>
          <w:tcPr>
            <w:tcW w:w="1648" w:type="dxa"/>
          </w:tcPr>
          <w:p w:rsidR="007630C4" w:rsidRPr="007630C4" w:rsidP="0062040E">
            <w:pPr>
              <w:rPr>
                <w:rFonts w:eastAsia="Arial"/>
                <w:color w:val="auto"/>
              </w:rPr>
            </w:pPr>
            <w:r w:rsidRPr="007630C4">
              <w:rPr>
                <w:rFonts w:eastAsia="Arial"/>
                <w:color w:val="auto"/>
              </w:rPr>
              <w:t xml:space="preserve">Other </w:t>
            </w:r>
          </w:p>
          <w:p w:rsidR="007630C4" w:rsidRPr="007630C4" w:rsidP="0062040E">
            <w:pPr>
              <w:rPr>
                <w:rFonts w:eastAsia="Arial"/>
                <w:color w:val="auto"/>
              </w:rPr>
            </w:pPr>
          </w:p>
        </w:tc>
        <w:tc>
          <w:tcPr>
            <w:tcW w:w="1050" w:type="dxa"/>
          </w:tcPr>
          <w:p w:rsidR="007630C4" w:rsidRPr="007630C4" w:rsidP="0062040E">
            <w:pPr>
              <w:jc w:val="center"/>
              <w:rPr>
                <w:rFonts w:eastAsia="Arial"/>
                <w:color w:val="auto"/>
              </w:rPr>
            </w:pPr>
            <w:r w:rsidRPr="007630C4">
              <w:rPr>
                <w:rFonts w:eastAsia="Arial"/>
                <w:color w:val="auto"/>
              </w:rPr>
              <w:t xml:space="preserve">               0.6 </w:t>
            </w:r>
          </w:p>
        </w:tc>
        <w:tc>
          <w:tcPr>
            <w:tcW w:w="1044" w:type="dxa"/>
          </w:tcPr>
          <w:p w:rsidR="007630C4" w:rsidRPr="007630C4" w:rsidP="0062040E">
            <w:pPr>
              <w:jc w:val="center"/>
              <w:rPr>
                <w:rFonts w:eastAsia="Arial"/>
                <w:color w:val="auto"/>
              </w:rPr>
            </w:pPr>
            <w:r w:rsidRPr="007630C4">
              <w:rPr>
                <w:rFonts w:eastAsia="Arial"/>
                <w:color w:val="auto"/>
              </w:rPr>
              <w:t xml:space="preserve">               4.0 </w:t>
            </w:r>
          </w:p>
        </w:tc>
        <w:tc>
          <w:tcPr>
            <w:tcW w:w="1059" w:type="dxa"/>
          </w:tcPr>
          <w:p w:rsidR="007630C4" w:rsidRPr="007630C4" w:rsidP="0062040E">
            <w:pPr>
              <w:jc w:val="center"/>
              <w:rPr>
                <w:rFonts w:eastAsia="Arial"/>
                <w:color w:val="auto"/>
              </w:rPr>
            </w:pPr>
            <w:r w:rsidRPr="007630C4">
              <w:rPr>
                <w:rFonts w:eastAsia="Arial"/>
                <w:color w:val="auto"/>
              </w:rPr>
              <w:t xml:space="preserve">          321.7 </w:t>
            </w:r>
          </w:p>
        </w:tc>
        <w:tc>
          <w:tcPr>
            <w:tcW w:w="1087" w:type="dxa"/>
          </w:tcPr>
          <w:p w:rsidR="007630C4" w:rsidRPr="007630C4" w:rsidP="0062040E">
            <w:pPr>
              <w:jc w:val="center"/>
              <w:rPr>
                <w:rFonts w:eastAsia="Arial"/>
                <w:color w:val="auto"/>
              </w:rPr>
            </w:pPr>
            <w:r w:rsidRPr="007630C4">
              <w:rPr>
                <w:rFonts w:eastAsia="Arial"/>
                <w:color w:val="auto"/>
              </w:rPr>
              <w:t xml:space="preserve">             66.5 </w:t>
            </w:r>
          </w:p>
        </w:tc>
        <w:tc>
          <w:tcPr>
            <w:tcW w:w="1115" w:type="dxa"/>
          </w:tcPr>
          <w:p w:rsidR="007630C4" w:rsidRPr="007630C4" w:rsidP="0062040E">
            <w:pPr>
              <w:jc w:val="center"/>
              <w:rPr>
                <w:rFonts w:eastAsia="Arial"/>
                <w:color w:val="auto"/>
              </w:rPr>
            </w:pPr>
            <w:r w:rsidRPr="007630C4">
              <w:rPr>
                <w:rFonts w:eastAsia="Arial"/>
                <w:color w:val="auto"/>
              </w:rPr>
              <w:t xml:space="preserve">             59.4 </w:t>
            </w:r>
          </w:p>
        </w:tc>
        <w:tc>
          <w:tcPr>
            <w:tcW w:w="1017" w:type="dxa"/>
          </w:tcPr>
          <w:p w:rsidR="007630C4" w:rsidRPr="007630C4" w:rsidP="0062040E">
            <w:pPr>
              <w:jc w:val="center"/>
              <w:rPr>
                <w:rFonts w:eastAsia="Arial"/>
                <w:color w:val="auto"/>
              </w:rPr>
            </w:pPr>
            <w:r w:rsidRPr="007630C4">
              <w:rPr>
                <w:rFonts w:eastAsia="Arial"/>
                <w:color w:val="auto"/>
              </w:rPr>
              <w:t xml:space="preserve">          258.3 </w:t>
            </w:r>
          </w:p>
        </w:tc>
        <w:tc>
          <w:tcPr>
            <w:tcW w:w="996" w:type="dxa"/>
          </w:tcPr>
          <w:p w:rsidR="007630C4" w:rsidRPr="007630C4" w:rsidP="0062040E">
            <w:pPr>
              <w:jc w:val="center"/>
              <w:rPr>
                <w:rFonts w:eastAsia="Arial"/>
                <w:b/>
                <w:bCs/>
                <w:color w:val="auto"/>
              </w:rPr>
            </w:pPr>
            <w:r w:rsidRPr="007630C4">
              <w:rPr>
                <w:rFonts w:eastAsia="Arial"/>
                <w:b/>
                <w:bCs/>
                <w:color w:val="auto"/>
              </w:rPr>
              <w:t xml:space="preserve">          710.5 </w:t>
            </w:r>
          </w:p>
        </w:tc>
      </w:tr>
      <w:tr w:rsidTr="0062040E">
        <w:tblPrEx>
          <w:tblW w:w="0" w:type="auto"/>
          <w:tblLook w:val="04A0"/>
        </w:tblPrEx>
        <w:tc>
          <w:tcPr>
            <w:tcW w:w="1648" w:type="dxa"/>
          </w:tcPr>
          <w:p w:rsidR="007630C4" w:rsidRPr="007630C4" w:rsidP="0062040E">
            <w:pPr>
              <w:rPr>
                <w:rFonts w:eastAsia="Arial"/>
                <w:color w:val="auto"/>
              </w:rPr>
            </w:pPr>
            <w:r w:rsidRPr="007630C4">
              <w:rPr>
                <w:rFonts w:eastAsia="Arial"/>
                <w:color w:val="auto"/>
              </w:rPr>
              <w:t xml:space="preserve"> </w:t>
            </w:r>
          </w:p>
        </w:tc>
        <w:tc>
          <w:tcPr>
            <w:tcW w:w="1050" w:type="dxa"/>
          </w:tcPr>
          <w:p w:rsidR="007630C4" w:rsidRPr="007630C4" w:rsidP="0062040E">
            <w:pPr>
              <w:jc w:val="center"/>
              <w:rPr>
                <w:rFonts w:eastAsia="Arial"/>
                <w:color w:val="auto"/>
              </w:rPr>
            </w:pPr>
            <w:r w:rsidRPr="007630C4">
              <w:rPr>
                <w:rFonts w:eastAsia="Arial"/>
                <w:color w:val="auto"/>
              </w:rPr>
              <w:t xml:space="preserve"> </w:t>
            </w:r>
          </w:p>
        </w:tc>
        <w:tc>
          <w:tcPr>
            <w:tcW w:w="1044" w:type="dxa"/>
          </w:tcPr>
          <w:p w:rsidR="007630C4" w:rsidRPr="007630C4" w:rsidP="0062040E">
            <w:pPr>
              <w:jc w:val="center"/>
              <w:rPr>
                <w:rFonts w:eastAsia="Arial"/>
                <w:color w:val="auto"/>
              </w:rPr>
            </w:pPr>
            <w:r w:rsidRPr="007630C4">
              <w:rPr>
                <w:rFonts w:eastAsia="Arial"/>
                <w:color w:val="auto"/>
              </w:rPr>
              <w:t xml:space="preserve"> </w:t>
            </w:r>
          </w:p>
        </w:tc>
        <w:tc>
          <w:tcPr>
            <w:tcW w:w="1059" w:type="dxa"/>
          </w:tcPr>
          <w:p w:rsidR="007630C4" w:rsidRPr="007630C4" w:rsidP="0062040E">
            <w:pPr>
              <w:jc w:val="center"/>
              <w:rPr>
                <w:rFonts w:eastAsia="Arial"/>
                <w:color w:val="auto"/>
              </w:rPr>
            </w:pPr>
            <w:r w:rsidRPr="007630C4">
              <w:rPr>
                <w:rFonts w:eastAsia="Arial"/>
                <w:color w:val="auto"/>
              </w:rPr>
              <w:t xml:space="preserve"> </w:t>
            </w:r>
          </w:p>
        </w:tc>
        <w:tc>
          <w:tcPr>
            <w:tcW w:w="1087" w:type="dxa"/>
          </w:tcPr>
          <w:p w:rsidR="007630C4" w:rsidRPr="007630C4" w:rsidP="0062040E">
            <w:pPr>
              <w:jc w:val="center"/>
              <w:rPr>
                <w:rFonts w:eastAsia="Arial"/>
                <w:color w:val="auto"/>
              </w:rPr>
            </w:pPr>
            <w:r w:rsidRPr="007630C4">
              <w:rPr>
                <w:rFonts w:eastAsia="Arial"/>
                <w:color w:val="auto"/>
              </w:rPr>
              <w:t xml:space="preserve"> </w:t>
            </w:r>
          </w:p>
        </w:tc>
        <w:tc>
          <w:tcPr>
            <w:tcW w:w="1115" w:type="dxa"/>
          </w:tcPr>
          <w:p w:rsidR="007630C4" w:rsidRPr="007630C4" w:rsidP="0062040E">
            <w:pPr>
              <w:jc w:val="center"/>
              <w:rPr>
                <w:rFonts w:eastAsia="Arial"/>
                <w:color w:val="auto"/>
              </w:rPr>
            </w:pPr>
            <w:r w:rsidRPr="007630C4">
              <w:rPr>
                <w:rFonts w:eastAsia="Arial"/>
                <w:color w:val="auto"/>
              </w:rPr>
              <w:t xml:space="preserve"> </w:t>
            </w:r>
          </w:p>
        </w:tc>
        <w:tc>
          <w:tcPr>
            <w:tcW w:w="1017" w:type="dxa"/>
          </w:tcPr>
          <w:p w:rsidR="007630C4" w:rsidRPr="007630C4" w:rsidP="0062040E">
            <w:pPr>
              <w:jc w:val="center"/>
              <w:rPr>
                <w:rFonts w:eastAsia="Arial"/>
                <w:color w:val="auto"/>
              </w:rPr>
            </w:pPr>
            <w:r w:rsidRPr="007630C4">
              <w:rPr>
                <w:rFonts w:eastAsia="Arial"/>
                <w:color w:val="auto"/>
              </w:rPr>
              <w:t xml:space="preserve"> </w:t>
            </w:r>
          </w:p>
        </w:tc>
        <w:tc>
          <w:tcPr>
            <w:tcW w:w="996" w:type="dxa"/>
          </w:tcPr>
          <w:p w:rsidR="007630C4" w:rsidRPr="007630C4" w:rsidP="0062040E">
            <w:pPr>
              <w:jc w:val="center"/>
              <w:rPr>
                <w:rFonts w:eastAsia="Arial"/>
                <w:color w:val="auto"/>
              </w:rPr>
            </w:pPr>
            <w:r w:rsidRPr="007630C4">
              <w:rPr>
                <w:rFonts w:eastAsia="Arial"/>
                <w:color w:val="auto"/>
              </w:rPr>
              <w:t xml:space="preserve"> </w:t>
            </w:r>
          </w:p>
        </w:tc>
      </w:tr>
      <w:tr w:rsidTr="0062040E">
        <w:tblPrEx>
          <w:tblW w:w="0" w:type="auto"/>
          <w:tblLook w:val="04A0"/>
        </w:tblPrEx>
        <w:tc>
          <w:tcPr>
            <w:tcW w:w="1648" w:type="dxa"/>
          </w:tcPr>
          <w:p w:rsidR="007630C4" w:rsidRPr="007630C4" w:rsidP="0062040E">
            <w:pPr>
              <w:rPr>
                <w:rFonts w:eastAsia="Arial"/>
                <w:color w:val="auto"/>
              </w:rPr>
            </w:pPr>
            <w:r w:rsidRPr="007630C4">
              <w:rPr>
                <w:rFonts w:eastAsia="Arial"/>
                <w:color w:val="auto"/>
              </w:rPr>
              <w:t xml:space="preserve"> Grand Total </w:t>
            </w:r>
          </w:p>
        </w:tc>
        <w:tc>
          <w:tcPr>
            <w:tcW w:w="1050" w:type="dxa"/>
          </w:tcPr>
          <w:p w:rsidR="007630C4" w:rsidRPr="007630C4" w:rsidP="0062040E">
            <w:pPr>
              <w:jc w:val="center"/>
              <w:rPr>
                <w:rFonts w:eastAsia="Arial"/>
                <w:b/>
                <w:bCs/>
                <w:color w:val="auto"/>
              </w:rPr>
            </w:pPr>
            <w:r w:rsidRPr="007630C4">
              <w:rPr>
                <w:rFonts w:eastAsia="Arial"/>
                <w:b/>
                <w:bCs/>
                <w:color w:val="auto"/>
              </w:rPr>
              <w:t xml:space="preserve">             91.1 </w:t>
            </w:r>
          </w:p>
        </w:tc>
        <w:tc>
          <w:tcPr>
            <w:tcW w:w="1044" w:type="dxa"/>
          </w:tcPr>
          <w:p w:rsidR="007630C4" w:rsidRPr="007630C4" w:rsidP="0062040E">
            <w:pPr>
              <w:jc w:val="center"/>
              <w:rPr>
                <w:rFonts w:eastAsia="Arial"/>
                <w:b/>
                <w:bCs/>
                <w:color w:val="auto"/>
              </w:rPr>
            </w:pPr>
            <w:r w:rsidRPr="007630C4">
              <w:rPr>
                <w:rFonts w:eastAsia="Arial"/>
                <w:b/>
                <w:bCs/>
                <w:color w:val="auto"/>
              </w:rPr>
              <w:t xml:space="preserve">             97.5 </w:t>
            </w:r>
          </w:p>
        </w:tc>
        <w:tc>
          <w:tcPr>
            <w:tcW w:w="1059" w:type="dxa"/>
          </w:tcPr>
          <w:p w:rsidR="007630C4" w:rsidRPr="007630C4" w:rsidP="0062040E">
            <w:pPr>
              <w:jc w:val="center"/>
              <w:rPr>
                <w:rFonts w:eastAsia="Arial"/>
                <w:b/>
                <w:bCs/>
                <w:color w:val="auto"/>
              </w:rPr>
            </w:pPr>
            <w:r w:rsidRPr="007630C4">
              <w:rPr>
                <w:rFonts w:eastAsia="Arial"/>
                <w:b/>
                <w:bCs/>
                <w:color w:val="auto"/>
              </w:rPr>
              <w:t xml:space="preserve">          449.9 </w:t>
            </w:r>
          </w:p>
        </w:tc>
        <w:tc>
          <w:tcPr>
            <w:tcW w:w="1087" w:type="dxa"/>
          </w:tcPr>
          <w:p w:rsidR="007630C4" w:rsidRPr="007630C4" w:rsidP="0062040E">
            <w:pPr>
              <w:jc w:val="center"/>
              <w:rPr>
                <w:rFonts w:eastAsia="Arial"/>
                <w:b/>
                <w:bCs/>
                <w:color w:val="auto"/>
              </w:rPr>
            </w:pPr>
            <w:r w:rsidRPr="007630C4">
              <w:rPr>
                <w:rFonts w:eastAsia="Arial"/>
                <w:b/>
                <w:bCs/>
                <w:color w:val="auto"/>
              </w:rPr>
              <w:t xml:space="preserve">          287.5 </w:t>
            </w:r>
          </w:p>
        </w:tc>
        <w:tc>
          <w:tcPr>
            <w:tcW w:w="1115" w:type="dxa"/>
          </w:tcPr>
          <w:p w:rsidR="007630C4" w:rsidRPr="007630C4" w:rsidP="0062040E">
            <w:pPr>
              <w:jc w:val="center"/>
              <w:rPr>
                <w:rFonts w:eastAsia="Arial"/>
                <w:b/>
                <w:bCs/>
                <w:color w:val="auto"/>
              </w:rPr>
            </w:pPr>
            <w:r w:rsidRPr="007630C4">
              <w:rPr>
                <w:rFonts w:eastAsia="Arial"/>
                <w:b/>
                <w:bCs/>
                <w:color w:val="auto"/>
              </w:rPr>
              <w:t xml:space="preserve">          239.1 </w:t>
            </w:r>
          </w:p>
        </w:tc>
        <w:tc>
          <w:tcPr>
            <w:tcW w:w="1017" w:type="dxa"/>
          </w:tcPr>
          <w:p w:rsidR="007630C4" w:rsidRPr="007630C4" w:rsidP="0062040E">
            <w:pPr>
              <w:jc w:val="center"/>
              <w:rPr>
                <w:rFonts w:eastAsia="Arial"/>
                <w:b/>
                <w:bCs/>
                <w:color w:val="auto"/>
              </w:rPr>
            </w:pPr>
            <w:r w:rsidRPr="007630C4">
              <w:rPr>
                <w:rFonts w:eastAsia="Arial"/>
                <w:b/>
                <w:bCs/>
                <w:color w:val="auto"/>
              </w:rPr>
              <w:t xml:space="preserve">       1,505.2 </w:t>
            </w:r>
          </w:p>
        </w:tc>
        <w:tc>
          <w:tcPr>
            <w:tcW w:w="996" w:type="dxa"/>
          </w:tcPr>
          <w:p w:rsidR="007630C4" w:rsidRPr="007630C4" w:rsidP="0062040E">
            <w:pPr>
              <w:jc w:val="center"/>
              <w:rPr>
                <w:rFonts w:eastAsia="Arial"/>
                <w:b/>
                <w:bCs/>
                <w:color w:val="auto"/>
              </w:rPr>
            </w:pPr>
            <w:r w:rsidRPr="007630C4">
              <w:rPr>
                <w:rFonts w:eastAsia="Arial"/>
                <w:b/>
                <w:bCs/>
                <w:color w:val="auto"/>
              </w:rPr>
              <w:t xml:space="preserve">       2,670.3</w:t>
            </w:r>
          </w:p>
        </w:tc>
      </w:tr>
    </w:tbl>
    <w:p w:rsidR="007630C4" w:rsidRPr="007630C4" w:rsidP="007630C4">
      <w:pPr>
        <w:rPr>
          <w:rFonts w:eastAsia="Arial"/>
          <w:color w:val="auto"/>
        </w:rPr>
      </w:pPr>
    </w:p>
    <w:p w:rsidR="007630C4" w:rsidRPr="007630C4" w:rsidP="007630C4">
      <w:pPr>
        <w:pStyle w:val="ListParagraph"/>
        <w:numPr>
          <w:ilvl w:val="0"/>
          <w:numId w:val="32"/>
        </w:numPr>
        <w:tabs>
          <w:tab w:val="clear" w:pos="1329"/>
        </w:tabs>
        <w:spacing w:after="160" w:line="259" w:lineRule="auto"/>
        <w:rPr>
          <w:rFonts w:eastAsia="Arial"/>
          <w:b/>
          <w:bCs/>
          <w:color w:val="auto"/>
        </w:rPr>
      </w:pPr>
      <w:r w:rsidRPr="007630C4">
        <w:rPr>
          <w:rFonts w:eastAsia="Arial"/>
          <w:b/>
          <w:bCs/>
          <w:color w:val="auto"/>
        </w:rPr>
        <w:t xml:space="preserve">How much has been spent overall on contact tracing across centralised contact tracing and local contact tracing </w:t>
      </w:r>
    </w:p>
    <w:p w:rsidR="007630C4" w:rsidRPr="007630C4" w:rsidP="007630C4">
      <w:pPr>
        <w:rPr>
          <w:rFonts w:eastAsia="Arial"/>
          <w:color w:val="auto"/>
        </w:rPr>
      </w:pPr>
      <w:r w:rsidRPr="007630C4">
        <w:rPr>
          <w:rFonts w:eastAsia="Arial"/>
          <w:color w:val="auto"/>
        </w:rPr>
        <w:t xml:space="preserve">You also asked about the overall figures for contact tracing. The overall trace spend is split into two: national trace </w:t>
      </w:r>
      <w:r w:rsidRPr="007630C4">
        <w:rPr>
          <w:rFonts w:eastAsia="Arial"/>
          <w:color w:val="auto"/>
        </w:rPr>
        <w:t>spend</w:t>
      </w:r>
      <w:r w:rsidRPr="007630C4">
        <w:rPr>
          <w:rFonts w:eastAsia="Arial"/>
          <w:color w:val="auto"/>
        </w:rPr>
        <w:t xml:space="preserve"> (set out in the table above) and local trace spend (which is allocated via the Contain Division which is responsible for local authority relationships). </w:t>
      </w:r>
    </w:p>
    <w:p w:rsidR="007630C4" w:rsidRPr="007630C4" w:rsidP="007630C4">
      <w:pPr>
        <w:pStyle w:val="ListParagraph"/>
        <w:numPr>
          <w:ilvl w:val="0"/>
          <w:numId w:val="33"/>
        </w:numPr>
        <w:tabs>
          <w:tab w:val="clear" w:pos="1329"/>
        </w:tabs>
        <w:spacing w:after="160" w:line="240" w:lineRule="auto"/>
        <w:rPr>
          <w:rFonts w:eastAsia="Arial"/>
          <w:color w:val="auto"/>
        </w:rPr>
      </w:pPr>
      <w:r w:rsidRPr="007630C4">
        <w:rPr>
          <w:rFonts w:eastAsia="Arial"/>
          <w:color w:val="auto"/>
        </w:rPr>
        <w:t>Most spending on</w:t>
      </w:r>
      <w:r w:rsidRPr="007630C4">
        <w:rPr>
          <w:rFonts w:eastAsia="Arial"/>
          <w:b/>
          <w:bCs/>
          <w:color w:val="auto"/>
        </w:rPr>
        <w:t xml:space="preserve"> centralised contact tracing </w:t>
      </w:r>
      <w:r w:rsidRPr="007630C4">
        <w:rPr>
          <w:rFonts w:eastAsia="Arial"/>
          <w:color w:val="auto"/>
        </w:rPr>
        <w:t xml:space="preserve">is incurred by the Trace division of NHS Test and Trace. In the YTD, this spend amounted to £431 million. This is set out in the table above and includes costs for central contact tracing (£255 million) </w:t>
      </w:r>
      <w:r w:rsidRPr="007630C4">
        <w:rPr>
          <w:rFonts w:eastAsia="Arial"/>
          <w:color w:val="auto"/>
        </w:rPr>
        <w:t>and also</w:t>
      </w:r>
      <w:r w:rsidRPr="007630C4">
        <w:rPr>
          <w:rFonts w:eastAsia="Arial"/>
          <w:color w:val="auto"/>
        </w:rPr>
        <w:t xml:space="preserve"> central operating costs (£176m). Central operating costs include spend on National Health Service Professionals and 119 call centres. </w:t>
      </w:r>
    </w:p>
    <w:p w:rsidR="007630C4" w:rsidRPr="007630C4" w:rsidP="007630C4">
      <w:pPr>
        <w:spacing w:after="0" w:line="240" w:lineRule="auto"/>
        <w:rPr>
          <w:rFonts w:eastAsia="Arial"/>
          <w:color w:val="auto"/>
        </w:rPr>
      </w:pPr>
    </w:p>
    <w:p w:rsidR="007630C4" w:rsidRPr="007630C4" w:rsidP="007630C4">
      <w:pPr>
        <w:pStyle w:val="ListParagraph"/>
        <w:numPr>
          <w:ilvl w:val="0"/>
          <w:numId w:val="33"/>
        </w:numPr>
        <w:tabs>
          <w:tab w:val="clear" w:pos="1329"/>
        </w:tabs>
        <w:spacing w:after="160" w:line="240" w:lineRule="auto"/>
        <w:rPr>
          <w:rFonts w:eastAsia="Arial"/>
          <w:color w:val="auto"/>
        </w:rPr>
      </w:pPr>
      <w:r w:rsidRPr="007630C4">
        <w:rPr>
          <w:rFonts w:eastAsia="Arial"/>
          <w:color w:val="auto"/>
        </w:rPr>
        <w:t>Alongside this, most spending on</w:t>
      </w:r>
      <w:r w:rsidRPr="007630C4">
        <w:rPr>
          <w:rFonts w:eastAsia="Arial"/>
          <w:b/>
          <w:bCs/>
          <w:color w:val="auto"/>
        </w:rPr>
        <w:t xml:space="preserve"> local contact tracing</w:t>
      </w:r>
      <w:r w:rsidRPr="007630C4">
        <w:rPr>
          <w:rFonts w:eastAsia="Arial"/>
          <w:color w:val="auto"/>
        </w:rPr>
        <w:t xml:space="preserve"> is funded via a special grant to local authorities. The Contain Outbreak Management Fund (COMF) provides funding for local authorities to allocate based on their local situation.</w:t>
      </w:r>
    </w:p>
    <w:p w:rsidR="007630C4" w:rsidRPr="007630C4" w:rsidP="007630C4">
      <w:pPr>
        <w:ind w:left="720"/>
        <w:rPr>
          <w:rFonts w:eastAsia="Arial"/>
          <w:color w:val="auto"/>
        </w:rPr>
      </w:pPr>
      <w:r w:rsidRPr="007630C4">
        <w:rPr>
          <w:rFonts w:eastAsia="Arial"/>
          <w:color w:val="auto"/>
        </w:rPr>
        <w:t xml:space="preserve">Funds from the COMF are allocated with a broad scope, recognising that Local Authorities will be best placed in understanding their region and deciding how money should be used for local test, trace and contain activities e.g. additional contact tracing.  Whilst we expect that the amount spent on local contact tracing to be a great proportion of the money allocated, this is left to the judgement of the Local Authority. </w:t>
      </w:r>
    </w:p>
    <w:p w:rsidR="007630C4" w:rsidRPr="007630C4" w:rsidP="007630C4">
      <w:pPr>
        <w:ind w:left="720"/>
        <w:rPr>
          <w:rFonts w:eastAsia="Arial"/>
          <w:color w:val="auto"/>
        </w:rPr>
      </w:pPr>
      <w:r w:rsidRPr="007630C4">
        <w:rPr>
          <w:rFonts w:eastAsia="Arial"/>
          <w:color w:val="auto"/>
        </w:rPr>
        <w:t>In September 2020, the fund (and its predecessors) had allocated £312.5 million to local authorities to spend in ways that make sense for their local communities. This includes, but is not limited to, local contact tracing.</w:t>
      </w:r>
    </w:p>
    <w:p w:rsidR="007630C4" w:rsidRPr="007630C4" w:rsidP="007630C4">
      <w:pPr>
        <w:ind w:left="720"/>
        <w:rPr>
          <w:rFonts w:eastAsia="Arial"/>
          <w:color w:val="auto"/>
        </w:rPr>
      </w:pPr>
    </w:p>
    <w:p w:rsidR="007630C4" w:rsidRPr="007630C4" w:rsidP="007630C4">
      <w:pPr>
        <w:pStyle w:val="ListParagraph"/>
        <w:numPr>
          <w:ilvl w:val="0"/>
          <w:numId w:val="32"/>
        </w:numPr>
        <w:tabs>
          <w:tab w:val="clear" w:pos="1329"/>
        </w:tabs>
        <w:spacing w:after="160" w:line="259" w:lineRule="auto"/>
        <w:rPr>
          <w:rFonts w:eastAsia="Arial"/>
          <w:b/>
          <w:bCs/>
          <w:color w:val="auto"/>
        </w:rPr>
      </w:pPr>
      <w:r w:rsidRPr="007630C4">
        <w:rPr>
          <w:rFonts w:eastAsia="Arial"/>
          <w:b/>
          <w:bCs/>
          <w:color w:val="auto"/>
        </w:rPr>
        <w:t>To confirm who is in control of allocating expenditure across centralised and local contact tracing.</w:t>
      </w:r>
    </w:p>
    <w:p w:rsidR="007630C4" w:rsidRPr="007630C4" w:rsidP="007630C4">
      <w:pPr>
        <w:rPr>
          <w:rFonts w:eastAsia="Arial"/>
          <w:color w:val="auto"/>
        </w:rPr>
      </w:pPr>
      <w:r w:rsidRPr="007630C4">
        <w:rPr>
          <w:rFonts w:eastAsia="Arial"/>
          <w:color w:val="auto"/>
        </w:rPr>
        <w:t>Both national and local contact tracing is funded through the budget allocated to NHS Test and Trace from the Treasury. This expenditure is controlled by the delegated budget authority in NHS Test and Trace. Local contact tracing spend is delegated further to local authorities, who fund spend via the Contain Outbreak Management Fund.</w:t>
      </w:r>
    </w:p>
    <w:p w:rsidR="007630C4" w:rsidRPr="007630C4" w:rsidP="007630C4">
      <w:pPr>
        <w:rPr>
          <w:rFonts w:eastAsia="Arial"/>
          <w:b/>
          <w:bCs/>
          <w:color w:val="auto"/>
        </w:rPr>
      </w:pPr>
    </w:p>
    <w:p w:rsidR="007630C4" w:rsidRPr="007630C4" w:rsidP="007630C4">
      <w:pPr>
        <w:pStyle w:val="ListParagraph"/>
        <w:numPr>
          <w:ilvl w:val="0"/>
          <w:numId w:val="32"/>
        </w:numPr>
        <w:tabs>
          <w:tab w:val="clear" w:pos="1329"/>
        </w:tabs>
        <w:spacing w:after="160" w:line="259" w:lineRule="auto"/>
        <w:rPr>
          <w:rFonts w:eastAsia="Arial"/>
          <w:b/>
          <w:bCs/>
          <w:color w:val="auto"/>
        </w:rPr>
      </w:pPr>
      <w:r w:rsidRPr="007630C4">
        <w:rPr>
          <w:rFonts w:eastAsia="Arial"/>
          <w:b/>
          <w:bCs/>
          <w:color w:val="auto"/>
        </w:rPr>
        <w:t>To provide a breakdown of how the excess £2bn of funding, outlined in the Winter Economy Plan (over the £10bn announced in the July Plan for Jobs) will be allocated</w:t>
      </w:r>
    </w:p>
    <w:p w:rsidR="007630C4" w:rsidRPr="007630C4" w:rsidP="007630C4">
      <w:pPr>
        <w:spacing w:after="0"/>
        <w:rPr>
          <w:rFonts w:eastAsia="Arial"/>
          <w:b/>
          <w:bCs/>
          <w:color w:val="auto"/>
        </w:rPr>
      </w:pPr>
    </w:p>
    <w:p w:rsidR="007630C4" w:rsidRPr="007630C4" w:rsidP="007630C4">
      <w:pPr>
        <w:spacing w:line="257" w:lineRule="auto"/>
        <w:rPr>
          <w:rFonts w:eastAsia="Arial"/>
          <w:color w:val="auto"/>
        </w:rPr>
      </w:pPr>
      <w:r w:rsidRPr="007630C4">
        <w:rPr>
          <w:rFonts w:eastAsia="Arial"/>
          <w:color w:val="auto"/>
        </w:rPr>
        <w:t xml:space="preserve">The £10 billion and £2 billion referred to in the ‘Winter Economy Plan’ are not specifically related to NHS Test and Trace budget.  </w:t>
      </w:r>
    </w:p>
    <w:p w:rsidR="007630C4" w:rsidRPr="007630C4" w:rsidP="007630C4">
      <w:pPr>
        <w:spacing w:line="257" w:lineRule="auto"/>
        <w:rPr>
          <w:rFonts w:eastAsia="Arial"/>
          <w:color w:val="auto"/>
        </w:rPr>
      </w:pPr>
      <w:r w:rsidRPr="007630C4">
        <w:rPr>
          <w:rFonts w:eastAsia="Arial"/>
          <w:color w:val="auto"/>
        </w:rPr>
        <w:t>NHS Test and Trace does have a ‘Winter plan’ which intends to increase testing from 500k tests per day (funded through an initial £10 billion) to 800k tests per day (funded through an additional £2 billion) achieved through the steps below:</w:t>
      </w:r>
    </w:p>
    <w:p w:rsidR="007630C4" w:rsidRPr="007630C4" w:rsidP="007630C4">
      <w:pPr>
        <w:pStyle w:val="ListParagraph"/>
        <w:numPr>
          <w:ilvl w:val="0"/>
          <w:numId w:val="31"/>
        </w:numPr>
        <w:tabs>
          <w:tab w:val="clear" w:pos="1329"/>
        </w:tabs>
        <w:spacing w:after="160" w:line="259" w:lineRule="auto"/>
        <w:rPr>
          <w:rFonts w:eastAsia="Arial"/>
          <w:color w:val="auto"/>
        </w:rPr>
      </w:pPr>
      <w:r w:rsidRPr="007630C4">
        <w:rPr>
          <w:rFonts w:eastAsia="Arial"/>
          <w:color w:val="auto"/>
        </w:rPr>
        <w:t xml:space="preserve">Establishing three new Lighthouse Labs - in the North East, South East and South West of England. </w:t>
      </w:r>
    </w:p>
    <w:p w:rsidR="007630C4" w:rsidRPr="007630C4" w:rsidP="007630C4">
      <w:pPr>
        <w:pStyle w:val="ListParagraph"/>
        <w:numPr>
          <w:ilvl w:val="0"/>
          <w:numId w:val="31"/>
        </w:numPr>
        <w:tabs>
          <w:tab w:val="clear" w:pos="1329"/>
        </w:tabs>
        <w:spacing w:after="160" w:line="259" w:lineRule="auto"/>
        <w:rPr>
          <w:rFonts w:eastAsia="Arial"/>
          <w:color w:val="auto"/>
        </w:rPr>
      </w:pPr>
      <w:r w:rsidRPr="007630C4">
        <w:rPr>
          <w:rFonts w:eastAsia="Arial"/>
          <w:color w:val="auto"/>
        </w:rPr>
        <w:t>Increasing throughput at existing Pillar 2 Lighthouse labs</w:t>
      </w:r>
    </w:p>
    <w:p w:rsidR="007630C4" w:rsidRPr="007630C4" w:rsidP="007630C4">
      <w:pPr>
        <w:pStyle w:val="ListParagraph"/>
        <w:numPr>
          <w:ilvl w:val="0"/>
          <w:numId w:val="31"/>
        </w:numPr>
        <w:tabs>
          <w:tab w:val="clear" w:pos="1329"/>
        </w:tabs>
        <w:spacing w:after="160" w:line="259" w:lineRule="auto"/>
        <w:rPr>
          <w:rFonts w:eastAsia="Arial"/>
          <w:color w:val="auto"/>
        </w:rPr>
      </w:pPr>
      <w:r w:rsidRPr="007630C4">
        <w:rPr>
          <w:rFonts w:eastAsia="Arial"/>
          <w:color w:val="auto"/>
        </w:rPr>
        <w:t>Increasing contracting with commercial partner labs</w:t>
      </w:r>
    </w:p>
    <w:p w:rsidR="007630C4" w:rsidRPr="007630C4" w:rsidP="007630C4">
      <w:pPr>
        <w:pStyle w:val="ListParagraph"/>
        <w:numPr>
          <w:ilvl w:val="0"/>
          <w:numId w:val="31"/>
        </w:numPr>
        <w:tabs>
          <w:tab w:val="clear" w:pos="1329"/>
        </w:tabs>
        <w:spacing w:after="160" w:line="259" w:lineRule="auto"/>
        <w:rPr>
          <w:rFonts w:eastAsia="Arial"/>
          <w:color w:val="auto"/>
        </w:rPr>
      </w:pPr>
      <w:r w:rsidRPr="007630C4">
        <w:rPr>
          <w:rFonts w:eastAsia="Arial"/>
          <w:color w:val="auto"/>
        </w:rPr>
        <w:t>Increasing NHS capacity within Pillar 1</w:t>
      </w:r>
    </w:p>
    <w:p w:rsidR="007630C4" w:rsidRPr="007630C4" w:rsidP="007630C4">
      <w:pPr>
        <w:spacing w:line="257" w:lineRule="auto"/>
        <w:rPr>
          <w:rFonts w:eastAsia="Arial"/>
          <w:b/>
          <w:color w:val="auto"/>
        </w:rPr>
      </w:pPr>
    </w:p>
    <w:p w:rsidR="007630C4" w:rsidRPr="007630C4" w:rsidP="007630C4">
      <w:pPr>
        <w:pStyle w:val="ListParagraph"/>
        <w:numPr>
          <w:ilvl w:val="0"/>
          <w:numId w:val="32"/>
        </w:numPr>
        <w:tabs>
          <w:tab w:val="clear" w:pos="1329"/>
        </w:tabs>
        <w:spacing w:after="160" w:line="257" w:lineRule="auto"/>
        <w:rPr>
          <w:rFonts w:eastAsia="Arial"/>
          <w:b/>
          <w:color w:val="auto"/>
        </w:rPr>
      </w:pPr>
      <w:r w:rsidRPr="007630C4">
        <w:rPr>
          <w:rFonts w:eastAsia="Arial"/>
          <w:b/>
          <w:bCs/>
          <w:color w:val="auto"/>
        </w:rPr>
        <w:t>To</w:t>
      </w:r>
      <w:r w:rsidRPr="007630C4">
        <w:rPr>
          <w:rFonts w:eastAsia="Arial"/>
          <w:b/>
          <w:color w:val="auto"/>
        </w:rPr>
        <w:t xml:space="preserve"> provide the data for what proportion of positive cases adhere to self-isolation and the proportion of contacts who adhere to self-isolation</w:t>
      </w:r>
      <w:r w:rsidRPr="007630C4">
        <w:rPr>
          <w:rFonts w:eastAsia="Arial"/>
          <w:b/>
          <w:bCs/>
          <w:color w:val="auto"/>
        </w:rPr>
        <w:t>.</w:t>
      </w:r>
    </w:p>
    <w:p w:rsidR="007630C4" w:rsidRPr="007630C4" w:rsidP="007630C4">
      <w:pPr>
        <w:spacing w:after="0" w:line="276" w:lineRule="auto"/>
        <w:jc w:val="both"/>
        <w:rPr>
          <w:rFonts w:eastAsia="Arial"/>
          <w:color w:val="auto"/>
        </w:rPr>
      </w:pPr>
      <w:r w:rsidRPr="007630C4">
        <w:rPr>
          <w:rFonts w:eastAsia="Arial"/>
          <w:color w:val="auto"/>
        </w:rPr>
        <w:t>A Department of Health and Social Care survey focusing on close contacts of confirmed cases who entered CTAS between 25 August – 14 September found that full compliance with self-isolation is around 53%. However, most breaches seem low risk. Of those who do not comply, around 92% have no non-essential contacts. For example, they may go for a walk alone at midnight. Some breaches are riskier, and 8% of those who do not comply do have non-essential contacts with others. Furthermore, analysis of CTAS data shows that around 85% of those who are contacts and go on to become cases have no non-household contacts.</w:t>
      </w:r>
    </w:p>
    <w:p w:rsidR="007630C4" w:rsidRPr="007630C4" w:rsidP="007630C4">
      <w:pPr>
        <w:spacing w:after="0" w:line="276" w:lineRule="auto"/>
        <w:jc w:val="both"/>
        <w:rPr>
          <w:rFonts w:eastAsia="Arial"/>
          <w:b/>
          <w:color w:val="auto"/>
        </w:rPr>
      </w:pPr>
    </w:p>
    <w:p w:rsidR="007630C4" w:rsidRPr="007630C4" w:rsidP="007630C4">
      <w:pPr>
        <w:spacing w:after="0" w:line="276" w:lineRule="auto"/>
        <w:jc w:val="both"/>
        <w:rPr>
          <w:rFonts w:eastAsia="Arial"/>
          <w:color w:val="auto"/>
        </w:rPr>
      </w:pPr>
      <w:r w:rsidRPr="007630C4">
        <w:rPr>
          <w:rFonts w:eastAsia="Arial"/>
          <w:color w:val="auto"/>
        </w:rPr>
        <w:t xml:space="preserve">Although both above surveys are useful in understanding public behaviour, they do not include confirmed positive cases in their cohorts. On 16 November 2020, </w:t>
      </w:r>
      <w:r w:rsidRPr="007630C4">
        <w:rPr>
          <w:rStyle w:val="CommentReference"/>
          <w:rFonts w:eastAsia="Arial"/>
          <w:color w:val="auto"/>
        </w:rPr>
        <w:t>the</w:t>
      </w:r>
      <w:r w:rsidRPr="007630C4">
        <w:rPr>
          <w:rFonts w:eastAsia="Arial"/>
          <w:color w:val="auto"/>
        </w:rPr>
        <w:t xml:space="preserve"> DHSC isolation survey was re-launched aiming to survey 1,000 cases and 1,000 contacts per week. This survey will move to be delivered by ONS and will then be aiming to reach 1,000 of each per month. This will help to assess what proportion of positive cases adhere to self-isolation.</w:t>
      </w:r>
    </w:p>
    <w:p w:rsidR="007630C4" w:rsidRPr="007630C4" w:rsidP="007630C4">
      <w:pPr>
        <w:spacing w:after="0" w:line="276" w:lineRule="auto"/>
        <w:jc w:val="both"/>
        <w:rPr>
          <w:rFonts w:eastAsia="Arial"/>
          <w:b/>
          <w:color w:val="auto"/>
        </w:rPr>
      </w:pPr>
    </w:p>
    <w:p w:rsidR="007630C4" w:rsidRPr="007630C4" w:rsidP="007630C4">
      <w:pPr>
        <w:spacing w:after="0" w:line="276" w:lineRule="auto"/>
        <w:jc w:val="both"/>
        <w:rPr>
          <w:rFonts w:eastAsia="Arial"/>
          <w:color w:val="auto"/>
        </w:rPr>
      </w:pPr>
      <w:r w:rsidRPr="007630C4">
        <w:rPr>
          <w:rFonts w:eastAsia="Arial"/>
          <w:color w:val="auto"/>
        </w:rPr>
        <w:t>More generally,</w:t>
      </w:r>
      <w:r w:rsidRPr="007630C4">
        <w:rPr>
          <w:rFonts w:eastAsia="Arial"/>
          <w:color w:val="auto"/>
        </w:rPr>
        <w:t xml:space="preserve"> </w:t>
      </w:r>
      <w:r w:rsidRPr="007630C4">
        <w:rPr>
          <w:rFonts w:eastAsia="Arial"/>
          <w:color w:val="auto"/>
        </w:rPr>
        <w:t xml:space="preserve">polling, surveys and anecdotal feedback from directors of local public health show adherence to self-isolation, particularly for individuals from low-income backgrounds, is linked to the support that is available. </w:t>
      </w:r>
      <w:r w:rsidRPr="007630C4">
        <w:rPr>
          <w:rFonts w:eastAsia="Arial"/>
          <w:color w:val="auto"/>
        </w:rPr>
        <w:t>This is why</w:t>
      </w:r>
      <w:r w:rsidRPr="007630C4">
        <w:rPr>
          <w:rFonts w:eastAsia="Arial"/>
          <w:color w:val="auto"/>
        </w:rPr>
        <w:t xml:space="preserve"> the Government has introduced the Test and Trace Support Payment scheme. Under this scheme, people who are asked to self-isolate by NHS Test and Trace and on a low income, unable to work from home and will lose income as a result, may be entitled to a payment of £500 from their local authority. This is in addition to any welfare benefits and Statutory Sick Pay that they are currently eligible for. Individuals can also access other support from their local authorities, as well as assistance from NHS Volunteer Responders. We will also continue to work with our local authority colleagues to assess what other support could be made available to people who are asked to self-isolate and suffering from hardship.</w:t>
      </w:r>
    </w:p>
    <w:p w:rsidR="007630C4" w:rsidRPr="007630C4" w:rsidP="007630C4">
      <w:pPr>
        <w:spacing w:line="257" w:lineRule="auto"/>
        <w:rPr>
          <w:rFonts w:eastAsia="Arial"/>
          <w:color w:val="auto"/>
        </w:rPr>
      </w:pPr>
    </w:p>
    <w:p w:rsidR="007630C4" w:rsidRPr="007630C4" w:rsidP="007630C4">
      <w:pPr>
        <w:spacing w:line="257" w:lineRule="auto"/>
        <w:rPr>
          <w:rFonts w:eastAsia="Arial"/>
          <w:b/>
          <w:color w:val="auto"/>
        </w:rPr>
      </w:pPr>
      <w:r w:rsidRPr="007630C4">
        <w:rPr>
          <w:rFonts w:eastAsia="Arial"/>
          <w:b/>
          <w:color w:val="auto"/>
        </w:rPr>
        <w:t>7. To provide data on the proportion of tests booked which are then carried out.</w:t>
      </w:r>
    </w:p>
    <w:p w:rsidR="007630C4" w:rsidRPr="007630C4" w:rsidP="007630C4">
      <w:pPr>
        <w:spacing w:line="257" w:lineRule="auto"/>
        <w:rPr>
          <w:rFonts w:eastAsia="Arial"/>
          <w:b/>
          <w:color w:val="auto"/>
        </w:rPr>
      </w:pPr>
      <w:r w:rsidRPr="007630C4">
        <w:rPr>
          <w:rFonts w:eastAsia="Arial"/>
          <w:color w:val="auto"/>
        </w:rPr>
        <w:t xml:space="preserve">Since May there has been a steady improvement in the successful completion of booked COVID tests rising by 4% to the current level of 91%. These figures demonstrate that </w:t>
      </w:r>
      <w:r w:rsidRPr="007630C4">
        <w:rPr>
          <w:rFonts w:eastAsia="Arial"/>
          <w:color w:val="auto"/>
        </w:rPr>
        <w:t>the overwhelming majority of</w:t>
      </w:r>
      <w:r w:rsidRPr="007630C4">
        <w:rPr>
          <w:rFonts w:eastAsia="Arial"/>
          <w:color w:val="auto"/>
        </w:rPr>
        <w:t xml:space="preserve"> people who book a test, complete the test.     </w:t>
      </w:r>
      <w:r w:rsidRPr="007630C4">
        <w:rPr>
          <w:rFonts w:eastAsia="Arial"/>
          <w:b/>
          <w:color w:val="auto"/>
        </w:rPr>
        <w:t xml:space="preserve">  </w:t>
      </w:r>
    </w:p>
    <w:p w:rsidR="007630C4" w:rsidRPr="007630C4" w:rsidP="007630C4">
      <w:pPr>
        <w:spacing w:line="257" w:lineRule="auto"/>
        <w:rPr>
          <w:rFonts w:eastAsia="Arial"/>
          <w:b/>
          <w:color w:val="auto"/>
        </w:rPr>
      </w:pPr>
    </w:p>
    <w:tbl>
      <w:tblPr>
        <w:tblStyle w:val="TableGrid"/>
        <w:tblW w:w="8980" w:type="dxa"/>
        <w:jc w:val="center"/>
        <w:tblLayout w:type="fixed"/>
        <w:tblLook w:val="04A0"/>
      </w:tblPr>
      <w:tblGrid>
        <w:gridCol w:w="4545"/>
        <w:gridCol w:w="4435"/>
      </w:tblGrid>
      <w:tr w:rsidTr="0062040E">
        <w:tblPrEx>
          <w:tblW w:w="8980" w:type="dxa"/>
          <w:jc w:val="center"/>
          <w:tblLayout w:type="fixed"/>
          <w:tblLook w:val="04A0"/>
        </w:tblPrEx>
        <w:trPr>
          <w:jc w:val="center"/>
        </w:trPr>
        <w:tc>
          <w:tcPr>
            <w:tcW w:w="4545" w:type="dxa"/>
          </w:tcPr>
          <w:p w:rsidR="007630C4" w:rsidRPr="007630C4" w:rsidP="0062040E">
            <w:pPr>
              <w:jc w:val="center"/>
              <w:rPr>
                <w:rFonts w:eastAsia="Arial"/>
                <w:b/>
                <w:color w:val="auto"/>
              </w:rPr>
            </w:pPr>
            <w:r w:rsidRPr="007630C4">
              <w:rPr>
                <w:rFonts w:eastAsia="Arial"/>
                <w:b/>
                <w:color w:val="auto"/>
              </w:rPr>
              <w:t xml:space="preserve">MONTH </w:t>
            </w:r>
          </w:p>
        </w:tc>
        <w:tc>
          <w:tcPr>
            <w:tcW w:w="4435" w:type="dxa"/>
          </w:tcPr>
          <w:p w:rsidR="007630C4" w:rsidRPr="007630C4" w:rsidP="0062040E">
            <w:pPr>
              <w:jc w:val="center"/>
              <w:rPr>
                <w:rFonts w:eastAsia="Arial"/>
                <w:b/>
                <w:color w:val="auto"/>
              </w:rPr>
            </w:pPr>
            <w:r w:rsidRPr="007630C4">
              <w:rPr>
                <w:rFonts w:eastAsia="Arial"/>
                <w:b/>
                <w:color w:val="auto"/>
              </w:rPr>
              <w:t xml:space="preserve"> % BOOKED TEST COMPLETED (Actual)</w:t>
            </w:r>
          </w:p>
        </w:tc>
      </w:tr>
      <w:tr w:rsidTr="0062040E">
        <w:tblPrEx>
          <w:tblW w:w="8980" w:type="dxa"/>
          <w:jc w:val="center"/>
          <w:tblLayout w:type="fixed"/>
          <w:tblLook w:val="04A0"/>
        </w:tblPrEx>
        <w:trPr>
          <w:jc w:val="center"/>
        </w:trPr>
        <w:tc>
          <w:tcPr>
            <w:tcW w:w="4545" w:type="dxa"/>
          </w:tcPr>
          <w:p w:rsidR="007630C4" w:rsidRPr="007630C4" w:rsidP="0062040E">
            <w:pPr>
              <w:rPr>
                <w:rFonts w:eastAsia="Arial"/>
                <w:b/>
                <w:color w:val="auto"/>
              </w:rPr>
            </w:pPr>
            <w:r w:rsidRPr="007630C4">
              <w:rPr>
                <w:rFonts w:eastAsia="Arial"/>
                <w:b/>
                <w:color w:val="auto"/>
              </w:rPr>
              <w:t>May</w:t>
            </w:r>
          </w:p>
        </w:tc>
        <w:tc>
          <w:tcPr>
            <w:tcW w:w="4435" w:type="dxa"/>
          </w:tcPr>
          <w:p w:rsidR="007630C4" w:rsidRPr="007630C4" w:rsidP="0062040E">
            <w:pPr>
              <w:rPr>
                <w:rFonts w:eastAsia="Arial"/>
                <w:b/>
                <w:color w:val="auto"/>
              </w:rPr>
            </w:pPr>
            <w:r w:rsidRPr="007630C4">
              <w:rPr>
                <w:rFonts w:eastAsia="Arial"/>
                <w:b/>
                <w:color w:val="auto"/>
              </w:rPr>
              <w:t>87 (65066)</w:t>
            </w:r>
          </w:p>
        </w:tc>
      </w:tr>
      <w:tr w:rsidTr="0062040E">
        <w:tblPrEx>
          <w:tblW w:w="8980" w:type="dxa"/>
          <w:jc w:val="center"/>
          <w:tblLayout w:type="fixed"/>
          <w:tblLook w:val="04A0"/>
        </w:tblPrEx>
        <w:trPr>
          <w:jc w:val="center"/>
        </w:trPr>
        <w:tc>
          <w:tcPr>
            <w:tcW w:w="4545" w:type="dxa"/>
          </w:tcPr>
          <w:p w:rsidR="007630C4" w:rsidRPr="007630C4" w:rsidP="0062040E">
            <w:pPr>
              <w:rPr>
                <w:rFonts w:eastAsia="Arial"/>
                <w:b/>
                <w:color w:val="auto"/>
              </w:rPr>
            </w:pPr>
            <w:r w:rsidRPr="007630C4">
              <w:rPr>
                <w:rFonts w:eastAsia="Arial"/>
                <w:b/>
                <w:color w:val="auto"/>
              </w:rPr>
              <w:t>June</w:t>
            </w:r>
          </w:p>
        </w:tc>
        <w:tc>
          <w:tcPr>
            <w:tcW w:w="4435" w:type="dxa"/>
          </w:tcPr>
          <w:p w:rsidR="007630C4" w:rsidRPr="007630C4" w:rsidP="0062040E">
            <w:pPr>
              <w:rPr>
                <w:rFonts w:eastAsia="Arial"/>
                <w:b/>
                <w:color w:val="auto"/>
              </w:rPr>
            </w:pPr>
            <w:r w:rsidRPr="007630C4">
              <w:rPr>
                <w:rFonts w:eastAsia="Arial"/>
                <w:b/>
                <w:color w:val="auto"/>
              </w:rPr>
              <w:t>88 (559241)</w:t>
            </w:r>
          </w:p>
        </w:tc>
      </w:tr>
      <w:tr w:rsidTr="0062040E">
        <w:tblPrEx>
          <w:tblW w:w="8980" w:type="dxa"/>
          <w:jc w:val="center"/>
          <w:tblLayout w:type="fixed"/>
          <w:tblLook w:val="04A0"/>
        </w:tblPrEx>
        <w:trPr>
          <w:jc w:val="center"/>
        </w:trPr>
        <w:tc>
          <w:tcPr>
            <w:tcW w:w="4545" w:type="dxa"/>
          </w:tcPr>
          <w:p w:rsidR="007630C4" w:rsidRPr="007630C4" w:rsidP="0062040E">
            <w:pPr>
              <w:rPr>
                <w:rFonts w:eastAsia="Arial"/>
                <w:b/>
                <w:color w:val="auto"/>
              </w:rPr>
            </w:pPr>
            <w:r w:rsidRPr="007630C4">
              <w:rPr>
                <w:rFonts w:eastAsia="Arial"/>
                <w:b/>
                <w:color w:val="auto"/>
              </w:rPr>
              <w:t>July</w:t>
            </w:r>
          </w:p>
        </w:tc>
        <w:tc>
          <w:tcPr>
            <w:tcW w:w="4435" w:type="dxa"/>
          </w:tcPr>
          <w:p w:rsidR="007630C4" w:rsidRPr="007630C4" w:rsidP="0062040E">
            <w:pPr>
              <w:rPr>
                <w:rFonts w:eastAsia="Arial"/>
                <w:b/>
                <w:color w:val="auto"/>
              </w:rPr>
            </w:pPr>
            <w:r w:rsidRPr="007630C4">
              <w:rPr>
                <w:rFonts w:eastAsia="Arial"/>
                <w:b/>
                <w:color w:val="auto"/>
              </w:rPr>
              <w:t>90 (852635)</w:t>
            </w:r>
          </w:p>
        </w:tc>
      </w:tr>
      <w:tr w:rsidTr="0062040E">
        <w:tblPrEx>
          <w:tblW w:w="8980" w:type="dxa"/>
          <w:jc w:val="center"/>
          <w:tblLayout w:type="fixed"/>
          <w:tblLook w:val="04A0"/>
        </w:tblPrEx>
        <w:trPr>
          <w:jc w:val="center"/>
        </w:trPr>
        <w:tc>
          <w:tcPr>
            <w:tcW w:w="4545" w:type="dxa"/>
          </w:tcPr>
          <w:p w:rsidR="007630C4" w:rsidRPr="007630C4" w:rsidP="0062040E">
            <w:pPr>
              <w:rPr>
                <w:rFonts w:eastAsia="Arial"/>
                <w:b/>
                <w:color w:val="auto"/>
              </w:rPr>
            </w:pPr>
            <w:r w:rsidRPr="007630C4">
              <w:rPr>
                <w:rFonts w:eastAsia="Arial"/>
                <w:b/>
                <w:color w:val="auto"/>
              </w:rPr>
              <w:t>August</w:t>
            </w:r>
          </w:p>
        </w:tc>
        <w:tc>
          <w:tcPr>
            <w:tcW w:w="4435" w:type="dxa"/>
          </w:tcPr>
          <w:p w:rsidR="007630C4" w:rsidRPr="007630C4" w:rsidP="0062040E">
            <w:pPr>
              <w:rPr>
                <w:rFonts w:eastAsia="Arial"/>
                <w:b/>
                <w:color w:val="auto"/>
              </w:rPr>
            </w:pPr>
            <w:r w:rsidRPr="007630C4">
              <w:rPr>
                <w:rFonts w:eastAsia="Arial"/>
                <w:b/>
                <w:color w:val="auto"/>
              </w:rPr>
              <w:t>89 (1300578)</w:t>
            </w:r>
          </w:p>
        </w:tc>
      </w:tr>
      <w:tr w:rsidTr="0062040E">
        <w:tblPrEx>
          <w:tblW w:w="8980" w:type="dxa"/>
          <w:jc w:val="center"/>
          <w:tblLayout w:type="fixed"/>
          <w:tblLook w:val="04A0"/>
        </w:tblPrEx>
        <w:trPr>
          <w:jc w:val="center"/>
        </w:trPr>
        <w:tc>
          <w:tcPr>
            <w:tcW w:w="4545" w:type="dxa"/>
          </w:tcPr>
          <w:p w:rsidR="007630C4" w:rsidRPr="007630C4" w:rsidP="0062040E">
            <w:pPr>
              <w:rPr>
                <w:rFonts w:eastAsia="Arial"/>
                <w:b/>
                <w:color w:val="auto"/>
              </w:rPr>
            </w:pPr>
            <w:r w:rsidRPr="007630C4">
              <w:rPr>
                <w:rFonts w:eastAsia="Arial"/>
                <w:b/>
                <w:color w:val="auto"/>
              </w:rPr>
              <w:t>September</w:t>
            </w:r>
          </w:p>
        </w:tc>
        <w:tc>
          <w:tcPr>
            <w:tcW w:w="4435" w:type="dxa"/>
          </w:tcPr>
          <w:p w:rsidR="007630C4" w:rsidRPr="007630C4" w:rsidP="0062040E">
            <w:pPr>
              <w:rPr>
                <w:rFonts w:eastAsia="Arial"/>
                <w:b/>
                <w:color w:val="auto"/>
              </w:rPr>
            </w:pPr>
            <w:r w:rsidRPr="007630C4">
              <w:rPr>
                <w:rFonts w:eastAsia="Arial"/>
                <w:b/>
                <w:color w:val="auto"/>
              </w:rPr>
              <w:t>90 (1546893)</w:t>
            </w:r>
          </w:p>
        </w:tc>
      </w:tr>
      <w:tr w:rsidTr="0062040E">
        <w:tblPrEx>
          <w:tblW w:w="8980" w:type="dxa"/>
          <w:jc w:val="center"/>
          <w:tblLayout w:type="fixed"/>
          <w:tblLook w:val="04A0"/>
        </w:tblPrEx>
        <w:trPr>
          <w:jc w:val="center"/>
        </w:trPr>
        <w:tc>
          <w:tcPr>
            <w:tcW w:w="4545" w:type="dxa"/>
          </w:tcPr>
          <w:p w:rsidR="007630C4" w:rsidRPr="007630C4" w:rsidP="0062040E">
            <w:pPr>
              <w:rPr>
                <w:rFonts w:eastAsia="Arial"/>
                <w:b/>
                <w:color w:val="auto"/>
              </w:rPr>
            </w:pPr>
            <w:r w:rsidRPr="007630C4">
              <w:rPr>
                <w:rFonts w:eastAsia="Arial"/>
                <w:b/>
                <w:color w:val="auto"/>
              </w:rPr>
              <w:t>October</w:t>
            </w:r>
          </w:p>
        </w:tc>
        <w:tc>
          <w:tcPr>
            <w:tcW w:w="4435" w:type="dxa"/>
          </w:tcPr>
          <w:p w:rsidR="007630C4" w:rsidRPr="007630C4" w:rsidP="0062040E">
            <w:pPr>
              <w:rPr>
                <w:rFonts w:eastAsia="Arial"/>
                <w:b/>
                <w:color w:val="auto"/>
              </w:rPr>
            </w:pPr>
            <w:r w:rsidRPr="007630C4">
              <w:rPr>
                <w:rFonts w:eastAsia="Arial"/>
                <w:b/>
                <w:color w:val="auto"/>
              </w:rPr>
              <w:t>91 (2145759)</w:t>
            </w:r>
          </w:p>
        </w:tc>
      </w:tr>
    </w:tbl>
    <w:p w:rsidR="007630C4" w:rsidRPr="007630C4" w:rsidP="007630C4">
      <w:pPr>
        <w:spacing w:line="257" w:lineRule="auto"/>
        <w:rPr>
          <w:rFonts w:eastAsia="Arial"/>
          <w:b/>
          <w:color w:val="auto"/>
        </w:rPr>
      </w:pPr>
    </w:p>
    <w:p w:rsidR="007630C4" w:rsidRPr="007630C4" w:rsidP="007630C4">
      <w:pPr>
        <w:spacing w:line="257" w:lineRule="auto"/>
        <w:rPr>
          <w:rFonts w:eastAsia="Arial"/>
          <w:color w:val="auto"/>
        </w:rPr>
      </w:pPr>
      <w:r w:rsidRPr="007630C4">
        <w:rPr>
          <w:rFonts w:eastAsia="Arial"/>
          <w:color w:val="auto"/>
        </w:rPr>
        <w:t>Thank you for your letter and your continued focus on and support for NHS Test and Trace. We continue to work hard as a part of the Government’s pandemic response.</w:t>
      </w:r>
    </w:p>
    <w:p w:rsidR="007630C4" w:rsidRPr="007630C4" w:rsidP="007630C4">
      <w:pPr>
        <w:spacing w:line="257" w:lineRule="auto"/>
        <w:rPr>
          <w:rFonts w:eastAsia="Arial"/>
          <w:color w:val="auto"/>
        </w:rPr>
      </w:pPr>
      <w:r w:rsidRPr="007630C4">
        <w:rPr>
          <w:rFonts w:eastAsia="Arial"/>
          <w:color w:val="auto"/>
        </w:rPr>
        <w:t>Yours sincerely,</w:t>
      </w:r>
    </w:p>
    <w:p w:rsidR="007630C4" w:rsidRPr="007630C4" w:rsidP="007630C4">
      <w:pPr>
        <w:spacing w:line="257" w:lineRule="auto"/>
        <w:rPr>
          <w:rFonts w:eastAsia="Arial"/>
          <w:color w:val="auto"/>
        </w:rPr>
      </w:pPr>
      <w:r w:rsidRPr="007630C4">
        <w:rPr>
          <w:noProof/>
          <w:color w:val="auto"/>
        </w:rPr>
        <w:drawing>
          <wp:inline distT="0" distB="0" distL="0" distR="0">
            <wp:extent cx="1409700" cy="495300"/>
            <wp:effectExtent l="0" t="0" r="0" b="0"/>
            <wp:docPr id="476493215" name="Picture 476493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493215"/>
                    <pic:cNvPicPr/>
                  </pic:nvPicPr>
                  <pic:blipFill>
                    <a:blip xmlns:r="http://schemas.openxmlformats.org/officeDocument/2006/relationships" r:embed="rId7">
                      <a:extLst>
                        <a:ext uri="{28A0092B-C50C-407E-A947-70E740481C1C}">
                          <a14:useLocalDpi xmlns:a14="http://schemas.microsoft.com/office/drawing/2010/main" val="0"/>
                        </a:ext>
                      </a:extLst>
                    </a:blip>
                    <a:stretch>
                      <a:fillRect/>
                    </a:stretch>
                  </pic:blipFill>
                  <pic:spPr>
                    <a:xfrm>
                      <a:off x="0" y="0"/>
                      <a:ext cx="1409700" cy="495300"/>
                    </a:xfrm>
                    <a:prstGeom prst="rect">
                      <a:avLst/>
                    </a:prstGeom>
                  </pic:spPr>
                </pic:pic>
              </a:graphicData>
            </a:graphic>
          </wp:inline>
        </w:drawing>
      </w:r>
    </w:p>
    <w:p w:rsidR="007630C4" w:rsidRPr="007630C4" w:rsidP="007630C4">
      <w:pPr>
        <w:spacing w:line="257" w:lineRule="auto"/>
        <w:rPr>
          <w:rFonts w:eastAsia="Arial"/>
          <w:color w:val="auto"/>
        </w:rPr>
      </w:pPr>
      <w:r w:rsidRPr="007630C4">
        <w:rPr>
          <w:rFonts w:eastAsia="Arial"/>
          <w:color w:val="auto"/>
        </w:rPr>
        <w:t>Baroness Harding</w:t>
      </w:r>
    </w:p>
    <w:p w:rsidR="007630C4" w:rsidRPr="007630C4" w:rsidP="007630C4">
      <w:pPr>
        <w:rPr>
          <w:rFonts w:eastAsia="Arial"/>
          <w:color w:val="auto"/>
        </w:rPr>
      </w:pPr>
    </w:p>
    <w:sectPr w:rsidSect="00D622D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850"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3D4C" w:rsidP="00BE48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3D4C" w:rsidP="00BE481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3D4C" w:rsidP="00BE4814">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3D4C" w:rsidP="00BE48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082C" w:rsidP="00BE4814">
    <w:pPr>
      <w:pStyle w:val="Header"/>
    </w:pPr>
    <w:r>
      <w:rPr>
        <w:noProof/>
      </w:rPr>
      <w:drawing>
        <wp:anchor distT="0" distB="0" distL="114300" distR="114300" simplePos="0" relativeHeight="251658240" behindDoc="0" locked="0" layoutInCell="1" allowOverlap="1">
          <wp:simplePos x="0" y="0"/>
          <wp:positionH relativeFrom="margin">
            <wp:posOffset>4122225</wp:posOffset>
          </wp:positionH>
          <wp:positionV relativeFrom="paragraph">
            <wp:posOffset>-286385</wp:posOffset>
          </wp:positionV>
          <wp:extent cx="1644955" cy="647114"/>
          <wp:effectExtent l="0" t="0" r="0" b="635"/>
          <wp:wrapNone/>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a:extLst>
                      <a:ext uri="{FF2B5EF4-FFF2-40B4-BE49-F238E27FC236}">
                        <a16:creationId xmlns:a16="http://schemas.microsoft.com/office/drawing/2014/main" id="{3B97149E-8767-434D-B782-29EA61AD66B2}"/>
                      </a:ext>
                    </a:extLst>
                  </pic:cNvPr>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1644955" cy="647114"/>
                  </a:xfrm>
                  <a:prstGeom prst="rect">
                    <a:avLst/>
                  </a:prstGeom>
                  <a:noFill/>
                  <a:ln>
                    <a:noFill/>
                  </a:ln>
                </pic:spPr>
              </pic:pic>
            </a:graphicData>
          </a:graphic>
        </wp:anchor>
      </w:drawing>
    </w:r>
    <w:sdt>
      <w:sdtPr>
        <w:id w:val="1264181848"/>
        <w:docPartObj>
          <w:docPartGallery w:val="Watermarks"/>
          <w:docPartUnique/>
        </w:docPartObj>
      </w:sdtP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3D4C" w:rsidP="00BE48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506FD4"/>
    <w:multiLevelType w:val="hybridMultilevel"/>
    <w:tmpl w:val="AA3C34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6620537"/>
    <w:multiLevelType w:val="hybridMultilevel"/>
    <w:tmpl w:val="92AAFF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83B766D"/>
    <w:multiLevelType w:val="hybridMultilevel"/>
    <w:tmpl w:val="0D84FD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DDA298B"/>
    <w:multiLevelType w:val="hybridMultilevel"/>
    <w:tmpl w:val="E20EF9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F9740FE"/>
    <w:multiLevelType w:val="hybridMultilevel"/>
    <w:tmpl w:val="131C5C2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06772D9"/>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11034EC4"/>
    <w:multiLevelType w:val="hybridMultilevel"/>
    <w:tmpl w:val="F2309E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nsid w:val="13F54997"/>
    <w:multiLevelType w:val="hybridMultilevel"/>
    <w:tmpl w:val="E216ED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5EE0D04"/>
    <w:multiLevelType w:val="hybridMultilevel"/>
    <w:tmpl w:val="2AC05F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C360670"/>
    <w:multiLevelType w:val="hybridMultilevel"/>
    <w:tmpl w:val="571C4D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F000D04"/>
    <w:multiLevelType w:val="hybridMultilevel"/>
    <w:tmpl w:val="E81611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1FEA7C1B"/>
    <w:multiLevelType w:val="hybridMultilevel"/>
    <w:tmpl w:val="975E8292"/>
    <w:lvl w:ilvl="0">
      <w:start w:val="1"/>
      <w:numFmt w:val="bullet"/>
      <w:lvlText w:val=""/>
      <w:lvlJc w:val="left"/>
      <w:pPr>
        <w:ind w:left="720" w:hanging="360"/>
      </w:pPr>
      <w:rPr>
        <w:rFonts w:ascii="Symbol" w:hAnsi="Symbol" w:eastAsiaTheme="minorHAnsi" w:cs="Aria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3330DD8"/>
    <w:multiLevelType w:val="hybridMultilevel"/>
    <w:tmpl w:val="9B6C00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F9B7B48"/>
    <w:multiLevelType w:val="hybridMultilevel"/>
    <w:tmpl w:val="76AC2D6E"/>
    <w:lvl w:ilvl="0">
      <w:start w:val="1"/>
      <w:numFmt w:val="bullet"/>
      <w:lvlText w:val="•"/>
      <w:lvlJc w:val="left"/>
      <w:pPr>
        <w:ind w:left="360" w:hanging="360"/>
      </w:pPr>
      <w:rPr>
        <w:rFonts w:ascii="Arial" w:hAnsi="Aria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4">
    <w:nsid w:val="3A6B57FA"/>
    <w:multiLevelType w:val="hybridMultilevel"/>
    <w:tmpl w:val="AC48D4C6"/>
    <w:lvl w:ilvl="0">
      <w:start w:val="1"/>
      <w:numFmt w:val="bullet"/>
      <w:lvlText w:val=""/>
      <w:lvlJc w:val="left"/>
      <w:pPr>
        <w:ind w:left="770" w:hanging="360"/>
      </w:pPr>
      <w:rPr>
        <w:rFonts w:ascii="Symbol" w:hAnsi="Symbol" w:hint="default"/>
      </w:rPr>
    </w:lvl>
    <w:lvl w:ilvl="1" w:tentative="1">
      <w:start w:val="1"/>
      <w:numFmt w:val="bullet"/>
      <w:lvlText w:val="o"/>
      <w:lvlJc w:val="left"/>
      <w:pPr>
        <w:ind w:left="1490" w:hanging="360"/>
      </w:pPr>
      <w:rPr>
        <w:rFonts w:ascii="Courier New" w:hAnsi="Courier New" w:cs="Courier New" w:hint="default"/>
      </w:rPr>
    </w:lvl>
    <w:lvl w:ilvl="2" w:tentative="1">
      <w:start w:val="1"/>
      <w:numFmt w:val="bullet"/>
      <w:lvlText w:val=""/>
      <w:lvlJc w:val="left"/>
      <w:pPr>
        <w:ind w:left="2210" w:hanging="360"/>
      </w:pPr>
      <w:rPr>
        <w:rFonts w:ascii="Wingdings" w:hAnsi="Wingdings" w:hint="default"/>
      </w:rPr>
    </w:lvl>
    <w:lvl w:ilvl="3" w:tentative="1">
      <w:start w:val="1"/>
      <w:numFmt w:val="bullet"/>
      <w:lvlText w:val=""/>
      <w:lvlJc w:val="left"/>
      <w:pPr>
        <w:ind w:left="2930" w:hanging="360"/>
      </w:pPr>
      <w:rPr>
        <w:rFonts w:ascii="Symbol" w:hAnsi="Symbol" w:hint="default"/>
      </w:rPr>
    </w:lvl>
    <w:lvl w:ilvl="4" w:tentative="1">
      <w:start w:val="1"/>
      <w:numFmt w:val="bullet"/>
      <w:lvlText w:val="o"/>
      <w:lvlJc w:val="left"/>
      <w:pPr>
        <w:ind w:left="3650" w:hanging="360"/>
      </w:pPr>
      <w:rPr>
        <w:rFonts w:ascii="Courier New" w:hAnsi="Courier New" w:cs="Courier New" w:hint="default"/>
      </w:rPr>
    </w:lvl>
    <w:lvl w:ilvl="5" w:tentative="1">
      <w:start w:val="1"/>
      <w:numFmt w:val="bullet"/>
      <w:lvlText w:val=""/>
      <w:lvlJc w:val="left"/>
      <w:pPr>
        <w:ind w:left="4370" w:hanging="360"/>
      </w:pPr>
      <w:rPr>
        <w:rFonts w:ascii="Wingdings" w:hAnsi="Wingdings" w:hint="default"/>
      </w:rPr>
    </w:lvl>
    <w:lvl w:ilvl="6" w:tentative="1">
      <w:start w:val="1"/>
      <w:numFmt w:val="bullet"/>
      <w:lvlText w:val=""/>
      <w:lvlJc w:val="left"/>
      <w:pPr>
        <w:ind w:left="5090" w:hanging="360"/>
      </w:pPr>
      <w:rPr>
        <w:rFonts w:ascii="Symbol" w:hAnsi="Symbol" w:hint="default"/>
      </w:rPr>
    </w:lvl>
    <w:lvl w:ilvl="7" w:tentative="1">
      <w:start w:val="1"/>
      <w:numFmt w:val="bullet"/>
      <w:lvlText w:val="o"/>
      <w:lvlJc w:val="left"/>
      <w:pPr>
        <w:ind w:left="5810" w:hanging="360"/>
      </w:pPr>
      <w:rPr>
        <w:rFonts w:ascii="Courier New" w:hAnsi="Courier New" w:cs="Courier New" w:hint="default"/>
      </w:rPr>
    </w:lvl>
    <w:lvl w:ilvl="8" w:tentative="1">
      <w:start w:val="1"/>
      <w:numFmt w:val="bullet"/>
      <w:lvlText w:val=""/>
      <w:lvlJc w:val="left"/>
      <w:pPr>
        <w:ind w:left="6530" w:hanging="360"/>
      </w:pPr>
      <w:rPr>
        <w:rFonts w:ascii="Wingdings" w:hAnsi="Wingdings" w:hint="default"/>
      </w:rPr>
    </w:lvl>
  </w:abstractNum>
  <w:abstractNum w:abstractNumId="15">
    <w:nsid w:val="3C4F4FE2"/>
    <w:multiLevelType w:val="hybridMultilevel"/>
    <w:tmpl w:val="B2A880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CF241A6"/>
    <w:multiLevelType w:val="hybridMultilevel"/>
    <w:tmpl w:val="995000C4"/>
    <w:lvl w:ilvl="0">
      <w:start w:val="1"/>
      <w:numFmt w:val="bullet"/>
      <w:lvlText w:val="•"/>
      <w:lvlJc w:val="left"/>
      <w:pPr>
        <w:ind w:left="360" w:hanging="360"/>
      </w:pPr>
      <w:rPr>
        <w:rFonts w:ascii="Arial" w:hAnsi="Aria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nsid w:val="3F502D05"/>
    <w:multiLevelType w:val="hybridMultilevel"/>
    <w:tmpl w:val="62A0E8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FE570FD"/>
    <w:multiLevelType w:val="hybridMultilevel"/>
    <w:tmpl w:val="236E9E8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4CD3BAE"/>
    <w:multiLevelType w:val="hybridMultilevel"/>
    <w:tmpl w:val="70DC19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D1570E3"/>
    <w:multiLevelType w:val="hybridMultilevel"/>
    <w:tmpl w:val="0D6AD8F6"/>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ECC1FE4"/>
    <w:multiLevelType w:val="hybridMultilevel"/>
    <w:tmpl w:val="2A6485AA"/>
    <w:lvl w:ilvl="0">
      <w:start w:val="1"/>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5F3160D"/>
    <w:multiLevelType w:val="hybridMultilevel"/>
    <w:tmpl w:val="5936D4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F644800"/>
    <w:multiLevelType w:val="hybridMultilevel"/>
    <w:tmpl w:val="E9B2D2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60107F1A"/>
    <w:multiLevelType w:val="hybridMultilevel"/>
    <w:tmpl w:val="D0CA55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632966FA"/>
    <w:multiLevelType w:val="hybridMultilevel"/>
    <w:tmpl w:val="CF8CE4A4"/>
    <w:lvl w:ilvl="0">
      <w:start w:val="0"/>
      <w:numFmt w:val="bullet"/>
      <w:lvlText w:val="-"/>
      <w:lvlJc w:val="left"/>
      <w:pPr>
        <w:ind w:left="720" w:hanging="360"/>
      </w:pPr>
      <w:rPr>
        <w:rFonts w:ascii="Arial" w:hAnsi="Arial" w:eastAsiaTheme="minorHAnsi" w:cs="Arial" w:hint="default"/>
        <w:sz w:val="16"/>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4130807"/>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nsid w:val="6DC73798"/>
    <w:multiLevelType w:val="hybridMultilevel"/>
    <w:tmpl w:val="3DCE5FE0"/>
    <w:lvl w:ilvl="0">
      <w:start w:val="1"/>
      <w:numFmt w:val="decimal"/>
      <w:lvlText w:val="%1."/>
      <w:lvlJc w:val="left"/>
      <w:pPr>
        <w:ind w:left="1080" w:hanging="360"/>
      </w:pPr>
      <w:rPr>
        <w:rFont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8">
    <w:nsid w:val="737818EB"/>
    <w:multiLevelType w:val="hybridMultilevel"/>
    <w:tmpl w:val="6EF423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76462DD3"/>
    <w:multiLevelType w:val="hybridMultilevel"/>
    <w:tmpl w:val="6944B6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766B4535"/>
    <w:multiLevelType w:val="hybridMultilevel"/>
    <w:tmpl w:val="07BAD7F0"/>
    <w:lvl w:ilvl="0">
      <w:start w:val="0"/>
      <w:numFmt w:val="bullet"/>
      <w:lvlText w:val="•"/>
      <w:lvlJc w:val="left"/>
      <w:pPr>
        <w:ind w:left="1530" w:hanging="810"/>
      </w:pPr>
      <w:rPr>
        <w:rFonts w:ascii="Arial" w:hAnsi="Arial" w:eastAsiaTheme="minorHAnsi"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1">
    <w:nsid w:val="772A54CA"/>
    <w:multiLevelType w:val="hybridMultilevel"/>
    <w:tmpl w:val="00B09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9E80F68"/>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0"/>
  </w:num>
  <w:num w:numId="2">
    <w:abstractNumId w:val="14"/>
  </w:num>
  <w:num w:numId="3">
    <w:abstractNumId w:val="1"/>
  </w:num>
  <w:num w:numId="4">
    <w:abstractNumId w:val="19"/>
  </w:num>
  <w:num w:numId="5">
    <w:abstractNumId w:val="0"/>
  </w:num>
  <w:num w:numId="6">
    <w:abstractNumId w:val="9"/>
  </w:num>
  <w:num w:numId="7">
    <w:abstractNumId w:val="17"/>
  </w:num>
  <w:num w:numId="8">
    <w:abstractNumId w:val="15"/>
  </w:num>
  <w:num w:numId="9">
    <w:abstractNumId w:val="8"/>
  </w:num>
  <w:num w:numId="10">
    <w:abstractNumId w:val="29"/>
  </w:num>
  <w:num w:numId="11">
    <w:abstractNumId w:val="3"/>
  </w:num>
  <w:num w:numId="12">
    <w:abstractNumId w:val="23"/>
  </w:num>
  <w:num w:numId="13">
    <w:abstractNumId w:val="25"/>
  </w:num>
  <w:num w:numId="14">
    <w:abstractNumId w:val="24"/>
  </w:num>
  <w:num w:numId="15">
    <w:abstractNumId w:val="27"/>
  </w:num>
  <w:num w:numId="16">
    <w:abstractNumId w:val="4"/>
  </w:num>
  <w:num w:numId="17">
    <w:abstractNumId w:val="18"/>
  </w:num>
  <w:num w:numId="18">
    <w:abstractNumId w:val="11"/>
  </w:num>
  <w:num w:numId="19">
    <w:abstractNumId w:val="16"/>
  </w:num>
  <w:num w:numId="20">
    <w:abstractNumId w:val="21"/>
  </w:num>
  <w:num w:numId="21">
    <w:abstractNumId w:val="13"/>
  </w:num>
  <w:num w:numId="22">
    <w:abstractNumId w:val="10"/>
  </w:num>
  <w:num w:numId="23">
    <w:abstractNumId w:val="12"/>
  </w:num>
  <w:num w:numId="24">
    <w:abstractNumId w:val="7"/>
  </w:num>
  <w:num w:numId="25">
    <w:abstractNumId w:val="28"/>
  </w:num>
  <w:num w:numId="26">
    <w:abstractNumId w:val="31"/>
  </w:num>
  <w:num w:numId="27">
    <w:abstractNumId w:val="22"/>
  </w:num>
  <w:num w:numId="28">
    <w:abstractNumId w:val="6"/>
  </w:num>
  <w:num w:numId="29">
    <w:abstractNumId w:val="2"/>
  </w:num>
  <w:num w:numId="30">
    <w:abstractNumId w:val="30"/>
  </w:num>
  <w:num w:numId="31">
    <w:abstractNumId w:val="5"/>
  </w:num>
  <w:num w:numId="32">
    <w:abstractNumId w:val="32"/>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bidi="hi-I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4814"/>
    <w:pPr>
      <w:tabs>
        <w:tab w:val="left" w:pos="1329"/>
      </w:tabs>
      <w:spacing w:after="240" w:line="288" w:lineRule="auto"/>
    </w:pPr>
    <w:rPr>
      <w:rFonts w:ascii="Arial" w:hAnsi="Arial" w:cs="Arial"/>
      <w:color w:val="3B3838" w:themeColor="background2" w:themeShade="40"/>
      <w:lang w:eastAsia="en-GB" w:bidi="hi-IN"/>
    </w:rPr>
  </w:style>
  <w:style w:type="paragraph" w:styleId="Heading1">
    <w:name w:val="heading 1"/>
    <w:basedOn w:val="Normal"/>
    <w:next w:val="Normal"/>
    <w:link w:val="Heading1Char"/>
    <w:uiPriority w:val="9"/>
    <w:qFormat/>
    <w:rsid w:val="00D622D3"/>
    <w:pPr>
      <w:keepNext/>
      <w:keepLines/>
      <w:spacing w:before="240" w:after="0"/>
      <w:outlineLvl w:val="0"/>
    </w:pPr>
    <w:rPr>
      <w:rFonts w:eastAsiaTheme="majorEastAsia"/>
      <w:b/>
      <w:bCs/>
      <w:color w:val="0F1C32" w:themeColor="accent1" w:themeShade="40"/>
      <w:sz w:val="32"/>
      <w:szCs w:val="32"/>
    </w:rPr>
  </w:style>
  <w:style w:type="paragraph" w:styleId="Heading2">
    <w:name w:val="heading 2"/>
    <w:basedOn w:val="Normal"/>
    <w:next w:val="Normal"/>
    <w:link w:val="Heading2Char"/>
    <w:uiPriority w:val="9"/>
    <w:unhideWhenUsed/>
    <w:qFormat/>
    <w:rsid w:val="00D622D3"/>
    <w:pPr>
      <w:keepNext/>
      <w:keepLines/>
      <w:spacing w:before="40" w:after="80"/>
      <w:outlineLvl w:val="1"/>
    </w:pPr>
    <w:rPr>
      <w:rFonts w:eastAsiaTheme="majorEastAsia"/>
      <w:b/>
      <w:bCs/>
      <w:color w:val="6BB5B0"/>
      <w:sz w:val="26"/>
      <w:szCs w:val="26"/>
    </w:rPr>
  </w:style>
  <w:style w:type="paragraph" w:styleId="Heading3">
    <w:name w:val="heading 3"/>
    <w:basedOn w:val="Normal"/>
    <w:next w:val="Normal"/>
    <w:link w:val="Heading3Char"/>
    <w:uiPriority w:val="9"/>
    <w:unhideWhenUsed/>
    <w:qFormat/>
    <w:rsid w:val="004A09C9"/>
    <w:pPr>
      <w:keepNext/>
      <w:keepLines/>
      <w:spacing w:before="40" w:after="80"/>
      <w:outlineLvl w:val="2"/>
    </w:pPr>
    <w:rPr>
      <w:rFonts w:eastAsiaTheme="majorEastAsia"/>
      <w:b/>
      <w:bCs/>
      <w:color w:val="auto"/>
    </w:rPr>
  </w:style>
  <w:style w:type="paragraph" w:styleId="Heading4">
    <w:name w:val="heading 4"/>
    <w:basedOn w:val="Normal"/>
    <w:next w:val="Normal"/>
    <w:link w:val="Heading4Char"/>
    <w:uiPriority w:val="9"/>
    <w:unhideWhenUsed/>
    <w:qFormat/>
    <w:rsid w:val="00A022A0"/>
    <w:pPr>
      <w:keepNext/>
      <w:keepLines/>
      <w:spacing w:before="40"/>
      <w:outlineLvl w:val="3"/>
    </w:pPr>
    <w:rPr>
      <w:rFonts w:asciiTheme="majorHAnsi" w:eastAsiaTheme="majorEastAsia" w:hAnsiTheme="majorHAnsi" w:cstheme="majorBidi"/>
      <w:i/>
      <w:iCs/>
      <w:color w:val="0F1C32" w:themeColor="accent1" w:themeShade="4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link w:val="ParaChar"/>
    <w:qFormat/>
    <w:rsid w:val="002D7052"/>
    <w:pPr>
      <w:spacing w:before="240" w:after="0"/>
    </w:pPr>
    <w:rPr>
      <w:rFonts w:ascii="Calibri" w:eastAsia="Calibri" w:hAnsi="Calibri" w:cs="Calibri"/>
    </w:rPr>
  </w:style>
  <w:style w:type="character" w:customStyle="1" w:styleId="ParaChar">
    <w:name w:val="Para Char"/>
    <w:link w:val="Para"/>
    <w:rsid w:val="002D7052"/>
    <w:rPr>
      <w:rFonts w:ascii="Calibri" w:eastAsia="Calibri" w:hAnsi="Calibri" w:cs="Calibri"/>
      <w:lang w:eastAsia="en-GB"/>
    </w:rPr>
  </w:style>
  <w:style w:type="paragraph" w:styleId="ListParagraph">
    <w:name w:val="List Paragraph"/>
    <w:basedOn w:val="Normal"/>
    <w:uiPriority w:val="34"/>
    <w:qFormat/>
    <w:rsid w:val="00864881"/>
    <w:pPr>
      <w:ind w:left="720"/>
      <w:contextualSpacing/>
    </w:pPr>
  </w:style>
  <w:style w:type="character" w:styleId="CommentReference">
    <w:name w:val="annotation reference"/>
    <w:basedOn w:val="DefaultParagraphFont"/>
    <w:uiPriority w:val="99"/>
    <w:semiHidden/>
    <w:unhideWhenUsed/>
    <w:rsid w:val="00882091"/>
    <w:rPr>
      <w:sz w:val="16"/>
      <w:szCs w:val="16"/>
    </w:rPr>
  </w:style>
  <w:style w:type="paragraph" w:styleId="CommentText">
    <w:name w:val="annotation text"/>
    <w:basedOn w:val="Normal"/>
    <w:link w:val="CommentTextChar"/>
    <w:uiPriority w:val="99"/>
    <w:unhideWhenUsed/>
    <w:rsid w:val="00882091"/>
    <w:pPr>
      <w:spacing w:line="240" w:lineRule="auto"/>
    </w:pPr>
    <w:rPr>
      <w:sz w:val="20"/>
      <w:szCs w:val="20"/>
    </w:rPr>
  </w:style>
  <w:style w:type="character" w:customStyle="1" w:styleId="CommentTextChar">
    <w:name w:val="Comment Text Char"/>
    <w:basedOn w:val="DefaultParagraphFont"/>
    <w:link w:val="CommentText"/>
    <w:uiPriority w:val="99"/>
    <w:rsid w:val="00882091"/>
    <w:rPr>
      <w:sz w:val="20"/>
      <w:szCs w:val="20"/>
    </w:rPr>
  </w:style>
  <w:style w:type="paragraph" w:styleId="CommentSubject">
    <w:name w:val="annotation subject"/>
    <w:basedOn w:val="CommentText"/>
    <w:next w:val="CommentText"/>
    <w:link w:val="CommentSubjectChar"/>
    <w:uiPriority w:val="99"/>
    <w:semiHidden/>
    <w:unhideWhenUsed/>
    <w:rsid w:val="00882091"/>
    <w:rPr>
      <w:b/>
      <w:bCs/>
    </w:rPr>
  </w:style>
  <w:style w:type="character" w:customStyle="1" w:styleId="CommentSubjectChar">
    <w:name w:val="Comment Subject Char"/>
    <w:basedOn w:val="CommentTextChar"/>
    <w:link w:val="CommentSubject"/>
    <w:uiPriority w:val="99"/>
    <w:semiHidden/>
    <w:rsid w:val="00882091"/>
    <w:rPr>
      <w:b/>
      <w:bCs/>
      <w:sz w:val="20"/>
      <w:szCs w:val="20"/>
    </w:rPr>
  </w:style>
  <w:style w:type="paragraph" w:styleId="BalloonText">
    <w:name w:val="Balloon Text"/>
    <w:basedOn w:val="Normal"/>
    <w:link w:val="BalloonTextChar"/>
    <w:uiPriority w:val="99"/>
    <w:semiHidden/>
    <w:unhideWhenUsed/>
    <w:rsid w:val="008820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2091"/>
    <w:rPr>
      <w:rFonts w:ascii="Segoe UI" w:hAnsi="Segoe UI" w:cs="Segoe UI"/>
      <w:sz w:val="18"/>
      <w:szCs w:val="18"/>
    </w:rPr>
  </w:style>
  <w:style w:type="character" w:customStyle="1" w:styleId="Heading1Char">
    <w:name w:val="Heading 1 Char"/>
    <w:basedOn w:val="DefaultParagraphFont"/>
    <w:link w:val="Heading1"/>
    <w:uiPriority w:val="9"/>
    <w:rsid w:val="00D622D3"/>
    <w:rPr>
      <w:rFonts w:ascii="Arial" w:hAnsi="Arial" w:eastAsiaTheme="majorEastAsia" w:cs="Arial"/>
      <w:b/>
      <w:bCs/>
      <w:color w:val="0F1C32" w:themeColor="accent1" w:themeShade="40"/>
      <w:sz w:val="32"/>
      <w:szCs w:val="32"/>
    </w:rPr>
  </w:style>
  <w:style w:type="character" w:customStyle="1" w:styleId="Heading2Char">
    <w:name w:val="Heading 2 Char"/>
    <w:basedOn w:val="DefaultParagraphFont"/>
    <w:link w:val="Heading2"/>
    <w:uiPriority w:val="9"/>
    <w:rsid w:val="00D622D3"/>
    <w:rPr>
      <w:rFonts w:ascii="Arial" w:hAnsi="Arial" w:eastAsiaTheme="majorEastAsia" w:cs="Arial"/>
      <w:b/>
      <w:bCs/>
      <w:color w:val="6BB5B0"/>
      <w:sz w:val="26"/>
      <w:szCs w:val="26"/>
    </w:rPr>
  </w:style>
  <w:style w:type="character" w:customStyle="1" w:styleId="Heading3Char">
    <w:name w:val="Heading 3 Char"/>
    <w:basedOn w:val="DefaultParagraphFont"/>
    <w:link w:val="Heading3"/>
    <w:uiPriority w:val="9"/>
    <w:rsid w:val="004A09C9"/>
    <w:rPr>
      <w:rFonts w:ascii="Arial" w:hAnsi="Arial" w:eastAsiaTheme="majorEastAsia" w:cs="Arial"/>
      <w:b/>
      <w:bCs/>
    </w:rPr>
  </w:style>
  <w:style w:type="paragraph" w:styleId="Header">
    <w:name w:val="header"/>
    <w:basedOn w:val="Normal"/>
    <w:link w:val="HeaderChar"/>
    <w:uiPriority w:val="99"/>
    <w:unhideWhenUsed/>
    <w:rsid w:val="00D622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22D3"/>
    <w:rPr>
      <w:rFonts w:ascii="Arial" w:hAnsi="Arial" w:cs="Arial"/>
      <w:color w:val="3B3838" w:themeColor="background2" w:themeShade="40"/>
    </w:rPr>
  </w:style>
  <w:style w:type="paragraph" w:styleId="Footer">
    <w:name w:val="footer"/>
    <w:basedOn w:val="Normal"/>
    <w:link w:val="FooterChar"/>
    <w:uiPriority w:val="99"/>
    <w:unhideWhenUsed/>
    <w:rsid w:val="00D622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22D3"/>
    <w:rPr>
      <w:rFonts w:ascii="Arial" w:hAnsi="Arial" w:cs="Arial"/>
      <w:color w:val="3B3838" w:themeColor="background2" w:themeShade="40"/>
    </w:rPr>
  </w:style>
  <w:style w:type="character" w:customStyle="1" w:styleId="Heading4Char">
    <w:name w:val="Heading 4 Char"/>
    <w:basedOn w:val="DefaultParagraphFont"/>
    <w:link w:val="Heading4"/>
    <w:uiPriority w:val="9"/>
    <w:rsid w:val="00A022A0"/>
    <w:rPr>
      <w:rFonts w:asciiTheme="majorHAnsi" w:eastAsiaTheme="majorEastAsia" w:hAnsiTheme="majorHAnsi" w:cstheme="majorBidi"/>
      <w:i/>
      <w:iCs/>
      <w:color w:val="0F1C32" w:themeColor="accent1" w:themeShade="40"/>
      <w:sz w:val="24"/>
      <w:szCs w:val="24"/>
    </w:rPr>
  </w:style>
  <w:style w:type="character" w:styleId="Hyperlink">
    <w:name w:val="Hyperlink"/>
    <w:basedOn w:val="DefaultParagraphFont"/>
    <w:uiPriority w:val="99"/>
    <w:unhideWhenUsed/>
    <w:rsid w:val="004F4D45"/>
    <w:rPr>
      <w:color w:val="0563C1" w:themeColor="hyperlink"/>
      <w:u w:val="single"/>
    </w:rPr>
  </w:style>
  <w:style w:type="character" w:customStyle="1" w:styleId="UnresolvedMention">
    <w:name w:val="Unresolved Mention"/>
    <w:basedOn w:val="DefaultParagraphFont"/>
    <w:uiPriority w:val="99"/>
    <w:semiHidden/>
    <w:unhideWhenUsed/>
    <w:rsid w:val="004F4D45"/>
    <w:rPr>
      <w:color w:val="605E5C"/>
      <w:shd w:val="clear" w:color="auto" w:fill="E1DFDD"/>
    </w:rPr>
  </w:style>
  <w:style w:type="character" w:styleId="FollowedHyperlink">
    <w:name w:val="FollowedHyperlink"/>
    <w:basedOn w:val="DefaultParagraphFont"/>
    <w:uiPriority w:val="99"/>
    <w:semiHidden/>
    <w:unhideWhenUsed/>
    <w:rsid w:val="004040FC"/>
    <w:rPr>
      <w:color w:val="954F72" w:themeColor="followedHyperlink"/>
      <w:u w:val="single"/>
    </w:rPr>
  </w:style>
  <w:style w:type="paragraph" w:styleId="NormalWeb">
    <w:name w:val="Normal (Web)"/>
    <w:basedOn w:val="Normal"/>
    <w:uiPriority w:val="99"/>
    <w:semiHidden/>
    <w:unhideWhenUsed/>
    <w:rsid w:val="00BE4814"/>
    <w:pPr>
      <w:tabs>
        <w:tab w:val="clear" w:pos="1329"/>
      </w:tabs>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ubtleEmphasis">
    <w:name w:val="Subtle Emphasis"/>
    <w:basedOn w:val="DefaultParagraphFont"/>
    <w:uiPriority w:val="19"/>
    <w:qFormat/>
    <w:rsid w:val="00BE4814"/>
    <w:rPr>
      <w:i/>
      <w:iCs/>
      <w:color w:val="404040" w:themeColor="text1" w:themeTint="BF"/>
    </w:rPr>
  </w:style>
  <w:style w:type="paragraph" w:customStyle="1" w:styleId="xxmsonormal">
    <w:name w:val="x_xmsonormal"/>
    <w:basedOn w:val="Normal"/>
    <w:rsid w:val="00132B70"/>
    <w:pPr>
      <w:tabs>
        <w:tab w:val="clear" w:pos="1329"/>
      </w:tabs>
      <w:spacing w:after="0" w:line="240" w:lineRule="auto"/>
    </w:pPr>
    <w:rPr>
      <w:rFonts w:ascii="Calibri" w:hAnsi="Calibri" w:cs="Calibri"/>
      <w:color w:val="auto"/>
      <w:lang w:bidi="ar-SA"/>
    </w:rPr>
  </w:style>
  <w:style w:type="character" w:customStyle="1" w:styleId="normaltextrun">
    <w:name w:val="normaltextrun"/>
    <w:basedOn w:val="DefaultParagraphFont"/>
    <w:rsid w:val="00DF4A1D"/>
  </w:style>
  <w:style w:type="table" w:styleId="TableGrid">
    <w:name w:val="Table Grid"/>
    <w:basedOn w:val="TableNormal"/>
    <w:uiPriority w:val="59"/>
    <w:rsid w:val="007630C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PlainTable1">
    <w:name w:val="Plain Table 1"/>
    <w:basedOn w:val="TableNormal"/>
    <w:uiPriority w:val="41"/>
    <w:rsid w:val="007630C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08B0FF88A37147AF26E6965A1BC0D2" ma:contentTypeVersion="7" ma:contentTypeDescription="Create a new document." ma:contentTypeScope="" ma:versionID="7ba1162f0dcd991a1a2daaa0f44f0866">
  <xsd:schema xmlns:xsd="http://www.w3.org/2001/XMLSchema" xmlns:xs="http://www.w3.org/2001/XMLSchema" xmlns:p="http://schemas.microsoft.com/office/2006/metadata/properties" xmlns:ns3="78e725dc-3bcb-4b76-9f18-6491738c7af2" xmlns:ns4="9a8236f4-5a18-4362-8280-65c987f8e3a1" targetNamespace="http://schemas.microsoft.com/office/2006/metadata/properties" ma:root="true" ma:fieldsID="0e2018daf5aa1b932fd945123e8052bf" ns3:_="" ns4:_="">
    <xsd:import namespace="78e725dc-3bcb-4b76-9f18-6491738c7af2"/>
    <xsd:import namespace="9a8236f4-5a18-4362-8280-65c987f8e3a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e725dc-3bcb-4b76-9f18-6491738c7af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8236f4-5a18-4362-8280-65c987f8e3a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CB1797-B73F-413F-9799-B2B0D5383B7A}">
  <ds:schemaRefs>
    <ds:schemaRef ds:uri="78e725dc-3bcb-4b76-9f18-6491738c7af2"/>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a8236f4-5a18-4362-8280-65c987f8e3a1"/>
    <ds:schemaRef ds:uri="http://www.w3.org/XML/1998/namespace"/>
    <ds:schemaRef ds:uri="http://purl.org/dc/dcmitype/"/>
  </ds:schemaRefs>
</ds:datastoreItem>
</file>

<file path=customXml/itemProps2.xml><?xml version="1.0" encoding="utf-8"?>
<ds:datastoreItem xmlns:ds="http://schemas.openxmlformats.org/officeDocument/2006/customXml" ds:itemID="{3C781C57-EAB9-4BEB-8A6B-AF9B53426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e725dc-3bcb-4b76-9f18-6491738c7af2"/>
    <ds:schemaRef ds:uri="9a8236f4-5a18-4362-8280-65c987f8e3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DAA1C0-7224-4F6D-9E46-EE1D28ED62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