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3F15ED" w:rsidP="00923223">
      <w:pPr>
        <w:rPr>
          <w:lang w:eastAsia="en-GB"/>
        </w:rPr>
      </w:pPr>
    </w:p>
    <w:p w:rsidR="0014665E" w:rsidP="00923223">
      <w:pPr>
        <w:rPr>
          <w:lang w:eastAsia="en-GB"/>
        </w:rPr>
      </w:pPr>
    </w:p>
    <w:p w:rsidR="003F15ED" w:rsidP="00923223">
      <w:pPr>
        <w:rPr>
          <w:lang w:eastAsia="en-GB"/>
        </w:rPr>
      </w:pPr>
    </w:p>
    <w:p w:rsidR="003F15ED" w:rsidP="00923223">
      <w:pPr>
        <w:rPr>
          <w:lang w:eastAsia="en-GB"/>
        </w:rPr>
      </w:pPr>
    </w:p>
    <w:p w:rsidR="008369A5" w:rsidP="00E77233">
      <w:pPr>
        <w:rPr>
          <w:rStyle w:val="Strong"/>
          <w:b w:val="0"/>
          <w:bCs w:val="0"/>
          <w:color w:val="000000"/>
          <w:shd w:val="clear" w:color="auto" w:fill="FFFFFF"/>
        </w:rPr>
      </w:pPr>
      <w:r>
        <w:rPr>
          <w:rStyle w:val="Strong"/>
          <w:b w:val="0"/>
          <w:bCs w:val="0"/>
          <w:color w:val="000000"/>
          <w:shd w:val="clear" w:color="auto" w:fill="FFFFFF"/>
        </w:rPr>
        <w:t>Darren Jones MP</w:t>
      </w:r>
    </w:p>
    <w:p w:rsidR="008369A5" w:rsidP="004C170A">
      <w:pPr>
        <w:rPr>
          <w:rStyle w:val="Strong"/>
          <w:b w:val="0"/>
          <w:bCs w:val="0"/>
          <w:color w:val="000000"/>
          <w:shd w:val="clear" w:color="auto" w:fill="FFFFFF"/>
        </w:rPr>
      </w:pPr>
      <w:r>
        <w:rPr>
          <w:rStyle w:val="Strong"/>
          <w:b w:val="0"/>
          <w:bCs w:val="0"/>
          <w:color w:val="000000"/>
          <w:shd w:val="clear" w:color="auto" w:fill="FFFFFF"/>
        </w:rPr>
        <w:t xml:space="preserve">Chair, Business, </w:t>
      </w:r>
      <w:r>
        <w:rPr>
          <w:rStyle w:val="Strong"/>
          <w:b w:val="0"/>
          <w:bCs w:val="0"/>
          <w:color w:val="000000"/>
          <w:shd w:val="clear" w:color="auto" w:fill="FFFFFF"/>
        </w:rPr>
        <w:t>Energy</w:t>
      </w:r>
      <w:r>
        <w:rPr>
          <w:rStyle w:val="Strong"/>
          <w:b w:val="0"/>
          <w:bCs w:val="0"/>
          <w:color w:val="000000"/>
          <w:shd w:val="clear" w:color="auto" w:fill="FFFFFF"/>
        </w:rPr>
        <w:t xml:space="preserve"> and Industrial Strategy Committee</w:t>
      </w:r>
    </w:p>
    <w:p w:rsidR="004C170A" w:rsidP="004C170A">
      <w:pPr>
        <w:rPr>
          <w:rStyle w:val="Strong"/>
          <w:b w:val="0"/>
          <w:bCs w:val="0"/>
          <w:color w:val="000000"/>
          <w:shd w:val="clear" w:color="auto" w:fill="FFFFFF"/>
        </w:rPr>
      </w:pPr>
      <w:r>
        <w:rPr>
          <w:rStyle w:val="Strong"/>
          <w:b w:val="0"/>
          <w:bCs w:val="0"/>
          <w:color w:val="000000"/>
          <w:shd w:val="clear" w:color="auto" w:fill="FFFFFF"/>
        </w:rPr>
        <w:t>House of Commons</w:t>
      </w:r>
    </w:p>
    <w:p w:rsidR="004C170A" w:rsidP="004C170A">
      <w:pPr>
        <w:rPr>
          <w:rStyle w:val="Strong"/>
          <w:b w:val="0"/>
          <w:bCs w:val="0"/>
          <w:color w:val="000000"/>
          <w:shd w:val="clear" w:color="auto" w:fill="FFFFFF"/>
        </w:rPr>
      </w:pPr>
      <w:r>
        <w:rPr>
          <w:rStyle w:val="Strong"/>
          <w:b w:val="0"/>
          <w:bCs w:val="0"/>
          <w:color w:val="000000"/>
          <w:shd w:val="clear" w:color="auto" w:fill="FFFFFF"/>
        </w:rPr>
        <w:t>London</w:t>
      </w:r>
    </w:p>
    <w:p w:rsidR="004A5113" w:rsidP="004C170A">
      <w:pPr>
        <w:rPr>
          <w:rFonts w:ascii="Calibri Light" w:hAnsi="Calibri Light" w:cs="Calibri Light"/>
          <w:color w:val="222222"/>
          <w:shd w:val="clear" w:color="auto" w:fill="F2F5F6"/>
        </w:rPr>
      </w:pPr>
      <w:r>
        <w:rPr>
          <w:color w:val="000000"/>
          <w:shd w:val="clear" w:color="auto" w:fill="FFFFFF"/>
        </w:rPr>
        <w:t>SW1</w:t>
      </w:r>
      <w:r w:rsidR="00721362">
        <w:rPr>
          <w:color w:val="000000"/>
          <w:shd w:val="clear" w:color="auto" w:fill="FFFFFF"/>
        </w:rPr>
        <w:t>A 0AA</w:t>
      </w:r>
    </w:p>
    <w:p w:rsidR="008369A5" w:rsidRPr="008369A5" w:rsidP="008369A5">
      <w:pPr>
        <w:rPr>
          <w:color w:val="000000"/>
          <w:shd w:val="clear" w:color="auto" w:fill="FFFFFF"/>
          <w:lang w:val="sv-SE"/>
        </w:rPr>
      </w:pPr>
    </w:p>
    <w:p w:rsidR="002B35F5" w:rsidRPr="008369A5" w:rsidP="00923223">
      <w:pPr>
        <w:rPr>
          <w:lang w:val="sv-SE" w:eastAsia="en-GB"/>
        </w:rPr>
      </w:pPr>
    </w:p>
    <w:p w:rsidR="00721C11" w:rsidRPr="004C170A" w:rsidP="00582492">
      <w:pPr>
        <w:pStyle w:val="Default"/>
        <w:rPr>
          <w:rFonts w:asciiTheme="minorHAnsi" w:hAnsiTheme="minorHAnsi" w:cstheme="minorHAnsi"/>
          <w:b/>
          <w:bCs/>
          <w:i/>
          <w:iCs/>
          <w:sz w:val="19"/>
          <w:szCs w:val="19"/>
        </w:rPr>
      </w:pPr>
      <w:r w:rsidRPr="004C170A">
        <w:rPr>
          <w:rFonts w:asciiTheme="minorHAnsi" w:hAnsiTheme="minorHAnsi" w:cstheme="minorHAnsi"/>
          <w:b/>
          <w:bCs/>
          <w:i/>
          <w:iCs/>
          <w:color w:val="auto"/>
          <w:sz w:val="19"/>
          <w:szCs w:val="19"/>
          <w:lang w:eastAsia="en-GB"/>
        </w:rPr>
        <w:t>By email</w:t>
      </w:r>
      <w:r w:rsidRPr="004C170A" w:rsidR="002B35F5">
        <w:rPr>
          <w:rFonts w:asciiTheme="minorHAnsi" w:hAnsiTheme="minorHAnsi" w:cstheme="minorHAnsi"/>
          <w:b/>
          <w:bCs/>
          <w:i/>
          <w:iCs/>
          <w:color w:val="auto"/>
          <w:sz w:val="19"/>
          <w:szCs w:val="19"/>
          <w:lang w:eastAsia="en-GB"/>
        </w:rPr>
        <w:t xml:space="preserve">: </w:t>
      </w:r>
      <w:r w:rsidRPr="004C170A" w:rsidR="00582492">
        <w:rPr>
          <w:rFonts w:asciiTheme="minorHAnsi" w:hAnsiTheme="minorHAnsi" w:cstheme="minorHAnsi"/>
          <w:b/>
          <w:bCs/>
          <w:i/>
          <w:iCs/>
          <w:sz w:val="19"/>
          <w:szCs w:val="19"/>
        </w:rPr>
        <w:t xml:space="preserve"> beiscom@parliament.uk</w:t>
      </w:r>
    </w:p>
    <w:p w:rsidR="00721C11" w:rsidP="00904409">
      <w:pPr>
        <w:spacing w:line="240" w:lineRule="auto"/>
        <w:rPr>
          <w:b/>
          <w:bCs/>
          <w:i/>
          <w:iCs/>
          <w:lang w:eastAsia="en-GB"/>
        </w:rPr>
      </w:pPr>
    </w:p>
    <w:p w:rsidR="00721C11" w:rsidRPr="003F15ED" w:rsidP="00904409">
      <w:pPr>
        <w:spacing w:line="240" w:lineRule="auto"/>
        <w:rPr>
          <w:sz w:val="12"/>
          <w:szCs w:val="12"/>
          <w:lang w:eastAsia="en-GB"/>
        </w:rPr>
      </w:pPr>
    </w:p>
    <w:p w:rsidR="003F15ED" w:rsidP="003F15ED">
      <w:pPr>
        <w:jc w:val="right"/>
        <w:rPr>
          <w:lang w:eastAsia="en-GB"/>
        </w:rPr>
      </w:pPr>
      <w:r>
        <w:rPr>
          <w:lang w:eastAsia="en-GB"/>
        </w:rPr>
        <w:t>8</w:t>
      </w:r>
      <w:r w:rsidR="006B504E">
        <w:rPr>
          <w:lang w:eastAsia="en-GB"/>
        </w:rPr>
        <w:t xml:space="preserve"> December 2022</w:t>
      </w:r>
    </w:p>
    <w:p w:rsidR="00721C11" w:rsidP="00923223">
      <w:pPr>
        <w:rPr>
          <w:lang w:eastAsia="en-GB"/>
        </w:rPr>
      </w:pPr>
    </w:p>
    <w:p w:rsidR="00BD6239" w:rsidRPr="008452C1" w:rsidP="003E5716">
      <w:pPr>
        <w:rPr>
          <w:rFonts w:cstheme="minorHAnsi"/>
          <w:i/>
          <w:iCs/>
          <w:szCs w:val="19"/>
          <w:lang w:eastAsia="en-GB"/>
        </w:rPr>
      </w:pPr>
      <w:r w:rsidRPr="008452C1">
        <w:rPr>
          <w:rFonts w:cstheme="minorHAnsi"/>
          <w:i/>
          <w:iCs/>
          <w:szCs w:val="19"/>
          <w:lang w:eastAsia="en-GB"/>
        </w:rPr>
        <w:t xml:space="preserve">Dear </w:t>
      </w:r>
      <w:r w:rsidR="00721362">
        <w:rPr>
          <w:rFonts w:cstheme="minorHAnsi"/>
          <w:i/>
          <w:iCs/>
          <w:szCs w:val="19"/>
          <w:lang w:eastAsia="en-GB"/>
        </w:rPr>
        <w:t>Darren</w:t>
      </w:r>
      <w:r w:rsidRPr="008452C1">
        <w:rPr>
          <w:rFonts w:cstheme="minorHAnsi"/>
          <w:i/>
          <w:iCs/>
          <w:szCs w:val="19"/>
          <w:lang w:eastAsia="en-GB"/>
        </w:rPr>
        <w:t>,</w:t>
      </w:r>
    </w:p>
    <w:p w:rsidR="00243BEB" w:rsidP="003E5716">
      <w:pPr>
        <w:rPr>
          <w:rFonts w:cstheme="minorHAnsi"/>
          <w:szCs w:val="19"/>
          <w:lang w:eastAsia="en-GB"/>
        </w:rPr>
      </w:pPr>
    </w:p>
    <w:p w:rsidR="00C2160C" w:rsidRPr="007C0A99" w:rsidP="003E5716">
      <w:pPr>
        <w:rPr>
          <w:rFonts w:cstheme="minorHAnsi"/>
          <w:b/>
          <w:bCs/>
          <w:szCs w:val="19"/>
          <w:lang w:eastAsia="en-GB"/>
        </w:rPr>
      </w:pPr>
      <w:r w:rsidRPr="007C0A99">
        <w:rPr>
          <w:rFonts w:cstheme="minorHAnsi"/>
          <w:b/>
          <w:bCs/>
          <w:szCs w:val="19"/>
          <w:lang w:eastAsia="en-GB"/>
        </w:rPr>
        <w:t>THE DECARBONISATION OF THE POWER SECTOR</w:t>
      </w:r>
      <w:r w:rsidRPr="007C0A99">
        <w:rPr>
          <w:rFonts w:cstheme="minorHAnsi"/>
          <w:b/>
          <w:bCs/>
          <w:szCs w:val="19"/>
          <w:lang w:eastAsia="en-GB"/>
        </w:rPr>
        <w:br/>
      </w:r>
    </w:p>
    <w:p w:rsidR="00C2160C" w:rsidP="003E5716">
      <w:pPr>
        <w:rPr>
          <w:rFonts w:cstheme="minorHAnsi"/>
          <w:szCs w:val="19"/>
          <w:lang w:eastAsia="en-GB"/>
        </w:rPr>
      </w:pPr>
      <w:r>
        <w:rPr>
          <w:rFonts w:cstheme="minorHAnsi"/>
          <w:szCs w:val="19"/>
          <w:lang w:eastAsia="en-GB"/>
        </w:rPr>
        <w:t xml:space="preserve">Thank you for your letter of </w:t>
      </w:r>
      <w:r w:rsidR="007C0A99">
        <w:rPr>
          <w:rFonts w:cstheme="minorHAnsi"/>
          <w:szCs w:val="19"/>
          <w:lang w:eastAsia="en-GB"/>
        </w:rPr>
        <w:t>29 November.</w:t>
      </w:r>
      <w:r w:rsidR="00D05589">
        <w:rPr>
          <w:rFonts w:cstheme="minorHAnsi"/>
          <w:szCs w:val="19"/>
          <w:lang w:eastAsia="en-GB"/>
        </w:rPr>
        <w:t xml:space="preserve"> </w:t>
      </w:r>
      <w:r w:rsidR="00876E02">
        <w:rPr>
          <w:rFonts w:cstheme="minorHAnsi"/>
          <w:szCs w:val="19"/>
          <w:lang w:eastAsia="en-GB"/>
        </w:rPr>
        <w:t xml:space="preserve">Equinor is happy to support your enquiry. </w:t>
      </w:r>
      <w:r w:rsidR="00D05589">
        <w:rPr>
          <w:rFonts w:cstheme="minorHAnsi"/>
          <w:szCs w:val="19"/>
          <w:lang w:eastAsia="en-GB"/>
        </w:rPr>
        <w:t>You and your committee will appreciate that some of the questions you have posed</w:t>
      </w:r>
      <w:r w:rsidR="00C51614">
        <w:rPr>
          <w:rFonts w:cstheme="minorHAnsi"/>
          <w:szCs w:val="19"/>
          <w:lang w:eastAsia="en-GB"/>
        </w:rPr>
        <w:t xml:space="preserve"> are ones we will not be able to answer, due to rules of commercial confidence</w:t>
      </w:r>
      <w:r w:rsidR="00876E02">
        <w:rPr>
          <w:rFonts w:cstheme="minorHAnsi"/>
          <w:szCs w:val="19"/>
          <w:lang w:eastAsia="en-GB"/>
        </w:rPr>
        <w:t xml:space="preserve">. </w:t>
      </w:r>
      <w:r w:rsidR="005B2E10">
        <w:rPr>
          <w:rFonts w:cstheme="minorHAnsi"/>
          <w:szCs w:val="19"/>
          <w:lang w:eastAsia="en-GB"/>
        </w:rPr>
        <w:t>We</w:t>
      </w:r>
      <w:r w:rsidR="00426986">
        <w:rPr>
          <w:rFonts w:cstheme="minorHAnsi"/>
          <w:szCs w:val="19"/>
          <w:lang w:eastAsia="en-GB"/>
        </w:rPr>
        <w:t xml:space="preserve"> have done our best to answer what we can</w:t>
      </w:r>
      <w:r w:rsidR="00D41DED">
        <w:rPr>
          <w:rFonts w:cstheme="minorHAnsi"/>
          <w:szCs w:val="19"/>
          <w:lang w:eastAsia="en-GB"/>
        </w:rPr>
        <w:t>.</w:t>
      </w:r>
    </w:p>
    <w:p w:rsidR="00876E02" w:rsidP="003E5716">
      <w:pPr>
        <w:rPr>
          <w:rFonts w:cstheme="minorHAnsi"/>
          <w:szCs w:val="19"/>
          <w:lang w:eastAsia="en-GB"/>
        </w:rPr>
      </w:pPr>
    </w:p>
    <w:p w:rsidR="00876E02" w:rsidP="003E5716">
      <w:pPr>
        <w:rPr>
          <w:rFonts w:cstheme="minorHAnsi"/>
          <w:b/>
          <w:bCs/>
          <w:szCs w:val="19"/>
          <w:lang w:eastAsia="en-GB"/>
        </w:rPr>
      </w:pPr>
      <w:r w:rsidRPr="00920565">
        <w:rPr>
          <w:rFonts w:cstheme="minorHAnsi"/>
          <w:b/>
          <w:bCs/>
          <w:szCs w:val="19"/>
          <w:lang w:eastAsia="en-GB"/>
        </w:rPr>
        <w:t>Tax payment</w:t>
      </w:r>
      <w:r w:rsidR="008B1AA0">
        <w:rPr>
          <w:rFonts w:cstheme="minorHAnsi"/>
          <w:b/>
          <w:bCs/>
          <w:szCs w:val="19"/>
          <w:lang w:eastAsia="en-GB"/>
        </w:rPr>
        <w:t>s</w:t>
      </w:r>
    </w:p>
    <w:p w:rsidR="008B1AA0" w:rsidP="003E5716">
      <w:pPr>
        <w:rPr>
          <w:rFonts w:cstheme="minorHAnsi"/>
          <w:szCs w:val="19"/>
          <w:lang w:eastAsia="en-GB"/>
        </w:rPr>
      </w:pPr>
    </w:p>
    <w:p w:rsidR="00876E02" w:rsidP="003E5716">
      <w:pPr>
        <w:rPr>
          <w:rFonts w:cstheme="minorHAnsi"/>
          <w:szCs w:val="19"/>
          <w:lang w:eastAsia="en-GB"/>
        </w:rPr>
      </w:pPr>
      <w:r>
        <w:rPr>
          <w:rFonts w:cstheme="minorHAnsi"/>
          <w:szCs w:val="19"/>
          <w:lang w:eastAsia="en-GB"/>
        </w:rPr>
        <w:t>Equinor is the second highest tax paying company in the world, and in 2021 paid a</w:t>
      </w:r>
      <w:r w:rsidR="008C22A7">
        <w:rPr>
          <w:rFonts w:cstheme="minorHAnsi"/>
          <w:szCs w:val="19"/>
          <w:lang w:eastAsia="en-GB"/>
        </w:rPr>
        <w:t xml:space="preserve"> global</w:t>
      </w:r>
      <w:r>
        <w:rPr>
          <w:rFonts w:cstheme="minorHAnsi"/>
          <w:szCs w:val="19"/>
          <w:lang w:eastAsia="en-GB"/>
        </w:rPr>
        <w:t xml:space="preserve"> total of $</w:t>
      </w:r>
      <w:r w:rsidR="00F571C0">
        <w:rPr>
          <w:rFonts w:cstheme="minorHAnsi"/>
          <w:szCs w:val="19"/>
          <w:lang w:eastAsia="en-GB"/>
        </w:rPr>
        <w:t>8.9</w:t>
      </w:r>
      <w:r>
        <w:rPr>
          <w:rFonts w:cstheme="minorHAnsi"/>
          <w:szCs w:val="19"/>
          <w:lang w:eastAsia="en-GB"/>
        </w:rPr>
        <w:t xml:space="preserve">bn in </w:t>
      </w:r>
      <w:r w:rsidR="00621962">
        <w:rPr>
          <w:rFonts w:cstheme="minorHAnsi"/>
          <w:szCs w:val="19"/>
          <w:lang w:eastAsia="en-GB"/>
        </w:rPr>
        <w:t xml:space="preserve">corporate </w:t>
      </w:r>
      <w:r w:rsidR="00383500">
        <w:rPr>
          <w:rFonts w:cstheme="minorHAnsi"/>
          <w:szCs w:val="19"/>
          <w:lang w:eastAsia="en-GB"/>
        </w:rPr>
        <w:t xml:space="preserve">income </w:t>
      </w:r>
      <w:r>
        <w:rPr>
          <w:rFonts w:cstheme="minorHAnsi"/>
          <w:szCs w:val="19"/>
          <w:lang w:eastAsia="en-GB"/>
        </w:rPr>
        <w:t>tax</w:t>
      </w:r>
      <w:r w:rsidR="00383500">
        <w:rPr>
          <w:rFonts w:cstheme="minorHAnsi"/>
          <w:szCs w:val="19"/>
          <w:lang w:eastAsia="en-GB"/>
        </w:rPr>
        <w:t>es</w:t>
      </w:r>
      <w:r w:rsidR="00F571C0">
        <w:rPr>
          <w:rFonts w:cstheme="minorHAnsi"/>
          <w:szCs w:val="19"/>
          <w:lang w:eastAsia="en-GB"/>
        </w:rPr>
        <w:t xml:space="preserve"> and</w:t>
      </w:r>
      <w:r w:rsidR="008B1AA0">
        <w:rPr>
          <w:rFonts w:cstheme="minorHAnsi"/>
          <w:szCs w:val="19"/>
          <w:lang w:eastAsia="en-GB"/>
        </w:rPr>
        <w:t xml:space="preserve"> $</w:t>
      </w:r>
      <w:r w:rsidRPr="007140E0" w:rsidR="007140E0">
        <w:rPr>
          <w:rFonts w:cstheme="minorHAnsi"/>
          <w:szCs w:val="19"/>
          <w:lang w:eastAsia="en-GB"/>
        </w:rPr>
        <w:t>2.9bn in royalty payments and fees to local and national governments including host entitlement</w:t>
      </w:r>
      <w:r w:rsidR="005B2E10">
        <w:rPr>
          <w:rFonts w:cstheme="minorHAnsi"/>
          <w:szCs w:val="19"/>
          <w:lang w:eastAsia="en-GB"/>
        </w:rPr>
        <w:t xml:space="preserve">. </w:t>
      </w:r>
      <w:r>
        <w:rPr>
          <w:rFonts w:cstheme="minorHAnsi"/>
          <w:szCs w:val="19"/>
          <w:lang w:eastAsia="en-GB"/>
        </w:rPr>
        <w:t>In the UK, as in other juri</w:t>
      </w:r>
      <w:r w:rsidR="008510CC">
        <w:rPr>
          <w:rFonts w:cstheme="minorHAnsi"/>
          <w:szCs w:val="19"/>
          <w:lang w:eastAsia="en-GB"/>
        </w:rPr>
        <w:t>s</w:t>
      </w:r>
      <w:r>
        <w:rPr>
          <w:rFonts w:cstheme="minorHAnsi"/>
          <w:szCs w:val="19"/>
          <w:lang w:eastAsia="en-GB"/>
        </w:rPr>
        <w:t xml:space="preserve">dictions where we operate, we pay tax </w:t>
      </w:r>
      <w:r w:rsidR="00294B35">
        <w:rPr>
          <w:rFonts w:cstheme="minorHAnsi"/>
          <w:szCs w:val="19"/>
          <w:lang w:eastAsia="en-GB"/>
        </w:rPr>
        <w:t xml:space="preserve">on our net profits </w:t>
      </w:r>
      <w:r>
        <w:rPr>
          <w:rFonts w:cstheme="minorHAnsi"/>
          <w:szCs w:val="19"/>
          <w:lang w:eastAsia="en-GB"/>
        </w:rPr>
        <w:t>according to the local tax rules</w:t>
      </w:r>
      <w:r w:rsidR="00BA2360">
        <w:rPr>
          <w:rFonts w:cstheme="minorHAnsi"/>
          <w:szCs w:val="19"/>
          <w:lang w:eastAsia="en-GB"/>
        </w:rPr>
        <w:t xml:space="preserve"> </w:t>
      </w:r>
      <w:r w:rsidR="002F3D69">
        <w:rPr>
          <w:rFonts w:cstheme="minorHAnsi"/>
          <w:szCs w:val="19"/>
          <w:lang w:eastAsia="en-GB"/>
        </w:rPr>
        <w:t>as a company</w:t>
      </w:r>
      <w:r w:rsidR="00294B35">
        <w:rPr>
          <w:rFonts w:cstheme="minorHAnsi"/>
          <w:szCs w:val="19"/>
          <w:lang w:eastAsia="en-GB"/>
        </w:rPr>
        <w:t xml:space="preserve"> (</w:t>
      </w:r>
      <w:r w:rsidR="00294B35">
        <w:rPr>
          <w:rFonts w:cstheme="minorHAnsi"/>
          <w:szCs w:val="19"/>
          <w:lang w:eastAsia="en-GB"/>
        </w:rPr>
        <w:t>i.e.</w:t>
      </w:r>
      <w:r w:rsidR="00294B35">
        <w:rPr>
          <w:rFonts w:cstheme="minorHAnsi"/>
          <w:szCs w:val="19"/>
          <w:lang w:eastAsia="en-GB"/>
        </w:rPr>
        <w:t xml:space="preserve"> tax is not paid on a project</w:t>
      </w:r>
      <w:r w:rsidR="00390392">
        <w:rPr>
          <w:rFonts w:cstheme="minorHAnsi"/>
          <w:szCs w:val="19"/>
          <w:lang w:eastAsia="en-GB"/>
        </w:rPr>
        <w:t xml:space="preserve"> or join</w:t>
      </w:r>
      <w:r w:rsidR="00254088">
        <w:rPr>
          <w:rFonts w:cstheme="minorHAnsi"/>
          <w:szCs w:val="19"/>
          <w:lang w:eastAsia="en-GB"/>
        </w:rPr>
        <w:t>t</w:t>
      </w:r>
      <w:r w:rsidR="00390392">
        <w:rPr>
          <w:rFonts w:cstheme="minorHAnsi"/>
          <w:szCs w:val="19"/>
          <w:lang w:eastAsia="en-GB"/>
        </w:rPr>
        <w:t xml:space="preserve"> venture </w:t>
      </w:r>
      <w:r w:rsidR="00294B35">
        <w:rPr>
          <w:rFonts w:cstheme="minorHAnsi"/>
          <w:szCs w:val="19"/>
          <w:lang w:eastAsia="en-GB"/>
        </w:rPr>
        <w:t>basis)</w:t>
      </w:r>
      <w:r w:rsidR="008510CC">
        <w:rPr>
          <w:rFonts w:cstheme="minorHAnsi"/>
          <w:szCs w:val="19"/>
          <w:lang w:eastAsia="en-GB"/>
        </w:rPr>
        <w:t xml:space="preserve">. </w:t>
      </w:r>
      <w:r w:rsidR="0031059E">
        <w:rPr>
          <w:rFonts w:cstheme="minorHAnsi"/>
          <w:szCs w:val="19"/>
          <w:lang w:eastAsia="en-GB"/>
        </w:rPr>
        <w:t>In the UK we have invested heavily</w:t>
      </w:r>
      <w:r w:rsidR="00E8319D">
        <w:rPr>
          <w:rFonts w:cstheme="minorHAnsi"/>
          <w:szCs w:val="19"/>
          <w:lang w:eastAsia="en-GB"/>
        </w:rPr>
        <w:t xml:space="preserve"> in </w:t>
      </w:r>
      <w:r w:rsidR="00D7502F">
        <w:rPr>
          <w:rFonts w:cstheme="minorHAnsi"/>
          <w:szCs w:val="19"/>
          <w:lang w:eastAsia="en-GB"/>
        </w:rPr>
        <w:t>energy projects</w:t>
      </w:r>
      <w:r w:rsidR="00E16313">
        <w:rPr>
          <w:rFonts w:cstheme="minorHAnsi"/>
          <w:szCs w:val="19"/>
          <w:lang w:eastAsia="en-GB"/>
        </w:rPr>
        <w:t xml:space="preserve"> in recent years</w:t>
      </w:r>
      <w:r w:rsidR="005B2E10">
        <w:rPr>
          <w:rFonts w:cstheme="minorHAnsi"/>
          <w:szCs w:val="19"/>
          <w:lang w:eastAsia="en-GB"/>
        </w:rPr>
        <w:t>,</w:t>
      </w:r>
      <w:r w:rsidR="00D7502F">
        <w:rPr>
          <w:rFonts w:cstheme="minorHAnsi"/>
          <w:szCs w:val="19"/>
          <w:lang w:eastAsia="en-GB"/>
        </w:rPr>
        <w:t xml:space="preserve"> from the </w:t>
      </w:r>
      <w:r w:rsidR="00D10576">
        <w:rPr>
          <w:rFonts w:cstheme="minorHAnsi"/>
          <w:szCs w:val="19"/>
          <w:lang w:eastAsia="en-GB"/>
        </w:rPr>
        <w:t xml:space="preserve">Mariner oil field with a gross investment of $7.7bn that came </w:t>
      </w:r>
      <w:r w:rsidR="008866D7">
        <w:rPr>
          <w:rFonts w:cstheme="minorHAnsi"/>
          <w:szCs w:val="19"/>
          <w:lang w:eastAsia="en-GB"/>
        </w:rPr>
        <w:t>onstream</w:t>
      </w:r>
      <w:r w:rsidR="00D10576">
        <w:rPr>
          <w:rFonts w:cstheme="minorHAnsi"/>
          <w:szCs w:val="19"/>
          <w:lang w:eastAsia="en-GB"/>
        </w:rPr>
        <w:t xml:space="preserve"> in 2019</w:t>
      </w:r>
      <w:r w:rsidR="00390392">
        <w:rPr>
          <w:rFonts w:cstheme="minorHAnsi"/>
          <w:szCs w:val="19"/>
          <w:lang w:eastAsia="en-GB"/>
        </w:rPr>
        <w:t>,</w:t>
      </w:r>
      <w:r w:rsidR="00D10576">
        <w:rPr>
          <w:rFonts w:cstheme="minorHAnsi"/>
          <w:szCs w:val="19"/>
          <w:lang w:eastAsia="en-GB"/>
        </w:rPr>
        <w:t xml:space="preserve"> to offshore wind investments</w:t>
      </w:r>
      <w:r w:rsidR="006F0B13">
        <w:rPr>
          <w:rFonts w:cstheme="minorHAnsi"/>
          <w:szCs w:val="19"/>
          <w:lang w:eastAsia="en-GB"/>
        </w:rPr>
        <w:t xml:space="preserve"> </w:t>
      </w:r>
      <w:r w:rsidR="00B4682F">
        <w:rPr>
          <w:rFonts w:cstheme="minorHAnsi"/>
          <w:szCs w:val="19"/>
          <w:lang w:eastAsia="en-GB"/>
        </w:rPr>
        <w:t>such as</w:t>
      </w:r>
      <w:r w:rsidR="006F0B13">
        <w:rPr>
          <w:rFonts w:cstheme="minorHAnsi"/>
          <w:szCs w:val="19"/>
          <w:lang w:eastAsia="en-GB"/>
        </w:rPr>
        <w:t xml:space="preserve"> Dogger Bank, the world’s largest offshore wind farm</w:t>
      </w:r>
      <w:r w:rsidR="00390392">
        <w:rPr>
          <w:rFonts w:cstheme="minorHAnsi"/>
          <w:szCs w:val="19"/>
          <w:lang w:eastAsia="en-GB"/>
        </w:rPr>
        <w:t>, which will come on</w:t>
      </w:r>
      <w:r w:rsidR="000D5CC8">
        <w:rPr>
          <w:rFonts w:cstheme="minorHAnsi"/>
          <w:szCs w:val="19"/>
          <w:lang w:eastAsia="en-GB"/>
        </w:rPr>
        <w:t>-</w:t>
      </w:r>
      <w:r w:rsidR="00390392">
        <w:rPr>
          <w:rFonts w:cstheme="minorHAnsi"/>
          <w:szCs w:val="19"/>
          <w:lang w:eastAsia="en-GB"/>
        </w:rPr>
        <w:t>line in 2023</w:t>
      </w:r>
      <w:r w:rsidR="00D10576">
        <w:rPr>
          <w:rFonts w:cstheme="minorHAnsi"/>
          <w:szCs w:val="19"/>
          <w:lang w:eastAsia="en-GB"/>
        </w:rPr>
        <w:t>. These investments are</w:t>
      </w:r>
      <w:r w:rsidR="00AF0A20">
        <w:rPr>
          <w:rFonts w:cstheme="minorHAnsi"/>
          <w:szCs w:val="19"/>
          <w:lang w:eastAsia="en-GB"/>
        </w:rPr>
        <w:t xml:space="preserve"> </w:t>
      </w:r>
      <w:r w:rsidR="006A3F48">
        <w:rPr>
          <w:rFonts w:cstheme="minorHAnsi"/>
          <w:szCs w:val="19"/>
          <w:lang w:eastAsia="en-GB"/>
        </w:rPr>
        <w:t>deducted against tax</w:t>
      </w:r>
      <w:r w:rsidR="00465E87">
        <w:rPr>
          <w:rFonts w:cstheme="minorHAnsi"/>
          <w:szCs w:val="19"/>
          <w:lang w:eastAsia="en-GB"/>
        </w:rPr>
        <w:t>,</w:t>
      </w:r>
      <w:r w:rsidR="004A6C94">
        <w:rPr>
          <w:rFonts w:cstheme="minorHAnsi"/>
          <w:szCs w:val="19"/>
          <w:lang w:eastAsia="en-GB"/>
        </w:rPr>
        <w:t xml:space="preserve"> </w:t>
      </w:r>
      <w:r w:rsidR="00AF0A20">
        <w:rPr>
          <w:rFonts w:cstheme="minorHAnsi"/>
          <w:szCs w:val="19"/>
          <w:lang w:eastAsia="en-GB"/>
        </w:rPr>
        <w:t xml:space="preserve">and </w:t>
      </w:r>
      <w:r w:rsidR="004A6C94">
        <w:rPr>
          <w:rFonts w:cstheme="minorHAnsi"/>
          <w:szCs w:val="19"/>
          <w:lang w:eastAsia="en-GB"/>
        </w:rPr>
        <w:t>our tax payments</w:t>
      </w:r>
      <w:r w:rsidR="003414B8">
        <w:rPr>
          <w:rFonts w:cstheme="minorHAnsi"/>
          <w:szCs w:val="19"/>
          <w:lang w:eastAsia="en-GB"/>
        </w:rPr>
        <w:t xml:space="preserve"> in the UK</w:t>
      </w:r>
      <w:r w:rsidR="004A6C94">
        <w:rPr>
          <w:rFonts w:cstheme="minorHAnsi"/>
          <w:szCs w:val="19"/>
          <w:lang w:eastAsia="en-GB"/>
        </w:rPr>
        <w:t xml:space="preserve"> </w:t>
      </w:r>
      <w:r w:rsidR="00465E87">
        <w:rPr>
          <w:rFonts w:cstheme="minorHAnsi"/>
          <w:szCs w:val="19"/>
          <w:lang w:eastAsia="en-GB"/>
        </w:rPr>
        <w:t>are</w:t>
      </w:r>
      <w:r w:rsidR="004A6C94">
        <w:rPr>
          <w:rFonts w:cstheme="minorHAnsi"/>
          <w:szCs w:val="19"/>
          <w:lang w:eastAsia="en-GB"/>
        </w:rPr>
        <w:t xml:space="preserve"> affected accordingly. </w:t>
      </w:r>
      <w:r w:rsidR="00746821">
        <w:rPr>
          <w:rFonts w:cstheme="minorHAnsi"/>
          <w:szCs w:val="19"/>
          <w:lang w:eastAsia="en-GB"/>
        </w:rPr>
        <w:t>Our 2022 Tax report is available</w:t>
      </w:r>
      <w:r w:rsidR="00210B54">
        <w:rPr>
          <w:rFonts w:cstheme="minorHAnsi"/>
          <w:szCs w:val="19"/>
          <w:lang w:eastAsia="en-GB"/>
        </w:rPr>
        <w:t xml:space="preserve"> here</w:t>
      </w:r>
      <w:r w:rsidR="00746821">
        <w:rPr>
          <w:rFonts w:cstheme="minorHAnsi"/>
          <w:szCs w:val="19"/>
          <w:lang w:eastAsia="en-GB"/>
        </w:rPr>
        <w:t xml:space="preserve"> </w:t>
      </w:r>
      <w:r w:rsidR="00210B54">
        <w:rPr>
          <w:rFonts w:cstheme="minorHAnsi"/>
          <w:szCs w:val="19"/>
          <w:lang w:eastAsia="en-GB"/>
        </w:rPr>
        <w:t>(</w:t>
      </w:r>
      <w:r>
        <w:fldChar w:fldCharType="begin"/>
      </w:r>
      <w:r>
        <w:instrText xml:space="preserve"> HYPERLINK "https://cdn.sanity.io/files/h61q9gi9/global/dc3e3c65a248d4bb5e69de02fd4716f04f4dffe0.pdf?equinor-tax-contribution-report-october-2022.pdf" </w:instrText>
      </w:r>
      <w:r>
        <w:fldChar w:fldCharType="separate"/>
      </w:r>
      <w:r w:rsidR="00210B54">
        <w:rPr>
          <w:rStyle w:val="Hyperlink"/>
          <w:rFonts w:cstheme="minorHAnsi"/>
          <w:szCs w:val="19"/>
          <w:lang w:eastAsia="en-GB"/>
        </w:rPr>
        <w:t>link)</w:t>
      </w:r>
      <w:r>
        <w:fldChar w:fldCharType="end"/>
      </w:r>
      <w:r w:rsidR="00294B35">
        <w:rPr>
          <w:rFonts w:cstheme="minorHAnsi"/>
          <w:szCs w:val="19"/>
          <w:lang w:eastAsia="en-GB"/>
        </w:rPr>
        <w:t>.</w:t>
      </w:r>
      <w:r w:rsidR="004A6C94">
        <w:rPr>
          <w:rFonts w:cstheme="minorHAnsi"/>
          <w:szCs w:val="19"/>
          <w:lang w:eastAsia="en-GB"/>
        </w:rPr>
        <w:t xml:space="preserve"> </w:t>
      </w:r>
      <w:r w:rsidR="00C63F06">
        <w:rPr>
          <w:rFonts w:cstheme="minorHAnsi"/>
          <w:szCs w:val="19"/>
          <w:lang w:eastAsia="en-GB"/>
        </w:rPr>
        <w:t>As the BEIS committee is fully aware, projects in the energy sector often take</w:t>
      </w:r>
      <w:r w:rsidR="004C61A4">
        <w:rPr>
          <w:rFonts w:cstheme="minorHAnsi"/>
          <w:szCs w:val="19"/>
          <w:lang w:eastAsia="en-GB"/>
        </w:rPr>
        <w:t xml:space="preserve"> </w:t>
      </w:r>
      <w:r w:rsidR="00C63F06">
        <w:rPr>
          <w:rFonts w:cstheme="minorHAnsi"/>
          <w:szCs w:val="19"/>
          <w:lang w:eastAsia="en-GB"/>
        </w:rPr>
        <w:t>many years to</w:t>
      </w:r>
      <w:r w:rsidR="00E06F81">
        <w:rPr>
          <w:rFonts w:cstheme="minorHAnsi"/>
          <w:szCs w:val="19"/>
          <w:lang w:eastAsia="en-GB"/>
        </w:rPr>
        <w:t xml:space="preserve"> plan and to</w:t>
      </w:r>
      <w:r w:rsidR="00C63F06">
        <w:rPr>
          <w:rFonts w:cstheme="minorHAnsi"/>
          <w:szCs w:val="19"/>
          <w:lang w:eastAsia="en-GB"/>
        </w:rPr>
        <w:t xml:space="preserve"> build, and then operate for decades, so a </w:t>
      </w:r>
      <w:r w:rsidR="007A231B">
        <w:rPr>
          <w:rFonts w:cstheme="minorHAnsi"/>
          <w:szCs w:val="19"/>
          <w:lang w:eastAsia="en-GB"/>
        </w:rPr>
        <w:t>single-</w:t>
      </w:r>
      <w:r w:rsidR="00C63F06">
        <w:rPr>
          <w:rFonts w:cstheme="minorHAnsi"/>
          <w:szCs w:val="19"/>
          <w:lang w:eastAsia="en-GB"/>
        </w:rPr>
        <w:t xml:space="preserve">year snapshot of </w:t>
      </w:r>
      <w:r w:rsidR="001C13FB">
        <w:rPr>
          <w:rFonts w:cstheme="minorHAnsi"/>
          <w:szCs w:val="19"/>
          <w:lang w:eastAsia="en-GB"/>
        </w:rPr>
        <w:t xml:space="preserve">tax payments </w:t>
      </w:r>
      <w:r w:rsidR="00B057F9">
        <w:rPr>
          <w:rFonts w:cstheme="minorHAnsi"/>
          <w:szCs w:val="19"/>
          <w:lang w:eastAsia="en-GB"/>
        </w:rPr>
        <w:t>does</w:t>
      </w:r>
      <w:r w:rsidR="001C13FB">
        <w:rPr>
          <w:rFonts w:cstheme="minorHAnsi"/>
          <w:szCs w:val="19"/>
          <w:lang w:eastAsia="en-GB"/>
        </w:rPr>
        <w:t xml:space="preserve"> not give an accurate picture </w:t>
      </w:r>
      <w:r w:rsidR="00294B35">
        <w:rPr>
          <w:rFonts w:cstheme="minorHAnsi"/>
          <w:szCs w:val="19"/>
          <w:lang w:eastAsia="en-GB"/>
        </w:rPr>
        <w:t>of</w:t>
      </w:r>
      <w:r w:rsidR="00115BF5">
        <w:rPr>
          <w:rFonts w:cstheme="minorHAnsi"/>
          <w:szCs w:val="19"/>
          <w:lang w:eastAsia="en-GB"/>
        </w:rPr>
        <w:t xml:space="preserve"> either taxes paid, or</w:t>
      </w:r>
      <w:r w:rsidR="00294B35">
        <w:rPr>
          <w:rFonts w:cstheme="minorHAnsi"/>
          <w:szCs w:val="19"/>
          <w:lang w:eastAsia="en-GB"/>
        </w:rPr>
        <w:t xml:space="preserve"> the benefits project</w:t>
      </w:r>
      <w:r w:rsidR="00817C50">
        <w:rPr>
          <w:rFonts w:cstheme="minorHAnsi"/>
          <w:szCs w:val="19"/>
          <w:lang w:eastAsia="en-GB"/>
        </w:rPr>
        <w:t>s</w:t>
      </w:r>
      <w:r w:rsidR="00294B35">
        <w:rPr>
          <w:rFonts w:cstheme="minorHAnsi"/>
          <w:szCs w:val="19"/>
          <w:lang w:eastAsia="en-GB"/>
        </w:rPr>
        <w:t xml:space="preserve"> bring to the economy</w:t>
      </w:r>
      <w:r w:rsidR="001C13FB">
        <w:rPr>
          <w:rFonts w:cstheme="minorHAnsi"/>
          <w:szCs w:val="19"/>
          <w:lang w:eastAsia="en-GB"/>
        </w:rPr>
        <w:t>.</w:t>
      </w:r>
      <w:r w:rsidR="00D85B69">
        <w:rPr>
          <w:rFonts w:cstheme="minorHAnsi"/>
          <w:szCs w:val="19"/>
          <w:lang w:eastAsia="en-GB"/>
        </w:rPr>
        <w:t xml:space="preserve"> </w:t>
      </w:r>
      <w:r w:rsidR="00B44264">
        <w:rPr>
          <w:rFonts w:cstheme="minorHAnsi"/>
          <w:szCs w:val="19"/>
          <w:lang w:eastAsia="en-GB"/>
        </w:rPr>
        <w:t>According to our internal assessments</w:t>
      </w:r>
      <w:r w:rsidR="00286D76">
        <w:rPr>
          <w:rFonts w:cstheme="minorHAnsi"/>
          <w:szCs w:val="19"/>
          <w:lang w:eastAsia="en-GB"/>
        </w:rPr>
        <w:t>, w</w:t>
      </w:r>
      <w:r w:rsidRPr="00B44264" w:rsidR="00B44264">
        <w:rPr>
          <w:rFonts w:cstheme="minorHAnsi"/>
          <w:szCs w:val="19"/>
          <w:lang w:eastAsia="en-GB"/>
        </w:rPr>
        <w:t xml:space="preserve">e </w:t>
      </w:r>
      <w:r w:rsidR="00286D76">
        <w:rPr>
          <w:rFonts w:cstheme="minorHAnsi"/>
          <w:szCs w:val="19"/>
          <w:lang w:eastAsia="en-GB"/>
        </w:rPr>
        <w:t xml:space="preserve">expect to be paying tax resulting from the energy </w:t>
      </w:r>
      <w:r w:rsidRPr="00B44264" w:rsidR="00B44264">
        <w:rPr>
          <w:rFonts w:cstheme="minorHAnsi"/>
          <w:szCs w:val="19"/>
          <w:lang w:eastAsia="en-GB"/>
        </w:rPr>
        <w:t xml:space="preserve">profits levy as </w:t>
      </w:r>
      <w:r w:rsidR="00F47A0F">
        <w:rPr>
          <w:rFonts w:cstheme="minorHAnsi"/>
          <w:szCs w:val="19"/>
          <w:lang w:eastAsia="en-GB"/>
        </w:rPr>
        <w:t xml:space="preserve">introduced by </w:t>
      </w:r>
      <w:r w:rsidRPr="00B44264" w:rsidR="00B44264">
        <w:rPr>
          <w:rFonts w:cstheme="minorHAnsi"/>
          <w:szCs w:val="19"/>
          <w:lang w:eastAsia="en-GB"/>
        </w:rPr>
        <w:t>the UK government in</w:t>
      </w:r>
      <w:r w:rsidR="00F47A0F">
        <w:rPr>
          <w:rFonts w:cstheme="minorHAnsi"/>
          <w:szCs w:val="19"/>
          <w:lang w:eastAsia="en-GB"/>
        </w:rPr>
        <w:t xml:space="preserve"> May and then amended in</w:t>
      </w:r>
      <w:r w:rsidRPr="00B44264" w:rsidR="00B44264">
        <w:rPr>
          <w:rFonts w:cstheme="minorHAnsi"/>
          <w:szCs w:val="19"/>
          <w:lang w:eastAsia="en-GB"/>
        </w:rPr>
        <w:t xml:space="preserve"> November</w:t>
      </w:r>
      <w:r w:rsidR="00F47A0F">
        <w:rPr>
          <w:rFonts w:cstheme="minorHAnsi"/>
          <w:szCs w:val="19"/>
          <w:lang w:eastAsia="en-GB"/>
        </w:rPr>
        <w:t xml:space="preserve">. </w:t>
      </w:r>
    </w:p>
    <w:p w:rsidR="006B504E" w:rsidP="006B504E"/>
    <w:p w:rsidR="008C4C13" w:rsidP="006B504E">
      <w:pPr>
        <w:rPr>
          <w:b/>
          <w:bCs/>
        </w:rPr>
      </w:pPr>
      <w:r w:rsidRPr="001071CD">
        <w:rPr>
          <w:b/>
          <w:bCs/>
        </w:rPr>
        <w:t>Rosebank</w:t>
      </w:r>
    </w:p>
    <w:p w:rsidR="000242ED" w:rsidRPr="001071CD" w:rsidP="006B504E">
      <w:pPr>
        <w:rPr>
          <w:b/>
          <w:bCs/>
        </w:rPr>
      </w:pPr>
    </w:p>
    <w:p w:rsidR="00660154" w:rsidP="006B504E">
      <w:r>
        <w:t xml:space="preserve">We are still </w:t>
      </w:r>
      <w:r w:rsidR="00667F10">
        <w:t xml:space="preserve">assessing </w:t>
      </w:r>
      <w:r>
        <w:t>the</w:t>
      </w:r>
      <w:r w:rsidR="00CD4EE0">
        <w:t xml:space="preserve"> </w:t>
      </w:r>
      <w:r w:rsidR="00667F10">
        <w:t>impacts of</w:t>
      </w:r>
      <w:r>
        <w:t xml:space="preserve"> the</w:t>
      </w:r>
      <w:r w:rsidR="00CD4EE0">
        <w:t xml:space="preserve"> new energy profits levy as announced by the UK government in November, and there are some detail</w:t>
      </w:r>
      <w:r w:rsidR="00941412">
        <w:t xml:space="preserve">s that need to be clarified in the legislation before it comes into force. One key factor for this new levy will be its duration. At present </w:t>
      </w:r>
      <w:r w:rsidR="00090393">
        <w:t xml:space="preserve">the UK Government has said that it </w:t>
      </w:r>
      <w:r w:rsidR="004803BA">
        <w:t>should</w:t>
      </w:r>
      <w:r w:rsidR="00090393">
        <w:t xml:space="preserve"> end in 2028. </w:t>
      </w:r>
      <w:r w:rsidR="007764CB">
        <w:t xml:space="preserve">The </w:t>
      </w:r>
      <w:r w:rsidR="00090393">
        <w:t>Labour</w:t>
      </w:r>
      <w:r w:rsidR="007764CB">
        <w:t xml:space="preserve"> Party </w:t>
      </w:r>
      <w:r w:rsidR="00090393">
        <w:t>ha</w:t>
      </w:r>
      <w:r w:rsidR="007764CB">
        <w:t>s</w:t>
      </w:r>
      <w:r w:rsidR="00090393">
        <w:t xml:space="preserve"> indicated that the tax level </w:t>
      </w:r>
      <w:r w:rsidR="004B3514">
        <w:t>will</w:t>
      </w:r>
      <w:r w:rsidR="003E0593">
        <w:t xml:space="preserve"> be</w:t>
      </w:r>
      <w:r w:rsidR="004B3514">
        <w:t xml:space="preserve"> </w:t>
      </w:r>
      <w:r w:rsidR="00090393">
        <w:t>raised, the investment allowances cut</w:t>
      </w:r>
      <w:r w:rsidR="00507497">
        <w:t>, and that they too expect it to end in 2028, but th</w:t>
      </w:r>
      <w:r w:rsidR="00D30432">
        <w:t>e</w:t>
      </w:r>
      <w:r w:rsidR="00DA0BA7">
        <w:t xml:space="preserve"> end date</w:t>
      </w:r>
      <w:r w:rsidR="00507497">
        <w:t xml:space="preserve"> is not certain</w:t>
      </w:r>
      <w:r w:rsidR="00090393">
        <w:t xml:space="preserve">. </w:t>
      </w:r>
      <w:r w:rsidR="00464DCD">
        <w:t>The new levy, and different governments</w:t>
      </w:r>
      <w:r w:rsidR="00DA0BA7">
        <w:t>’</w:t>
      </w:r>
      <w:r w:rsidR="00464DCD">
        <w:t xml:space="preserve"> approaches to it, </w:t>
      </w:r>
      <w:r w:rsidR="00E06B41">
        <w:t>will</w:t>
      </w:r>
      <w:r w:rsidR="00090393">
        <w:t xml:space="preserve"> have an impact on the business case for the Rosebank project, and</w:t>
      </w:r>
      <w:r w:rsidR="001D477A">
        <w:t xml:space="preserve"> on the tax </w:t>
      </w:r>
      <w:r w:rsidR="00785927">
        <w:t>the joint venture</w:t>
      </w:r>
      <w:r w:rsidR="001D477A">
        <w:t xml:space="preserve"> </w:t>
      </w:r>
      <w:r w:rsidR="00785927">
        <w:t>partners</w:t>
      </w:r>
      <w:r w:rsidR="001D477A">
        <w:t xml:space="preserve"> would pay, should the project go ahead.</w:t>
      </w:r>
      <w:r w:rsidR="00A2325C">
        <w:t xml:space="preserve"> </w:t>
      </w:r>
      <w:r w:rsidR="009B2A6D">
        <w:t>Each owner in Rosebank</w:t>
      </w:r>
      <w:r w:rsidR="00003372">
        <w:t xml:space="preserve"> must justify the</w:t>
      </w:r>
      <w:r w:rsidR="009B2A6D">
        <w:t>ir</w:t>
      </w:r>
      <w:r w:rsidR="00003372">
        <w:t xml:space="preserve"> company’s investment</w:t>
      </w:r>
      <w:r w:rsidR="00E06B41">
        <w:t xml:space="preserve"> in the UK</w:t>
      </w:r>
      <w:r w:rsidR="00423C19">
        <w:t>, compared with</w:t>
      </w:r>
      <w:r w:rsidR="00003372">
        <w:t xml:space="preserve"> other oil and gas projects around the </w:t>
      </w:r>
      <w:r w:rsidR="00423C19">
        <w:t>world.</w:t>
      </w:r>
      <w:r w:rsidR="001071CD">
        <w:t xml:space="preserve"> </w:t>
      </w:r>
      <w:r w:rsidR="00135A0F">
        <w:t>P</w:t>
      </w:r>
      <w:r w:rsidR="000242ED">
        <w:t>otential</w:t>
      </w:r>
      <w:r w:rsidR="009375AC">
        <w:t xml:space="preserve"> suppliers </w:t>
      </w:r>
      <w:r w:rsidR="000242ED">
        <w:t>will also make similar assessments</w:t>
      </w:r>
      <w:r w:rsidR="009375AC">
        <w:t>.</w:t>
      </w:r>
      <w:r w:rsidR="001071CD">
        <w:t xml:space="preserve"> </w:t>
      </w:r>
      <w:r w:rsidRPr="00DF01E7" w:rsidR="00DF01E7">
        <w:t>We understand</w:t>
      </w:r>
      <w:r w:rsidR="009C5D12">
        <w:t xml:space="preserve"> that</w:t>
      </w:r>
      <w:r w:rsidRPr="00DF01E7" w:rsidR="00DF01E7">
        <w:t xml:space="preserve"> the energy profits levy was introduced </w:t>
      </w:r>
      <w:r w:rsidR="009C5D12">
        <w:t>against a</w:t>
      </w:r>
      <w:r w:rsidRPr="00DF01E7" w:rsidR="00DF01E7">
        <w:t xml:space="preserve"> backdrop of </w:t>
      </w:r>
      <w:r w:rsidR="009C5D12">
        <w:t>high commodity prices</w:t>
      </w:r>
      <w:r w:rsidR="009C5D12">
        <w:t xml:space="preserve"> and a</w:t>
      </w:r>
      <w:r w:rsidRPr="00DF01E7" w:rsidR="009C5D12">
        <w:t xml:space="preserve"> </w:t>
      </w:r>
      <w:r w:rsidRPr="00DF01E7" w:rsidR="00DF01E7">
        <w:t>cost of living</w:t>
      </w:r>
      <w:r w:rsidRPr="00DF01E7" w:rsidR="00DF01E7">
        <w:t xml:space="preserve"> cris</w:t>
      </w:r>
      <w:r w:rsidR="009C5D12">
        <w:t>i</w:t>
      </w:r>
      <w:r w:rsidRPr="00DF01E7" w:rsidR="00DF01E7">
        <w:t xml:space="preserve">s. Equinor appreciates and recognises the effect this has </w:t>
      </w:r>
      <w:r w:rsidR="008B1AA0">
        <w:t>on</w:t>
      </w:r>
      <w:r w:rsidRPr="00DF01E7" w:rsidR="00DF01E7">
        <w:t xml:space="preserve"> society and individuals and, hence, </w:t>
      </w:r>
      <w:r w:rsidR="008B1AA0">
        <w:t xml:space="preserve">the </w:t>
      </w:r>
      <w:r w:rsidR="00FC33FB">
        <w:t xml:space="preserve">notion </w:t>
      </w:r>
      <w:r w:rsidR="008B1AA0">
        <w:t>that</w:t>
      </w:r>
      <w:r w:rsidR="00FC33FB">
        <w:t xml:space="preserve"> </w:t>
      </w:r>
      <w:r w:rsidRPr="00DF01E7" w:rsidR="00DF01E7">
        <w:t>business</w:t>
      </w:r>
      <w:r w:rsidR="00F30E36">
        <w:t>es</w:t>
      </w:r>
      <w:r w:rsidR="004213DB">
        <w:t xml:space="preserve"> need to </w:t>
      </w:r>
      <w:r w:rsidRPr="00DF01E7" w:rsidR="00DF01E7">
        <w:t>contribute</w:t>
      </w:r>
      <w:r w:rsidR="00F30E36">
        <w:t>,</w:t>
      </w:r>
      <w:r w:rsidR="004213DB">
        <w:t xml:space="preserve"> support</w:t>
      </w:r>
      <w:r w:rsidR="00F30E36">
        <w:t xml:space="preserve"> and work with government </w:t>
      </w:r>
      <w:r w:rsidR="004213DB">
        <w:t>to minimise the impact</w:t>
      </w:r>
      <w:r w:rsidRPr="00DF01E7" w:rsidR="00DF01E7">
        <w:t>. However, commodity prices</w:t>
      </w:r>
      <w:r w:rsidR="009C5D12">
        <w:t>,</w:t>
      </w:r>
      <w:r w:rsidRPr="00DF01E7" w:rsidR="00DF01E7">
        <w:t xml:space="preserve"> which formed the bases for the levy introduction</w:t>
      </w:r>
      <w:r w:rsidR="009C5D12">
        <w:t>,</w:t>
      </w:r>
      <w:r w:rsidRPr="00DF01E7" w:rsidR="00DF01E7">
        <w:t xml:space="preserve"> are now </w:t>
      </w:r>
      <w:r w:rsidR="00691E4B">
        <w:t>at</w:t>
      </w:r>
      <w:r w:rsidRPr="00DF01E7" w:rsidR="00DF01E7">
        <w:t xml:space="preserve"> pre-war levels (Brent traded at </w:t>
      </w:r>
      <w:r w:rsidR="008B1AA0">
        <w:t>$</w:t>
      </w:r>
      <w:r w:rsidRPr="00DF01E7" w:rsidR="00DF01E7">
        <w:t xml:space="preserve">77.17 today) and the forward price model held by corporations and financial institutions in the </w:t>
      </w:r>
      <w:r w:rsidR="00691E4B">
        <w:t>levy</w:t>
      </w:r>
      <w:r w:rsidRPr="00DF01E7" w:rsidR="00DF01E7">
        <w:t xml:space="preserve"> window </w:t>
      </w:r>
      <w:r w:rsidR="009C5D12">
        <w:t xml:space="preserve">up </w:t>
      </w:r>
      <w:r w:rsidR="00691E4B">
        <w:t xml:space="preserve">to 2028 </w:t>
      </w:r>
      <w:r w:rsidR="00060CA0">
        <w:t>may</w:t>
      </w:r>
      <w:r w:rsidR="009C5D12">
        <w:t xml:space="preserve"> </w:t>
      </w:r>
      <w:r w:rsidR="00060CA0">
        <w:t xml:space="preserve">be </w:t>
      </w:r>
      <w:r w:rsidRPr="00DF01E7" w:rsidR="00DF01E7">
        <w:t xml:space="preserve">even lower than this. </w:t>
      </w:r>
      <w:r w:rsidR="009C5D12">
        <w:t>T</w:t>
      </w:r>
      <w:r w:rsidRPr="00DF01E7" w:rsidR="00DF01E7">
        <w:t>he combination of high</w:t>
      </w:r>
      <w:r w:rsidR="00060CA0">
        <w:t>er</w:t>
      </w:r>
      <w:r w:rsidRPr="00DF01E7" w:rsidR="00DF01E7">
        <w:t xml:space="preserve"> tax and low commodity price </w:t>
      </w:r>
      <w:r w:rsidR="00060CA0">
        <w:t>for</w:t>
      </w:r>
      <w:r w:rsidR="008B1AA0">
        <w:t>e</w:t>
      </w:r>
      <w:r w:rsidR="00060CA0">
        <w:t xml:space="preserve">cast </w:t>
      </w:r>
      <w:r w:rsidRPr="00DF01E7" w:rsidR="00DF01E7">
        <w:t>assumptions for the medium term</w:t>
      </w:r>
      <w:r w:rsidR="008B1AA0">
        <w:t xml:space="preserve"> is likely to</w:t>
      </w:r>
      <w:r w:rsidRPr="00DF01E7" w:rsidR="00DF01E7">
        <w:t xml:space="preserve"> impact investment negatively. That is why we believe a price floor, at which the EPL would cease, would be helpful</w:t>
      </w:r>
      <w:r w:rsidR="00060CA0">
        <w:t xml:space="preserve"> to increase investor confidence in the</w:t>
      </w:r>
      <w:r w:rsidR="009C5D12">
        <w:t xml:space="preserve"> oil and gas</w:t>
      </w:r>
      <w:r w:rsidR="00060CA0">
        <w:t xml:space="preserve"> sector</w:t>
      </w:r>
      <w:r w:rsidRPr="00DF01E7" w:rsidR="00DF01E7">
        <w:t>.</w:t>
      </w:r>
      <w:r w:rsidR="00FC33FB">
        <w:t xml:space="preserve"> </w:t>
      </w:r>
      <w:r w:rsidR="009C5D12">
        <w:t>T</w:t>
      </w:r>
      <w:r w:rsidR="00F33C9C">
        <w:t xml:space="preserve">he new levy on renewable energy generation will </w:t>
      </w:r>
      <w:r w:rsidR="007E5D13">
        <w:t xml:space="preserve">also have an </w:t>
      </w:r>
      <w:r w:rsidR="00F33C9C">
        <w:t>impact</w:t>
      </w:r>
      <w:r w:rsidR="007E5D13">
        <w:t xml:space="preserve"> on current and potential future </w:t>
      </w:r>
      <w:r w:rsidR="00A81B36">
        <w:t>projects in the UK</w:t>
      </w:r>
      <w:r w:rsidR="00F33C9C">
        <w:t>.</w:t>
      </w:r>
    </w:p>
    <w:p w:rsidR="00E06B41" w:rsidP="006B504E"/>
    <w:p w:rsidR="006C75C7" w:rsidRPr="006C75C7" w:rsidP="006B504E">
      <w:pPr>
        <w:rPr>
          <w:rFonts w:cstheme="minorHAnsi"/>
          <w:szCs w:val="19"/>
          <w:lang w:eastAsia="en-GB"/>
        </w:rPr>
      </w:pPr>
      <w:r>
        <w:t xml:space="preserve">As we have announced, </w:t>
      </w:r>
      <w:r w:rsidR="006C3DBB">
        <w:t>direct</w:t>
      </w:r>
      <w:r>
        <w:t xml:space="preserve"> investment </w:t>
      </w:r>
      <w:r w:rsidR="006B418A">
        <w:t>over the life</w:t>
      </w:r>
      <w:r w:rsidR="00E06B41">
        <w:t>time</w:t>
      </w:r>
      <w:r w:rsidR="006B418A">
        <w:t xml:space="preserve"> of</w:t>
      </w:r>
      <w:r w:rsidR="00E06B41">
        <w:t xml:space="preserve"> the</w:t>
      </w:r>
      <w:r w:rsidR="006B418A">
        <w:t xml:space="preserve"> field (CAPEX and OPEX)</w:t>
      </w:r>
      <w:r>
        <w:t xml:space="preserve"> into the Rosebank project</w:t>
      </w:r>
      <w:r w:rsidR="009C5D12">
        <w:t>, if approved,</w:t>
      </w:r>
      <w:r>
        <w:t xml:space="preserve"> would be around £</w:t>
      </w:r>
      <w:r w:rsidR="006C3DBB">
        <w:t>8.1</w:t>
      </w:r>
      <w:r>
        <w:t>bn. By way of comparison, in 20</w:t>
      </w:r>
      <w:r w:rsidR="00E16267">
        <w:t>20-</w:t>
      </w:r>
      <w:r>
        <w:t>21 the UK attracted</w:t>
      </w:r>
      <w:r w:rsidR="00E16267">
        <w:t xml:space="preserve"> just under</w:t>
      </w:r>
      <w:r>
        <w:t xml:space="preserve"> £</w:t>
      </w:r>
      <w:r w:rsidR="00E16267">
        <w:t>4</w:t>
      </w:r>
      <w:r>
        <w:t>bn of international investment in total</w:t>
      </w:r>
      <w:r w:rsidR="00AF7F49">
        <w:t>. (</w:t>
      </w:r>
      <w:r>
        <w:fldChar w:fldCharType="begin"/>
      </w:r>
      <w:r>
        <w:instrText xml:space="preserve"> HYPERLINK </w:instrText>
      </w:r>
      <w:r>
        <w:fldChar w:fldCharType="separate"/>
      </w:r>
      <w:r w:rsidRPr="00C10ABD" w:rsidR="00AF7F49">
        <w:rPr>
          <w:rStyle w:val="Hyperlink"/>
        </w:rPr>
        <w:t>Department for International Trade inward investment results 2020 to 2021 (HTML version) - GOV.UK (www.gov.uk)</w:t>
      </w:r>
      <w:r>
        <w:fldChar w:fldCharType="end"/>
      </w:r>
      <w:r w:rsidR="00AF7F49">
        <w:rPr>
          <w:color w:val="0000FF"/>
          <w:u w:val="single"/>
        </w:rPr>
        <w:t>)</w:t>
      </w:r>
      <w:r w:rsidRPr="009E5A7A" w:rsidR="009E5A7A">
        <w:rPr>
          <w:rFonts w:cstheme="minorHAnsi"/>
          <w:szCs w:val="19"/>
          <w:lang w:eastAsia="en-GB"/>
        </w:rPr>
        <w:t xml:space="preserve"> </w:t>
      </w:r>
      <w:r w:rsidR="009E5A7A">
        <w:rPr>
          <w:rFonts w:cstheme="minorHAnsi"/>
          <w:szCs w:val="19"/>
          <w:lang w:eastAsia="en-GB"/>
        </w:rPr>
        <w:t xml:space="preserve">The </w:t>
      </w:r>
      <w:r w:rsidR="007F0B48">
        <w:rPr>
          <w:rFonts w:cstheme="minorHAnsi"/>
          <w:szCs w:val="19"/>
          <w:lang w:eastAsia="en-GB"/>
        </w:rPr>
        <w:t>E</w:t>
      </w:r>
      <w:r w:rsidR="009E5A7A">
        <w:rPr>
          <w:rFonts w:cstheme="minorHAnsi"/>
          <w:szCs w:val="19"/>
          <w:lang w:eastAsia="en-GB"/>
        </w:rPr>
        <w:t xml:space="preserve">nergy </w:t>
      </w:r>
      <w:r w:rsidR="007F0B48">
        <w:rPr>
          <w:rFonts w:cstheme="minorHAnsi"/>
          <w:szCs w:val="19"/>
          <w:lang w:eastAsia="en-GB"/>
        </w:rPr>
        <w:t>P</w:t>
      </w:r>
      <w:r w:rsidR="009E5A7A">
        <w:rPr>
          <w:rFonts w:cstheme="minorHAnsi"/>
          <w:szCs w:val="19"/>
          <w:lang w:eastAsia="en-GB"/>
        </w:rPr>
        <w:t xml:space="preserve">rofits </w:t>
      </w:r>
      <w:r w:rsidR="007F0B48">
        <w:rPr>
          <w:rFonts w:cstheme="minorHAnsi"/>
          <w:szCs w:val="19"/>
          <w:lang w:eastAsia="en-GB"/>
        </w:rPr>
        <w:t>L</w:t>
      </w:r>
      <w:r w:rsidR="009E5A7A">
        <w:rPr>
          <w:rFonts w:cstheme="minorHAnsi"/>
          <w:szCs w:val="19"/>
          <w:lang w:eastAsia="en-GB"/>
        </w:rPr>
        <w:t>evy</w:t>
      </w:r>
      <w:r w:rsidR="007F0B48">
        <w:rPr>
          <w:rFonts w:cstheme="minorHAnsi"/>
          <w:szCs w:val="19"/>
          <w:lang w:eastAsia="en-GB"/>
        </w:rPr>
        <w:t xml:space="preserve"> (also referred to as windfall tax)</w:t>
      </w:r>
      <w:r w:rsidR="009E5A7A">
        <w:rPr>
          <w:rFonts w:cstheme="minorHAnsi"/>
          <w:szCs w:val="19"/>
          <w:lang w:eastAsia="en-GB"/>
        </w:rPr>
        <w:t xml:space="preserve"> introduced by the UK government in the summer of 2022 is an additional tax, paid over and above the corporate and supplementary taxes already paid by the oil and gas industry in the UK. It includes an investment allowance, but even with the investment allowance, the Wood Mackenzie report on Rosebank issued in Aug</w:t>
      </w:r>
      <w:r w:rsidR="00AF7F49">
        <w:rPr>
          <w:rFonts w:cstheme="minorHAnsi"/>
          <w:szCs w:val="19"/>
          <w:lang w:eastAsia="en-GB"/>
        </w:rPr>
        <w:t>ust</w:t>
      </w:r>
      <w:r w:rsidR="009E5A7A">
        <w:rPr>
          <w:rFonts w:cstheme="minorHAnsi"/>
          <w:szCs w:val="19"/>
          <w:lang w:eastAsia="en-GB"/>
        </w:rPr>
        <w:t xml:space="preserve"> 2022 estimated that over the lifetime of the project £2.7bn would be paid to the UK government in tax.</w:t>
      </w:r>
      <w:r>
        <w:rPr>
          <w:rFonts w:cstheme="minorHAnsi"/>
          <w:szCs w:val="19"/>
          <w:lang w:eastAsia="en-GB"/>
        </w:rPr>
        <w:t xml:space="preserve"> </w:t>
      </w:r>
      <w:r w:rsidR="00FA5A36">
        <w:t>In addition to the tax that would be paid on Rosebank, it is estimated by Wood Mackenzie that an additional £24.1billion</w:t>
      </w:r>
      <w:r w:rsidR="00581378">
        <w:t xml:space="preserve"> would be generated in gross value add</w:t>
      </w:r>
      <w:r w:rsidR="009C5D12">
        <w:t>,</w:t>
      </w:r>
      <w:r w:rsidR="00F37062">
        <w:t xml:space="preserve"> alongside 1</w:t>
      </w:r>
      <w:r>
        <w:t>,</w:t>
      </w:r>
      <w:r w:rsidR="00F37062">
        <w:t>200 UK based jobs at the peak of activity.</w:t>
      </w:r>
      <w:r w:rsidR="007F0B48">
        <w:t xml:space="preserve"> </w:t>
      </w:r>
    </w:p>
    <w:p w:rsidR="006C75C7" w:rsidP="006B504E"/>
    <w:p w:rsidR="00B057F9" w:rsidP="006B504E">
      <w:r>
        <w:t xml:space="preserve">With demand </w:t>
      </w:r>
      <w:r w:rsidR="007B6815">
        <w:t xml:space="preserve">for oil and gas in the UK </w:t>
      </w:r>
      <w:r>
        <w:t>projected to outstrip supply</w:t>
      </w:r>
      <w:r w:rsidR="007B6815">
        <w:t xml:space="preserve"> until 2050, </w:t>
      </w:r>
      <w:r w:rsidR="00A62918">
        <w:t xml:space="preserve">the alternative to domestic oil and gas is imports, which would result in a loss of </w:t>
      </w:r>
      <w:r w:rsidR="001107A9">
        <w:t>cashflow to the UK and increased emissions</w:t>
      </w:r>
      <w:r w:rsidR="004938BC">
        <w:t>,</w:t>
      </w:r>
      <w:r w:rsidR="001107A9">
        <w:t xml:space="preserve"> given that imported </w:t>
      </w:r>
      <w:r w:rsidR="00221808">
        <w:t>oil has a higher CO2 footprint.</w:t>
      </w:r>
      <w:r w:rsidRPr="000E0AF1" w:rsidR="000E0AF1">
        <w:t xml:space="preserve"> </w:t>
      </w:r>
      <w:r w:rsidRPr="008E719F" w:rsidR="000E0AF1">
        <w:t>Our Rosebank project is already</w:t>
      </w:r>
      <w:r w:rsidR="004938BC">
        <w:t xml:space="preserve"> planned to be</w:t>
      </w:r>
      <w:r w:rsidRPr="008E719F" w:rsidR="000E0AF1">
        <w:t xml:space="preserve"> one of the most carbon efficient field developments in the </w:t>
      </w:r>
      <w:r w:rsidR="000E0AF1">
        <w:t>UK</w:t>
      </w:r>
      <w:r w:rsidR="001258EC">
        <w:t xml:space="preserve"> from first production</w:t>
      </w:r>
      <w:r w:rsidR="00D371BC">
        <w:t>. E</w:t>
      </w:r>
      <w:r w:rsidRPr="008E719F" w:rsidR="000E0AF1">
        <w:t>lectrification would take emissions from production down to just 3kg per barrel</w:t>
      </w:r>
      <w:r w:rsidR="004938BC">
        <w:t>, l</w:t>
      </w:r>
      <w:r w:rsidRPr="008E719F" w:rsidR="000E0AF1">
        <w:t>ess than 15% of the UK average.</w:t>
      </w:r>
    </w:p>
    <w:p w:rsidR="008C4C13" w:rsidP="006B504E"/>
    <w:p w:rsidR="006E2142" w:rsidRPr="001071CD" w:rsidP="006B504E">
      <w:pPr>
        <w:rPr>
          <w:b/>
          <w:bCs/>
        </w:rPr>
      </w:pPr>
      <w:r w:rsidRPr="001071CD">
        <w:rPr>
          <w:b/>
          <w:bCs/>
        </w:rPr>
        <w:t>Renewables and Low Carbon Investment in the UK</w:t>
      </w:r>
    </w:p>
    <w:p w:rsidR="006E2142" w:rsidP="006B504E"/>
    <w:p w:rsidR="00873834" w:rsidP="006B504E">
      <w:r>
        <w:t xml:space="preserve">As stated above, it is not appropriate to look at one financial year in isolation when considering long term business investment in the energy sector. For example, we </w:t>
      </w:r>
      <w:r w:rsidR="00655127">
        <w:t xml:space="preserve">are </w:t>
      </w:r>
      <w:r w:rsidR="00655127">
        <w:t>in the midst of</w:t>
      </w:r>
      <w:r w:rsidR="00655127">
        <w:t xml:space="preserve"> the construction of Dogger Bank, the world’s largest offshore windfarm, together with our partners SSE. The total investment in this project is around £9bn, but the construction began in 20</w:t>
      </w:r>
      <w:r w:rsidR="001258EC">
        <w:t>19</w:t>
      </w:r>
      <w:r w:rsidR="00655127">
        <w:t xml:space="preserve"> and will continue into 2023 and beyond as the windfarm is developed, with the first power of the first phase of the farm coming on</w:t>
      </w:r>
      <w:r w:rsidR="002B7EDF">
        <w:t>-</w:t>
      </w:r>
      <w:r w:rsidR="00655127">
        <w:t>line in 2023</w:t>
      </w:r>
      <w:r w:rsidR="00E974B2">
        <w:t xml:space="preserve">. </w:t>
      </w:r>
    </w:p>
    <w:p w:rsidR="00873834" w:rsidP="006B504E"/>
    <w:p w:rsidR="006E2142" w:rsidP="006B504E">
      <w:r>
        <w:t>In the Humber, where we are investing in the low carbon</w:t>
      </w:r>
      <w:r w:rsidR="00C66E20">
        <w:t xml:space="preserve"> businesses of carbon capture</w:t>
      </w:r>
      <w:r w:rsidR="004433AA">
        <w:t xml:space="preserve">, </w:t>
      </w:r>
      <w:r w:rsidR="004433AA">
        <w:t>usage</w:t>
      </w:r>
      <w:r w:rsidR="00C66E20">
        <w:t xml:space="preserve"> and storage</w:t>
      </w:r>
      <w:r w:rsidR="005A1A51">
        <w:t xml:space="preserve"> </w:t>
      </w:r>
      <w:r w:rsidR="004433AA">
        <w:t xml:space="preserve">(CCUS) </w:t>
      </w:r>
      <w:r w:rsidR="005A1A51">
        <w:t>and hydrogen to decarbonise the UK’s largest industrial cluster</w:t>
      </w:r>
      <w:r w:rsidR="00C66E20">
        <w:t xml:space="preserve">, our </w:t>
      </w:r>
      <w:r w:rsidR="005A1A51">
        <w:t>projects</w:t>
      </w:r>
      <w:r w:rsidR="00C66E20">
        <w:t xml:space="preserve"> </w:t>
      </w:r>
      <w:r w:rsidR="005A1A51">
        <w:t xml:space="preserve">include investment in hydrogen manufacturing, power with carbon capture and storage, CO2 pipelines and underground storage, </w:t>
      </w:r>
      <w:r w:rsidR="00495995">
        <w:t xml:space="preserve">and </w:t>
      </w:r>
      <w:r w:rsidR="005A1A51">
        <w:t xml:space="preserve">hydrogen pipelines and underground storage. Although we are preparing final investment decisions on these for approval </w:t>
      </w:r>
      <w:r w:rsidR="00515FAA">
        <w:t>at the end of 2023 or early 2024, then leading to the building of the projects from 2024 onwards, those decisions will depend on the UK government</w:t>
      </w:r>
      <w:r w:rsidR="00F76C4A">
        <w:t xml:space="preserve"> making progress on the CCUS and hydrogen business cases and funding. In the meantime, however, we are investing in the UK in preparation for those decisions, with our largest single investment this year being the purchase of Triton </w:t>
      </w:r>
      <w:r w:rsidR="00F122F4">
        <w:t>Power</w:t>
      </w:r>
      <w:r w:rsidR="00F76C4A">
        <w:t xml:space="preserve">, together with SSE. </w:t>
      </w:r>
      <w:r w:rsidR="00E00978">
        <w:t xml:space="preserve">The key </w:t>
      </w:r>
      <w:r w:rsidR="003D4DE1">
        <w:t>facility</w:t>
      </w:r>
      <w:r w:rsidR="00E00978">
        <w:t xml:space="preserve"> included in the purchase is the </w:t>
      </w:r>
      <w:r w:rsidR="00E00978">
        <w:t>Saltend</w:t>
      </w:r>
      <w:r w:rsidR="00E00978">
        <w:t xml:space="preserve"> Power Station</w:t>
      </w:r>
      <w:r w:rsidR="001D70C7">
        <w:t xml:space="preserve">, which </w:t>
      </w:r>
      <w:r w:rsidR="00F76C4A">
        <w:t>will be one of the power stations to convert to hydrogen</w:t>
      </w:r>
      <w:r w:rsidR="009C3D4B">
        <w:t xml:space="preserve"> in the coming years.</w:t>
      </w:r>
    </w:p>
    <w:p w:rsidR="009C3D4B" w:rsidP="006B504E"/>
    <w:p w:rsidR="00B15B4F" w:rsidP="006B504E">
      <w:r>
        <w:t>Looking ahead</w:t>
      </w:r>
      <w:r w:rsidR="00881C4D">
        <w:t xml:space="preserve">, Equinor also intends to invest in the Celtic Sea for floating offshore wind, </w:t>
      </w:r>
      <w:r w:rsidR="0004203E">
        <w:t>in Norfolk to extend our two existing windfarm</w:t>
      </w:r>
      <w:r w:rsidR="00CA5511">
        <w:t>s</w:t>
      </w:r>
      <w:r w:rsidR="0004203E">
        <w:t xml:space="preserve">, </w:t>
      </w:r>
      <w:r w:rsidR="00495995">
        <w:t xml:space="preserve">in Peterhead for power with </w:t>
      </w:r>
      <w:r w:rsidR="00963091">
        <w:t>carbon capture and storage</w:t>
      </w:r>
      <w:r w:rsidR="00495995">
        <w:t xml:space="preserve">, </w:t>
      </w:r>
      <w:r w:rsidR="0004203E">
        <w:t>and in Teesside</w:t>
      </w:r>
      <w:r w:rsidR="00EE4CFA">
        <w:t xml:space="preserve">. </w:t>
      </w:r>
      <w:r w:rsidR="00CA5511">
        <w:t xml:space="preserve">We have also </w:t>
      </w:r>
      <w:r w:rsidR="00CA5511">
        <w:t xml:space="preserve">invested in </w:t>
      </w:r>
      <w:r w:rsidR="0019595E">
        <w:t>the</w:t>
      </w:r>
      <w:r w:rsidR="00CA5511">
        <w:t xml:space="preserve"> UK battery company</w:t>
      </w:r>
      <w:r w:rsidR="0019595E">
        <w:t xml:space="preserve"> </w:t>
      </w:r>
      <w:r w:rsidR="0019595E">
        <w:t>Noriker</w:t>
      </w:r>
      <w:r w:rsidR="0019595E">
        <w:t xml:space="preserve"> Power </w:t>
      </w:r>
      <w:r w:rsidR="0019595E">
        <w:t>Ltd</w:t>
      </w:r>
      <w:r w:rsidR="00CA5511">
        <w:t>, and</w:t>
      </w:r>
      <w:r w:rsidR="00CA5511">
        <w:t xml:space="preserve"> ha</w:t>
      </w:r>
      <w:r w:rsidR="00292FBC">
        <w:t>ve</w:t>
      </w:r>
      <w:r w:rsidR="00CA5511">
        <w:t xml:space="preserve"> an active ventures arm that </w:t>
      </w:r>
      <w:r w:rsidR="004310FA">
        <w:t>invests globally in new energy businesses.</w:t>
      </w:r>
      <w:r w:rsidR="00CA5511">
        <w:t xml:space="preserve"> </w:t>
      </w:r>
      <w:r w:rsidR="00EE4CFA">
        <w:t xml:space="preserve">At the global level, Equinor’s largest investments in offshore wind </w:t>
      </w:r>
      <w:r w:rsidR="004310FA">
        <w:t xml:space="preserve">thus far </w:t>
      </w:r>
      <w:r w:rsidR="00EE4CFA">
        <w:t xml:space="preserve">have been in the UK, and </w:t>
      </w:r>
      <w:r w:rsidR="00B44BE2">
        <w:t>its largest plans for investment in CCUS and hydrogen are also in the UK.</w:t>
      </w:r>
      <w:r w:rsidR="00423C19">
        <w:t xml:space="preserve"> At the corporate level Equinor will invest at least 50% of its capex in renewables and low carbon businesses by 2030.</w:t>
      </w:r>
      <w:r w:rsidR="0048372C">
        <w:t xml:space="preserve"> </w:t>
      </w:r>
      <w:r w:rsidR="00871F70">
        <w:t xml:space="preserve">In 2022 alone, we have doubled our share of </w:t>
      </w:r>
      <w:r w:rsidR="00CD1AE5">
        <w:t xml:space="preserve">gross </w:t>
      </w:r>
      <w:r w:rsidR="00871F70">
        <w:t>investment into renewables to 20 percent.</w:t>
      </w:r>
      <w:r>
        <w:t xml:space="preserve"> </w:t>
      </w:r>
    </w:p>
    <w:p w:rsidR="00B15B4F" w:rsidP="006B504E"/>
    <w:p w:rsidR="006324B6" w:rsidP="006B504E">
      <w:r w:rsidRPr="0048372C">
        <w:t>As of its Q1 2021</w:t>
      </w:r>
      <w:r>
        <w:t xml:space="preserve"> annual report</w:t>
      </w:r>
      <w:r w:rsidRPr="0048372C">
        <w:t xml:space="preserve">, Equinor has reported green revenues </w:t>
      </w:r>
      <w:r w:rsidR="00C1515B">
        <w:t xml:space="preserve">quarterly </w:t>
      </w:r>
      <w:r w:rsidRPr="0048372C">
        <w:t xml:space="preserve">as a separate segment in its financial reporting. </w:t>
      </w:r>
      <w:r w:rsidR="00683D7A">
        <w:t>However, a</w:t>
      </w:r>
      <w:r>
        <w:t>s set out above, investment in all energy projects is long term</w:t>
      </w:r>
      <w:r w:rsidR="00683D7A">
        <w:t xml:space="preserve"> and subject to long lead times</w:t>
      </w:r>
      <w:r w:rsidR="002C2B0A">
        <w:t xml:space="preserve">, both </w:t>
      </w:r>
      <w:r w:rsidR="00040392">
        <w:t xml:space="preserve">for </w:t>
      </w:r>
      <w:r w:rsidR="002D3EB3">
        <w:t xml:space="preserve">projects </w:t>
      </w:r>
      <w:r w:rsidR="0094111C">
        <w:t xml:space="preserve">under construction and those </w:t>
      </w:r>
      <w:r w:rsidR="002D3EB3">
        <w:t xml:space="preserve">developed through </w:t>
      </w:r>
      <w:r w:rsidR="00D31845">
        <w:t>mergers and acquisitions</w:t>
      </w:r>
      <w:r w:rsidR="002D3EB3">
        <w:t xml:space="preserve"> activity. </w:t>
      </w:r>
      <w:r w:rsidR="00FA13D8">
        <w:t>As such, we see that guid</w:t>
      </w:r>
      <w:r w:rsidR="007835FC">
        <w:t>ance</w:t>
      </w:r>
      <w:r w:rsidR="00FA13D8">
        <w:t xml:space="preserve"> on renewable investment plans over </w:t>
      </w:r>
      <w:r w:rsidR="00670DFA">
        <w:t xml:space="preserve">a </w:t>
      </w:r>
      <w:r w:rsidR="003113E9">
        <w:t xml:space="preserve">multiyear time horizon is of more value to </w:t>
      </w:r>
      <w:r w:rsidR="00AA6BB3">
        <w:t xml:space="preserve">external stakeholders than </w:t>
      </w:r>
      <w:r w:rsidR="009D15AF">
        <w:t xml:space="preserve">on a quarterly basis. </w:t>
      </w:r>
    </w:p>
    <w:p w:rsidR="002F5865" w:rsidP="006B504E"/>
    <w:p w:rsidR="002F5865" w:rsidRPr="001071CD" w:rsidP="006B504E">
      <w:pPr>
        <w:rPr>
          <w:b/>
          <w:bCs/>
        </w:rPr>
      </w:pPr>
      <w:r w:rsidRPr="001071CD">
        <w:rPr>
          <w:b/>
          <w:bCs/>
        </w:rPr>
        <w:t xml:space="preserve">Oil and gas in the </w:t>
      </w:r>
      <w:r w:rsidR="007324E8">
        <w:rPr>
          <w:b/>
          <w:bCs/>
        </w:rPr>
        <w:t xml:space="preserve">global </w:t>
      </w:r>
      <w:r w:rsidRPr="001071CD">
        <w:rPr>
          <w:b/>
          <w:bCs/>
        </w:rPr>
        <w:t>energy mix</w:t>
      </w:r>
    </w:p>
    <w:p w:rsidR="002F5865" w:rsidP="006B504E"/>
    <w:p w:rsidR="00FC405F" w:rsidP="0076732B">
      <w:pPr>
        <w:tabs>
          <w:tab w:val="left" w:pos="8505"/>
        </w:tabs>
      </w:pPr>
      <w:r>
        <w:t xml:space="preserve">Please see Equinor’s Energy </w:t>
      </w:r>
      <w:r w:rsidR="000916D3">
        <w:t xml:space="preserve">Perspectives </w:t>
      </w:r>
      <w:r>
        <w:t>analysis for 2022</w:t>
      </w:r>
      <w:r w:rsidR="00726983">
        <w:t xml:space="preserve"> (</w:t>
      </w:r>
      <w:r>
        <w:fldChar w:fldCharType="begin"/>
      </w:r>
      <w:r>
        <w:instrText xml:space="preserve"> HYPERLINK "https://www.equinor.com/news-and-media/energy-perspectives-2022-presentation" </w:instrText>
      </w:r>
      <w:r>
        <w:fldChar w:fldCharType="separate"/>
      </w:r>
      <w:r w:rsidR="0076732B">
        <w:rPr>
          <w:rStyle w:val="Hyperlink"/>
        </w:rPr>
        <w:t>Energy Perspectives 2022 - Equinor</w:t>
      </w:r>
      <w:r>
        <w:fldChar w:fldCharType="end"/>
      </w:r>
      <w:r w:rsidR="00726983">
        <w:t>)</w:t>
      </w:r>
      <w:r>
        <w:t>. This sets out our expectations for the global future energy mix up to 2050</w:t>
      </w:r>
      <w:r w:rsidR="007324E8">
        <w:t>, with a shrinking role for oil and gas and a growing role for renewable and low carbon businesses</w:t>
      </w:r>
      <w:r w:rsidR="00726983">
        <w:t>.</w:t>
      </w:r>
      <w:r>
        <w:t xml:space="preserve"> </w:t>
      </w:r>
    </w:p>
    <w:p w:rsidR="00FC405F" w:rsidP="0076732B">
      <w:pPr>
        <w:tabs>
          <w:tab w:val="left" w:pos="8505"/>
        </w:tabs>
      </w:pPr>
    </w:p>
    <w:p w:rsidR="002F5865" w:rsidP="0076732B">
      <w:pPr>
        <w:tabs>
          <w:tab w:val="left" w:pos="8505"/>
        </w:tabs>
      </w:pPr>
      <w:r>
        <w:t>T</w:t>
      </w:r>
      <w:r w:rsidR="007F69C0">
        <w:t xml:space="preserve">he IEA’s </w:t>
      </w:r>
      <w:r w:rsidR="008B5AF6">
        <w:t>2021 N</w:t>
      </w:r>
      <w:r w:rsidR="00FC405F">
        <w:t xml:space="preserve">et </w:t>
      </w:r>
      <w:r w:rsidR="008B5AF6">
        <w:t>Z</w:t>
      </w:r>
      <w:r w:rsidR="00FC405F">
        <w:t xml:space="preserve">ero </w:t>
      </w:r>
      <w:r w:rsidR="008B5AF6">
        <w:t>E</w:t>
      </w:r>
      <w:r w:rsidR="00FC405F">
        <w:t>missions</w:t>
      </w:r>
      <w:r w:rsidR="008B5AF6">
        <w:t xml:space="preserve"> scenario </w:t>
      </w:r>
      <w:r w:rsidR="009B6229">
        <w:t xml:space="preserve">to which you refer in your letter was based on </w:t>
      </w:r>
      <w:r w:rsidR="00053EFD">
        <w:t>a</w:t>
      </w:r>
      <w:r w:rsidR="00AC0239">
        <w:t xml:space="preserve"> model that assumed global energy demand would </w:t>
      </w:r>
      <w:r w:rsidR="00EE7B06">
        <w:t>decline</w:t>
      </w:r>
      <w:r w:rsidR="00AC0239">
        <w:t xml:space="preserve"> </w:t>
      </w:r>
      <w:r w:rsidR="00C46DE7">
        <w:t>at a rate sufficient to achieve a 1.5-degree trajectory</w:t>
      </w:r>
      <w:r w:rsidR="00AF17D6">
        <w:t xml:space="preserve">: equivalent to around a 30% decrease </w:t>
      </w:r>
      <w:r w:rsidR="004A0C37">
        <w:t xml:space="preserve">to 72 million barrels per day </w:t>
      </w:r>
      <w:r w:rsidR="00C72D5A">
        <w:t>(</w:t>
      </w:r>
      <w:r w:rsidR="00C72D5A">
        <w:t>mbpd</w:t>
      </w:r>
      <w:r w:rsidR="00C72D5A">
        <w:t xml:space="preserve">) </w:t>
      </w:r>
      <w:r w:rsidR="00AF17D6">
        <w:t>in 2030</w:t>
      </w:r>
      <w:r w:rsidR="00B528D4">
        <w:t xml:space="preserve">. </w:t>
      </w:r>
      <w:r w:rsidR="00081ED9">
        <w:t xml:space="preserve">The </w:t>
      </w:r>
      <w:r w:rsidR="002C057E">
        <w:t xml:space="preserve">IEA’s own analysis from </w:t>
      </w:r>
      <w:r w:rsidR="00CB18FA">
        <w:t>October 2022 shows that global oil demand is expected to grow next year by 1.7 million barrels per day</w:t>
      </w:r>
      <w:r w:rsidR="004A0C37">
        <w:t xml:space="preserve"> to </w:t>
      </w:r>
      <w:r w:rsidR="00C72D5A">
        <w:t>over 101mbpd</w:t>
      </w:r>
      <w:r w:rsidR="00630B2A">
        <w:t>, even as the world</w:t>
      </w:r>
      <w:r w:rsidR="002A3FAD">
        <w:t xml:space="preserve"> </w:t>
      </w:r>
      <w:r w:rsidR="00C6785B">
        <w:t>attempts to reduce its reliance on Russian energy.</w:t>
      </w:r>
      <w:r w:rsidR="006A4274">
        <w:t xml:space="preserve"> </w:t>
      </w:r>
      <w:r w:rsidR="00C72D5A">
        <w:t xml:space="preserve"> </w:t>
      </w:r>
      <w:r w:rsidRPr="000348FD" w:rsidR="00C72D5A">
        <w:t>One day the world will no longer need oil and gas. But for as long as we do, it</w:t>
      </w:r>
      <w:r w:rsidR="00D37976">
        <w:t xml:space="preserve"> is</w:t>
      </w:r>
      <w:r w:rsidRPr="000348FD" w:rsidR="00C72D5A">
        <w:t xml:space="preserve"> vital we produce it with the lowest emissions possible</w:t>
      </w:r>
      <w:r w:rsidR="00C72D5A">
        <w:t xml:space="preserve"> and the maximum economic benefit to society</w:t>
      </w:r>
      <w:r w:rsidRPr="000348FD" w:rsidR="00C72D5A">
        <w:t>.</w:t>
      </w:r>
      <w:r w:rsidR="00C72D5A">
        <w:t xml:space="preserve"> </w:t>
      </w:r>
      <w:r w:rsidR="000A354D">
        <w:t xml:space="preserve">As one of the most carbon efficient oil and gas producers in the world, Equinor is looking to apply its </w:t>
      </w:r>
      <w:r w:rsidR="00775AE2">
        <w:t xml:space="preserve">experience to the development of </w:t>
      </w:r>
      <w:r w:rsidR="00320F27">
        <w:t xml:space="preserve">projects such as Rosebank, which will increase energy security while providing the necessary energy the world demands </w:t>
      </w:r>
      <w:r w:rsidR="009764A4">
        <w:t xml:space="preserve">while minimising emissions. </w:t>
      </w:r>
    </w:p>
    <w:p w:rsidR="000E0AF1" w:rsidP="006B504E"/>
    <w:p w:rsidR="00B15B4F" w:rsidP="006B504E"/>
    <w:p w:rsidR="00B15B4F" w:rsidP="006B504E"/>
    <w:p w:rsidR="003F15ED" w:rsidRPr="008452C1" w:rsidP="00CB7D29">
      <w:pPr>
        <w:rPr>
          <w:i/>
          <w:iCs/>
        </w:rPr>
      </w:pPr>
      <w:r w:rsidRPr="008452C1">
        <w:rPr>
          <w:i/>
          <w:iCs/>
        </w:rPr>
        <w:t>Yours sincerely,</w:t>
      </w:r>
    </w:p>
    <w:p w:rsidR="006B5856" w:rsidP="006B5856">
      <w:pPr>
        <w:spacing w:line="240" w:lineRule="auto"/>
        <w:jc w:val="both"/>
        <w:rPr>
          <w:sz w:val="12"/>
          <w:szCs w:val="12"/>
          <w:lang w:eastAsia="en-GB"/>
        </w:rPr>
      </w:pPr>
    </w:p>
    <w:p w:rsidR="002B35F5" w:rsidP="00237618">
      <w:pPr>
        <w:rPr>
          <w:lang w:eastAsia="en-GB"/>
        </w:rPr>
      </w:pPr>
    </w:p>
    <w:p w:rsidR="008650A5" w:rsidP="00237618">
      <w:pPr>
        <w:rPr>
          <w:lang w:eastAsia="en-GB"/>
        </w:rPr>
      </w:pPr>
      <w:r>
        <w:rPr>
          <w:noProof/>
        </w:rPr>
        <w:drawing>
          <wp:inline distT="0" distB="0" distL="0" distR="0">
            <wp:extent cx="2127001" cy="716136"/>
            <wp:effectExtent l="0" t="0" r="698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0"/>
                    <a:stretch>
                      <a:fillRect/>
                    </a:stretch>
                  </pic:blipFill>
                  <pic:spPr>
                    <a:xfrm>
                      <a:off x="0" y="0"/>
                      <a:ext cx="2185650" cy="735883"/>
                    </a:xfrm>
                    <a:prstGeom prst="rect">
                      <a:avLst/>
                    </a:prstGeom>
                  </pic:spPr>
                </pic:pic>
              </a:graphicData>
            </a:graphic>
          </wp:inline>
        </w:drawing>
      </w:r>
    </w:p>
    <w:p w:rsidR="008650A5" w:rsidP="00237618">
      <w:pPr>
        <w:rPr>
          <w:lang w:eastAsia="en-GB"/>
        </w:rPr>
      </w:pPr>
    </w:p>
    <w:p w:rsidR="002B35F5" w:rsidRPr="002609C7" w:rsidP="002B35F5">
      <w:r w:rsidRPr="002609C7">
        <w:t>Arne Gürtner</w:t>
      </w:r>
    </w:p>
    <w:p w:rsidR="002B35F5" w:rsidP="00237618">
      <w:pPr>
        <w:rPr>
          <w:lang w:eastAsia="en-GB"/>
        </w:rPr>
      </w:pPr>
      <w:r w:rsidRPr="001B7CD8">
        <w:rPr>
          <w:lang w:eastAsia="en-GB"/>
        </w:rPr>
        <w:t>Senior Vice President</w:t>
      </w:r>
    </w:p>
    <w:p w:rsidR="005C32D5" w:rsidP="00237618">
      <w:pPr>
        <w:rPr>
          <w:lang w:eastAsia="en-GB"/>
        </w:rPr>
      </w:pPr>
      <w:r>
        <w:rPr>
          <w:lang w:eastAsia="en-GB"/>
        </w:rPr>
        <w:t>Chair of Equinor UK Ltd</w:t>
      </w:r>
    </w:p>
    <w:p w:rsidR="001B7CD8" w:rsidRPr="001B7CD8" w:rsidP="00237618">
      <w:pPr>
        <w:rPr>
          <w:lang w:eastAsia="en-GB"/>
        </w:rPr>
      </w:pPr>
    </w:p>
    <w:sectPr w:rsidSect="00926D8F">
      <w:headerReference w:type="default" r:id="rId11"/>
      <w:footerReference w:type="default" r:id="rId12"/>
      <w:headerReference w:type="first" r:id="rId13"/>
      <w:footerReference w:type="first" r:id="rId14"/>
      <w:pgSz w:w="11906" w:h="16838" w:code="9"/>
      <w:pgMar w:top="1418" w:right="1134" w:bottom="1701" w:left="1134" w:header="709" w:footer="232"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rsted San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Style w:val="TableGrid"/>
      <w:tblW w:w="0" w:type="auto"/>
      <w:tblBorders>
        <w:top w:val="nil"/>
        <w:left w:val="nil"/>
        <w:bottom w:val="nil"/>
        <w:right w:val="nil"/>
        <w:insideH w:val="single" w:sz="2" w:space="0" w:color="7F7F7F"/>
        <w:insideV w:val="nil"/>
      </w:tblBorders>
      <w:tblLayout w:type="fixed"/>
      <w:tblCellMar>
        <w:left w:w="0" w:type="dxa"/>
        <w:right w:w="0" w:type="dxa"/>
      </w:tblCellMar>
      <w:tblLook w:val="04A0"/>
    </w:tblPr>
    <w:tblGrid>
      <w:gridCol w:w="2646"/>
      <w:gridCol w:w="2646"/>
      <w:gridCol w:w="1929"/>
      <w:gridCol w:w="2407"/>
    </w:tblGrid>
    <w:tr w:rsidTr="008F3251">
      <w:tblPrEx>
        <w:tblW w:w="0" w:type="auto"/>
        <w:tblBorders>
          <w:top w:val="nil"/>
          <w:left w:val="nil"/>
          <w:bottom w:val="nil"/>
          <w:right w:val="nil"/>
          <w:insideH w:val="single" w:sz="2" w:space="0" w:color="7F7F7F"/>
          <w:insideV w:val="nil"/>
        </w:tblBorders>
        <w:tblLayout w:type="fixed"/>
        <w:tblCellMar>
          <w:left w:w="0" w:type="dxa"/>
          <w:right w:w="0" w:type="dxa"/>
        </w:tblCellMar>
        <w:tblLook w:val="04A0"/>
      </w:tblPrEx>
      <w:tc>
        <w:tcPr>
          <w:tcW w:w="9628" w:type="dxa"/>
          <w:gridSpan w:val="4"/>
          <w:tcMar>
            <w:bottom w:w="57" w:type="dxa"/>
            <w:right w:w="28" w:type="dxa"/>
          </w:tcMar>
        </w:tcPr>
        <w:p w:rsidR="003000A1" w:rsidRPr="000C48D9" w:rsidP="003000A1">
          <w:pPr>
            <w:pStyle w:val="Footer"/>
            <w:jc w:val="right"/>
            <w:rPr>
              <w:color w:val="7F7F7F"/>
              <w:lang w:val="en-GB"/>
            </w:rPr>
          </w:pPr>
          <w:r>
            <w:rPr>
              <w:color w:val="7F7F7F"/>
              <w:lang w:val="en-GB"/>
            </w:rPr>
            <w:t>Page</w:t>
          </w:r>
          <w:r w:rsidRPr="000C48D9">
            <w:rPr>
              <w:color w:val="7F7F7F"/>
              <w:lang w:val="en-GB"/>
            </w:rPr>
            <w:t xml:space="preserve"> </w:t>
          </w:r>
          <w:r w:rsidRPr="000C48D9">
            <w:rPr>
              <w:color w:val="7F7F7F"/>
            </w:rPr>
            <w:fldChar w:fldCharType="begin"/>
          </w:r>
          <w:r w:rsidRPr="000C48D9">
            <w:rPr>
              <w:color w:val="7F7F7F"/>
              <w:lang w:val="en-GB"/>
            </w:rPr>
            <w:instrText xml:space="preserve"> PAGE   \* MERGEFORMAT </w:instrText>
          </w:r>
          <w:r w:rsidRPr="000C48D9">
            <w:rPr>
              <w:color w:val="7F7F7F"/>
            </w:rPr>
            <w:fldChar w:fldCharType="separate"/>
          </w:r>
          <w:r>
            <w:rPr>
              <w:noProof/>
              <w:color w:val="7F7F7F"/>
              <w:lang w:val="en-GB"/>
            </w:rPr>
            <w:t>1</w:t>
          </w:r>
          <w:r w:rsidRPr="000C48D9">
            <w:rPr>
              <w:color w:val="7F7F7F"/>
            </w:rPr>
            <w:fldChar w:fldCharType="end"/>
          </w:r>
          <w:r w:rsidRPr="000C48D9">
            <w:rPr>
              <w:color w:val="7F7F7F"/>
              <w:lang w:val="en-GB"/>
            </w:rPr>
            <w:t xml:space="preserve"> </w:t>
          </w:r>
          <w:r>
            <w:rPr>
              <w:color w:val="7F7F7F"/>
              <w:lang w:val="en-GB"/>
            </w:rPr>
            <w:t>of</w:t>
          </w:r>
          <w:r w:rsidRPr="000C48D9">
            <w:rPr>
              <w:color w:val="7F7F7F"/>
              <w:lang w:val="en-GB"/>
            </w:rPr>
            <w:t xml:space="preserve"> </w:t>
          </w:r>
          <w:r w:rsidRPr="000C48D9">
            <w:rPr>
              <w:color w:val="7F7F7F"/>
            </w:rPr>
            <w:fldChar w:fldCharType="begin"/>
          </w:r>
          <w:r w:rsidRPr="000C48D9">
            <w:rPr>
              <w:color w:val="7F7F7F"/>
              <w:lang w:val="en-GB"/>
            </w:rPr>
            <w:instrText xml:space="preserve"> NUMPAGES   \* MERGEFORMAT </w:instrText>
          </w:r>
          <w:r w:rsidRPr="000C48D9">
            <w:rPr>
              <w:color w:val="7F7F7F"/>
            </w:rPr>
            <w:fldChar w:fldCharType="separate"/>
          </w:r>
          <w:r>
            <w:rPr>
              <w:noProof/>
              <w:color w:val="7F7F7F"/>
              <w:lang w:val="en-GB"/>
            </w:rPr>
            <w:t>1</w:t>
          </w:r>
          <w:r w:rsidRPr="000C48D9">
            <w:rPr>
              <w:color w:val="7F7F7F"/>
            </w:rPr>
            <w:fldChar w:fldCharType="end"/>
          </w:r>
          <w:r w:rsidRPr="000C48D9">
            <w:rPr>
              <w:color w:val="7F7F7F"/>
              <w:lang w:val="en-GB"/>
            </w:rPr>
            <w:t xml:space="preserve"> </w:t>
          </w:r>
        </w:p>
      </w:tc>
    </w:tr>
    <w:tr w:rsidTr="008F3251">
      <w:tblPrEx>
        <w:tblW w:w="0" w:type="auto"/>
        <w:tblLayout w:type="fixed"/>
        <w:tblCellMar>
          <w:left w:w="0" w:type="dxa"/>
          <w:right w:w="0" w:type="dxa"/>
        </w:tblCellMar>
        <w:tblLook w:val="04A0"/>
      </w:tblPrEx>
      <w:tc>
        <w:tcPr>
          <w:tcW w:w="2646" w:type="dxa"/>
          <w:tcMar>
            <w:top w:w="57" w:type="dxa"/>
          </w:tcMar>
        </w:tcPr>
        <w:p w:rsidR="003000A1" w:rsidRPr="000C48D9" w:rsidP="003000A1">
          <w:pPr>
            <w:pStyle w:val="Footer"/>
            <w:rPr>
              <w:lang w:val="en-GB"/>
            </w:rPr>
          </w:pPr>
          <w:r>
            <w:rPr>
              <w:b/>
            </w:rPr>
            <w:t>Equinor UK Ltd</w:t>
          </w:r>
        </w:p>
      </w:tc>
      <w:tc>
        <w:tcPr>
          <w:tcW w:w="2646" w:type="dxa"/>
        </w:tcPr>
        <w:p w:rsidR="003000A1" w:rsidRPr="000C48D9" w:rsidP="003000A1">
          <w:pPr>
            <w:pStyle w:val="Footer"/>
            <w:rPr>
              <w:lang w:val="en-GB"/>
            </w:rPr>
          </w:pPr>
        </w:p>
      </w:tc>
      <w:tc>
        <w:tcPr>
          <w:tcW w:w="1929" w:type="dxa"/>
        </w:tcPr>
        <w:p w:rsidR="003000A1" w:rsidRPr="000C48D9" w:rsidP="003000A1">
          <w:pPr>
            <w:pStyle w:val="Footer"/>
            <w:rPr>
              <w:lang w:val="en-GB"/>
            </w:rPr>
          </w:pPr>
        </w:p>
      </w:tc>
      <w:tc>
        <w:tcPr>
          <w:tcW w:w="2407" w:type="dxa"/>
          <w:tcMar>
            <w:right w:w="28" w:type="dxa"/>
          </w:tcMar>
        </w:tcPr>
        <w:p w:rsidR="003000A1" w:rsidRPr="000C48D9" w:rsidP="003000A1">
          <w:pPr>
            <w:pStyle w:val="Footer"/>
            <w:jc w:val="right"/>
            <w:rPr>
              <w:color w:val="FF0037"/>
              <w:lang w:val="en-GB"/>
            </w:rPr>
          </w:pPr>
          <w:r w:rsidRPr="000C48D9">
            <w:rPr>
              <w:color w:val="FF0037"/>
              <w:lang w:val="en-GB"/>
            </w:rPr>
            <w:t>www.equinor.com</w:t>
          </w:r>
        </w:p>
        <w:p w:rsidR="003000A1" w:rsidRPr="000C48D9" w:rsidP="003000A1">
          <w:pPr>
            <w:pStyle w:val="Footer"/>
            <w:jc w:val="right"/>
            <w:rPr>
              <w:color w:val="FF0037"/>
              <w:lang w:val="en-GB"/>
            </w:rPr>
          </w:pPr>
        </w:p>
        <w:p w:rsidR="003000A1" w:rsidRPr="000C48D9" w:rsidP="00C42209">
          <w:pPr>
            <w:pStyle w:val="Footer"/>
            <w:jc w:val="center"/>
            <w:rPr>
              <w:color w:val="FF0037"/>
              <w:lang w:val="en-GB"/>
            </w:rPr>
          </w:pPr>
          <w:sdt>
            <w:sdtPr>
              <w:rPr>
                <w:szCs w:val="14"/>
              </w:rPr>
              <w:alias w:val="Classification"/>
              <w:tag w:val="Classification"/>
              <w:id w:val="1909028596"/>
              <w:dataBinding w:xpath="/root[1]/classification[1]" w:storeItemID="{9A899BFC-FB6C-4B04-92CB-9EE5994EE88A}"/>
              <w:text/>
            </w:sdtPr>
            <w:sdtContent/>
          </w:sdt>
        </w:p>
      </w:tc>
    </w:tr>
  </w:tbl>
  <w:p w:rsidR="00BB4342" w:rsidRPr="00923223" w:rsidP="00194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Style w:val="TableGrid"/>
      <w:tblW w:w="0" w:type="auto"/>
      <w:tblBorders>
        <w:top w:val="nil"/>
        <w:left w:val="nil"/>
        <w:bottom w:val="nil"/>
        <w:right w:val="nil"/>
        <w:insideH w:val="single" w:sz="2" w:space="0" w:color="7F7F7F"/>
        <w:insideV w:val="nil"/>
      </w:tblBorders>
      <w:tblLayout w:type="fixed"/>
      <w:tblCellMar>
        <w:left w:w="0" w:type="dxa"/>
        <w:right w:w="0" w:type="dxa"/>
      </w:tblCellMar>
      <w:tblLook w:val="04A0"/>
    </w:tblPr>
    <w:tblGrid>
      <w:gridCol w:w="2646"/>
      <w:gridCol w:w="2646"/>
      <w:gridCol w:w="1929"/>
      <w:gridCol w:w="2407"/>
    </w:tblGrid>
    <w:tr w:rsidTr="00D97D75">
      <w:tblPrEx>
        <w:tblW w:w="0" w:type="auto"/>
        <w:tblBorders>
          <w:top w:val="nil"/>
          <w:left w:val="nil"/>
          <w:bottom w:val="nil"/>
          <w:right w:val="nil"/>
          <w:insideH w:val="single" w:sz="2" w:space="0" w:color="7F7F7F"/>
          <w:insideV w:val="nil"/>
        </w:tblBorders>
        <w:tblLayout w:type="fixed"/>
        <w:tblCellMar>
          <w:left w:w="0" w:type="dxa"/>
          <w:right w:w="0" w:type="dxa"/>
        </w:tblCellMar>
        <w:tblLook w:val="04A0"/>
      </w:tblPrEx>
      <w:tc>
        <w:tcPr>
          <w:tcW w:w="9628" w:type="dxa"/>
          <w:gridSpan w:val="4"/>
          <w:tcMar>
            <w:bottom w:w="57" w:type="dxa"/>
            <w:right w:w="28" w:type="dxa"/>
          </w:tcMar>
        </w:tcPr>
        <w:p w:rsidR="00BB4342" w:rsidRPr="000C48D9" w:rsidP="00DF787D">
          <w:pPr>
            <w:pStyle w:val="Footer"/>
            <w:jc w:val="right"/>
            <w:rPr>
              <w:color w:val="7F7F7F"/>
              <w:lang w:val="en-GB"/>
            </w:rPr>
          </w:pPr>
          <w:r>
            <w:rPr>
              <w:color w:val="7F7F7F"/>
              <w:lang w:val="en-GB"/>
            </w:rPr>
            <w:t>Page</w:t>
          </w:r>
          <w:r w:rsidRPr="000C48D9">
            <w:rPr>
              <w:color w:val="7F7F7F"/>
              <w:lang w:val="en-GB"/>
            </w:rPr>
            <w:t xml:space="preserve"> </w:t>
          </w:r>
          <w:r w:rsidRPr="000C48D9">
            <w:rPr>
              <w:color w:val="7F7F7F"/>
            </w:rPr>
            <w:fldChar w:fldCharType="begin"/>
          </w:r>
          <w:r w:rsidRPr="000C48D9">
            <w:rPr>
              <w:color w:val="7F7F7F"/>
              <w:lang w:val="en-GB"/>
            </w:rPr>
            <w:instrText xml:space="preserve"> PAGE   \* MERGEFORMAT </w:instrText>
          </w:r>
          <w:r w:rsidRPr="000C48D9">
            <w:rPr>
              <w:color w:val="7F7F7F"/>
            </w:rPr>
            <w:fldChar w:fldCharType="separate"/>
          </w:r>
          <w:r w:rsidR="000E051F">
            <w:rPr>
              <w:noProof/>
              <w:color w:val="7F7F7F"/>
              <w:lang w:val="en-GB"/>
            </w:rPr>
            <w:t>1</w:t>
          </w:r>
          <w:r w:rsidRPr="000C48D9">
            <w:rPr>
              <w:color w:val="7F7F7F"/>
            </w:rPr>
            <w:fldChar w:fldCharType="end"/>
          </w:r>
          <w:r w:rsidRPr="000C48D9">
            <w:rPr>
              <w:color w:val="7F7F7F"/>
              <w:lang w:val="en-GB"/>
            </w:rPr>
            <w:t xml:space="preserve"> </w:t>
          </w:r>
          <w:r>
            <w:rPr>
              <w:color w:val="7F7F7F"/>
              <w:lang w:val="en-GB"/>
            </w:rPr>
            <w:t>of</w:t>
          </w:r>
          <w:r w:rsidRPr="000C48D9">
            <w:rPr>
              <w:color w:val="7F7F7F"/>
              <w:lang w:val="en-GB"/>
            </w:rPr>
            <w:t xml:space="preserve"> </w:t>
          </w:r>
          <w:r w:rsidRPr="000C48D9">
            <w:rPr>
              <w:color w:val="7F7F7F"/>
            </w:rPr>
            <w:fldChar w:fldCharType="begin"/>
          </w:r>
          <w:r w:rsidRPr="000C48D9">
            <w:rPr>
              <w:color w:val="7F7F7F"/>
              <w:lang w:val="en-GB"/>
            </w:rPr>
            <w:instrText xml:space="preserve"> NUMPAGES   \* MERGEFORMAT </w:instrText>
          </w:r>
          <w:r w:rsidRPr="000C48D9">
            <w:rPr>
              <w:color w:val="7F7F7F"/>
            </w:rPr>
            <w:fldChar w:fldCharType="separate"/>
          </w:r>
          <w:r w:rsidR="000E051F">
            <w:rPr>
              <w:noProof/>
              <w:color w:val="7F7F7F"/>
              <w:lang w:val="en-GB"/>
            </w:rPr>
            <w:t>1</w:t>
          </w:r>
          <w:r w:rsidRPr="000C48D9">
            <w:rPr>
              <w:color w:val="7F7F7F"/>
            </w:rPr>
            <w:fldChar w:fldCharType="end"/>
          </w:r>
          <w:r w:rsidRPr="000C48D9">
            <w:rPr>
              <w:color w:val="7F7F7F"/>
              <w:lang w:val="en-GB"/>
            </w:rPr>
            <w:t xml:space="preserve"> </w:t>
          </w:r>
        </w:p>
      </w:tc>
    </w:tr>
    <w:tr w:rsidTr="00D97D75">
      <w:tblPrEx>
        <w:tblW w:w="0" w:type="auto"/>
        <w:tblLayout w:type="fixed"/>
        <w:tblCellMar>
          <w:left w:w="0" w:type="dxa"/>
          <w:right w:w="0" w:type="dxa"/>
        </w:tblCellMar>
        <w:tblLook w:val="04A0"/>
      </w:tblPrEx>
      <w:tc>
        <w:tcPr>
          <w:tcW w:w="2646" w:type="dxa"/>
          <w:tcMar>
            <w:top w:w="57" w:type="dxa"/>
          </w:tcMar>
        </w:tcPr>
        <w:p w:rsidR="00BB4342" w:rsidRPr="000C48D9">
          <w:pPr>
            <w:pStyle w:val="Footer"/>
            <w:rPr>
              <w:lang w:val="en-GB"/>
            </w:rPr>
          </w:pPr>
          <w:r>
            <w:rPr>
              <w:b/>
            </w:rPr>
            <w:t>Equinor UK Ltd</w:t>
          </w:r>
        </w:p>
      </w:tc>
      <w:tc>
        <w:tcPr>
          <w:tcW w:w="2646" w:type="dxa"/>
        </w:tcPr>
        <w:p w:rsidR="00BB4342" w:rsidRPr="000C48D9">
          <w:pPr>
            <w:pStyle w:val="Footer"/>
            <w:rPr>
              <w:color w:val="7F7F7F"/>
              <w:lang w:val="en-GB"/>
            </w:rPr>
          </w:pPr>
          <w:r w:rsidRPr="000C48D9">
            <w:rPr>
              <w:color w:val="7F7F7F"/>
              <w:lang w:val="en-GB"/>
            </w:rPr>
            <w:t>Office a</w:t>
          </w:r>
          <w:r w:rsidRPr="000C48D9">
            <w:rPr>
              <w:color w:val="7F7F7F"/>
              <w:lang w:val="en-GB"/>
            </w:rPr>
            <w:t>d</w:t>
          </w:r>
          <w:r w:rsidRPr="000C48D9">
            <w:rPr>
              <w:color w:val="7F7F7F"/>
              <w:lang w:val="en-GB"/>
            </w:rPr>
            <w:t>d</w:t>
          </w:r>
          <w:r w:rsidRPr="000C48D9">
            <w:rPr>
              <w:color w:val="7F7F7F"/>
              <w:lang w:val="en-GB"/>
            </w:rPr>
            <w:t>ress</w:t>
          </w:r>
        </w:p>
        <w:p w:rsidR="00661396" w:rsidP="00661396">
          <w:pPr>
            <w:pStyle w:val="Footer"/>
            <w:rPr>
              <w:rFonts w:ascii="Arial" w:hAnsi="Arial" w:cs="Arial"/>
              <w:color w:val="000000"/>
              <w:szCs w:val="14"/>
              <w:lang w:val="en-GB"/>
            </w:rPr>
          </w:pPr>
          <w:r w:rsidRPr="00661396">
            <w:rPr>
              <w:rFonts w:ascii="Arial" w:hAnsi="Arial" w:cs="Arial"/>
              <w:color w:val="000000"/>
              <w:szCs w:val="14"/>
              <w:lang w:val="en-GB"/>
            </w:rPr>
            <w:t>Equinor House</w:t>
          </w:r>
          <w:r>
            <w:rPr>
              <w:rFonts w:ascii="Arial" w:hAnsi="Arial" w:cs="Arial"/>
              <w:color w:val="000000"/>
              <w:szCs w:val="14"/>
              <w:lang w:val="en-GB"/>
            </w:rPr>
            <w:t>,</w:t>
          </w:r>
          <w:r w:rsidRPr="00661396">
            <w:rPr>
              <w:rFonts w:ascii="Arial" w:hAnsi="Arial" w:cs="Arial"/>
              <w:color w:val="000000"/>
              <w:szCs w:val="14"/>
              <w:lang w:val="en-GB"/>
            </w:rPr>
            <w:t xml:space="preserve"> Kingswells, </w:t>
          </w:r>
        </w:p>
        <w:p w:rsidR="003000A1" w:rsidRPr="000C48D9" w:rsidP="00661396">
          <w:pPr>
            <w:pStyle w:val="Footer"/>
            <w:rPr>
              <w:lang w:val="en-GB"/>
            </w:rPr>
          </w:pPr>
          <w:r w:rsidRPr="00661396">
            <w:rPr>
              <w:rFonts w:ascii="Arial" w:hAnsi="Arial" w:cs="Arial"/>
              <w:color w:val="000000"/>
              <w:szCs w:val="14"/>
              <w:lang w:val="en-GB"/>
            </w:rPr>
            <w:t>Aberdeen AB15 8QG</w:t>
          </w:r>
        </w:p>
      </w:tc>
      <w:tc>
        <w:tcPr>
          <w:tcW w:w="1929" w:type="dxa"/>
        </w:tcPr>
        <w:p w:rsidR="00BB4342" w:rsidP="003000A1">
          <w:pPr>
            <w:pStyle w:val="Footer"/>
            <w:rPr>
              <w:lang w:val="en-GB"/>
            </w:rPr>
          </w:pPr>
          <w:r w:rsidRPr="003000A1">
            <w:rPr>
              <w:color w:val="7F7F7F"/>
              <w:lang w:val="en-GB"/>
            </w:rPr>
            <w:t>Telephone</w:t>
          </w:r>
        </w:p>
        <w:p w:rsidR="003000A1" w:rsidRPr="000C48D9" w:rsidP="00C56CD0">
          <w:pPr>
            <w:pStyle w:val="Footer"/>
            <w:rPr>
              <w:lang w:val="en-GB"/>
            </w:rPr>
          </w:pPr>
          <w:r w:rsidRPr="00C56CD0">
            <w:rPr>
              <w:rFonts w:ascii="Arial" w:hAnsi="Arial" w:cs="Arial"/>
              <w:color w:val="000000"/>
              <w:szCs w:val="14"/>
              <w:lang w:val="en-GB"/>
            </w:rPr>
            <w:t>+44 (0)1224 540540</w:t>
          </w:r>
        </w:p>
      </w:tc>
      <w:tc>
        <w:tcPr>
          <w:tcW w:w="2407" w:type="dxa"/>
          <w:tcMar>
            <w:right w:w="28" w:type="dxa"/>
          </w:tcMar>
        </w:tcPr>
        <w:p w:rsidR="00BB4342" w:rsidRPr="000C48D9" w:rsidP="006D5273">
          <w:pPr>
            <w:pStyle w:val="Footer"/>
            <w:jc w:val="right"/>
            <w:rPr>
              <w:color w:val="FF0037"/>
              <w:lang w:val="en-GB"/>
            </w:rPr>
          </w:pPr>
          <w:r w:rsidRPr="000C48D9">
            <w:rPr>
              <w:color w:val="FF0037"/>
              <w:lang w:val="en-GB"/>
            </w:rPr>
            <w:t>www.equinor.com</w:t>
          </w:r>
        </w:p>
        <w:p w:rsidR="00BB4342" w:rsidRPr="000C48D9" w:rsidP="006D5273">
          <w:pPr>
            <w:pStyle w:val="Footer"/>
            <w:jc w:val="right"/>
            <w:rPr>
              <w:color w:val="FF0037"/>
              <w:lang w:val="en-GB"/>
            </w:rPr>
          </w:pPr>
        </w:p>
        <w:p w:rsidR="00BB4342" w:rsidRPr="000C48D9" w:rsidP="006D5273">
          <w:pPr>
            <w:pStyle w:val="Footer"/>
            <w:jc w:val="right"/>
            <w:rPr>
              <w:color w:val="FF0037"/>
              <w:lang w:val="en-GB"/>
            </w:rPr>
          </w:pPr>
          <w:sdt>
            <w:sdtPr>
              <w:rPr>
                <w:szCs w:val="14"/>
              </w:rPr>
              <w:alias w:val="Classification"/>
              <w:tag w:val="Classification"/>
              <w:id w:val="-160470564"/>
              <w:dataBinding w:xpath="/root[1]/classification[1]" w:storeItemID="{9A899BFC-FB6C-4B04-92CB-9EE5994EE88A}"/>
              <w:text/>
            </w:sdtPr>
            <w:sdtContent/>
          </w:sdt>
        </w:p>
      </w:tc>
    </w:tr>
  </w:tbl>
  <w:p w:rsidR="00BB4342" w:rsidRPr="000C48D9" w:rsidP="007B1D01">
    <w:pPr>
      <w:pStyle w:val="Footer"/>
      <w:tabs>
        <w:tab w:val="left" w:pos="2632"/>
        <w:tab w:val="clear" w:pos="4513"/>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4342" w:rsidP="00EB0E6A">
    <w:pPr>
      <w:pStyle w:val="Header"/>
    </w:pPr>
    <w:r w:rsidRPr="00EB0E6A">
      <w:rPr>
        <w:noProof/>
      </w:rPr>
      <w:drawing>
        <wp:anchor distT="0" distB="0" distL="114300" distR="114300" simplePos="0" relativeHeight="251658240" behindDoc="1" locked="0" layoutInCell="1" allowOverlap="1">
          <wp:simplePos x="0" y="0"/>
          <wp:positionH relativeFrom="column">
            <wp:posOffset>4822647</wp:posOffset>
          </wp:positionH>
          <wp:positionV relativeFrom="paragraph">
            <wp:posOffset>-341874</wp:posOffset>
          </wp:positionV>
          <wp:extent cx="1439720" cy="748655"/>
          <wp:effectExtent l="0" t="0" r="0" b="0"/>
          <wp:wrapNone/>
          <wp:docPr id="1" name="Content Placehold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ntent Placeholder 2">
                    <a:extLst>
                      <a:ext uri="{FF2B5EF4-FFF2-40B4-BE49-F238E27FC236}">
                        <a16:creationId xmlns:a16="http://schemas.microsoft.com/office/drawing/2014/main" id="{20D5124B-56CB-4378-96E7-BDD2F0DBFA07}"/>
                      </a:ext>
                    </a:extLst>
                  </pic:cNvPr>
                  <pic:cNvPicPr>
                    <a:picLocks noChangeAspect="1"/>
                  </pic:cNvPicPr>
                </pic:nvPicPr>
                <pic:blipFill>
                  <a:blip xmlns:r="http://schemas.openxmlformats.org/officeDocument/2006/relationships" r:embed="rId1">
                    <a:extLst>
                      <a:ext uri="{28A0092B-C50C-407E-A947-70E740481C1C}">
                        <a14:useLocalDpi xmlns:a14="http://schemas.microsoft.com/office/drawing/2010/main" val="0"/>
                      </a:ext>
                    </a:extLst>
                  </a:blip>
                  <a:stretch>
                    <a:fillRect/>
                  </a:stretch>
                </pic:blipFill>
                <pic:spPr>
                  <a:xfrm>
                    <a:off x="0" y="0"/>
                    <a:ext cx="1439720" cy="74865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B4342">
    <w:pPr>
      <w:pStyle w:val="Header"/>
    </w:pPr>
    <w:r>
      <w:rPr>
        <w:noProof/>
      </w:rPr>
      <w:drawing>
        <wp:anchor distT="0" distB="0" distL="114300" distR="114300" simplePos="0" relativeHeight="251659264" behindDoc="1" locked="0" layoutInCell="1" allowOverlap="1">
          <wp:simplePos x="0" y="0"/>
          <wp:positionH relativeFrom="column">
            <wp:posOffset>4616288</wp:posOffset>
          </wp:positionH>
          <wp:positionV relativeFrom="paragraph">
            <wp:posOffset>-100965</wp:posOffset>
          </wp:positionV>
          <wp:extent cx="1744719" cy="1523634"/>
          <wp:effectExtent l="0" t="0" r="0" b="0"/>
          <wp:wrapNone/>
          <wp:docPr id="2" name="Picture 2" descr="C:\Users\thst\Desktop\New Equinor templates\Equinor_PRIMARY_logo_RGB_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st\Desktop\New Equinor templates\Equinor_PRIMARY_logo_RGB_RED.png"/>
                  <pic:cNvPicPr>
                    <a:picLocks noChangeAspect="1" noChangeArrowheads="1"/>
                  </pic:cNvPicPr>
                </pic:nvPicPr>
                <pic:blipFill>
                  <a:blip xmlns:r="http://schemas.openxmlformats.org/officeDocument/2006/relationships" r:embed="rId1">
                    <a:extLst>
                      <a:ext uri="{28A0092B-C50C-407E-A947-70E740481C1C}">
                        <a14:useLocalDpi xmlns:a14="http://schemas.microsoft.com/office/drawing/2010/main" val="0"/>
                      </a:ext>
                    </a:extLst>
                  </a:blip>
                  <a:srcRect/>
                  <a:stretch>
                    <a:fillRect/>
                  </a:stretch>
                </pic:blipFill>
                <pic:spPr bwMode="auto">
                  <a:xfrm>
                    <a:off x="0" y="0"/>
                    <a:ext cx="1744719" cy="1523634"/>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AFD65230"/>
    <w:multiLevelType w:val="hybridMultilevel"/>
    <w:tmpl w:val="C47C211C"/>
    <w:lvl w:ilvl="0">
      <w:start w:val="1"/>
      <w:numFmt w:val="ideographDigit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11440494"/>
    <w:multiLevelType w:val="multilevel"/>
    <w:tmpl w:val="F6D629C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1E514CB0"/>
    <w:multiLevelType w:val="multilevel"/>
    <w:tmpl w:val="A7CE3D7C"/>
    <w:styleLink w:val="BulletNormal"/>
    <w:lvl w:ilvl="0">
      <w:start w:val="1"/>
      <w:numFmt w:val="bullet"/>
      <w:lvlText w:val=""/>
      <w:lvlJc w:val="left"/>
      <w:pPr>
        <w:ind w:left="284" w:hanging="284"/>
      </w:pPr>
      <w:rPr>
        <w:rFonts w:ascii="Symbol" w:hAnsi="Symbol" w:hint="default"/>
        <w:b w:val="0"/>
        <w:i w:val="0"/>
        <w:sz w:val="19"/>
      </w:rPr>
    </w:lvl>
    <w:lvl w:ilvl="1">
      <w:start w:val="1"/>
      <w:numFmt w:val="bullet"/>
      <w:lvlText w:val="o"/>
      <w:lvlJc w:val="left"/>
      <w:pPr>
        <w:ind w:left="568" w:hanging="284"/>
      </w:pPr>
      <w:rPr>
        <w:rFonts w:ascii="Courier New" w:hAnsi="Courier New" w:hint="default"/>
      </w:rPr>
    </w:lvl>
    <w:lvl w:ilvl="2">
      <w:start w:val="1"/>
      <w:numFmt w:val="bullet"/>
      <w:lvlText w:val="o"/>
      <w:lvlJc w:val="left"/>
      <w:pPr>
        <w:ind w:left="852" w:hanging="284"/>
      </w:pPr>
      <w:rPr>
        <w:rFonts w:ascii="Courier New" w:hAnsi="Courier New" w:hint="default"/>
      </w:rPr>
    </w:lvl>
    <w:lvl w:ilvl="3">
      <w:start w:val="1"/>
      <w:numFmt w:val="bullet"/>
      <w:lvlText w:val="o"/>
      <w:lvlJc w:val="left"/>
      <w:pPr>
        <w:ind w:left="1136" w:hanging="284"/>
      </w:pPr>
      <w:rPr>
        <w:rFonts w:ascii="Courier New" w:hAnsi="Courier New" w:hint="default"/>
      </w:rPr>
    </w:lvl>
    <w:lvl w:ilvl="4">
      <w:start w:val="1"/>
      <w:numFmt w:val="bullet"/>
      <w:lvlText w:val="o"/>
      <w:lvlJc w:val="left"/>
      <w:pPr>
        <w:ind w:left="1420" w:hanging="284"/>
      </w:pPr>
      <w:rPr>
        <w:rFonts w:ascii="Courier New" w:hAnsi="Courier New" w:hint="default"/>
      </w:rPr>
    </w:lvl>
    <w:lvl w:ilvl="5">
      <w:start w:val="1"/>
      <w:numFmt w:val="bullet"/>
      <w:lvlText w:val="o"/>
      <w:lvlJc w:val="left"/>
      <w:pPr>
        <w:ind w:left="1704" w:hanging="284"/>
      </w:pPr>
      <w:rPr>
        <w:rFonts w:ascii="Courier New" w:hAnsi="Courier New" w:hint="default"/>
      </w:rPr>
    </w:lvl>
    <w:lvl w:ilvl="6">
      <w:start w:val="1"/>
      <w:numFmt w:val="bullet"/>
      <w:lvlText w:val="o"/>
      <w:lvlJc w:val="left"/>
      <w:pPr>
        <w:ind w:left="1988" w:hanging="284"/>
      </w:pPr>
      <w:rPr>
        <w:rFonts w:ascii="Courier New" w:hAnsi="Courier New" w:hint="default"/>
      </w:rPr>
    </w:lvl>
    <w:lvl w:ilvl="7">
      <w:start w:val="1"/>
      <w:numFmt w:val="bullet"/>
      <w:lvlText w:val="o"/>
      <w:lvlJc w:val="left"/>
      <w:pPr>
        <w:ind w:left="2272" w:hanging="284"/>
      </w:pPr>
      <w:rPr>
        <w:rFonts w:ascii="Courier New" w:hAnsi="Courier New" w:hint="default"/>
      </w:rPr>
    </w:lvl>
    <w:lvl w:ilvl="8">
      <w:start w:val="1"/>
      <w:numFmt w:val="bullet"/>
      <w:lvlText w:val="o"/>
      <w:lvlJc w:val="left"/>
      <w:pPr>
        <w:ind w:left="2556" w:hanging="284"/>
      </w:pPr>
      <w:rPr>
        <w:rFonts w:ascii="Courier New" w:hAnsi="Courier New" w:hint="default"/>
      </w:rPr>
    </w:lvl>
  </w:abstractNum>
  <w:abstractNum w:abstractNumId="3">
    <w:nsid w:val="1E682AF1"/>
    <w:multiLevelType w:val="multilevel"/>
    <w:tmpl w:val="826C0722"/>
    <w:styleLink w:val="BulletIndent"/>
    <w:lvl w:ilvl="0">
      <w:start w:val="1"/>
      <w:numFmt w:val="bullet"/>
      <w:lvlText w:val=""/>
      <w:lvlJc w:val="left"/>
      <w:pPr>
        <w:ind w:left="1134" w:hanging="283"/>
      </w:pPr>
      <w:rPr>
        <w:rFonts w:ascii="Symbol" w:hAnsi="Symbol" w:hint="default"/>
        <w:sz w:val="19"/>
      </w:rPr>
    </w:lvl>
    <w:lvl w:ilvl="1">
      <w:start w:val="1"/>
      <w:numFmt w:val="bullet"/>
      <w:lvlText w:val="o"/>
      <w:lvlJc w:val="left"/>
      <w:pPr>
        <w:ind w:left="1418" w:hanging="283"/>
      </w:pPr>
      <w:rPr>
        <w:rFonts w:ascii="Courier New" w:hAnsi="Courier New" w:hint="default"/>
      </w:rPr>
    </w:lvl>
    <w:lvl w:ilvl="2">
      <w:start w:val="1"/>
      <w:numFmt w:val="bullet"/>
      <w:lvlText w:val="o"/>
      <w:lvlJc w:val="left"/>
      <w:pPr>
        <w:ind w:left="1702" w:hanging="283"/>
      </w:pPr>
      <w:rPr>
        <w:rFonts w:ascii="Courier New" w:hAnsi="Courier New" w:hint="default"/>
      </w:rPr>
    </w:lvl>
    <w:lvl w:ilvl="3">
      <w:start w:val="1"/>
      <w:numFmt w:val="bullet"/>
      <w:lvlText w:val="o"/>
      <w:lvlJc w:val="left"/>
      <w:pPr>
        <w:ind w:left="1986" w:hanging="283"/>
      </w:pPr>
      <w:rPr>
        <w:rFonts w:ascii="Courier New" w:hAnsi="Courier New" w:hint="default"/>
      </w:rPr>
    </w:lvl>
    <w:lvl w:ilvl="4">
      <w:start w:val="1"/>
      <w:numFmt w:val="bullet"/>
      <w:lvlText w:val="o"/>
      <w:lvlJc w:val="left"/>
      <w:pPr>
        <w:ind w:left="2270" w:hanging="283"/>
      </w:pPr>
      <w:rPr>
        <w:rFonts w:ascii="Courier New" w:hAnsi="Courier New" w:hint="default"/>
      </w:rPr>
    </w:lvl>
    <w:lvl w:ilvl="5">
      <w:start w:val="1"/>
      <w:numFmt w:val="bullet"/>
      <w:lvlText w:val="o"/>
      <w:lvlJc w:val="left"/>
      <w:pPr>
        <w:ind w:left="2554" w:hanging="283"/>
      </w:pPr>
      <w:rPr>
        <w:rFonts w:ascii="Courier New" w:hAnsi="Courier New" w:hint="default"/>
      </w:rPr>
    </w:lvl>
    <w:lvl w:ilvl="6">
      <w:start w:val="1"/>
      <w:numFmt w:val="bullet"/>
      <w:lvlText w:val="o"/>
      <w:lvlJc w:val="left"/>
      <w:pPr>
        <w:ind w:left="2838" w:hanging="283"/>
      </w:pPr>
      <w:rPr>
        <w:rFonts w:ascii="Courier New" w:hAnsi="Courier New" w:hint="default"/>
      </w:rPr>
    </w:lvl>
    <w:lvl w:ilvl="7">
      <w:start w:val="1"/>
      <w:numFmt w:val="bullet"/>
      <w:lvlText w:val="o"/>
      <w:lvlJc w:val="left"/>
      <w:pPr>
        <w:ind w:left="3122" w:hanging="283"/>
      </w:pPr>
      <w:rPr>
        <w:rFonts w:ascii="Courier New" w:hAnsi="Courier New" w:hint="default"/>
      </w:rPr>
    </w:lvl>
    <w:lvl w:ilvl="8">
      <w:start w:val="1"/>
      <w:numFmt w:val="bullet"/>
      <w:lvlText w:val="o"/>
      <w:lvlJc w:val="left"/>
      <w:pPr>
        <w:ind w:left="3406" w:hanging="283"/>
      </w:pPr>
      <w:rPr>
        <w:rFonts w:ascii="Courier New" w:hAnsi="Courier New" w:hint="default"/>
      </w:rPr>
    </w:lvl>
  </w:abstractNum>
  <w:abstractNum w:abstractNumId="4">
    <w:nsid w:val="2FEB74C2"/>
    <w:multiLevelType w:val="hybridMultilevel"/>
    <w:tmpl w:val="F4446348"/>
    <w:lvl w:ilvl="0">
      <w:start w:val="1"/>
      <w:numFmt w:val="bullet"/>
      <w:pStyle w:val="BulletIndent3"/>
      <w:lvlText w:val="o"/>
      <w:lvlJc w:val="left"/>
      <w:pPr>
        <w:ind w:left="1571" w:hanging="360"/>
      </w:pPr>
      <w:rPr>
        <w:rFonts w:ascii="Courier New" w:hAnsi="Courier New" w:cs="Courier New" w:hint="default"/>
      </w:rPr>
    </w:lvl>
    <w:lvl w:ilvl="1" w:tentative="1">
      <w:start w:val="1"/>
      <w:numFmt w:val="bullet"/>
      <w:lvlText w:val="o"/>
      <w:lvlJc w:val="left"/>
      <w:pPr>
        <w:ind w:left="2291" w:hanging="360"/>
      </w:pPr>
      <w:rPr>
        <w:rFonts w:ascii="Courier New" w:hAnsi="Courier New" w:cs="Courier New" w:hint="default"/>
      </w:rPr>
    </w:lvl>
    <w:lvl w:ilvl="2" w:tentative="1">
      <w:start w:val="1"/>
      <w:numFmt w:val="bullet"/>
      <w:lvlText w:val=""/>
      <w:lvlJc w:val="left"/>
      <w:pPr>
        <w:ind w:left="3011" w:hanging="360"/>
      </w:pPr>
      <w:rPr>
        <w:rFonts w:ascii="Wingdings" w:hAnsi="Wingdings" w:hint="default"/>
      </w:rPr>
    </w:lvl>
    <w:lvl w:ilvl="3" w:tentative="1">
      <w:start w:val="1"/>
      <w:numFmt w:val="bullet"/>
      <w:lvlText w:val=""/>
      <w:lvlJc w:val="left"/>
      <w:pPr>
        <w:ind w:left="3731" w:hanging="360"/>
      </w:pPr>
      <w:rPr>
        <w:rFonts w:ascii="Symbol" w:hAnsi="Symbol" w:hint="default"/>
      </w:rPr>
    </w:lvl>
    <w:lvl w:ilvl="4" w:tentative="1">
      <w:start w:val="1"/>
      <w:numFmt w:val="bullet"/>
      <w:lvlText w:val="o"/>
      <w:lvlJc w:val="left"/>
      <w:pPr>
        <w:ind w:left="4451" w:hanging="360"/>
      </w:pPr>
      <w:rPr>
        <w:rFonts w:ascii="Courier New" w:hAnsi="Courier New" w:cs="Courier New" w:hint="default"/>
      </w:rPr>
    </w:lvl>
    <w:lvl w:ilvl="5" w:tentative="1">
      <w:start w:val="1"/>
      <w:numFmt w:val="bullet"/>
      <w:lvlText w:val=""/>
      <w:lvlJc w:val="left"/>
      <w:pPr>
        <w:ind w:left="5171" w:hanging="360"/>
      </w:pPr>
      <w:rPr>
        <w:rFonts w:ascii="Wingdings" w:hAnsi="Wingdings" w:hint="default"/>
      </w:rPr>
    </w:lvl>
    <w:lvl w:ilvl="6" w:tentative="1">
      <w:start w:val="1"/>
      <w:numFmt w:val="bullet"/>
      <w:lvlText w:val=""/>
      <w:lvlJc w:val="left"/>
      <w:pPr>
        <w:ind w:left="5891" w:hanging="360"/>
      </w:pPr>
      <w:rPr>
        <w:rFonts w:ascii="Symbol" w:hAnsi="Symbol" w:hint="default"/>
      </w:rPr>
    </w:lvl>
    <w:lvl w:ilvl="7" w:tentative="1">
      <w:start w:val="1"/>
      <w:numFmt w:val="bullet"/>
      <w:lvlText w:val="o"/>
      <w:lvlJc w:val="left"/>
      <w:pPr>
        <w:ind w:left="6611" w:hanging="360"/>
      </w:pPr>
      <w:rPr>
        <w:rFonts w:ascii="Courier New" w:hAnsi="Courier New" w:cs="Courier New" w:hint="default"/>
      </w:rPr>
    </w:lvl>
    <w:lvl w:ilvl="8" w:tentative="1">
      <w:start w:val="1"/>
      <w:numFmt w:val="bullet"/>
      <w:lvlText w:val=""/>
      <w:lvlJc w:val="left"/>
      <w:pPr>
        <w:ind w:left="7331" w:hanging="360"/>
      </w:pPr>
      <w:rPr>
        <w:rFonts w:ascii="Wingdings" w:hAnsi="Wingdings" w:hint="default"/>
      </w:rPr>
    </w:lvl>
  </w:abstractNum>
  <w:abstractNum w:abstractNumId="5">
    <w:nsid w:val="335621C7"/>
    <w:multiLevelType w:val="multilevel"/>
    <w:tmpl w:val="F8CEB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8C08FC"/>
    <w:multiLevelType w:val="hybridMultilevel"/>
    <w:tmpl w:val="B4580DCE"/>
    <w:lvl w:ilvl="0">
      <w:start w:val="1"/>
      <w:numFmt w:val="bullet"/>
      <w:pStyle w:val="BulletIndent1"/>
      <w:lvlText w:val=""/>
      <w:lvlJc w:val="left"/>
      <w:pPr>
        <w:ind w:left="1571" w:hanging="360"/>
      </w:pPr>
      <w:rPr>
        <w:rFonts w:ascii="Symbol" w:hAnsi="Symbol" w:hint="default"/>
      </w:rPr>
    </w:lvl>
    <w:lvl w:ilvl="1" w:tentative="1">
      <w:start w:val="1"/>
      <w:numFmt w:val="bullet"/>
      <w:lvlText w:val="o"/>
      <w:lvlJc w:val="left"/>
      <w:pPr>
        <w:ind w:left="2291" w:hanging="360"/>
      </w:pPr>
      <w:rPr>
        <w:rFonts w:ascii="Courier New" w:hAnsi="Courier New" w:cs="Courier New" w:hint="default"/>
      </w:rPr>
    </w:lvl>
    <w:lvl w:ilvl="2" w:tentative="1">
      <w:start w:val="1"/>
      <w:numFmt w:val="bullet"/>
      <w:lvlText w:val=""/>
      <w:lvlJc w:val="left"/>
      <w:pPr>
        <w:ind w:left="3011" w:hanging="360"/>
      </w:pPr>
      <w:rPr>
        <w:rFonts w:ascii="Wingdings" w:hAnsi="Wingdings" w:hint="default"/>
      </w:rPr>
    </w:lvl>
    <w:lvl w:ilvl="3" w:tentative="1">
      <w:start w:val="1"/>
      <w:numFmt w:val="bullet"/>
      <w:lvlText w:val=""/>
      <w:lvlJc w:val="left"/>
      <w:pPr>
        <w:ind w:left="3731" w:hanging="360"/>
      </w:pPr>
      <w:rPr>
        <w:rFonts w:ascii="Symbol" w:hAnsi="Symbol" w:hint="default"/>
      </w:rPr>
    </w:lvl>
    <w:lvl w:ilvl="4" w:tentative="1">
      <w:start w:val="1"/>
      <w:numFmt w:val="bullet"/>
      <w:lvlText w:val="o"/>
      <w:lvlJc w:val="left"/>
      <w:pPr>
        <w:ind w:left="4451" w:hanging="360"/>
      </w:pPr>
      <w:rPr>
        <w:rFonts w:ascii="Courier New" w:hAnsi="Courier New" w:cs="Courier New" w:hint="default"/>
      </w:rPr>
    </w:lvl>
    <w:lvl w:ilvl="5" w:tentative="1">
      <w:start w:val="1"/>
      <w:numFmt w:val="bullet"/>
      <w:lvlText w:val=""/>
      <w:lvlJc w:val="left"/>
      <w:pPr>
        <w:ind w:left="5171" w:hanging="360"/>
      </w:pPr>
      <w:rPr>
        <w:rFonts w:ascii="Wingdings" w:hAnsi="Wingdings" w:hint="default"/>
      </w:rPr>
    </w:lvl>
    <w:lvl w:ilvl="6" w:tentative="1">
      <w:start w:val="1"/>
      <w:numFmt w:val="bullet"/>
      <w:lvlText w:val=""/>
      <w:lvlJc w:val="left"/>
      <w:pPr>
        <w:ind w:left="5891" w:hanging="360"/>
      </w:pPr>
      <w:rPr>
        <w:rFonts w:ascii="Symbol" w:hAnsi="Symbol" w:hint="default"/>
      </w:rPr>
    </w:lvl>
    <w:lvl w:ilvl="7" w:tentative="1">
      <w:start w:val="1"/>
      <w:numFmt w:val="bullet"/>
      <w:lvlText w:val="o"/>
      <w:lvlJc w:val="left"/>
      <w:pPr>
        <w:ind w:left="6611" w:hanging="360"/>
      </w:pPr>
      <w:rPr>
        <w:rFonts w:ascii="Courier New" w:hAnsi="Courier New" w:cs="Courier New" w:hint="default"/>
      </w:rPr>
    </w:lvl>
    <w:lvl w:ilvl="8" w:tentative="1">
      <w:start w:val="1"/>
      <w:numFmt w:val="bullet"/>
      <w:lvlText w:val=""/>
      <w:lvlJc w:val="left"/>
      <w:pPr>
        <w:ind w:left="7331" w:hanging="360"/>
      </w:pPr>
      <w:rPr>
        <w:rFonts w:ascii="Wingdings" w:hAnsi="Wingdings" w:hint="default"/>
      </w:rPr>
    </w:lvl>
  </w:abstractNum>
  <w:abstractNum w:abstractNumId="7">
    <w:nsid w:val="3857109B"/>
    <w:multiLevelType w:val="hybridMultilevel"/>
    <w:tmpl w:val="911A34DC"/>
    <w:lvl w:ilvl="0">
      <w:start w:val="1"/>
      <w:numFmt w:val="bullet"/>
      <w:pStyle w:val="Bullet1"/>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47EF6E29"/>
    <w:multiLevelType w:val="hybridMultilevel"/>
    <w:tmpl w:val="C348418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4EF845BE"/>
    <w:multiLevelType w:val="hybridMultilevel"/>
    <w:tmpl w:val="B2A63604"/>
    <w:lvl w:ilvl="0">
      <w:start w:val="1"/>
      <w:numFmt w:val="bullet"/>
      <w:pStyle w:val="Bullet3"/>
      <w:lvlText w:val="o"/>
      <w:lvlJc w:val="left"/>
      <w:pPr>
        <w:ind w:left="720" w:hanging="360"/>
      </w:pPr>
      <w:rPr>
        <w:rFonts w:ascii="Courier New" w:hAnsi="Courier New" w:cs="Courier New"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64350673"/>
    <w:multiLevelType w:val="hybridMultilevel"/>
    <w:tmpl w:val="2C10E862"/>
    <w:lvl w:ilvl="0">
      <w:start w:val="1"/>
      <w:numFmt w:val="bullet"/>
      <w:pStyle w:val="BulletIndent2"/>
      <w:lvlText w:val="o"/>
      <w:lvlJc w:val="left"/>
      <w:pPr>
        <w:ind w:left="1571" w:hanging="360"/>
      </w:pPr>
      <w:rPr>
        <w:rFonts w:ascii="Courier New" w:hAnsi="Courier New" w:cs="Courier New" w:hint="default"/>
      </w:rPr>
    </w:lvl>
    <w:lvl w:ilvl="1" w:tentative="1">
      <w:start w:val="1"/>
      <w:numFmt w:val="bullet"/>
      <w:lvlText w:val="o"/>
      <w:lvlJc w:val="left"/>
      <w:pPr>
        <w:ind w:left="2291" w:hanging="360"/>
      </w:pPr>
      <w:rPr>
        <w:rFonts w:ascii="Courier New" w:hAnsi="Courier New" w:cs="Courier New" w:hint="default"/>
      </w:rPr>
    </w:lvl>
    <w:lvl w:ilvl="2" w:tentative="1">
      <w:start w:val="1"/>
      <w:numFmt w:val="bullet"/>
      <w:lvlText w:val=""/>
      <w:lvlJc w:val="left"/>
      <w:pPr>
        <w:ind w:left="3011" w:hanging="360"/>
      </w:pPr>
      <w:rPr>
        <w:rFonts w:ascii="Wingdings" w:hAnsi="Wingdings" w:hint="default"/>
      </w:rPr>
    </w:lvl>
    <w:lvl w:ilvl="3" w:tentative="1">
      <w:start w:val="1"/>
      <w:numFmt w:val="bullet"/>
      <w:lvlText w:val=""/>
      <w:lvlJc w:val="left"/>
      <w:pPr>
        <w:ind w:left="3731" w:hanging="360"/>
      </w:pPr>
      <w:rPr>
        <w:rFonts w:ascii="Symbol" w:hAnsi="Symbol" w:hint="default"/>
      </w:rPr>
    </w:lvl>
    <w:lvl w:ilvl="4" w:tentative="1">
      <w:start w:val="1"/>
      <w:numFmt w:val="bullet"/>
      <w:lvlText w:val="o"/>
      <w:lvlJc w:val="left"/>
      <w:pPr>
        <w:ind w:left="4451" w:hanging="360"/>
      </w:pPr>
      <w:rPr>
        <w:rFonts w:ascii="Courier New" w:hAnsi="Courier New" w:cs="Courier New" w:hint="default"/>
      </w:rPr>
    </w:lvl>
    <w:lvl w:ilvl="5" w:tentative="1">
      <w:start w:val="1"/>
      <w:numFmt w:val="bullet"/>
      <w:lvlText w:val=""/>
      <w:lvlJc w:val="left"/>
      <w:pPr>
        <w:ind w:left="5171" w:hanging="360"/>
      </w:pPr>
      <w:rPr>
        <w:rFonts w:ascii="Wingdings" w:hAnsi="Wingdings" w:hint="default"/>
      </w:rPr>
    </w:lvl>
    <w:lvl w:ilvl="6" w:tentative="1">
      <w:start w:val="1"/>
      <w:numFmt w:val="bullet"/>
      <w:lvlText w:val=""/>
      <w:lvlJc w:val="left"/>
      <w:pPr>
        <w:ind w:left="5891" w:hanging="360"/>
      </w:pPr>
      <w:rPr>
        <w:rFonts w:ascii="Symbol" w:hAnsi="Symbol" w:hint="default"/>
      </w:rPr>
    </w:lvl>
    <w:lvl w:ilvl="7" w:tentative="1">
      <w:start w:val="1"/>
      <w:numFmt w:val="bullet"/>
      <w:lvlText w:val="o"/>
      <w:lvlJc w:val="left"/>
      <w:pPr>
        <w:ind w:left="6611" w:hanging="360"/>
      </w:pPr>
      <w:rPr>
        <w:rFonts w:ascii="Courier New" w:hAnsi="Courier New" w:cs="Courier New" w:hint="default"/>
      </w:rPr>
    </w:lvl>
    <w:lvl w:ilvl="8" w:tentative="1">
      <w:start w:val="1"/>
      <w:numFmt w:val="bullet"/>
      <w:lvlText w:val=""/>
      <w:lvlJc w:val="left"/>
      <w:pPr>
        <w:ind w:left="7331" w:hanging="360"/>
      </w:pPr>
      <w:rPr>
        <w:rFonts w:ascii="Wingdings" w:hAnsi="Wingdings" w:hint="default"/>
      </w:rPr>
    </w:lvl>
  </w:abstractNum>
  <w:abstractNum w:abstractNumId="11">
    <w:nsid w:val="6A3C60C8"/>
    <w:multiLevelType w:val="hybridMultilevel"/>
    <w:tmpl w:val="91E0E83A"/>
    <w:lvl w:ilvl="0">
      <w:start w:val="1"/>
      <w:numFmt w:val="bullet"/>
      <w:pStyle w:val="Bullet2"/>
      <w:lvlText w:val="o"/>
      <w:lvlJc w:val="left"/>
      <w:pPr>
        <w:ind w:left="1004" w:hanging="360"/>
      </w:pPr>
      <w:rPr>
        <w:rFonts w:ascii="Courier New" w:hAnsi="Courier New" w:cs="Courier New"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2">
    <w:nsid w:val="6DA64385"/>
    <w:multiLevelType w:val="hybridMultilevel"/>
    <w:tmpl w:val="1B9EC7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1"/>
  </w:num>
  <w:num w:numId="4">
    <w:abstractNumId w:val="9"/>
  </w:num>
  <w:num w:numId="5">
    <w:abstractNumId w:val="3"/>
  </w:num>
  <w:num w:numId="6">
    <w:abstractNumId w:val="6"/>
  </w:num>
  <w:num w:numId="7">
    <w:abstractNumId w:val="10"/>
  </w:num>
  <w:num w:numId="8">
    <w:abstractNumId w:val="4"/>
  </w:num>
  <w:num w:numId="9">
    <w:abstractNumId w:val="2"/>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7"/>
  </w:num>
  <w:num w:numId="20">
    <w:abstractNumId w:val="11"/>
  </w:num>
  <w:num w:numId="21">
    <w:abstractNumId w:val="9"/>
  </w:num>
  <w:num w:numId="22">
    <w:abstractNumId w:val="3"/>
  </w:num>
  <w:num w:numId="23">
    <w:abstractNumId w:val="6"/>
  </w:num>
  <w:num w:numId="24">
    <w:abstractNumId w:val="10"/>
  </w:num>
  <w:num w:numId="25">
    <w:abstractNumId w:val="4"/>
  </w:num>
  <w:num w:numId="26">
    <w:abstractNumId w:val="2"/>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5"/>
  </w:num>
  <w:num w:numId="37">
    <w:abstractNumId w:val="8"/>
  </w:num>
  <w:num w:numId="38">
    <w:abstractNumId w:val="12"/>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GB"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return" w:semiHidden="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54A8"/>
    <w:pPr>
      <w:spacing w:after="0" w:line="280" w:lineRule="atLeast"/>
    </w:pPr>
    <w:rPr>
      <w:color w:val="000000" w:themeColor="text1"/>
      <w:sz w:val="19"/>
    </w:rPr>
  </w:style>
  <w:style w:type="paragraph" w:styleId="Heading1">
    <w:name w:val="heading 1"/>
    <w:basedOn w:val="Normal"/>
    <w:next w:val="NormalIndent15"/>
    <w:link w:val="Heading1Char"/>
    <w:uiPriority w:val="9"/>
    <w:qFormat/>
    <w:rsid w:val="0037545A"/>
    <w:pPr>
      <w:keepNext/>
      <w:keepLines/>
      <w:numPr>
        <w:numId w:val="35"/>
      </w:numPr>
      <w:spacing w:before="360" w:after="180"/>
      <w:ind w:left="851" w:hanging="851"/>
      <w:outlineLvl w:val="0"/>
    </w:pPr>
    <w:rPr>
      <w:rFonts w:asciiTheme="majorHAnsi" w:eastAsiaTheme="majorEastAsia" w:hAnsiTheme="majorHAnsi" w:cstheme="majorBidi"/>
      <w:b/>
      <w:sz w:val="20"/>
      <w:szCs w:val="32"/>
    </w:rPr>
  </w:style>
  <w:style w:type="paragraph" w:styleId="Heading2">
    <w:name w:val="heading 2"/>
    <w:basedOn w:val="Normal"/>
    <w:next w:val="NormalIndent15"/>
    <w:link w:val="Heading2Char"/>
    <w:uiPriority w:val="9"/>
    <w:unhideWhenUsed/>
    <w:qFormat/>
    <w:rsid w:val="0037545A"/>
    <w:pPr>
      <w:keepNext/>
      <w:keepLines/>
      <w:numPr>
        <w:ilvl w:val="1"/>
        <w:numId w:val="35"/>
      </w:numPr>
      <w:spacing w:before="240" w:after="120"/>
      <w:ind w:left="851" w:hanging="851"/>
      <w:outlineLvl w:val="1"/>
    </w:pPr>
    <w:rPr>
      <w:rFonts w:asciiTheme="majorHAnsi" w:eastAsiaTheme="majorEastAsia" w:hAnsiTheme="majorHAnsi" w:cstheme="majorBidi"/>
      <w:sz w:val="20"/>
      <w:szCs w:val="26"/>
    </w:rPr>
  </w:style>
  <w:style w:type="paragraph" w:styleId="Heading3">
    <w:name w:val="heading 3"/>
    <w:basedOn w:val="Normal"/>
    <w:next w:val="NormalIndent15"/>
    <w:link w:val="Heading3Char"/>
    <w:uiPriority w:val="9"/>
    <w:unhideWhenUsed/>
    <w:qFormat/>
    <w:rsid w:val="0037545A"/>
    <w:pPr>
      <w:keepNext/>
      <w:keepLines/>
      <w:numPr>
        <w:ilvl w:val="2"/>
        <w:numId w:val="35"/>
      </w:numPr>
      <w:spacing w:before="160"/>
      <w:ind w:left="851" w:hanging="851"/>
      <w:outlineLvl w:val="2"/>
    </w:pPr>
    <w:rPr>
      <w:rFonts w:asciiTheme="majorHAnsi" w:eastAsiaTheme="majorEastAsia" w:hAnsiTheme="majorHAnsi" w:cstheme="majorBidi"/>
      <w:sz w:val="20"/>
      <w:szCs w:val="24"/>
    </w:rPr>
  </w:style>
  <w:style w:type="paragraph" w:styleId="Heading4">
    <w:name w:val="heading 4"/>
    <w:basedOn w:val="Normal"/>
    <w:next w:val="NormalIndent15"/>
    <w:link w:val="Heading4Char"/>
    <w:uiPriority w:val="9"/>
    <w:unhideWhenUsed/>
    <w:qFormat/>
    <w:rsid w:val="0037545A"/>
    <w:pPr>
      <w:keepNext/>
      <w:keepLines/>
      <w:numPr>
        <w:ilvl w:val="3"/>
        <w:numId w:val="35"/>
      </w:numPr>
      <w:spacing w:before="160"/>
      <w:ind w:left="851" w:hanging="851"/>
      <w:outlineLvl w:val="3"/>
    </w:pPr>
    <w:rPr>
      <w:rFonts w:asciiTheme="majorHAnsi" w:eastAsiaTheme="majorEastAsia" w:hAnsiTheme="majorHAnsi" w:cstheme="majorBidi"/>
      <w:iCs/>
      <w:sz w:val="20"/>
    </w:rPr>
  </w:style>
  <w:style w:type="paragraph" w:styleId="Heading5">
    <w:name w:val="heading 5"/>
    <w:basedOn w:val="Normal"/>
    <w:next w:val="Normal"/>
    <w:link w:val="Heading5Char"/>
    <w:uiPriority w:val="9"/>
    <w:semiHidden/>
    <w:qFormat/>
    <w:rsid w:val="007D54A8"/>
    <w:pPr>
      <w:keepNext/>
      <w:keepLines/>
      <w:numPr>
        <w:ilvl w:val="4"/>
        <w:numId w:val="35"/>
      </w:numPr>
      <w:spacing w:before="40"/>
      <w:outlineLvl w:val="4"/>
    </w:pPr>
    <w:rPr>
      <w:rFonts w:asciiTheme="majorHAnsi" w:eastAsiaTheme="majorEastAsia" w:hAnsiTheme="majorHAnsi" w:cstheme="majorBidi"/>
      <w:color w:val="C5002D" w:themeColor="accent1" w:themeShade="BF"/>
    </w:rPr>
  </w:style>
  <w:style w:type="paragraph" w:styleId="Heading6">
    <w:name w:val="heading 6"/>
    <w:basedOn w:val="Normal"/>
    <w:next w:val="Normal"/>
    <w:link w:val="Heading6Char"/>
    <w:uiPriority w:val="9"/>
    <w:semiHidden/>
    <w:unhideWhenUsed/>
    <w:qFormat/>
    <w:rsid w:val="007D54A8"/>
    <w:pPr>
      <w:keepNext/>
      <w:keepLines/>
      <w:numPr>
        <w:ilvl w:val="5"/>
        <w:numId w:val="35"/>
      </w:numPr>
      <w:spacing w:before="40"/>
      <w:outlineLvl w:val="5"/>
    </w:pPr>
    <w:rPr>
      <w:rFonts w:asciiTheme="majorHAnsi" w:eastAsiaTheme="majorEastAsia" w:hAnsiTheme="majorHAnsi" w:cstheme="majorBidi"/>
      <w:color w:val="83001E" w:themeColor="accent1" w:themeShade="7F"/>
    </w:rPr>
  </w:style>
  <w:style w:type="paragraph" w:styleId="Heading7">
    <w:name w:val="heading 7"/>
    <w:basedOn w:val="Normal"/>
    <w:next w:val="Normal"/>
    <w:link w:val="Heading7Char"/>
    <w:uiPriority w:val="9"/>
    <w:semiHidden/>
    <w:unhideWhenUsed/>
    <w:qFormat/>
    <w:rsid w:val="007D54A8"/>
    <w:pPr>
      <w:keepNext/>
      <w:keepLines/>
      <w:numPr>
        <w:ilvl w:val="6"/>
        <w:numId w:val="35"/>
      </w:numPr>
      <w:spacing w:before="40"/>
      <w:outlineLvl w:val="6"/>
    </w:pPr>
    <w:rPr>
      <w:rFonts w:asciiTheme="majorHAnsi" w:eastAsiaTheme="majorEastAsia" w:hAnsiTheme="majorHAnsi" w:cstheme="majorBidi"/>
      <w:i/>
      <w:iCs/>
      <w:color w:val="83001E" w:themeColor="accent1" w:themeShade="7F"/>
    </w:rPr>
  </w:style>
  <w:style w:type="paragraph" w:styleId="Heading8">
    <w:name w:val="heading 8"/>
    <w:basedOn w:val="Normal"/>
    <w:next w:val="Normal"/>
    <w:link w:val="Heading8Char"/>
    <w:uiPriority w:val="9"/>
    <w:semiHidden/>
    <w:unhideWhenUsed/>
    <w:qFormat/>
    <w:rsid w:val="007D54A8"/>
    <w:pPr>
      <w:keepNext/>
      <w:keepLines/>
      <w:numPr>
        <w:ilvl w:val="7"/>
        <w:numId w:val="3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54A8"/>
    <w:pPr>
      <w:keepNext/>
      <w:keepLines/>
      <w:numPr>
        <w:ilvl w:val="8"/>
        <w:numId w:val="3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54A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7D54A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D54A8"/>
    <w:rPr>
      <w:color w:val="000000" w:themeColor="text1"/>
      <w:sz w:val="19"/>
    </w:rPr>
  </w:style>
  <w:style w:type="paragraph" w:styleId="Footer">
    <w:name w:val="footer"/>
    <w:basedOn w:val="Normal"/>
    <w:link w:val="FooterChar"/>
    <w:uiPriority w:val="99"/>
    <w:semiHidden/>
    <w:rsid w:val="007D54A8"/>
    <w:pPr>
      <w:tabs>
        <w:tab w:val="center" w:pos="4513"/>
        <w:tab w:val="right" w:pos="9026"/>
      </w:tabs>
      <w:spacing w:line="281" w:lineRule="auto"/>
    </w:pPr>
    <w:rPr>
      <w:sz w:val="14"/>
    </w:rPr>
  </w:style>
  <w:style w:type="character" w:customStyle="1" w:styleId="FooterChar">
    <w:name w:val="Footer Char"/>
    <w:basedOn w:val="DefaultParagraphFont"/>
    <w:link w:val="Footer"/>
    <w:uiPriority w:val="99"/>
    <w:semiHidden/>
    <w:rsid w:val="007D54A8"/>
    <w:rPr>
      <w:color w:val="000000" w:themeColor="text1"/>
      <w:sz w:val="14"/>
    </w:rPr>
  </w:style>
  <w:style w:type="paragraph" w:styleId="EnvelopeAddress">
    <w:name w:val="envelope address"/>
    <w:basedOn w:val="Normal"/>
    <w:uiPriority w:val="99"/>
    <w:semiHidden/>
    <w:rsid w:val="007D54A8"/>
    <w:pPr>
      <w:framePr w:hSpace="181" w:wrap="around" w:vAnchor="page" w:hAnchor="margin" w:y="2326"/>
      <w:suppressOverlap/>
    </w:pPr>
    <w:rPr>
      <w:lang w:val="en-US"/>
    </w:rPr>
  </w:style>
  <w:style w:type="character" w:styleId="PlaceholderText">
    <w:name w:val="Placeholder Text"/>
    <w:basedOn w:val="DefaultParagraphFont"/>
    <w:uiPriority w:val="99"/>
    <w:semiHidden/>
    <w:rsid w:val="007D54A8"/>
    <w:rPr>
      <w:color w:val="808080"/>
    </w:rPr>
  </w:style>
  <w:style w:type="character" w:customStyle="1" w:styleId="Heading1Char">
    <w:name w:val="Heading 1 Char"/>
    <w:basedOn w:val="DefaultParagraphFont"/>
    <w:link w:val="Heading1"/>
    <w:uiPriority w:val="9"/>
    <w:rsid w:val="0037545A"/>
    <w:rPr>
      <w:rFonts w:asciiTheme="majorHAnsi" w:eastAsiaTheme="majorEastAsia" w:hAnsiTheme="majorHAnsi" w:cstheme="majorBidi"/>
      <w:b/>
      <w:color w:val="000000" w:themeColor="text1"/>
      <w:sz w:val="20"/>
      <w:szCs w:val="32"/>
    </w:rPr>
  </w:style>
  <w:style w:type="character" w:customStyle="1" w:styleId="Heading2Char">
    <w:name w:val="Heading 2 Char"/>
    <w:basedOn w:val="DefaultParagraphFont"/>
    <w:link w:val="Heading2"/>
    <w:uiPriority w:val="9"/>
    <w:rsid w:val="0037545A"/>
    <w:rPr>
      <w:rFonts w:asciiTheme="majorHAnsi" w:eastAsiaTheme="majorEastAsia" w:hAnsiTheme="majorHAnsi" w:cstheme="majorBidi"/>
      <w:color w:val="000000" w:themeColor="text1"/>
      <w:sz w:val="20"/>
      <w:szCs w:val="26"/>
    </w:rPr>
  </w:style>
  <w:style w:type="character" w:customStyle="1" w:styleId="Heading3Char">
    <w:name w:val="Heading 3 Char"/>
    <w:basedOn w:val="DefaultParagraphFont"/>
    <w:link w:val="Heading3"/>
    <w:uiPriority w:val="9"/>
    <w:rsid w:val="0037545A"/>
    <w:rPr>
      <w:rFonts w:asciiTheme="majorHAnsi" w:eastAsiaTheme="majorEastAsia" w:hAnsiTheme="majorHAnsi" w:cstheme="majorBidi"/>
      <w:color w:val="000000" w:themeColor="text1"/>
      <w:sz w:val="20"/>
      <w:szCs w:val="24"/>
    </w:rPr>
  </w:style>
  <w:style w:type="character" w:customStyle="1" w:styleId="Heading4Char">
    <w:name w:val="Heading 4 Char"/>
    <w:basedOn w:val="DefaultParagraphFont"/>
    <w:link w:val="Heading4"/>
    <w:uiPriority w:val="9"/>
    <w:rsid w:val="0037545A"/>
    <w:rPr>
      <w:rFonts w:asciiTheme="majorHAnsi" w:eastAsiaTheme="majorEastAsia" w:hAnsiTheme="majorHAnsi" w:cstheme="majorBidi"/>
      <w:iCs/>
      <w:color w:val="000000" w:themeColor="text1"/>
      <w:sz w:val="20"/>
    </w:rPr>
  </w:style>
  <w:style w:type="character" w:customStyle="1" w:styleId="Heading5Char">
    <w:name w:val="Heading 5 Char"/>
    <w:basedOn w:val="DefaultParagraphFont"/>
    <w:link w:val="Heading5"/>
    <w:uiPriority w:val="9"/>
    <w:semiHidden/>
    <w:rsid w:val="007D54A8"/>
    <w:rPr>
      <w:rFonts w:asciiTheme="majorHAnsi" w:eastAsiaTheme="majorEastAsia" w:hAnsiTheme="majorHAnsi" w:cstheme="majorBidi"/>
      <w:color w:val="C5002D" w:themeColor="accent1" w:themeShade="BF"/>
      <w:sz w:val="19"/>
    </w:rPr>
  </w:style>
  <w:style w:type="character" w:customStyle="1" w:styleId="Heading6Char">
    <w:name w:val="Heading 6 Char"/>
    <w:basedOn w:val="DefaultParagraphFont"/>
    <w:link w:val="Heading6"/>
    <w:uiPriority w:val="9"/>
    <w:semiHidden/>
    <w:rsid w:val="007D54A8"/>
    <w:rPr>
      <w:rFonts w:asciiTheme="majorHAnsi" w:eastAsiaTheme="majorEastAsia" w:hAnsiTheme="majorHAnsi" w:cstheme="majorBidi"/>
      <w:color w:val="83001E" w:themeColor="accent1" w:themeShade="7F"/>
      <w:sz w:val="19"/>
    </w:rPr>
  </w:style>
  <w:style w:type="character" w:customStyle="1" w:styleId="Heading7Char">
    <w:name w:val="Heading 7 Char"/>
    <w:basedOn w:val="DefaultParagraphFont"/>
    <w:link w:val="Heading7"/>
    <w:uiPriority w:val="9"/>
    <w:semiHidden/>
    <w:rsid w:val="007D54A8"/>
    <w:rPr>
      <w:rFonts w:asciiTheme="majorHAnsi" w:eastAsiaTheme="majorEastAsia" w:hAnsiTheme="majorHAnsi" w:cstheme="majorBidi"/>
      <w:i/>
      <w:iCs/>
      <w:color w:val="83001E" w:themeColor="accent1" w:themeShade="7F"/>
      <w:sz w:val="19"/>
    </w:rPr>
  </w:style>
  <w:style w:type="character" w:customStyle="1" w:styleId="Heading8Char">
    <w:name w:val="Heading 8 Char"/>
    <w:basedOn w:val="DefaultParagraphFont"/>
    <w:link w:val="Heading8"/>
    <w:uiPriority w:val="9"/>
    <w:semiHidden/>
    <w:rsid w:val="007D54A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54A8"/>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D54A8"/>
    <w:rPr>
      <w:noProof w:val="0"/>
      <w:color w:val="0070C0"/>
      <w:u w:val="single"/>
      <w:lang w:val="en-GB"/>
    </w:rPr>
  </w:style>
  <w:style w:type="character" w:customStyle="1" w:styleId="UnresolvedMention">
    <w:name w:val="Unresolved Mention"/>
    <w:basedOn w:val="DefaultParagraphFont"/>
    <w:uiPriority w:val="99"/>
    <w:unhideWhenUsed/>
    <w:rsid w:val="007D54A8"/>
    <w:rPr>
      <w:color w:val="808080"/>
      <w:shd w:val="clear" w:color="auto" w:fill="E6E6E6"/>
    </w:rPr>
  </w:style>
  <w:style w:type="paragraph" w:customStyle="1" w:styleId="Bullet1">
    <w:name w:val="Bullet 1"/>
    <w:basedOn w:val="Normal"/>
    <w:link w:val="Bullet1Char"/>
    <w:uiPriority w:val="11"/>
    <w:qFormat/>
    <w:rsid w:val="0037545A"/>
    <w:pPr>
      <w:numPr>
        <w:numId w:val="19"/>
      </w:numPr>
      <w:tabs>
        <w:tab w:val="left" w:pos="284"/>
      </w:tabs>
      <w:spacing w:before="120" w:after="120"/>
      <w:ind w:left="284" w:hanging="284"/>
    </w:pPr>
    <w:rPr>
      <w:rFonts w:cs="Arial"/>
    </w:rPr>
  </w:style>
  <w:style w:type="character" w:customStyle="1" w:styleId="Bullet1Char">
    <w:name w:val="Bullet 1 Char"/>
    <w:basedOn w:val="DefaultParagraphFont"/>
    <w:link w:val="Bullet1"/>
    <w:uiPriority w:val="11"/>
    <w:rsid w:val="0037545A"/>
    <w:rPr>
      <w:rFonts w:cs="Arial"/>
      <w:color w:val="000000" w:themeColor="text1"/>
      <w:sz w:val="19"/>
    </w:rPr>
  </w:style>
  <w:style w:type="paragraph" w:customStyle="1" w:styleId="Bullet2">
    <w:name w:val="Bullet 2"/>
    <w:basedOn w:val="Normal"/>
    <w:link w:val="Bullet2Char"/>
    <w:uiPriority w:val="11"/>
    <w:qFormat/>
    <w:rsid w:val="0037545A"/>
    <w:pPr>
      <w:numPr>
        <w:numId w:val="20"/>
      </w:numPr>
      <w:spacing w:before="120" w:after="120"/>
      <w:ind w:left="568" w:hanging="284"/>
    </w:pPr>
  </w:style>
  <w:style w:type="character" w:customStyle="1" w:styleId="Bullet2Char">
    <w:name w:val="Bullet 2 Char"/>
    <w:basedOn w:val="DefaultParagraphFont"/>
    <w:link w:val="Bullet2"/>
    <w:uiPriority w:val="11"/>
    <w:rsid w:val="0037545A"/>
    <w:rPr>
      <w:color w:val="000000" w:themeColor="text1"/>
      <w:sz w:val="19"/>
    </w:rPr>
  </w:style>
  <w:style w:type="paragraph" w:customStyle="1" w:styleId="Bullet3">
    <w:name w:val="Bullet 3"/>
    <w:basedOn w:val="Normal"/>
    <w:link w:val="Bullet3Char"/>
    <w:uiPriority w:val="11"/>
    <w:qFormat/>
    <w:rsid w:val="0037545A"/>
    <w:pPr>
      <w:numPr>
        <w:numId w:val="21"/>
      </w:numPr>
      <w:spacing w:before="120" w:after="120"/>
      <w:ind w:left="851" w:hanging="284"/>
    </w:pPr>
  </w:style>
  <w:style w:type="character" w:customStyle="1" w:styleId="Bullet3Char">
    <w:name w:val="Bullet 3 Char"/>
    <w:basedOn w:val="DefaultParagraphFont"/>
    <w:link w:val="Bullet3"/>
    <w:uiPriority w:val="11"/>
    <w:rsid w:val="0037545A"/>
    <w:rPr>
      <w:color w:val="000000" w:themeColor="text1"/>
      <w:sz w:val="19"/>
    </w:rPr>
  </w:style>
  <w:style w:type="numbering" w:customStyle="1" w:styleId="BulletIndent">
    <w:name w:val="Bullet Indent"/>
    <w:uiPriority w:val="99"/>
    <w:rsid w:val="007D54A8"/>
    <w:pPr>
      <w:numPr>
        <w:numId w:val="5"/>
      </w:numPr>
    </w:pPr>
  </w:style>
  <w:style w:type="paragraph" w:customStyle="1" w:styleId="NormalIndent15">
    <w:name w:val="Normal Indent 1.5"/>
    <w:basedOn w:val="Normal"/>
    <w:link w:val="NormalIndent15Char"/>
    <w:qFormat/>
    <w:rsid w:val="007D54A8"/>
    <w:pPr>
      <w:ind w:left="851"/>
    </w:pPr>
  </w:style>
  <w:style w:type="character" w:customStyle="1" w:styleId="NormalIndent15Char">
    <w:name w:val="Normal Indent 1.5 Char"/>
    <w:basedOn w:val="DefaultParagraphFont"/>
    <w:link w:val="NormalIndent15"/>
    <w:rsid w:val="007D54A8"/>
    <w:rPr>
      <w:color w:val="000000" w:themeColor="text1"/>
      <w:sz w:val="19"/>
    </w:rPr>
  </w:style>
  <w:style w:type="paragraph" w:customStyle="1" w:styleId="BulletIndent1">
    <w:name w:val="Bullet Indent 1"/>
    <w:basedOn w:val="NormalIndent15"/>
    <w:link w:val="BulletIndent1Char"/>
    <w:uiPriority w:val="11"/>
    <w:qFormat/>
    <w:rsid w:val="0037545A"/>
    <w:pPr>
      <w:numPr>
        <w:numId w:val="23"/>
      </w:numPr>
      <w:spacing w:before="120" w:after="120"/>
      <w:ind w:left="1135" w:hanging="284"/>
    </w:pPr>
  </w:style>
  <w:style w:type="character" w:customStyle="1" w:styleId="BulletIndent1Char">
    <w:name w:val="Bullet Indent 1 Char"/>
    <w:basedOn w:val="NormalIndent15Char"/>
    <w:link w:val="BulletIndent1"/>
    <w:uiPriority w:val="11"/>
    <w:rsid w:val="0037545A"/>
    <w:rPr>
      <w:color w:val="000000" w:themeColor="text1"/>
      <w:sz w:val="19"/>
    </w:rPr>
  </w:style>
  <w:style w:type="paragraph" w:customStyle="1" w:styleId="BulletIndent2">
    <w:name w:val="Bullet Indent 2"/>
    <w:basedOn w:val="NormalIndent15"/>
    <w:link w:val="BulletIndent2Char"/>
    <w:uiPriority w:val="11"/>
    <w:qFormat/>
    <w:rsid w:val="0037545A"/>
    <w:pPr>
      <w:numPr>
        <w:numId w:val="24"/>
      </w:numPr>
      <w:spacing w:before="120" w:after="120"/>
      <w:ind w:left="1418" w:hanging="284"/>
    </w:pPr>
  </w:style>
  <w:style w:type="character" w:customStyle="1" w:styleId="BulletIndent2Char">
    <w:name w:val="Bullet Indent 2 Char"/>
    <w:basedOn w:val="NormalIndent15Char"/>
    <w:link w:val="BulletIndent2"/>
    <w:uiPriority w:val="11"/>
    <w:rsid w:val="0037545A"/>
    <w:rPr>
      <w:color w:val="000000" w:themeColor="text1"/>
      <w:sz w:val="19"/>
    </w:rPr>
  </w:style>
  <w:style w:type="paragraph" w:customStyle="1" w:styleId="BulletIndent3">
    <w:name w:val="Bullet Indent 3"/>
    <w:basedOn w:val="NormalIndent15"/>
    <w:link w:val="BulletIndent3Char"/>
    <w:uiPriority w:val="11"/>
    <w:qFormat/>
    <w:rsid w:val="0037545A"/>
    <w:pPr>
      <w:numPr>
        <w:numId w:val="25"/>
      </w:numPr>
      <w:spacing w:before="120" w:after="120"/>
      <w:ind w:left="1702" w:hanging="284"/>
    </w:pPr>
  </w:style>
  <w:style w:type="character" w:customStyle="1" w:styleId="BulletIndent3Char">
    <w:name w:val="Bullet Indent 3 Char"/>
    <w:basedOn w:val="NormalIndent15Char"/>
    <w:link w:val="BulletIndent3"/>
    <w:uiPriority w:val="11"/>
    <w:rsid w:val="0037545A"/>
    <w:rPr>
      <w:color w:val="000000" w:themeColor="text1"/>
      <w:sz w:val="19"/>
    </w:rPr>
  </w:style>
  <w:style w:type="numbering" w:customStyle="1" w:styleId="BulletNormal">
    <w:name w:val="Bullet Normal"/>
    <w:uiPriority w:val="99"/>
    <w:rsid w:val="007D54A8"/>
    <w:pPr>
      <w:numPr>
        <w:numId w:val="9"/>
      </w:numPr>
    </w:pPr>
  </w:style>
  <w:style w:type="paragraph" w:styleId="ListParagraph">
    <w:name w:val="List Paragraph"/>
    <w:basedOn w:val="Normal"/>
    <w:uiPriority w:val="34"/>
    <w:qFormat/>
    <w:rsid w:val="007D54A8"/>
    <w:pPr>
      <w:ind w:left="720"/>
      <w:contextualSpacing/>
    </w:pPr>
  </w:style>
  <w:style w:type="paragraph" w:styleId="NoSpacing">
    <w:name w:val="No Spacing"/>
    <w:uiPriority w:val="1"/>
    <w:qFormat/>
    <w:rsid w:val="007D54A8"/>
    <w:pPr>
      <w:spacing w:after="0" w:line="240" w:lineRule="auto"/>
    </w:pPr>
    <w:rPr>
      <w:color w:val="000000" w:themeColor="text1"/>
      <w:sz w:val="19"/>
    </w:rPr>
  </w:style>
  <w:style w:type="character" w:styleId="Strong">
    <w:name w:val="Strong"/>
    <w:basedOn w:val="DefaultParagraphFont"/>
    <w:uiPriority w:val="22"/>
    <w:qFormat/>
    <w:rsid w:val="007D54A8"/>
    <w:rPr>
      <w:b/>
      <w:bCs/>
      <w:noProof w:val="0"/>
      <w:lang w:val="en-GB"/>
    </w:rPr>
  </w:style>
  <w:style w:type="character" w:styleId="SubtleReference">
    <w:name w:val="Subtle Reference"/>
    <w:uiPriority w:val="31"/>
    <w:semiHidden/>
    <w:rsid w:val="007D54A8"/>
    <w:rPr>
      <w:smallCaps/>
      <w:color w:val="C0504D"/>
      <w:u w:val="single"/>
    </w:rPr>
  </w:style>
  <w:style w:type="paragraph" w:styleId="Title">
    <w:name w:val="Title"/>
    <w:basedOn w:val="Normal"/>
    <w:next w:val="Normal"/>
    <w:link w:val="TitleChar"/>
    <w:uiPriority w:val="10"/>
    <w:qFormat/>
    <w:rsid w:val="007D54A8"/>
    <w:pPr>
      <w:spacing w:after="120" w:line="240" w:lineRule="auto"/>
    </w:pPr>
    <w:rPr>
      <w:rFonts w:asciiTheme="majorHAnsi" w:eastAsiaTheme="majorEastAsia" w:hAnsiTheme="majorHAnsi" w:cstheme="majorBidi"/>
      <w:color w:val="auto"/>
      <w:spacing w:val="-10"/>
      <w:kern w:val="28"/>
      <w:sz w:val="32"/>
      <w:szCs w:val="56"/>
    </w:rPr>
  </w:style>
  <w:style w:type="character" w:customStyle="1" w:styleId="TitleChar">
    <w:name w:val="Title Char"/>
    <w:basedOn w:val="DefaultParagraphFont"/>
    <w:link w:val="Title"/>
    <w:uiPriority w:val="10"/>
    <w:rsid w:val="007D54A8"/>
    <w:rPr>
      <w:rFonts w:asciiTheme="majorHAnsi" w:eastAsiaTheme="majorEastAsia" w:hAnsiTheme="majorHAnsi" w:cstheme="majorBidi"/>
      <w:spacing w:val="-10"/>
      <w:kern w:val="28"/>
      <w:sz w:val="32"/>
      <w:szCs w:val="56"/>
    </w:rPr>
  </w:style>
  <w:style w:type="paragraph" w:styleId="EndnoteText">
    <w:name w:val="endnote text"/>
    <w:basedOn w:val="Normal"/>
    <w:link w:val="EndnoteTextChar"/>
    <w:uiPriority w:val="99"/>
    <w:semiHidden/>
    <w:unhideWhenUsed/>
    <w:rsid w:val="003F15ED"/>
    <w:pPr>
      <w:spacing w:line="240" w:lineRule="auto"/>
    </w:pPr>
    <w:rPr>
      <w:color w:val="auto"/>
      <w:sz w:val="20"/>
      <w:szCs w:val="20"/>
    </w:rPr>
  </w:style>
  <w:style w:type="character" w:customStyle="1" w:styleId="EndnoteTextChar">
    <w:name w:val="Endnote Text Char"/>
    <w:basedOn w:val="DefaultParagraphFont"/>
    <w:link w:val="EndnoteText"/>
    <w:uiPriority w:val="99"/>
    <w:semiHidden/>
    <w:rsid w:val="003F15ED"/>
    <w:rPr>
      <w:sz w:val="20"/>
      <w:szCs w:val="20"/>
    </w:rPr>
  </w:style>
  <w:style w:type="character" w:styleId="EndnoteReference">
    <w:name w:val="endnote reference"/>
    <w:basedOn w:val="DefaultParagraphFont"/>
    <w:uiPriority w:val="99"/>
    <w:semiHidden/>
    <w:unhideWhenUsed/>
    <w:rsid w:val="003F15ED"/>
    <w:rPr>
      <w:vertAlign w:val="superscript"/>
    </w:rPr>
  </w:style>
  <w:style w:type="paragraph" w:styleId="BalloonText">
    <w:name w:val="Balloon Text"/>
    <w:basedOn w:val="Normal"/>
    <w:link w:val="BalloonTextChar"/>
    <w:uiPriority w:val="99"/>
    <w:semiHidden/>
    <w:unhideWhenUsed/>
    <w:rsid w:val="0023761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618"/>
    <w:rPr>
      <w:rFonts w:ascii="Segoe UI" w:hAnsi="Segoe UI" w:cs="Segoe UI"/>
      <w:color w:val="000000" w:themeColor="text1"/>
      <w:sz w:val="18"/>
      <w:szCs w:val="18"/>
    </w:rPr>
  </w:style>
  <w:style w:type="character" w:styleId="CommentReference">
    <w:name w:val="annotation reference"/>
    <w:basedOn w:val="DefaultParagraphFont"/>
    <w:uiPriority w:val="99"/>
    <w:semiHidden/>
    <w:unhideWhenUsed/>
    <w:rsid w:val="00302007"/>
    <w:rPr>
      <w:sz w:val="16"/>
      <w:szCs w:val="16"/>
    </w:rPr>
  </w:style>
  <w:style w:type="paragraph" w:styleId="CommentText">
    <w:name w:val="annotation text"/>
    <w:basedOn w:val="Normal"/>
    <w:link w:val="CommentTextChar"/>
    <w:uiPriority w:val="99"/>
    <w:semiHidden/>
    <w:unhideWhenUsed/>
    <w:rsid w:val="00302007"/>
    <w:pPr>
      <w:spacing w:line="240" w:lineRule="auto"/>
    </w:pPr>
    <w:rPr>
      <w:sz w:val="20"/>
      <w:szCs w:val="20"/>
    </w:rPr>
  </w:style>
  <w:style w:type="character" w:customStyle="1" w:styleId="CommentTextChar">
    <w:name w:val="Comment Text Char"/>
    <w:basedOn w:val="DefaultParagraphFont"/>
    <w:link w:val="CommentText"/>
    <w:uiPriority w:val="99"/>
    <w:semiHidden/>
    <w:rsid w:val="00302007"/>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02007"/>
    <w:rPr>
      <w:b/>
      <w:bCs/>
    </w:rPr>
  </w:style>
  <w:style w:type="character" w:customStyle="1" w:styleId="CommentSubjectChar">
    <w:name w:val="Comment Subject Char"/>
    <w:basedOn w:val="CommentTextChar"/>
    <w:link w:val="CommentSubject"/>
    <w:uiPriority w:val="99"/>
    <w:semiHidden/>
    <w:rsid w:val="00302007"/>
    <w:rPr>
      <w:b/>
      <w:bCs/>
      <w:color w:val="000000" w:themeColor="text1"/>
      <w:sz w:val="20"/>
      <w:szCs w:val="20"/>
    </w:rPr>
  </w:style>
  <w:style w:type="character" w:styleId="FollowedHyperlink">
    <w:name w:val="FollowedHyperlink"/>
    <w:basedOn w:val="DefaultParagraphFont"/>
    <w:uiPriority w:val="99"/>
    <w:semiHidden/>
    <w:rsid w:val="00C01D16"/>
    <w:rPr>
      <w:color w:val="93001E" w:themeColor="followedHyperlink"/>
      <w:u w:val="single"/>
    </w:rPr>
  </w:style>
  <w:style w:type="paragraph" w:customStyle="1" w:styleId="Default">
    <w:name w:val="Default"/>
    <w:rsid w:val="00F1161D"/>
    <w:pPr>
      <w:autoSpaceDE w:val="0"/>
      <w:autoSpaceDN w:val="0"/>
      <w:adjustRightInd w:val="0"/>
      <w:spacing w:after="0" w:line="240" w:lineRule="auto"/>
    </w:pPr>
    <w:rPr>
      <w:rFonts w:ascii="Orsted Sans" w:hAnsi="Orsted Sans" w:cs="Orsted Sans"/>
      <w:color w:val="000000"/>
      <w:sz w:val="24"/>
      <w:szCs w:val="24"/>
    </w:rPr>
  </w:style>
  <w:style w:type="character" w:customStyle="1" w:styleId="Mention">
    <w:name w:val="Mention"/>
    <w:basedOn w:val="DefaultParagraphFont"/>
    <w:uiPriority w:val="99"/>
    <w:unhideWhenUsed/>
    <w:rsid w:val="00587DA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header" Target="header2.xml" /><Relationship Id="rId14" Type="http://schemas.openxmlformats.org/officeDocument/2006/relationships/footer" Target="footer2.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customXml" Target="../customXml/item5.xml" /><Relationship Id="rId9" Type="http://schemas.openxmlformats.org/officeDocument/2006/relationships/customXml" Target="../customXml/item6.xml" /></Relationships>
</file>

<file path=word/_rels/header1.xml.rels>&#65279;<?xml version="1.0" encoding="utf-8" standalone="yes"?><Relationships xmlns="http://schemas.openxmlformats.org/package/2006/relationships"><Relationship Id="rId1" Type="http://schemas.openxmlformats.org/officeDocument/2006/relationships/image" Target="media/image2.png" /></Relationships>
</file>

<file path=word/_rels/header2.xml.rels>&#65279;<?xml version="1.0" encoding="utf-8" standalone="yes"?><Relationships xmlns="http://schemas.openxmlformats.org/package/2006/relationships"><Relationship Id="rId1" Type="http://schemas.openxmlformats.org/officeDocument/2006/relationships/image" Target="media/image3.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Program%20Files%20(x86)\Microsoft%20Office\Templates\Corp%20Template\CORP%20ENG\Letter%20A4.dotm" TargetMode="External" /></Relationships>
</file>

<file path=word/theme/theme1.xml><?xml version="1.0" encoding="utf-8"?>
<a:theme xmlns:a="http://schemas.openxmlformats.org/drawingml/2006/main" name="Office Theme">
  <a:themeElements>
    <a:clrScheme name="Equinor 03052018">
      <a:dk1>
        <a:srgbClr val="000000"/>
      </a:dk1>
      <a:lt1>
        <a:srgbClr val="FFFFFF"/>
      </a:lt1>
      <a:dk2>
        <a:srgbClr val="93001E"/>
      </a:dk2>
      <a:lt2>
        <a:srgbClr val="E0E4E7"/>
      </a:lt2>
      <a:accent1>
        <a:srgbClr val="FF0942"/>
      </a:accent1>
      <a:accent2>
        <a:srgbClr val="103445"/>
      </a:accent2>
      <a:accent3>
        <a:srgbClr val="00707A"/>
      </a:accent3>
      <a:accent4>
        <a:srgbClr val="CDEBF5"/>
      </a:accent4>
      <a:accent5>
        <a:srgbClr val="DEFAEC"/>
      </a:accent5>
      <a:accent6>
        <a:srgbClr val="FFE7D6"/>
      </a:accent6>
      <a:hlink>
        <a:srgbClr val="93001E"/>
      </a:hlink>
      <a:folHlink>
        <a:srgbClr val="93001E"/>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&#65279;<?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&#65279;<?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root>
  <firma/>
  <orgnr/>
  <gate>Two </gate>
  <pnr/>
  <tlfnr/>
</root>
</file>

<file path=customXml/item2.xml><?xml version="1.0" encoding="utf-8"?>
<ct:contentTypeSchema xmlns:ct="http://schemas.microsoft.com/office/2006/metadata/contentType" xmlns:ma="http://schemas.microsoft.com/office/2006/metadata/properties/metaAttributes" ct:_="" ma:_="" ma:contentTypeName="Document" ma:contentTypeID="0x0101002A5786EEAD654649839869A58609354E" ma:contentTypeVersion="17" ma:contentTypeDescription="Create a new document." ma:contentTypeScope="" ma:versionID="ae25786f7b4bd4565f8be5e69340e1b3">
  <xsd:schema xmlns:xsd="http://www.w3.org/2001/XMLSchema" xmlns:xs="http://www.w3.org/2001/XMLSchema" xmlns:p="http://schemas.microsoft.com/office/2006/metadata/properties" xmlns:ns3="e954206f-de18-448d-a23b-f63829fea51a" xmlns:ns4="ca2c702a-e359-4fc1-ae29-43f453c0bec1" targetNamespace="http://schemas.microsoft.com/office/2006/metadata/properties" ma:root="true" ma:fieldsID="8ca82877b741bf43588f78688afc12bb" ns3:_="" ns4:_="">
    <xsd:import namespace="e954206f-de18-448d-a23b-f63829fea51a"/>
    <xsd:import namespace="ca2c702a-e359-4fc1-ae29-43f453c0bec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4206f-de18-448d-a23b-f63829fea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2c702a-e359-4fc1-ae29-43f453c0be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02f74cf1-ae9f-400d-bc52-3bcd3a9e177f" ContentTypeId="0x0101"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SharedWithUsers xmlns="ca2c702a-e359-4fc1-ae29-43f453c0bec1">
      <UserInfo>
        <DisplayName>David Cairns</DisplayName>
        <AccountId>23</AccountId>
        <AccountType/>
      </UserInfo>
    </SharedWithUsers>
  </documentManagement>
</p:properties>
</file>

<file path=customXml/itemProps1.xml><?xml version="1.0" encoding="utf-8"?>
<ds:datastoreItem xmlns:ds="http://schemas.openxmlformats.org/officeDocument/2006/customXml" ds:itemID="{9794BDB2-627B-4057-AF01-5BDB3D2D97DB}">
  <ds:schemaRefs/>
</ds:datastoreItem>
</file>

<file path=customXml/itemProps2.xml><?xml version="1.0" encoding="utf-8"?>
<ds:datastoreItem xmlns:ds="http://schemas.openxmlformats.org/officeDocument/2006/customXml" ds:itemID="{5205B6BE-DC18-478C-BF80-9FFEE344F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4206f-de18-448d-a23b-f63829fea51a"/>
    <ds:schemaRef ds:uri="ca2c702a-e359-4fc1-ae29-43f453c0be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A2FC1F-4A90-4942-AEA0-6B1249390D0D}">
  <ds:schemaRefs>
    <ds:schemaRef ds:uri="Microsoft.SharePoint.Taxonomy.ContentTypeSync"/>
  </ds:schemaRefs>
</ds:datastoreItem>
</file>

<file path=customXml/itemProps4.xml><?xml version="1.0" encoding="utf-8"?>
<ds:datastoreItem xmlns:ds="http://schemas.openxmlformats.org/officeDocument/2006/customXml" ds:itemID="{17D8AD37-C250-4705-BAA9-B375BE506467}">
  <ds:schemaRefs>
    <ds:schemaRef ds:uri="http://schemas.microsoft.com/sharepoint/v3/contenttype/forms"/>
  </ds:schemaRefs>
</ds:datastoreItem>
</file>

<file path=customXml/itemProps5.xml><?xml version="1.0" encoding="utf-8"?>
<ds:datastoreItem xmlns:ds="http://schemas.openxmlformats.org/officeDocument/2006/customXml" ds:itemID="{E1060D82-CCFA-41EB-A5CE-5EFCBA2F93C9}">
  <ds:schemaRefs>
    <ds:schemaRef ds:uri="http://schemas.openxmlformats.org/officeDocument/2006/bibliography"/>
  </ds:schemaRefs>
</ds:datastoreItem>
</file>

<file path=customXml/itemProps6.xml><?xml version="1.0" encoding="utf-8"?>
<ds:datastoreItem xmlns:ds="http://schemas.openxmlformats.org/officeDocument/2006/customXml" ds:itemID="{9CCB97A4-13D8-4500-903E-F4D805E81D8C}">
  <ds:schemaRefs>
    <ds:schemaRef ds:uri="http://schemas.microsoft.com/office/2006/metadata/properties"/>
    <ds:schemaRef ds:uri="http://schemas.microsoft.com/office/infopath/2007/PartnerControls"/>
    <ds:schemaRef ds:uri="ca2c702a-e359-4fc1-ae29-43f453c0bec1"/>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