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79E0" w:rsidP="00FE79E0">
      <w:pPr>
        <w:rPr>
          <w:b/>
        </w:rPr>
      </w:pPr>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tblPr>
      <w:tblGrid>
        <w:gridCol w:w="5387"/>
        <w:gridCol w:w="3686"/>
      </w:tblGrid>
      <w:tr w:rsidTr="00EC571F">
        <w:tblPrEx>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tblPrEx>
        <w:trPr>
          <w:cantSplit/>
          <w:trHeight w:val="320"/>
        </w:trPr>
        <w:tc>
          <w:tcPr>
            <w:tcW w:w="5387" w:type="dxa"/>
          </w:tcPr>
          <w:p w:rsidR="00FE79E0" w:rsidP="00EC571F">
            <w:pPr>
              <w:pStyle w:val="letter-address"/>
            </w:pPr>
          </w:p>
        </w:tc>
        <w:tc>
          <w:tcPr>
            <w:tcW w:w="3686" w:type="dxa"/>
            <w:tcBorders>
              <w:bottom w:val="single" w:sz="4" w:space="0" w:color="FFFFFF"/>
            </w:tcBorders>
          </w:tcPr>
          <w:p w:rsidR="00FE79E0" w:rsidRPr="003C45AC" w:rsidP="00EC571F">
            <w:pPr>
              <w:pStyle w:val="letter-address"/>
              <w:spacing w:line="240" w:lineRule="exact"/>
              <w:rPr>
                <w:b/>
              </w:rPr>
            </w:pPr>
            <w:r>
              <w:rPr>
                <w:b/>
              </w:rPr>
              <w:t>Professor Sarah Green</w:t>
            </w:r>
          </w:p>
          <w:p w:rsidR="00FE79E0" w:rsidRPr="003C45AC" w:rsidP="00EC571F">
            <w:pPr>
              <w:pStyle w:val="letter-address"/>
              <w:spacing w:line="240" w:lineRule="exact"/>
              <w:rPr>
                <w:b/>
              </w:rPr>
            </w:pPr>
            <w:r>
              <w:rPr>
                <w:b/>
              </w:rPr>
              <w:t>Law Commissioner</w:t>
            </w:r>
          </w:p>
          <w:p w:rsidR="00FE79E0" w:rsidP="00EC571F">
            <w:pPr>
              <w:pStyle w:val="letter-address"/>
              <w:spacing w:line="240" w:lineRule="exact"/>
            </w:pPr>
            <w:r>
              <w:t>Law Commission</w:t>
            </w:r>
          </w:p>
        </w:tc>
      </w:tr>
      <w:tr w:rsidTr="00EC571F">
        <w:tblPrEx>
          <w:tblW w:w="0" w:type="auto"/>
          <w:tblInd w:w="5" w:type="dxa"/>
          <w:tblLayout w:type="fixed"/>
          <w:tblCellMar>
            <w:left w:w="0" w:type="dxa"/>
            <w:right w:w="0" w:type="dxa"/>
          </w:tblCellMar>
          <w:tblLook w:val="0000"/>
        </w:tblPrEx>
        <w:trPr>
          <w:cantSplit/>
          <w:trHeight w:val="1120"/>
        </w:trPr>
        <w:tc>
          <w:tcPr>
            <w:tcW w:w="5387" w:type="dxa"/>
          </w:tcPr>
          <w:p w:rsidR="00FE79E0" w:rsidP="00EC571F">
            <w:pPr>
              <w:pStyle w:val="letter-address"/>
              <w:spacing w:line="280" w:lineRule="exact"/>
              <w:rPr>
                <w:sz w:val="22"/>
              </w:rPr>
            </w:pPr>
            <w:r>
              <w:rPr>
                <w:noProof/>
              </w:rPr>
              <w:drawing>
                <wp:anchor distT="0" distB="0" distL="114300" distR="114300" simplePos="0" relativeHeight="251658240" behindDoc="0" locked="0" layoutInCell="0" allowOverlap="1">
                  <wp:simplePos x="0" y="0"/>
                  <wp:positionH relativeFrom="page">
                    <wp:posOffset>15240</wp:posOffset>
                  </wp:positionH>
                  <wp:positionV relativeFrom="page">
                    <wp:posOffset>-391160</wp:posOffset>
                  </wp:positionV>
                  <wp:extent cx="2700020" cy="8210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2700020" cy="821055"/>
                          </a:xfrm>
                          <a:prstGeom prst="rect">
                            <a:avLst/>
                          </a:prstGeom>
                          <a:noFill/>
                          <a:ln>
                            <a:noFill/>
                          </a:ln>
                        </pic:spPr>
                      </pic:pic>
                    </a:graphicData>
                  </a:graphic>
                </wp:anchor>
              </w:drawing>
            </w:r>
          </w:p>
        </w:tc>
        <w:tc>
          <w:tcPr>
            <w:tcW w:w="3686" w:type="dxa"/>
          </w:tcPr>
          <w:p w:rsidR="00FE79E0" w:rsidP="00EC571F">
            <w:pPr>
              <w:pStyle w:val="letter-address"/>
            </w:pPr>
            <w:r w:rsidRPr="00490672">
              <w:t xml:space="preserve">1st Floor, </w:t>
            </w:r>
            <w:r>
              <w:t>Tower</w:t>
            </w:r>
          </w:p>
          <w:p w:rsidR="00FE79E0" w:rsidP="00EC571F">
            <w:pPr>
              <w:pStyle w:val="letter-address"/>
            </w:pPr>
            <w:r>
              <w:t>52 Queen Anne’s Gate</w:t>
            </w:r>
            <w:r w:rsidRPr="00490672">
              <w:t xml:space="preserve"> </w:t>
            </w:r>
          </w:p>
          <w:p w:rsidR="00FE79E0" w:rsidRPr="00490672" w:rsidP="00EC571F">
            <w:pPr>
              <w:pStyle w:val="letter-address"/>
            </w:pPr>
            <w:smartTag w:uri="urn:schemas-microsoft-com:office:smarttags" w:element="place">
              <w:smartTag w:uri="urn:schemas-microsoft-com:office:smarttags" w:element="City">
                <w:r w:rsidRPr="00490672">
                  <w:t>London</w:t>
                </w:r>
              </w:smartTag>
              <w:r>
                <w:t>,</w:t>
              </w:r>
              <w:r w:rsidRPr="00490672">
                <w:t xml:space="preserve"> </w:t>
              </w:r>
              <w:smartTag w:uri="urn:schemas-microsoft-com:office:smarttags" w:element="PostalCode">
                <w:r w:rsidRPr="00490672">
                  <w:t>SW1H 9AG</w:t>
                </w:r>
              </w:smartTag>
            </w:smartTag>
            <w:r w:rsidRPr="00490672">
              <w:t xml:space="preserve"> </w:t>
            </w:r>
          </w:p>
        </w:tc>
      </w:tr>
      <w:tr w:rsidTr="00EC571F">
        <w:tblPrEx>
          <w:tblW w:w="0" w:type="auto"/>
          <w:tblInd w:w="5" w:type="dxa"/>
          <w:tblLayout w:type="fixed"/>
          <w:tblCellMar>
            <w:left w:w="0" w:type="dxa"/>
            <w:right w:w="0" w:type="dxa"/>
          </w:tblCellMar>
          <w:tblLook w:val="0000"/>
        </w:tblPrEx>
        <w:trPr>
          <w:cantSplit/>
          <w:trHeight w:val="2200"/>
        </w:trPr>
        <w:tc>
          <w:tcPr>
            <w:tcW w:w="5387" w:type="dxa"/>
          </w:tcPr>
          <w:p w:rsidR="00FE79E0" w:rsidRPr="003D1777" w:rsidP="00EC571F">
            <w:pPr>
              <w:pStyle w:val="letter-address"/>
              <w:spacing w:line="280" w:lineRule="exact"/>
              <w:rPr>
                <w:sz w:val="22"/>
                <w:szCs w:val="22"/>
              </w:rPr>
            </w:pPr>
            <w:bookmarkStart w:id="0" w:name="addr1"/>
            <w:bookmarkStart w:id="1" w:name="addr3"/>
            <w:bookmarkStart w:id="2" w:name="addr4"/>
            <w:bookmarkStart w:id="3" w:name="addr5"/>
            <w:bookmarkEnd w:id="0"/>
            <w:bookmarkEnd w:id="1"/>
            <w:bookmarkEnd w:id="2"/>
            <w:bookmarkEnd w:id="3"/>
            <w:r w:rsidRPr="003D1777">
              <w:rPr>
                <w:sz w:val="22"/>
                <w:szCs w:val="22"/>
              </w:rPr>
              <w:t>Mr G Webber</w:t>
            </w:r>
          </w:p>
          <w:p w:rsidR="00FE79E0" w:rsidRPr="003D1777" w:rsidP="00EC571F">
            <w:pPr>
              <w:pStyle w:val="letter-address"/>
              <w:spacing w:line="280" w:lineRule="exact"/>
              <w:rPr>
                <w:sz w:val="22"/>
                <w:szCs w:val="22"/>
              </w:rPr>
            </w:pPr>
            <w:r w:rsidRPr="003D1777">
              <w:rPr>
                <w:sz w:val="22"/>
                <w:szCs w:val="22"/>
              </w:rPr>
              <w:t>Clerk in the Legislation Office</w:t>
            </w:r>
          </w:p>
          <w:p w:rsidR="00FE79E0" w:rsidRPr="003D1777" w:rsidP="00EC571F">
            <w:pPr>
              <w:pStyle w:val="letter-address"/>
              <w:spacing w:line="280" w:lineRule="exact"/>
              <w:rPr>
                <w:sz w:val="22"/>
                <w:szCs w:val="22"/>
              </w:rPr>
            </w:pPr>
            <w:r w:rsidRPr="003D1777">
              <w:rPr>
                <w:sz w:val="22"/>
                <w:szCs w:val="22"/>
              </w:rPr>
              <w:t>House of Lords</w:t>
            </w:r>
          </w:p>
          <w:p w:rsidR="00FE79E0" w:rsidRPr="003D1777" w:rsidP="00EC571F">
            <w:pPr>
              <w:pStyle w:val="letter-address"/>
              <w:spacing w:line="280" w:lineRule="exact"/>
              <w:rPr>
                <w:sz w:val="22"/>
                <w:szCs w:val="22"/>
              </w:rPr>
            </w:pPr>
            <w:smartTag w:uri="urn:schemas-microsoft-com:office:smarttags" w:element="place">
              <w:smartTag w:uri="urn:schemas-microsoft-com:office:smarttags" w:element="City">
                <w:r w:rsidRPr="003D1777">
                  <w:rPr>
                    <w:sz w:val="22"/>
                    <w:szCs w:val="22"/>
                  </w:rPr>
                  <w:t>London</w:t>
                </w:r>
              </w:smartTag>
            </w:smartTag>
          </w:p>
          <w:p w:rsidR="00FE79E0" w:rsidRPr="003D1777" w:rsidP="00EC571F">
            <w:pPr>
              <w:pStyle w:val="letter-address"/>
              <w:spacing w:line="280" w:lineRule="exact"/>
              <w:rPr>
                <w:sz w:val="22"/>
                <w:szCs w:val="22"/>
              </w:rPr>
            </w:pPr>
            <w:r w:rsidRPr="003D1777">
              <w:rPr>
                <w:sz w:val="22"/>
                <w:szCs w:val="22"/>
              </w:rPr>
              <w:t>SW1A 0PW</w:t>
            </w:r>
          </w:p>
          <w:p w:rsidR="00FE79E0" w:rsidRPr="00274E88" w:rsidP="00EC571F">
            <w:pPr>
              <w:pStyle w:val="letter-address"/>
              <w:spacing w:line="280" w:lineRule="exact"/>
              <w:rPr>
                <w:sz w:val="22"/>
                <w:szCs w:val="22"/>
                <w:highlight w:val="yellow"/>
              </w:rPr>
            </w:pPr>
          </w:p>
          <w:p w:rsidR="00FE79E0" w:rsidP="00EC571F">
            <w:pPr>
              <w:pStyle w:val="letter-address"/>
              <w:spacing w:line="280" w:lineRule="exact"/>
              <w:rPr>
                <w:sz w:val="22"/>
              </w:rPr>
            </w:pPr>
          </w:p>
        </w:tc>
        <w:tc>
          <w:tcPr>
            <w:tcW w:w="3686" w:type="dxa"/>
          </w:tcPr>
          <w:p w:rsidR="00FE79E0" w:rsidP="00EC571F">
            <w:pPr>
              <w:pStyle w:val="letter-address"/>
              <w:tabs>
                <w:tab w:val="left" w:pos="170"/>
              </w:tabs>
              <w:spacing w:line="240" w:lineRule="exact"/>
            </w:pPr>
            <w:r>
              <w:rPr>
                <w:b/>
              </w:rPr>
              <w:t>t</w:t>
            </w:r>
            <w:r>
              <w:tab/>
            </w:r>
            <w:r w:rsidRPr="00874F19">
              <w:t>020 3334 0032</w:t>
            </w:r>
          </w:p>
          <w:p w:rsidR="00FE79E0" w:rsidP="00EC571F">
            <w:pPr>
              <w:pStyle w:val="letter-address"/>
              <w:tabs>
                <w:tab w:val="left" w:pos="170"/>
              </w:tabs>
              <w:spacing w:line="240" w:lineRule="exact"/>
            </w:pPr>
            <w:r>
              <w:rPr>
                <w:b/>
              </w:rPr>
              <w:t>e</w:t>
            </w:r>
            <w:r>
              <w:tab/>
            </w:r>
            <w:bookmarkStart w:id="4" w:name="email"/>
            <w:bookmarkEnd w:id="4"/>
            <w:r>
              <w:rPr>
                <w:szCs w:val="17"/>
              </w:rPr>
              <w:fldChar w:fldCharType="begin"/>
            </w:r>
            <w:r>
              <w:rPr>
                <w:szCs w:val="17"/>
              </w:rPr>
              <w:instrText xml:space="preserve"> HYPERLINK "mailto:</w:instrText>
            </w:r>
            <w:r w:rsidRPr="00274E88">
              <w:rPr>
                <w:szCs w:val="17"/>
              </w:rPr>
              <w:instrText>sarah.green@lawcommission.gov.uk</w:instrText>
            </w:r>
            <w:r>
              <w:rPr>
                <w:szCs w:val="17"/>
              </w:rPr>
              <w:instrText xml:space="preserve">" </w:instrText>
            </w:r>
            <w:r>
              <w:rPr>
                <w:szCs w:val="17"/>
              </w:rPr>
              <w:fldChar w:fldCharType="separate"/>
            </w:r>
            <w:r w:rsidRPr="00D7144A">
              <w:rPr>
                <w:rStyle w:val="Hyperlink"/>
                <w:szCs w:val="17"/>
              </w:rPr>
              <w:t>sarah.green@lawcommission.gov.uk</w:t>
            </w:r>
            <w:r>
              <w:rPr>
                <w:szCs w:val="17"/>
              </w:rPr>
              <w:fldChar w:fldCharType="end"/>
            </w:r>
            <w:r>
              <w:rPr>
                <w:szCs w:val="17"/>
              </w:rPr>
              <w:t xml:space="preserve"> </w:t>
            </w:r>
          </w:p>
          <w:p w:rsidR="00FE79E0" w:rsidP="00EC571F">
            <w:pPr>
              <w:pStyle w:val="letter-address"/>
              <w:spacing w:line="400" w:lineRule="exact"/>
              <w:rPr>
                <w:sz w:val="22"/>
              </w:rPr>
            </w:pPr>
          </w:p>
          <w:p w:rsidR="00FE79E0" w:rsidP="00EC571F">
            <w:pPr>
              <w:pStyle w:val="letter-address"/>
              <w:spacing w:line="280" w:lineRule="exact"/>
              <w:rPr>
                <w:sz w:val="22"/>
              </w:rPr>
            </w:pPr>
          </w:p>
          <w:p w:rsidR="00FE79E0" w:rsidP="00EC571F">
            <w:pPr>
              <w:pStyle w:val="letter-address"/>
              <w:tabs>
                <w:tab w:val="left" w:pos="1134"/>
              </w:tabs>
              <w:rPr>
                <w:sz w:val="22"/>
              </w:rPr>
            </w:pPr>
          </w:p>
          <w:p w:rsidR="00FE79E0" w:rsidP="00EC571F">
            <w:pPr>
              <w:pStyle w:val="letter-address"/>
              <w:tabs>
                <w:tab w:val="left" w:pos="1134"/>
              </w:tabs>
              <w:rPr>
                <w:sz w:val="22"/>
              </w:rPr>
            </w:pPr>
          </w:p>
          <w:p w:rsidR="00FE79E0" w:rsidP="00EC571F">
            <w:pPr>
              <w:pStyle w:val="letter-address"/>
              <w:tabs>
                <w:tab w:val="left" w:pos="1134"/>
              </w:tabs>
              <w:rPr>
                <w:sz w:val="22"/>
              </w:rPr>
            </w:pPr>
          </w:p>
          <w:p w:rsidR="00FE79E0" w:rsidP="00EC571F">
            <w:pPr>
              <w:pStyle w:val="letter-address"/>
              <w:tabs>
                <w:tab w:val="left" w:pos="1134"/>
              </w:tabs>
              <w:rPr>
                <w:sz w:val="22"/>
              </w:rPr>
            </w:pPr>
          </w:p>
          <w:p w:rsidR="00FE79E0" w:rsidP="00EC571F">
            <w:pPr>
              <w:pStyle w:val="letter-address"/>
              <w:tabs>
                <w:tab w:val="left" w:pos="1134"/>
              </w:tabs>
              <w:ind w:right="715"/>
              <w:jc w:val="right"/>
              <w:rPr>
                <w:sz w:val="22"/>
              </w:rPr>
            </w:pPr>
            <w:bookmarkStart w:id="5" w:name="yourref"/>
            <w:bookmarkEnd w:id="5"/>
            <w:r>
              <w:rPr>
                <w:sz w:val="22"/>
              </w:rPr>
              <w:t>24</w:t>
            </w:r>
            <w:r w:rsidR="00294037">
              <w:rPr>
                <w:sz w:val="22"/>
              </w:rPr>
              <w:t xml:space="preserve"> January 2023</w:t>
            </w:r>
          </w:p>
        </w:tc>
      </w:tr>
    </w:tbl>
    <w:p w:rsidR="00FE79E0" w:rsidP="00FE79E0">
      <w:pPr>
        <w:rPr>
          <w:rFonts w:ascii="Arial" w:hAnsi="Arial" w:cs="Arial"/>
          <w:sz w:val="22"/>
          <w:szCs w:val="22"/>
        </w:rPr>
      </w:pPr>
    </w:p>
    <w:p w:rsidR="00FE79E0" w:rsidP="00FE79E0">
      <w:pPr>
        <w:pStyle w:val="Text1nonumber"/>
        <w:ind w:left="0" w:right="-58"/>
      </w:pPr>
      <w:r>
        <w:t>Dear Mr Webber</w:t>
      </w:r>
      <w:r w:rsidR="00FC6063">
        <w:t>,</w:t>
      </w:r>
    </w:p>
    <w:p w:rsidR="00FE79E0" w:rsidRPr="006F61E2" w:rsidP="00FE79E0">
      <w:pPr>
        <w:pStyle w:val="Text1nonumber"/>
        <w:ind w:left="0" w:right="-58"/>
        <w:rPr>
          <w:b/>
          <w:bCs/>
        </w:rPr>
      </w:pPr>
      <w:r>
        <w:rPr>
          <w:b/>
          <w:bCs/>
        </w:rPr>
        <w:t xml:space="preserve">Electronic Trade Documents Bill: </w:t>
      </w:r>
      <w:r w:rsidR="00294037">
        <w:rPr>
          <w:b/>
          <w:bCs/>
        </w:rPr>
        <w:t>additional questions</w:t>
      </w:r>
    </w:p>
    <w:p w:rsidR="001E1E2D" w:rsidP="001E59E3">
      <w:pPr>
        <w:pStyle w:val="Text1nonumber"/>
        <w:numPr>
          <w:ilvl w:val="0"/>
          <w:numId w:val="2"/>
        </w:numPr>
        <w:tabs>
          <w:tab w:val="clear" w:pos="2280"/>
          <w:tab w:val="left" w:pos="7655"/>
        </w:tabs>
        <w:ind w:left="540" w:right="-58" w:hanging="540"/>
      </w:pPr>
      <w:r>
        <w:t>I write in relation to the</w:t>
      </w:r>
      <w:r w:rsidR="00294037">
        <w:t xml:space="preserve"> additional questions that were </w:t>
      </w:r>
      <w:r w:rsidR="00E962F7">
        <w:t>asked</w:t>
      </w:r>
      <w:r w:rsidR="00294037">
        <w:t xml:space="preserve"> by the</w:t>
      </w:r>
      <w:r>
        <w:t xml:space="preserve"> Electronic Trade Documents Special Public Bill Committee</w:t>
      </w:r>
      <w:r w:rsidR="00294037">
        <w:t xml:space="preserve"> following </w:t>
      </w:r>
      <w:r w:rsidR="00BE7042">
        <w:t>the</w:t>
      </w:r>
      <w:r w:rsidR="00294037">
        <w:t xml:space="preserve"> oral evidence session on 12 January 2023</w:t>
      </w:r>
      <w:r>
        <w:t>.</w:t>
      </w:r>
    </w:p>
    <w:p w:rsidR="00EC7170" w:rsidP="001E59E3">
      <w:pPr>
        <w:pStyle w:val="Text1nonumber"/>
        <w:numPr>
          <w:ilvl w:val="0"/>
          <w:numId w:val="2"/>
        </w:numPr>
        <w:tabs>
          <w:tab w:val="clear" w:pos="2280"/>
          <w:tab w:val="left" w:pos="7655"/>
        </w:tabs>
        <w:ind w:left="540" w:right="-58" w:hanging="540"/>
      </w:pPr>
      <w:r>
        <w:t xml:space="preserve">I </w:t>
      </w:r>
      <w:r w:rsidR="00967311">
        <w:t>am</w:t>
      </w:r>
      <w:r>
        <w:t xml:space="preserve"> very happy to discuss these and any other matters </w:t>
      </w:r>
      <w:r w:rsidR="00294037">
        <w:t>further with</w:t>
      </w:r>
      <w:r>
        <w:t xml:space="preserve"> the Committee.</w:t>
      </w:r>
    </w:p>
    <w:p w:rsidR="00567670" w:rsidP="00573FA0">
      <w:pPr>
        <w:pStyle w:val="Text1nonumber"/>
        <w:tabs>
          <w:tab w:val="left" w:pos="7655"/>
        </w:tabs>
        <w:ind w:left="0" w:right="-58"/>
      </w:pPr>
    </w:p>
    <w:p w:rsidR="00567670" w:rsidP="00567670">
      <w:pPr>
        <w:pStyle w:val="Text1nonumber"/>
        <w:ind w:left="0" w:right="-58"/>
      </w:pPr>
      <w:r>
        <w:t>Yours sincerely,</w:t>
      </w:r>
    </w:p>
    <w:p w:rsidR="00567670" w:rsidRPr="00FC233D" w:rsidP="00FC233D">
      <w:pPr>
        <w:pStyle w:val="Text1nonumber"/>
        <w:ind w:left="0" w:right="-58"/>
        <w:rPr>
          <w:b/>
        </w:rPr>
      </w:pPr>
      <w:r>
        <w:rPr>
          <w:b/>
        </w:rPr>
        <w:t>Professor Sarah Green</w:t>
      </w:r>
      <w:r w:rsidRPr="00744787">
        <w:rPr>
          <w:b/>
        </w:rPr>
        <w:t>, Law Commissioner</w:t>
      </w:r>
    </w:p>
    <w:p w:rsidR="00EC7170">
      <w:pPr>
        <w:spacing w:after="160" w:line="259" w:lineRule="auto"/>
        <w:rPr>
          <w:rFonts w:ascii="Arial" w:hAnsi="Arial"/>
          <w:sz w:val="22"/>
          <w:szCs w:val="20"/>
        </w:rPr>
      </w:pPr>
      <w:r>
        <w:br w:type="page"/>
      </w:r>
    </w:p>
    <w:p w:rsidR="00A60C0E" w:rsidRPr="000E138B" w:rsidP="006E590D">
      <w:pPr>
        <w:pStyle w:val="Heading2"/>
        <w:ind w:left="0"/>
        <w:rPr>
          <w:u w:val="single"/>
        </w:rPr>
      </w:pPr>
      <w:r>
        <w:rPr>
          <w:u w:val="single"/>
        </w:rPr>
        <w:t>Additional questions</w:t>
      </w:r>
    </w:p>
    <w:p w:rsidR="00980965" w:rsidP="00D75E9A">
      <w:pPr>
        <w:pStyle w:val="Text1nonumber"/>
        <w:keepLines w:val="0"/>
        <w:ind w:left="0" w:right="-57"/>
        <w:rPr>
          <w:b/>
          <w:bCs/>
        </w:rPr>
      </w:pPr>
      <w:r w:rsidRPr="00D75E9A">
        <w:rPr>
          <w:b/>
          <w:bCs/>
        </w:rPr>
        <w:t>Could you explain how the law would apply to an electronic trade document created under the Electronic Trade Documents Act (when enacted), which would take the place of a Bill of lading, as that document moves between countries while the goods proceed by ship? An example setting out how the law would apply when “the  document starts in country A with law X, before moving to country B with law Y and then country C with law Z” would be helpful. What law determines in each country who has a right to the goods if there is a dispute in any of these countries whilst the goods are on the voyage? What role would the electronic trade document created under the Act  play in that dispute?</w:t>
      </w:r>
    </w:p>
    <w:p w:rsidR="00980965" w:rsidRPr="00980965" w:rsidP="00D75E9A">
      <w:pPr>
        <w:pStyle w:val="Text1nonumber"/>
        <w:keepLines w:val="0"/>
        <w:ind w:left="0" w:right="-57"/>
        <w:rPr>
          <w:u w:val="single"/>
        </w:rPr>
      </w:pPr>
      <w:r w:rsidRPr="00980965">
        <w:rPr>
          <w:u w:val="single"/>
        </w:rPr>
        <w:t>What law determines in each country who has a right to the goods if there is a dispute in any of these countries whilst the goods are on the voyage?</w:t>
      </w:r>
    </w:p>
    <w:p w:rsidR="00D42D5E" w:rsidP="00D42D5E">
      <w:pPr>
        <w:pStyle w:val="Text1nonumber"/>
        <w:keepLines w:val="0"/>
        <w:numPr>
          <w:ilvl w:val="0"/>
          <w:numId w:val="8"/>
        </w:numPr>
        <w:ind w:left="539" w:right="-57" w:hanging="539"/>
      </w:pPr>
      <w:r>
        <w:t>Let us assume the following factual scenario: a</w:t>
      </w:r>
      <w:r>
        <w:t>n electronic</w:t>
      </w:r>
      <w:r>
        <w:t xml:space="preserve"> bill of lading is issued in France by a carrier located in France, who has agreed to ship goods for the seller (habitually resident in France) to the buyer, habitually residen</w:t>
      </w:r>
      <w:r w:rsidR="00115933">
        <w:t>t</w:t>
      </w:r>
      <w:r>
        <w:t xml:space="preserve"> in Germany.</w:t>
      </w:r>
      <w:r>
        <w:t xml:space="preserve"> The </w:t>
      </w:r>
      <w:r w:rsidR="00E36F79">
        <w:t xml:space="preserve">electronic </w:t>
      </w:r>
      <w:r>
        <w:t xml:space="preserve">bill of lading is governed by </w:t>
      </w:r>
      <w:r w:rsidR="00882564">
        <w:t>English</w:t>
      </w:r>
      <w:r>
        <w:t xml:space="preserve"> law.</w:t>
      </w:r>
    </w:p>
    <w:p w:rsidR="00D42D5E" w:rsidP="00D42D5E">
      <w:pPr>
        <w:pStyle w:val="Text1nonumber"/>
        <w:keepLines w:val="0"/>
        <w:numPr>
          <w:ilvl w:val="0"/>
          <w:numId w:val="8"/>
        </w:numPr>
        <w:ind w:left="539" w:right="-57" w:hanging="539"/>
      </w:pPr>
      <w:r>
        <w:t xml:space="preserve">The seller </w:t>
      </w:r>
      <w:r w:rsidR="00214E36">
        <w:t>transfers</w:t>
      </w:r>
      <w:r>
        <w:t xml:space="preserve"> the bill of lading to Bank Z in order to receive payment under a letter of credit issued by Bank Z (a company incorporated in England and Wales with its head office in London). Bank Z holds the bill of lading by way of pledge as security for the buyer’s obligation to repay Bank Z. After the buyer </w:t>
      </w:r>
      <w:r w:rsidRPr="00D42D5E">
        <w:t xml:space="preserve">reimburses </w:t>
      </w:r>
      <w:r>
        <w:t>Bank Z</w:t>
      </w:r>
      <w:r w:rsidRPr="00D42D5E">
        <w:t xml:space="preserve"> for its payment to </w:t>
      </w:r>
      <w:r w:rsidR="00E36F79">
        <w:t xml:space="preserve">the </w:t>
      </w:r>
      <w:r>
        <w:t>seller</w:t>
      </w:r>
      <w:r w:rsidRPr="00D42D5E">
        <w:t xml:space="preserve">, </w:t>
      </w:r>
      <w:r>
        <w:t>Bank Z</w:t>
      </w:r>
      <w:r w:rsidRPr="00D42D5E">
        <w:t xml:space="preserve"> </w:t>
      </w:r>
      <w:r w:rsidR="009B5920">
        <w:t>transfers</w:t>
      </w:r>
      <w:r w:rsidRPr="00D42D5E">
        <w:t xml:space="preserve"> the bill of lading to the buyer, </w:t>
      </w:r>
      <w:r w:rsidR="00E36F79">
        <w:t>who then</w:t>
      </w:r>
      <w:r w:rsidRPr="00D42D5E">
        <w:t xml:space="preserve"> </w:t>
      </w:r>
      <w:r w:rsidR="009B5920">
        <w:t xml:space="preserve">surrenders it, and </w:t>
      </w:r>
      <w:r w:rsidRPr="00D42D5E">
        <w:t>takes possession of the goods</w:t>
      </w:r>
      <w:r>
        <w:t xml:space="preserve"> in Germany</w:t>
      </w:r>
      <w:r w:rsidRPr="00D42D5E">
        <w:t>.</w:t>
      </w:r>
    </w:p>
    <w:p w:rsidR="00D42D5E" w:rsidP="00D42D5E">
      <w:pPr>
        <w:pStyle w:val="Text1nonumber"/>
        <w:keepLines w:val="0"/>
        <w:numPr>
          <w:ilvl w:val="0"/>
          <w:numId w:val="8"/>
        </w:numPr>
        <w:ind w:left="539" w:right="-57" w:hanging="539"/>
      </w:pPr>
      <w:r>
        <w:t xml:space="preserve">If a dispute were to arise </w:t>
      </w:r>
      <w:r w:rsidR="00E36F79">
        <w:t xml:space="preserve">in </w:t>
      </w:r>
      <w:r w:rsidR="009B04CD">
        <w:t>each</w:t>
      </w:r>
      <w:r w:rsidR="00E36F79">
        <w:t xml:space="preserve"> of these countries </w:t>
      </w:r>
      <w:r>
        <w:t xml:space="preserve">regarding what rights </w:t>
      </w:r>
      <w:r w:rsidR="009B04CD">
        <w:t xml:space="preserve">each party </w:t>
      </w:r>
      <w:r w:rsidR="009B5920">
        <w:t>has</w:t>
      </w:r>
      <w:r>
        <w:t xml:space="preserve"> in relation to the goods</w:t>
      </w:r>
      <w:r w:rsidR="009B04CD">
        <w:t xml:space="preserve"> by virtue of the electronic bill of lading</w:t>
      </w:r>
      <w:r>
        <w:t xml:space="preserve">, the court with jurisdiction will </w:t>
      </w:r>
      <w:r w:rsidR="00E36F79">
        <w:t xml:space="preserve">determine the issue. </w:t>
      </w:r>
      <w:r w:rsidR="00C50493">
        <w:t xml:space="preserve">If the dispute arises between parties with a contractual relationship, the contract is likely to specify that a single court has exclusive jurisdiction, and courts will generally give effect to such an agreement. A dispute might, however, also arise between parties without a prior contractual relationship (or who do not specify an exclusive court in their contract), in which case each state’s jurisdictional rules will determine whether they will hear the case. </w:t>
      </w:r>
      <w:r w:rsidR="00E36F79">
        <w:t xml:space="preserve">The relevant court </w:t>
      </w:r>
      <w:r w:rsidR="004F6DB2">
        <w:t xml:space="preserve">with jurisdiction </w:t>
      </w:r>
      <w:r w:rsidR="00E36F79">
        <w:t xml:space="preserve">will first characterise </w:t>
      </w:r>
      <w:r>
        <w:t>the issue in dispute</w:t>
      </w:r>
      <w:r w:rsidR="00E36F79">
        <w:t xml:space="preserve"> (ie, as proprietary or contractual)</w:t>
      </w:r>
      <w:r>
        <w:t>, and then apply its own choice of law</w:t>
      </w:r>
      <w:r w:rsidR="00D72689">
        <w:t xml:space="preserve"> </w:t>
      </w:r>
      <w:r>
        <w:t>rules to determine the applicable law</w:t>
      </w:r>
      <w:r w:rsidR="009B04CD">
        <w:t xml:space="preserve"> and, accordingly, the outcome of the dispute</w:t>
      </w:r>
      <w:r>
        <w:t xml:space="preserve">. </w:t>
      </w:r>
      <w:r w:rsidR="002065D7">
        <w:t>We</w:t>
      </w:r>
      <w:r>
        <w:t xml:space="preserve"> </w:t>
      </w:r>
      <w:r w:rsidR="00D06CCF">
        <w:t xml:space="preserve">therefore </w:t>
      </w:r>
      <w:r>
        <w:t>cannot say what the applicable law would be if a dispute regarding the bill of lading were to arise in</w:t>
      </w:r>
      <w:r w:rsidR="004F6DB2">
        <w:t xml:space="preserve"> (and be litigated in)</w:t>
      </w:r>
      <w:r>
        <w:t xml:space="preserve"> France or Germany</w:t>
      </w:r>
      <w:r w:rsidR="008600B9">
        <w:t xml:space="preserve"> (regardless of whether the document </w:t>
      </w:r>
      <w:r w:rsidR="009B04CD">
        <w:t>was</w:t>
      </w:r>
      <w:r w:rsidR="008600B9">
        <w:t xml:space="preserve"> in electronic or paper form)</w:t>
      </w:r>
      <w:r>
        <w:t xml:space="preserve"> because the answer </w:t>
      </w:r>
      <w:r w:rsidR="004F6DB2">
        <w:t xml:space="preserve">would depend </w:t>
      </w:r>
      <w:r>
        <w:t xml:space="preserve">on French and </w:t>
      </w:r>
      <w:r w:rsidR="009B04CD">
        <w:t>German</w:t>
      </w:r>
      <w:r>
        <w:t xml:space="preserve"> choice of law</w:t>
      </w:r>
      <w:r w:rsidR="00D72689">
        <w:t xml:space="preserve"> (or private international law)</w:t>
      </w:r>
      <w:r>
        <w:t xml:space="preserve"> rules.</w:t>
      </w:r>
      <w:r w:rsidR="00E36F79">
        <w:t xml:space="preserve"> This is the case for all disputes that arise </w:t>
      </w:r>
      <w:r w:rsidR="00323EEB">
        <w:t xml:space="preserve">(and are litigated) </w:t>
      </w:r>
      <w:r w:rsidR="00E36F79">
        <w:t>outside of the jurisdiction of England and Wales</w:t>
      </w:r>
      <w:r w:rsidR="009B04CD">
        <w:t xml:space="preserve"> – the applicable law depends </w:t>
      </w:r>
      <w:r w:rsidR="00223932">
        <w:t xml:space="preserve">(in the first instance) </w:t>
      </w:r>
      <w:r w:rsidR="009B04CD">
        <w:t>on the forum’s choice of law rules.</w:t>
      </w:r>
    </w:p>
    <w:p w:rsidR="00C5442D" w:rsidP="00D42D5E">
      <w:pPr>
        <w:pStyle w:val="Text1nonumber"/>
        <w:keepLines w:val="0"/>
        <w:numPr>
          <w:ilvl w:val="0"/>
          <w:numId w:val="8"/>
        </w:numPr>
        <w:ind w:left="539" w:right="-57" w:hanging="539"/>
      </w:pPr>
      <w:r>
        <w:t>We can, however,</w:t>
      </w:r>
      <w:r w:rsidR="00D42D5E">
        <w:t xml:space="preserve"> </w:t>
      </w:r>
      <w:r>
        <w:t>provide a view as to</w:t>
      </w:r>
      <w:r w:rsidR="00D42D5E">
        <w:t xml:space="preserve"> how</w:t>
      </w:r>
      <w:r w:rsidR="00592796">
        <w:t xml:space="preserve"> we think</w:t>
      </w:r>
      <w:r w:rsidR="00D42D5E">
        <w:t xml:space="preserve"> an English and Welsh court </w:t>
      </w:r>
      <w:r>
        <w:t>may</w:t>
      </w:r>
      <w:r w:rsidR="00D42D5E">
        <w:t xml:space="preserve"> approach the question</w:t>
      </w:r>
      <w:r>
        <w:t xml:space="preserve"> if a dispute were to arise</w:t>
      </w:r>
      <w:r w:rsidR="00B9739F">
        <w:t xml:space="preserve"> (and be litigated)</w:t>
      </w:r>
      <w:r>
        <w:t xml:space="preserve"> in </w:t>
      </w:r>
      <w:r w:rsidR="009F7677">
        <w:t>this</w:t>
      </w:r>
      <w:r>
        <w:t xml:space="preserve"> jurisdiction</w:t>
      </w:r>
      <w:r w:rsidR="00A50298">
        <w:t xml:space="preserve"> in the context of a paper bill of lading, and then extrapolate to </w:t>
      </w:r>
      <w:r>
        <w:t>the</w:t>
      </w:r>
      <w:r w:rsidR="00A50298">
        <w:t xml:space="preserve"> electronic version</w:t>
      </w:r>
      <w:r w:rsidR="00D42D5E">
        <w:t xml:space="preserve">. </w:t>
      </w:r>
      <w:r w:rsidR="009F7677">
        <w:t>In the context of a paper bill of lading, i</w:t>
      </w:r>
      <w:r>
        <w:t>f</w:t>
      </w:r>
      <w:r w:rsidR="00D42D5E">
        <w:t xml:space="preserve"> a dispute were to arise regarding </w:t>
      </w:r>
      <w:r w:rsidR="00E36F79">
        <w:t>Bank Z’s</w:t>
      </w:r>
      <w:r w:rsidR="00D42D5E">
        <w:t xml:space="preserve"> entitlement to the goods after the bill of lading </w:t>
      </w:r>
      <w:r w:rsidR="00E36F79">
        <w:t>was</w:t>
      </w:r>
      <w:r w:rsidR="00D42D5E">
        <w:t xml:space="preserve"> </w:t>
      </w:r>
      <w:r>
        <w:t>delivered</w:t>
      </w:r>
      <w:r w:rsidR="00D42D5E">
        <w:t xml:space="preserve"> </w:t>
      </w:r>
      <w:r w:rsidR="00D42D5E">
        <w:t xml:space="preserve">to </w:t>
      </w:r>
      <w:r w:rsidR="00E36F79">
        <w:t>it</w:t>
      </w:r>
      <w:r w:rsidR="00D42D5E">
        <w:t xml:space="preserve">, the </w:t>
      </w:r>
      <w:r w:rsidR="007270D2">
        <w:t xml:space="preserve">English </w:t>
      </w:r>
      <w:r w:rsidR="00D42D5E">
        <w:t>court would (i) characterise the issue in dispute and (ii) apply the relevant choice of law rule to ascertain the applicable law.</w:t>
      </w:r>
      <w:r>
        <w:t xml:space="preserve"> </w:t>
      </w:r>
      <w:r w:rsidR="009F7677">
        <w:t>T</w:t>
      </w:r>
      <w:r w:rsidR="00D42D5E">
        <w:t xml:space="preserve">he issue in dispute </w:t>
      </w:r>
      <w:r w:rsidR="00A50298">
        <w:t>would</w:t>
      </w:r>
      <w:r w:rsidR="008600B9">
        <w:t xml:space="preserve"> likely </w:t>
      </w:r>
      <w:r w:rsidR="00D42D5E">
        <w:t>be characterised as proprietary</w:t>
      </w:r>
      <w:r w:rsidR="00E36F79">
        <w:t xml:space="preserve">, as it concerns </w:t>
      </w:r>
      <w:r w:rsidR="00F30A30">
        <w:t xml:space="preserve">the proprietary effect of a transfer </w:t>
      </w:r>
      <w:r w:rsidR="000654B1">
        <w:t xml:space="preserve">(by way of pledge) </w:t>
      </w:r>
      <w:r w:rsidR="00F30A30">
        <w:t>of a bill of ladin</w:t>
      </w:r>
      <w:r w:rsidR="00A50298">
        <w:t>g</w:t>
      </w:r>
      <w:r w:rsidR="00D42D5E">
        <w:t>.</w:t>
      </w:r>
      <w:r>
        <w:rPr>
          <w:rStyle w:val="FootnoteReference"/>
        </w:rPr>
        <w:footnoteReference w:id="2"/>
      </w:r>
      <w:r w:rsidR="00D42D5E">
        <w:t xml:space="preserve"> </w:t>
      </w:r>
      <w:r>
        <w:t>The</w:t>
      </w:r>
      <w:r w:rsidR="00D42D5E">
        <w:t xml:space="preserve"> relevant choice of law rule </w:t>
      </w:r>
      <w:r w:rsidR="00F30A30">
        <w:t>would be</w:t>
      </w:r>
      <w:r w:rsidR="00D42D5E">
        <w:t xml:space="preserve"> the law of the place where the document </w:t>
      </w:r>
      <w:r w:rsidR="00F30A30">
        <w:t>was</w:t>
      </w:r>
      <w:r w:rsidR="00D42D5E">
        <w:t xml:space="preserve"> </w:t>
      </w:r>
      <w:r w:rsidR="00F30A30">
        <w:t xml:space="preserve">situated </w:t>
      </w:r>
      <w:r w:rsidR="00D42D5E">
        <w:t>at the time</w:t>
      </w:r>
      <w:r w:rsidR="008600B9">
        <w:t xml:space="preserve"> of delivery</w:t>
      </w:r>
      <w:r w:rsidR="00F30A30">
        <w:t xml:space="preserve"> (the lex situs)</w:t>
      </w:r>
      <w:r w:rsidR="00D42D5E">
        <w:t>.</w:t>
      </w:r>
      <w:r>
        <w:rPr>
          <w:rStyle w:val="FootnoteReference"/>
        </w:rPr>
        <w:footnoteReference w:id="3"/>
      </w:r>
      <w:r w:rsidR="00D42D5E">
        <w:t xml:space="preserve"> </w:t>
      </w:r>
      <w:r w:rsidR="00DD7500">
        <w:rPr>
          <w:rFonts w:cs="Arial"/>
          <w:color w:val="000000"/>
        </w:rPr>
        <w:t xml:space="preserve">In the context of a pledge </w:t>
      </w:r>
      <w:r w:rsidR="00873B18">
        <w:rPr>
          <w:rFonts w:cs="Arial"/>
          <w:color w:val="000000"/>
        </w:rPr>
        <w:t xml:space="preserve">of a paper bill of lading </w:t>
      </w:r>
      <w:r w:rsidR="00DD7500">
        <w:rPr>
          <w:rFonts w:cs="Arial"/>
          <w:color w:val="000000"/>
        </w:rPr>
        <w:t xml:space="preserve">to </w:t>
      </w:r>
      <w:r w:rsidR="00533C6C">
        <w:rPr>
          <w:rFonts w:cs="Arial"/>
          <w:color w:val="000000"/>
        </w:rPr>
        <w:t xml:space="preserve">a creditor, </w:t>
      </w:r>
      <w:r w:rsidR="00DD7500">
        <w:rPr>
          <w:rFonts w:cs="Arial"/>
          <w:color w:val="000000"/>
        </w:rPr>
        <w:t>the situs or location will</w:t>
      </w:r>
      <w:r w:rsidR="0016194E">
        <w:rPr>
          <w:rFonts w:cs="Arial"/>
          <w:color w:val="000000"/>
        </w:rPr>
        <w:t xml:space="preserve"> be relatively straightforward to determine, and will </w:t>
      </w:r>
      <w:r w:rsidR="00DD7500">
        <w:rPr>
          <w:rFonts w:cs="Arial"/>
          <w:color w:val="000000"/>
        </w:rPr>
        <w:t xml:space="preserve">generally be where </w:t>
      </w:r>
      <w:r w:rsidR="00533C6C">
        <w:rPr>
          <w:rFonts w:cs="Arial"/>
          <w:color w:val="000000"/>
        </w:rPr>
        <w:t xml:space="preserve">the creditor </w:t>
      </w:r>
      <w:r w:rsidR="00DD7500">
        <w:rPr>
          <w:rFonts w:cs="Arial"/>
          <w:color w:val="000000"/>
        </w:rPr>
        <w:t xml:space="preserve">is located at the time of transfer - that is, where </w:t>
      </w:r>
      <w:r w:rsidR="00533C6C">
        <w:rPr>
          <w:rFonts w:cs="Arial"/>
          <w:color w:val="000000"/>
        </w:rPr>
        <w:t>they take</w:t>
      </w:r>
      <w:r w:rsidR="00DD7500">
        <w:rPr>
          <w:rFonts w:cs="Arial"/>
          <w:color w:val="000000"/>
        </w:rPr>
        <w:t xml:space="preserve"> possession of the document.</w:t>
      </w:r>
      <w:r>
        <w:rPr>
          <w:rStyle w:val="FootnoteReference"/>
          <w:rFonts w:cs="Arial"/>
          <w:color w:val="000000"/>
        </w:rPr>
        <w:footnoteReference w:id="4"/>
      </w:r>
      <w:r w:rsidR="00DD7500">
        <w:rPr>
          <w:rFonts w:cs="Arial"/>
          <w:color w:val="000000"/>
        </w:rPr>
        <w:t xml:space="preserve"> </w:t>
      </w:r>
      <w:r w:rsidR="00533C6C">
        <w:t>Applying this to the facts</w:t>
      </w:r>
      <w:r>
        <w:t xml:space="preserve">, English and Welsh law would answer the question as to whether delivery of the </w:t>
      </w:r>
      <w:r w:rsidR="00DD7500">
        <w:t xml:space="preserve">paper </w:t>
      </w:r>
      <w:r>
        <w:t xml:space="preserve">bill of lading by way of pledge </w:t>
      </w:r>
      <w:r w:rsidR="00533C6C">
        <w:t>to</w:t>
      </w:r>
      <w:r>
        <w:t xml:space="preserve"> </w:t>
      </w:r>
      <w:r w:rsidR="00DD7500">
        <w:t xml:space="preserve">Bank Z </w:t>
      </w:r>
      <w:r w:rsidR="00533C6C">
        <w:t>gave it</w:t>
      </w:r>
      <w:r>
        <w:t xml:space="preserve"> constructive possession of the goods.</w:t>
      </w:r>
      <w:r>
        <w:rPr>
          <w:rStyle w:val="FootnoteReference"/>
        </w:rPr>
        <w:footnoteReference w:id="5"/>
      </w:r>
    </w:p>
    <w:p w:rsidR="00BE459A" w:rsidRPr="00BE459A" w:rsidP="008D4A81">
      <w:pPr>
        <w:pStyle w:val="Text1nonumber"/>
        <w:keepLines w:val="0"/>
        <w:numPr>
          <w:ilvl w:val="0"/>
          <w:numId w:val="8"/>
        </w:numPr>
        <w:ind w:left="539" w:right="-57" w:hanging="539"/>
      </w:pPr>
      <w:r w:rsidRPr="00BE459A">
        <w:rPr>
          <w:rFonts w:cs="Arial"/>
          <w:color w:val="000000"/>
        </w:rPr>
        <w:t>In the electronic context</w:t>
      </w:r>
      <w:r w:rsidRPr="00BE459A" w:rsidR="005505F0">
        <w:rPr>
          <w:rFonts w:cs="Arial"/>
          <w:color w:val="000000"/>
        </w:rPr>
        <w:t xml:space="preserve"> and applying the existing law</w:t>
      </w:r>
      <w:r w:rsidRPr="00BE459A" w:rsidR="00DD7500">
        <w:rPr>
          <w:rFonts w:cs="Arial"/>
          <w:color w:val="000000"/>
        </w:rPr>
        <w:t xml:space="preserve">, </w:t>
      </w:r>
      <w:r w:rsidRPr="00BE459A" w:rsidR="00657654">
        <w:rPr>
          <w:rFonts w:cs="Arial"/>
          <w:color w:val="000000"/>
        </w:rPr>
        <w:t xml:space="preserve">we think that </w:t>
      </w:r>
      <w:r w:rsidRPr="00BE459A" w:rsidR="00DD7500">
        <w:rPr>
          <w:rFonts w:cs="Arial"/>
          <w:color w:val="000000"/>
        </w:rPr>
        <w:t xml:space="preserve">the applicable law to determine whether a valid pledge of the electronic </w:t>
      </w:r>
      <w:r w:rsidRPr="00BE459A">
        <w:rPr>
          <w:rFonts w:cs="Arial"/>
          <w:color w:val="000000"/>
        </w:rPr>
        <w:t>bill of lading</w:t>
      </w:r>
      <w:r w:rsidRPr="00BE459A" w:rsidR="00DD7500">
        <w:rPr>
          <w:rFonts w:cs="Arial"/>
          <w:color w:val="000000"/>
        </w:rPr>
        <w:t xml:space="preserve"> has been created in favour of Bank Z will </w:t>
      </w:r>
      <w:r w:rsidRPr="00BE459A">
        <w:rPr>
          <w:rFonts w:cs="Arial"/>
          <w:color w:val="000000"/>
        </w:rPr>
        <w:t>also be determined with reference to</w:t>
      </w:r>
      <w:r w:rsidRPr="00BE459A" w:rsidR="0056212D">
        <w:rPr>
          <w:rFonts w:cs="Arial"/>
          <w:color w:val="000000"/>
        </w:rPr>
        <w:t xml:space="preserve"> the lex situs of the document at the time of delivery. </w:t>
      </w:r>
      <w:r w:rsidRPr="00BE459A" w:rsidR="005505F0">
        <w:rPr>
          <w:rFonts w:cs="Arial"/>
          <w:color w:val="000000"/>
        </w:rPr>
        <w:t xml:space="preserve">While we acknowledge that situs or location may be more difficult to determine in the electronic context, we do not see this as an insurmountable hurdle. Indeed, courts have already had to grapple with the question of situs in the context of digital assets more broadly, and have proven themselves able to come to a sensible </w:t>
      </w:r>
      <w:r w:rsidRPr="00BE459A">
        <w:rPr>
          <w:rFonts w:cs="Arial"/>
          <w:color w:val="000000"/>
        </w:rPr>
        <w:t>conclusion</w:t>
      </w:r>
      <w:r w:rsidRPr="00BE459A" w:rsidR="005505F0">
        <w:rPr>
          <w:rFonts w:cs="Arial"/>
          <w:color w:val="000000"/>
        </w:rPr>
        <w:t>.</w:t>
      </w:r>
      <w:r>
        <w:rPr>
          <w:rStyle w:val="FootnoteReference"/>
          <w:rFonts w:cs="Arial"/>
          <w:color w:val="000000"/>
        </w:rPr>
        <w:footnoteReference w:id="6"/>
      </w:r>
    </w:p>
    <w:p w:rsidR="00D42D5E" w:rsidP="008D4A81">
      <w:pPr>
        <w:pStyle w:val="Text1nonumber"/>
        <w:keepLines w:val="0"/>
        <w:numPr>
          <w:ilvl w:val="0"/>
          <w:numId w:val="8"/>
        </w:numPr>
        <w:ind w:left="539" w:right="-57" w:hanging="539"/>
      </w:pPr>
      <w:r w:rsidRPr="00BE459A">
        <w:rPr>
          <w:rFonts w:cs="Arial"/>
          <w:color w:val="000000"/>
        </w:rPr>
        <w:t xml:space="preserve">As stated above, the situs (or location) of a paper bill of lading that is pledged to a creditor will generally be where the creditor is located at the time of transfer - that is, where they take control and possession of the document. We see no reason why the position should be any different for an electronic trade document that is the subject of a pledge. </w:t>
      </w:r>
      <w:r w:rsidR="00C7784C">
        <w:rPr>
          <w:rFonts w:cs="Arial"/>
          <w:color w:val="000000"/>
        </w:rPr>
        <w:t xml:space="preserve">Applying this to the facts, the applicable law in the electronic context would, similarly, be English and Welsh law, as Bank Z obtains control and possession of the bill of lading there. </w:t>
      </w:r>
      <w:r>
        <w:t>S</w:t>
      </w:r>
      <w:r w:rsidR="001A5AC7">
        <w:t>ignificantly, s</w:t>
      </w:r>
      <w:r>
        <w:t>ince the Bill elevates electronic trade documents to things in possession, and ensures that the effect of an electronic trade document is the same as that of a paper trade document, we think that courts will continue to apply existing private international law rules applicable to paper trade documents to electronic trade documents (at least until such time as more detailed proposals for law reform in this area are proposed by the Law Commission</w:t>
      </w:r>
      <w:r w:rsidR="00C35E93">
        <w:t xml:space="preserve"> </w:t>
      </w:r>
      <w:r w:rsidRPr="00C35E93" w:rsidR="00C35E93">
        <w:t>as a result of its current project dealing specifically with these questions</w:t>
      </w:r>
      <w:r>
        <w:t>).</w:t>
      </w:r>
    </w:p>
    <w:p w:rsidR="004914F5" w:rsidP="00980965">
      <w:pPr>
        <w:pStyle w:val="Text1nonumber"/>
        <w:keepLines w:val="0"/>
        <w:ind w:left="0" w:right="-57"/>
        <w:rPr>
          <w:u w:val="single"/>
        </w:rPr>
      </w:pPr>
    </w:p>
    <w:p w:rsidR="00980965" w:rsidRPr="00980965" w:rsidP="00980965">
      <w:pPr>
        <w:pStyle w:val="Text1nonumber"/>
        <w:keepLines w:val="0"/>
        <w:ind w:left="0" w:right="-57"/>
        <w:rPr>
          <w:u w:val="single"/>
        </w:rPr>
      </w:pPr>
      <w:r w:rsidRPr="00980965">
        <w:rPr>
          <w:u w:val="single"/>
        </w:rPr>
        <w:t>What role would the electronic trade document created under the Act play in that dispute?</w:t>
      </w:r>
    </w:p>
    <w:p w:rsidR="00980965" w:rsidP="00D42D5E">
      <w:pPr>
        <w:pStyle w:val="Text1nonumber"/>
        <w:keepLines w:val="0"/>
        <w:numPr>
          <w:ilvl w:val="0"/>
          <w:numId w:val="8"/>
        </w:numPr>
        <w:ind w:left="539" w:right="-57" w:hanging="539"/>
      </w:pPr>
      <w:r>
        <w:t>Apart from what is said at para</w:t>
      </w:r>
      <w:r w:rsidR="00185FC2">
        <w:t>s</w:t>
      </w:r>
      <w:r>
        <w:t xml:space="preserve"> 5</w:t>
      </w:r>
      <w:r w:rsidR="00185FC2">
        <w:t xml:space="preserve"> and 6</w:t>
      </w:r>
      <w:r>
        <w:t xml:space="preserve"> above, t</w:t>
      </w:r>
      <w:r>
        <w:t xml:space="preserve">he electronic trade document created under the Act would not play any role different </w:t>
      </w:r>
      <w:r w:rsidR="0011292E">
        <w:t xml:space="preserve">from </w:t>
      </w:r>
      <w:r>
        <w:t>that of a paper trade document.</w:t>
      </w:r>
    </w:p>
    <w:p w:rsidR="00980965" w:rsidP="00980965">
      <w:pPr>
        <w:pStyle w:val="Text1nonumber"/>
        <w:keepLines w:val="0"/>
        <w:numPr>
          <w:ilvl w:val="0"/>
          <w:numId w:val="8"/>
        </w:numPr>
        <w:ind w:left="539" w:right="-57" w:hanging="539"/>
      </w:pPr>
      <w:r>
        <w:t>W</w:t>
      </w:r>
      <w:r>
        <w:t xml:space="preserve">henever </w:t>
      </w:r>
      <w:r w:rsidRPr="00980965">
        <w:t xml:space="preserve">there are cross-border transactions or </w:t>
      </w:r>
      <w:r w:rsidR="00C76775">
        <w:t>activities that engage different legal systems</w:t>
      </w:r>
      <w:r w:rsidRPr="00980965">
        <w:t xml:space="preserve">, questions </w:t>
      </w:r>
      <w:r w:rsidR="00C76775">
        <w:t xml:space="preserve">may </w:t>
      </w:r>
      <w:r w:rsidRPr="00980965">
        <w:t>arise as to whether other countries</w:t>
      </w:r>
      <w:r w:rsidR="00C76775">
        <w:t>’ laws</w:t>
      </w:r>
      <w:r w:rsidRPr="00980965">
        <w:t xml:space="preserve"> will treat the relevant issue in the same way</w:t>
      </w:r>
      <w:r w:rsidR="00C76775">
        <w:t xml:space="preserve"> in the event of a dispute</w:t>
      </w:r>
      <w:r w:rsidRPr="00980965">
        <w:t xml:space="preserve">. </w:t>
      </w:r>
      <w:r>
        <w:t>This, however,</w:t>
      </w:r>
      <w:r w:rsidRPr="00980965">
        <w:t xml:space="preserve"> is inherent in the nature of international commercial transactions, and is </w:t>
      </w:r>
      <w:r w:rsidR="00D55448">
        <w:t>not</w:t>
      </w:r>
      <w:r w:rsidRPr="00980965">
        <w:t xml:space="preserve"> </w:t>
      </w:r>
      <w:r w:rsidRPr="00980965">
        <w:t>unique to electronic trade documents.</w:t>
      </w:r>
      <w:r>
        <w:rPr>
          <w:rStyle w:val="FootnoteReference"/>
        </w:rPr>
        <w:footnoteReference w:id="7"/>
      </w:r>
    </w:p>
    <w:p w:rsidR="00980965" w:rsidRPr="00980965" w:rsidP="00980965">
      <w:pPr>
        <w:pStyle w:val="Text1nonumber"/>
        <w:keepLines w:val="0"/>
        <w:numPr>
          <w:ilvl w:val="0"/>
          <w:numId w:val="8"/>
        </w:numPr>
        <w:ind w:left="539" w:right="-57" w:hanging="539"/>
      </w:pPr>
      <w:r w:rsidRPr="00980965">
        <w:t>The Bill forms part of the domestic law of the UK. It lays down rules of substantive law that apply whenever the law of the UK applies</w:t>
      </w:r>
      <w:r w:rsidRPr="00C26FD0" w:rsidR="00C26FD0">
        <w:t xml:space="preserve"> </w:t>
      </w:r>
      <w:r w:rsidR="00C26FD0">
        <w:t>to a given issue/dispute</w:t>
      </w:r>
      <w:r w:rsidRPr="00980965">
        <w:t xml:space="preserve">. The purpose of the Bill is to remove the legal blocker in the law of the UK that currently prevents an electronic trade document from being </w:t>
      </w:r>
      <w:r w:rsidR="008F5D2C">
        <w:t>possessed</w:t>
      </w:r>
      <w:r w:rsidRPr="00980965">
        <w:t>. The risk that you might have an electronic trade document issued in England and then taken to another jurisdiction in which it is not recognised, is an inherent risk of international business activit</w:t>
      </w:r>
      <w:r>
        <w:t>y</w:t>
      </w:r>
      <w:r w:rsidRPr="00980965">
        <w:t xml:space="preserve">. It cannot be solved by the Bill, </w:t>
      </w:r>
      <w:r w:rsidR="00841AA2">
        <w:t xml:space="preserve">nor would it be </w:t>
      </w:r>
      <w:r w:rsidRPr="00980965">
        <w:t>appropriate to try to do so. A particular trade transaction will inevitably only be capable of being fully digitalised when all relevant legal systems to the trade recognise electronic trade documents.</w:t>
      </w:r>
    </w:p>
    <w:p w:rsidR="00980965" w:rsidRPr="00980965" w:rsidP="00980965">
      <w:pPr>
        <w:pStyle w:val="Text1nonumber"/>
        <w:keepLines w:val="0"/>
        <w:numPr>
          <w:ilvl w:val="0"/>
          <w:numId w:val="8"/>
        </w:numPr>
        <w:ind w:left="539" w:right="-57" w:hanging="539"/>
      </w:pPr>
      <w:r>
        <w:rPr>
          <w:rFonts w:cs="Arial"/>
          <w:color w:val="000000"/>
        </w:rPr>
        <w:t xml:space="preserve">Even if specific </w:t>
      </w:r>
      <w:r w:rsidR="00C26FD0">
        <w:rPr>
          <w:rFonts w:cs="Arial"/>
          <w:color w:val="000000"/>
        </w:rPr>
        <w:t>private international law</w:t>
      </w:r>
      <w:r>
        <w:rPr>
          <w:rFonts w:cs="Arial"/>
          <w:color w:val="000000"/>
        </w:rPr>
        <w:t xml:space="preserve"> rules were included in the Bill, this would not reduce the risk that a foreign law could be the applicable law after applying those rules. The possibility of a foreign law applying (where that foreign law treats the subject matter of the dispute differently) is inherent in the nature of private international law. It is not something that including specific choice of law rules in the Bill </w:t>
      </w:r>
      <w:r w:rsidR="008F5D2C">
        <w:rPr>
          <w:rFonts w:cs="Arial"/>
          <w:color w:val="000000"/>
        </w:rPr>
        <w:t>would</w:t>
      </w:r>
      <w:r>
        <w:rPr>
          <w:rFonts w:cs="Arial"/>
          <w:color w:val="000000"/>
        </w:rPr>
        <w:t xml:space="preserve"> necessarily address.</w:t>
      </w:r>
    </w:p>
    <w:p w:rsidR="00980965" w:rsidP="00D42D5E">
      <w:pPr>
        <w:pStyle w:val="Text1nonumber"/>
        <w:keepLines w:val="0"/>
        <w:numPr>
          <w:ilvl w:val="0"/>
          <w:numId w:val="8"/>
        </w:numPr>
        <w:ind w:left="539" w:right="-57" w:hanging="539"/>
      </w:pPr>
      <w:r>
        <w:t xml:space="preserve">It is for this reason that the appropriate approach to harmonisation and interoperability in this context </w:t>
      </w:r>
      <w:r w:rsidR="008F5D2C">
        <w:t xml:space="preserve">is </w:t>
      </w:r>
      <w:r w:rsidR="00C7784C">
        <w:t xml:space="preserve">the </w:t>
      </w:r>
      <w:r w:rsidR="008F5D2C">
        <w:t>development of domestic law principles (in the UK and elsewhere)</w:t>
      </w:r>
      <w:r>
        <w:t xml:space="preserve"> rather than through private international law rules. </w:t>
      </w:r>
    </w:p>
    <w:p w:rsidR="00980965" w:rsidP="008D4A81">
      <w:pPr>
        <w:pStyle w:val="Text1nonumber"/>
        <w:keepLines w:val="0"/>
        <w:numPr>
          <w:ilvl w:val="0"/>
          <w:numId w:val="8"/>
        </w:numPr>
        <w:ind w:left="539" w:right="-57" w:hanging="539"/>
      </w:pPr>
      <w:r>
        <w:t xml:space="preserve">It is also worth making two </w:t>
      </w:r>
      <w:r w:rsidR="008F5D2C">
        <w:t>final</w:t>
      </w:r>
      <w:r>
        <w:t xml:space="preserve"> points. First, </w:t>
      </w:r>
      <w:r w:rsidRPr="00DE618E">
        <w:rPr>
          <w:rFonts w:cs="Arial"/>
          <w:color w:val="000000"/>
        </w:rPr>
        <w:t>neither the MLETR nor the Singapore legislation contain specific private international law provisions. The most that such legislation provides for is the possibility of the same conflict of law</w:t>
      </w:r>
      <w:r w:rsidR="00C26FD0">
        <w:rPr>
          <w:rFonts w:cs="Arial"/>
          <w:color w:val="000000"/>
        </w:rPr>
        <w:t>s</w:t>
      </w:r>
      <w:r w:rsidRPr="00DE618E">
        <w:rPr>
          <w:rFonts w:cs="Arial"/>
          <w:color w:val="000000"/>
        </w:rPr>
        <w:t xml:space="preserve"> rules applying to both electronic and paper trade documents. The Bill is therefore </w:t>
      </w:r>
      <w:r w:rsidR="00EB716B">
        <w:rPr>
          <w:rFonts w:cs="Arial"/>
          <w:color w:val="000000"/>
        </w:rPr>
        <w:t xml:space="preserve">broadly </w:t>
      </w:r>
      <w:r w:rsidRPr="00DE618E">
        <w:rPr>
          <w:rFonts w:cs="Arial"/>
          <w:color w:val="000000"/>
        </w:rPr>
        <w:t>aligned with international legislation in this area</w:t>
      </w:r>
      <w:r w:rsidR="008F5D2C">
        <w:rPr>
          <w:rFonts w:cs="Arial"/>
          <w:color w:val="000000"/>
        </w:rPr>
        <w:t xml:space="preserve">, and in fact would be an outlier </w:t>
      </w:r>
      <w:r w:rsidR="00447B5E">
        <w:rPr>
          <w:rFonts w:cs="Arial"/>
          <w:color w:val="000000"/>
        </w:rPr>
        <w:t>were</w:t>
      </w:r>
      <w:r w:rsidR="008F5D2C">
        <w:rPr>
          <w:rFonts w:cs="Arial"/>
          <w:color w:val="000000"/>
        </w:rPr>
        <w:t xml:space="preserve"> it to address conflict</w:t>
      </w:r>
      <w:r w:rsidR="00C26FD0">
        <w:rPr>
          <w:rFonts w:cs="Arial"/>
          <w:color w:val="000000"/>
        </w:rPr>
        <w:t>s</w:t>
      </w:r>
      <w:r w:rsidR="008F5D2C">
        <w:rPr>
          <w:rFonts w:cs="Arial"/>
          <w:color w:val="000000"/>
        </w:rPr>
        <w:t xml:space="preserve"> issues</w:t>
      </w:r>
      <w:r w:rsidRPr="00DE618E">
        <w:rPr>
          <w:rFonts w:cs="Arial"/>
          <w:color w:val="000000"/>
        </w:rPr>
        <w:t xml:space="preserve">. Second, </w:t>
      </w:r>
      <w:r>
        <w:t>the very question of the appropriateness of the choice of law rules applicable to paper trade documents in the electronic context</w:t>
      </w:r>
      <w:r>
        <w:t xml:space="preserve"> (including in relation to digital assets more broadly) </w:t>
      </w:r>
      <w:r>
        <w:t>is the subject of a</w:t>
      </w:r>
      <w:r>
        <w:t xml:space="preserve"> separate</w:t>
      </w:r>
      <w:r>
        <w:t xml:space="preserve"> </w:t>
      </w:r>
      <w:r>
        <w:t xml:space="preserve">Law Commission project. </w:t>
      </w:r>
      <w:r w:rsidR="002619E4">
        <w:t>W</w:t>
      </w:r>
      <w:r>
        <w:t xml:space="preserve">hether the lex situs rule should determine proprietary issues in relation to electronic trade documents, or whether another </w:t>
      </w:r>
      <w:r w:rsidR="000424A6">
        <w:t xml:space="preserve">(or modified) </w:t>
      </w:r>
      <w:r>
        <w:t xml:space="preserve">rule is more appropriate, is currently being </w:t>
      </w:r>
      <w:r w:rsidR="00C26FD0">
        <w:t xml:space="preserve">separately </w:t>
      </w:r>
      <w:r>
        <w:t xml:space="preserve">considered. It is therefore pre-emptive to </w:t>
      </w:r>
      <w:r w:rsidR="008F5D2C">
        <w:t xml:space="preserve">address </w:t>
      </w:r>
      <w:r w:rsidR="00841AA2">
        <w:t>these issues</w:t>
      </w:r>
      <w:r>
        <w:t xml:space="preserve"> in the Bill.</w:t>
      </w:r>
    </w:p>
    <w:p w:rsidR="0051140B" w:rsidRPr="00D06CCF" w:rsidP="0051140B">
      <w:pPr>
        <w:pStyle w:val="Text1nonumber"/>
        <w:keepLines w:val="0"/>
        <w:ind w:left="0" w:right="-57"/>
        <w:rPr>
          <w:u w:val="single"/>
        </w:rPr>
      </w:pPr>
      <w:r w:rsidRPr="00D06CCF">
        <w:rPr>
          <w:u w:val="single"/>
        </w:rPr>
        <w:t>Location</w:t>
      </w:r>
      <w:r>
        <w:rPr>
          <w:u w:val="single"/>
        </w:rPr>
        <w:t xml:space="preserve"> or situs</w:t>
      </w:r>
      <w:r w:rsidRPr="00D06CCF">
        <w:rPr>
          <w:u w:val="single"/>
        </w:rPr>
        <w:t xml:space="preserve"> of an electronic trade document in other contexts</w:t>
      </w:r>
    </w:p>
    <w:p w:rsidR="0051140B" w:rsidRPr="0095783E" w:rsidP="0051140B">
      <w:pPr>
        <w:pStyle w:val="Text1nonumber"/>
        <w:keepLines w:val="0"/>
        <w:numPr>
          <w:ilvl w:val="0"/>
          <w:numId w:val="8"/>
        </w:numPr>
        <w:ind w:left="539" w:right="-57" w:hanging="539"/>
        <w:rPr>
          <w:rFonts w:cs="Arial"/>
          <w:color w:val="000000"/>
          <w:szCs w:val="22"/>
        </w:rPr>
      </w:pPr>
      <w:r>
        <w:rPr>
          <w:rFonts w:cs="Arial"/>
          <w:color w:val="000000"/>
        </w:rPr>
        <w:t>We understand that some stakeholders are concerned about the lack of a definitive situs or location of an electronic trade document. To the extent that it is helpful to the Committee, we have set out our views on this point</w:t>
      </w:r>
      <w:r w:rsidRPr="00D67CB7">
        <w:rPr>
          <w:rFonts w:cs="Arial"/>
          <w:color w:val="000000"/>
        </w:rPr>
        <w:t xml:space="preserve"> </w:t>
      </w:r>
      <w:r>
        <w:rPr>
          <w:rFonts w:cs="Arial"/>
          <w:color w:val="000000"/>
        </w:rPr>
        <w:t>below.</w:t>
      </w:r>
    </w:p>
    <w:p w:rsidR="0051140B" w:rsidRPr="00B56950" w:rsidP="0051140B">
      <w:pPr>
        <w:pStyle w:val="Text1nonumber"/>
        <w:keepLines w:val="0"/>
        <w:numPr>
          <w:ilvl w:val="0"/>
          <w:numId w:val="8"/>
        </w:numPr>
        <w:ind w:left="539" w:right="-57" w:hanging="539"/>
        <w:rPr>
          <w:rFonts w:cs="Arial"/>
          <w:color w:val="000000"/>
          <w:szCs w:val="22"/>
        </w:rPr>
      </w:pPr>
      <w:r w:rsidRPr="00D06CCF">
        <w:rPr>
          <w:rFonts w:cs="Arial"/>
          <w:color w:val="000000"/>
        </w:rPr>
        <w:t xml:space="preserve">Questions of </w:t>
      </w:r>
      <w:r>
        <w:rPr>
          <w:rFonts w:cs="Arial"/>
          <w:color w:val="000000"/>
        </w:rPr>
        <w:t xml:space="preserve">the </w:t>
      </w:r>
      <w:r w:rsidRPr="00D06CCF">
        <w:rPr>
          <w:rFonts w:cs="Arial"/>
          <w:color w:val="000000"/>
        </w:rPr>
        <w:t>location of electronic trade documents could, of course</w:t>
      </w:r>
      <w:r>
        <w:rPr>
          <w:rFonts w:cs="Arial"/>
          <w:color w:val="000000"/>
        </w:rPr>
        <w:t xml:space="preserve"> (in addition to a pledge)</w:t>
      </w:r>
      <w:r w:rsidRPr="00D06CCF">
        <w:rPr>
          <w:rFonts w:cs="Arial"/>
          <w:color w:val="000000"/>
        </w:rPr>
        <w:t xml:space="preserve"> arise in other contexts (including in the context of a charge). </w:t>
      </w:r>
      <w:r>
        <w:rPr>
          <w:rFonts w:cs="Arial"/>
          <w:color w:val="000000"/>
        </w:rPr>
        <w:t>Our position is that courts will be able to determine the location of an electronic trade document in the particular context in which it arises</w:t>
      </w:r>
      <w:r w:rsidRPr="00D06CCF">
        <w:rPr>
          <w:rFonts w:cs="Arial"/>
          <w:color w:val="000000"/>
        </w:rPr>
        <w:t xml:space="preserve"> </w:t>
      </w:r>
      <w:r>
        <w:rPr>
          <w:rFonts w:cs="Arial"/>
          <w:color w:val="000000"/>
        </w:rPr>
        <w:t>as they have proven able to do in the context of digital assets more broadly. Where issues concerning the location of digital assets have arisen in recent litigation, courts have applied existing principles (adapted to cater for the digital nature of the subject matter) to determine the location of the asset, albeit in the context of jurisdiction.</w:t>
      </w:r>
      <w:r>
        <w:rPr>
          <w:rStyle w:val="FootnoteReference"/>
          <w:rFonts w:cs="Arial"/>
          <w:color w:val="000000"/>
        </w:rPr>
        <w:footnoteReference w:id="8"/>
      </w:r>
      <w:r>
        <w:rPr>
          <w:rFonts w:cs="Arial"/>
          <w:color w:val="000000"/>
        </w:rPr>
        <w:t xml:space="preserve"> </w:t>
      </w:r>
      <w:r w:rsidR="00034400">
        <w:rPr>
          <w:rFonts w:cs="Arial"/>
          <w:color w:val="000000"/>
        </w:rPr>
        <w:t>C</w:t>
      </w:r>
      <w:r>
        <w:rPr>
          <w:rFonts w:cs="Arial"/>
          <w:color w:val="000000"/>
        </w:rPr>
        <w:t xml:space="preserve">ourts will </w:t>
      </w:r>
      <w:r w:rsidR="00034400">
        <w:rPr>
          <w:rFonts w:cs="Arial"/>
          <w:color w:val="000000"/>
        </w:rPr>
        <w:t xml:space="preserve">therefore </w:t>
      </w:r>
      <w:r>
        <w:rPr>
          <w:rFonts w:cs="Arial"/>
          <w:color w:val="000000"/>
        </w:rPr>
        <w:t xml:space="preserve">be able to adopt the same approach in relation to electronic trade documents, </w:t>
      </w:r>
      <w:r w:rsidRPr="00D06CCF">
        <w:rPr>
          <w:rFonts w:cs="Arial"/>
          <w:color w:val="000000"/>
        </w:rPr>
        <w:t>at least until the Law Commission proposes more detailed reforms</w:t>
      </w:r>
      <w:r>
        <w:rPr>
          <w:rFonts w:cs="Arial"/>
          <w:color w:val="000000"/>
        </w:rPr>
        <w:t>.</w:t>
      </w:r>
    </w:p>
    <w:p w:rsidR="0051140B" w:rsidRPr="001F4925" w:rsidP="0051140B">
      <w:pPr>
        <w:pStyle w:val="Text1nonumber"/>
        <w:keepLines w:val="0"/>
        <w:numPr>
          <w:ilvl w:val="0"/>
          <w:numId w:val="8"/>
        </w:numPr>
        <w:ind w:left="539" w:right="-57" w:hanging="539"/>
        <w:rPr>
          <w:rFonts w:cs="Arial"/>
          <w:color w:val="000000"/>
          <w:szCs w:val="22"/>
        </w:rPr>
      </w:pPr>
      <w:r>
        <w:rPr>
          <w:rFonts w:cs="Arial"/>
          <w:color w:val="000000"/>
        </w:rPr>
        <w:t>Furthermore</w:t>
      </w:r>
      <w:r w:rsidRPr="00D06CCF">
        <w:rPr>
          <w:rFonts w:cs="Arial"/>
          <w:color w:val="000000"/>
        </w:rPr>
        <w:t xml:space="preserve">, </w:t>
      </w:r>
      <w:r>
        <w:rPr>
          <w:rFonts w:cs="Arial"/>
          <w:color w:val="000000"/>
        </w:rPr>
        <w:t xml:space="preserve">it is important to bear in mind that determining the location of </w:t>
      </w:r>
      <w:r w:rsidRPr="00D06CCF">
        <w:rPr>
          <w:rFonts w:cs="Arial"/>
          <w:color w:val="000000"/>
        </w:rPr>
        <w:t xml:space="preserve">tangible movable property (including paper trade documents) </w:t>
      </w:r>
      <w:r>
        <w:rPr>
          <w:rFonts w:cs="Arial"/>
          <w:color w:val="000000"/>
        </w:rPr>
        <w:t>can give rise to difficulties too. This is particularly</w:t>
      </w:r>
      <w:r w:rsidRPr="00D06CCF">
        <w:rPr>
          <w:rFonts w:cs="Arial"/>
          <w:color w:val="000000"/>
        </w:rPr>
        <w:t xml:space="preserve"> </w:t>
      </w:r>
      <w:r>
        <w:rPr>
          <w:rFonts w:cs="Arial"/>
          <w:color w:val="000000"/>
        </w:rPr>
        <w:t xml:space="preserve">the case </w:t>
      </w:r>
      <w:r w:rsidRPr="00D06CCF">
        <w:rPr>
          <w:rFonts w:cs="Arial"/>
          <w:color w:val="000000"/>
        </w:rPr>
        <w:t xml:space="preserve">where </w:t>
      </w:r>
      <w:r>
        <w:rPr>
          <w:rFonts w:cs="Arial"/>
          <w:color w:val="000000"/>
        </w:rPr>
        <w:t>the property</w:t>
      </w:r>
      <w:r w:rsidRPr="00D06CCF">
        <w:rPr>
          <w:rFonts w:cs="Arial"/>
          <w:color w:val="000000"/>
        </w:rPr>
        <w:t xml:space="preserve"> is distributed globally, </w:t>
      </w:r>
      <w:r w:rsidR="005E77B2">
        <w:rPr>
          <w:rFonts w:cs="Arial"/>
          <w:color w:val="000000"/>
        </w:rPr>
        <w:t xml:space="preserve">is </w:t>
      </w:r>
      <w:r w:rsidRPr="00D06CCF">
        <w:rPr>
          <w:rFonts w:cs="Arial"/>
          <w:color w:val="000000"/>
        </w:rPr>
        <w:t>highly movable or</w:t>
      </w:r>
      <w:r w:rsidR="005E77B2">
        <w:rPr>
          <w:rFonts w:cs="Arial"/>
          <w:color w:val="000000"/>
        </w:rPr>
        <w:t xml:space="preserve"> is</w:t>
      </w:r>
      <w:r w:rsidRPr="00D06CCF">
        <w:rPr>
          <w:rFonts w:cs="Arial"/>
          <w:color w:val="000000"/>
        </w:rPr>
        <w:t xml:space="preserve"> in transit. To the extent that solutions have been found in the physical context, they can be found in the electronic</w:t>
      </w:r>
      <w:r>
        <w:rPr>
          <w:rFonts w:cs="Arial"/>
          <w:color w:val="000000"/>
        </w:rPr>
        <w:t xml:space="preserve"> too</w:t>
      </w:r>
      <w:r w:rsidRPr="00D06CCF">
        <w:rPr>
          <w:rFonts w:cs="Arial"/>
          <w:color w:val="000000"/>
        </w:rPr>
        <w:t>.</w:t>
      </w:r>
    </w:p>
    <w:p w:rsidR="0051140B" w:rsidRPr="001F4925" w:rsidP="0051140B">
      <w:pPr>
        <w:pStyle w:val="Text1nonumber"/>
        <w:keepLines w:val="0"/>
        <w:numPr>
          <w:ilvl w:val="0"/>
          <w:numId w:val="8"/>
        </w:numPr>
        <w:ind w:left="539" w:right="-57" w:hanging="539"/>
        <w:rPr>
          <w:rFonts w:cs="Arial"/>
          <w:color w:val="000000"/>
          <w:szCs w:val="22"/>
        </w:rPr>
      </w:pPr>
      <w:r>
        <w:rPr>
          <w:rFonts w:cs="Arial"/>
          <w:color w:val="000000"/>
        </w:rPr>
        <w:t>It is also worth noting that,</w:t>
      </w:r>
      <w:r w:rsidRPr="001F4925">
        <w:rPr>
          <w:rFonts w:cs="Arial"/>
          <w:color w:val="000000"/>
        </w:rPr>
        <w:t xml:space="preserve"> even though the concept of situs (or location) has attracted academic and judicial criticism, particularly in the context of intangible property, the situs principle is well-established in English private international law and applies to a variety of issues. There is therefore a need for</w:t>
      </w:r>
      <w:r w:rsidR="00FF43AB">
        <w:rPr>
          <w:rFonts w:cs="Arial"/>
          <w:color w:val="000000"/>
        </w:rPr>
        <w:t xml:space="preserve"> a</w:t>
      </w:r>
      <w:r w:rsidRPr="001F4925">
        <w:rPr>
          <w:rFonts w:cs="Arial"/>
          <w:color w:val="000000"/>
        </w:rPr>
        <w:t xml:space="preserve"> careful </w:t>
      </w:r>
      <w:r w:rsidR="00FF43AB">
        <w:rPr>
          <w:rFonts w:cs="Arial"/>
          <w:color w:val="000000"/>
        </w:rPr>
        <w:t xml:space="preserve">and holistic </w:t>
      </w:r>
      <w:r w:rsidRPr="001F4925">
        <w:rPr>
          <w:rFonts w:cs="Arial"/>
          <w:color w:val="000000"/>
        </w:rPr>
        <w:t xml:space="preserve">consideration of its various roles before any reform or clarification </w:t>
      </w:r>
      <w:r>
        <w:rPr>
          <w:rFonts w:cs="Arial"/>
          <w:color w:val="000000"/>
        </w:rPr>
        <w:t>is</w:t>
      </w:r>
      <w:r w:rsidRPr="001F4925">
        <w:rPr>
          <w:rFonts w:cs="Arial"/>
          <w:color w:val="000000"/>
        </w:rPr>
        <w:t xml:space="preserve"> adopted, which is why the Law Commission </w:t>
      </w:r>
      <w:r w:rsidR="00FF43AB">
        <w:rPr>
          <w:rFonts w:cs="Arial"/>
          <w:color w:val="000000"/>
        </w:rPr>
        <w:t>was asked to consider</w:t>
      </w:r>
      <w:r w:rsidRPr="001F4925">
        <w:rPr>
          <w:rFonts w:cs="Arial"/>
          <w:color w:val="000000"/>
        </w:rPr>
        <w:t xml:space="preserve"> these issues in </w:t>
      </w:r>
      <w:r w:rsidR="00FF43AB">
        <w:rPr>
          <w:rFonts w:cs="Arial"/>
          <w:color w:val="000000"/>
        </w:rPr>
        <w:t>a separate</w:t>
      </w:r>
      <w:r w:rsidRPr="001F4925">
        <w:rPr>
          <w:rFonts w:cs="Arial"/>
          <w:color w:val="000000"/>
        </w:rPr>
        <w:t xml:space="preserve"> project</w:t>
      </w:r>
      <w:r w:rsidR="00FF43AB">
        <w:rPr>
          <w:rFonts w:cs="Arial"/>
          <w:color w:val="000000"/>
        </w:rPr>
        <w:t xml:space="preserve"> devoted entirely to them</w:t>
      </w:r>
      <w:r w:rsidRPr="001F4925">
        <w:rPr>
          <w:rFonts w:cs="Arial"/>
          <w:color w:val="000000"/>
        </w:rPr>
        <w:t>.</w:t>
      </w:r>
      <w:r w:rsidR="00FF43AB">
        <w:rPr>
          <w:rFonts w:cs="Arial"/>
          <w:color w:val="000000"/>
        </w:rPr>
        <w:t xml:space="preserve"> </w:t>
      </w:r>
    </w:p>
    <w:p w:rsidR="0051140B" w:rsidRPr="0051140B" w:rsidP="0051140B">
      <w:pPr>
        <w:pStyle w:val="Text1nonumber"/>
        <w:keepLines w:val="0"/>
        <w:numPr>
          <w:ilvl w:val="0"/>
          <w:numId w:val="8"/>
        </w:numPr>
        <w:ind w:left="539" w:right="-57" w:hanging="539"/>
      </w:pPr>
      <w:r>
        <w:rPr>
          <w:rFonts w:cs="Arial"/>
          <w:color w:val="000000"/>
        </w:rPr>
        <w:t xml:space="preserve">Any revision, replacement or removal of the rule would constitute a significant step for English private international law, and therefore requires consultation (both domestically and internationally). Legal certainty and predictability ultimately require international alignment, as it cannot be guaranteed that a dispute will be litigated before the English courts and thereby </w:t>
      </w:r>
      <w:r w:rsidR="00C26FD0">
        <w:rPr>
          <w:rFonts w:cs="Arial"/>
          <w:color w:val="000000"/>
        </w:rPr>
        <w:t>with reference to</w:t>
      </w:r>
      <w:r>
        <w:rPr>
          <w:rFonts w:cs="Arial"/>
          <w:color w:val="000000"/>
        </w:rPr>
        <w:t xml:space="preserve"> any UK choice of law rules. Any reform in choice of law principles would need to be considered carefully as it could in fact create uncertainty if it were out of line with emerging international practice.</w:t>
      </w:r>
    </w:p>
    <w:p w:rsidR="0051140B" w:rsidRPr="001F4925" w:rsidP="0051140B">
      <w:pPr>
        <w:pStyle w:val="Text1nonumber"/>
        <w:keepLines w:val="0"/>
        <w:numPr>
          <w:ilvl w:val="0"/>
          <w:numId w:val="8"/>
        </w:numPr>
        <w:ind w:left="539" w:right="-57" w:hanging="539"/>
      </w:pPr>
      <w:r>
        <w:rPr>
          <w:rFonts w:cs="Arial"/>
          <w:color w:val="000000"/>
        </w:rPr>
        <w:t>Finally, neither the MLETR nor the Singapore legislation revoke or revise the situs rule in the context of electronic trade documents, nor do they say anything about the location of an electronic trade document.</w:t>
      </w:r>
    </w:p>
    <w:p w:rsidR="0051140B" w:rsidRPr="000424EA" w:rsidP="0051140B">
      <w:pPr>
        <w:pStyle w:val="Text1nonumber"/>
        <w:keepLines w:val="0"/>
        <w:ind w:left="0" w:right="-57"/>
        <w:rPr>
          <w:rFonts w:cs="Arial"/>
          <w:color w:val="000000"/>
          <w:u w:val="single"/>
        </w:rPr>
      </w:pPr>
      <w:r w:rsidRPr="000424EA">
        <w:rPr>
          <w:rFonts w:cs="Arial"/>
          <w:color w:val="000000"/>
          <w:u w:val="single"/>
        </w:rPr>
        <w:t>How does section 72 of the Bills of Exchange Act apply in relation to electronic trade documents?</w:t>
      </w:r>
    </w:p>
    <w:p w:rsidR="0051140B" w:rsidRPr="001F4925" w:rsidP="0051140B">
      <w:pPr>
        <w:pStyle w:val="Text1nonumber"/>
        <w:keepLines w:val="0"/>
        <w:numPr>
          <w:ilvl w:val="0"/>
          <w:numId w:val="8"/>
        </w:numPr>
        <w:ind w:left="539" w:right="-57" w:hanging="539"/>
      </w:pPr>
      <w:r>
        <w:rPr>
          <w:rFonts w:cs="Arial"/>
          <w:color w:val="000000"/>
        </w:rPr>
        <w:t xml:space="preserve">Section 72 of the Bills of Exchange Act sets out specific conflict of laws rules that apply to bills of exchange and promissory notes. </w:t>
      </w:r>
      <w:r w:rsidR="003E6C04">
        <w:rPr>
          <w:rFonts w:cs="Arial"/>
          <w:color w:val="000000"/>
        </w:rPr>
        <w:t>We understand that some stakeholders are concerned about how these provisions will apply to electronic trade documents. To the extent that it is helpful to the Committee, we have set out our views on this point</w:t>
      </w:r>
      <w:r w:rsidRPr="00D67CB7" w:rsidR="003E6C04">
        <w:rPr>
          <w:rFonts w:cs="Arial"/>
          <w:color w:val="000000"/>
        </w:rPr>
        <w:t xml:space="preserve"> </w:t>
      </w:r>
      <w:r w:rsidR="003E6C04">
        <w:rPr>
          <w:rFonts w:cs="Arial"/>
          <w:color w:val="000000"/>
        </w:rPr>
        <w:t>below.</w:t>
      </w:r>
    </w:p>
    <w:p w:rsidR="0051140B" w:rsidRPr="001F4925" w:rsidP="0051140B">
      <w:pPr>
        <w:pStyle w:val="Text1nonumber"/>
        <w:keepLines w:val="0"/>
        <w:numPr>
          <w:ilvl w:val="0"/>
          <w:numId w:val="8"/>
        </w:numPr>
        <w:ind w:left="539" w:right="-57" w:hanging="539"/>
        <w:rPr>
          <w:rFonts w:cs="Arial"/>
          <w:color w:val="000000"/>
          <w:szCs w:val="22"/>
        </w:rPr>
      </w:pPr>
      <w:r>
        <w:rPr>
          <w:rFonts w:cs="Arial"/>
          <w:color w:val="000000"/>
        </w:rPr>
        <w:t xml:space="preserve">The </w:t>
      </w:r>
      <w:r w:rsidRPr="001F4925">
        <w:rPr>
          <w:rFonts w:cs="Arial"/>
          <w:color w:val="000000"/>
        </w:rPr>
        <w:t>rules</w:t>
      </w:r>
      <w:r>
        <w:rPr>
          <w:rFonts w:cs="Arial"/>
          <w:color w:val="000000"/>
        </w:rPr>
        <w:t xml:space="preserve"> in section 72 of the Bills of Exchange Act</w:t>
      </w:r>
      <w:r w:rsidRPr="001F4925">
        <w:rPr>
          <w:rFonts w:cs="Arial"/>
          <w:color w:val="000000"/>
        </w:rPr>
        <w:t xml:space="preserve"> are dependent (amongst other things) on determining the place of issue (for questions regarding requisites in form) and the place where the contract is made (for questions regarding the validity and interpretation of supervening contracts such as acceptance, indorsement or acceptance supra protest).</w:t>
      </w:r>
    </w:p>
    <w:p w:rsidR="0051140B" w:rsidRPr="001F4925" w:rsidP="0051140B">
      <w:pPr>
        <w:pStyle w:val="Text1nonumber"/>
        <w:keepLines w:val="0"/>
        <w:numPr>
          <w:ilvl w:val="0"/>
          <w:numId w:val="8"/>
        </w:numPr>
        <w:ind w:left="539" w:right="-57" w:hanging="539"/>
        <w:rPr>
          <w:rFonts w:cs="Arial"/>
          <w:color w:val="000000"/>
          <w:szCs w:val="22"/>
        </w:rPr>
      </w:pPr>
      <w:r w:rsidRPr="001F4925">
        <w:rPr>
          <w:rFonts w:cs="Arial"/>
          <w:color w:val="000000"/>
        </w:rPr>
        <w:t xml:space="preserve">The Bill does not specify how these various locations are to be determined in the context of electronic bills of exchange or promissory notes for various reasons. First, </w:t>
      </w:r>
      <w:r>
        <w:rPr>
          <w:rFonts w:cs="Arial"/>
          <w:color w:val="000000"/>
        </w:rPr>
        <w:t>we consider that these are factual questions that the courts will be able to</w:t>
      </w:r>
      <w:r w:rsidR="005E77B2">
        <w:rPr>
          <w:rFonts w:cs="Arial"/>
          <w:color w:val="000000"/>
        </w:rPr>
        <w:t xml:space="preserve"> (and indeed are better placed to)</w:t>
      </w:r>
      <w:r>
        <w:rPr>
          <w:rFonts w:cs="Arial"/>
          <w:color w:val="000000"/>
        </w:rPr>
        <w:t xml:space="preserve"> determine as and when they arise (as they have proven able to do in the context of digital assets more broadly). Second, </w:t>
      </w:r>
      <w:r w:rsidRPr="001F4925">
        <w:rPr>
          <w:rFonts w:cs="Arial"/>
          <w:color w:val="000000"/>
        </w:rPr>
        <w:t>the purpose of the Bill is to remove the existing legal blocker that prevents electronic trade documents from being possessable, rather than to set out a comprehensive code for electronic trade documents, including detailed amendments to the conflict</w:t>
      </w:r>
      <w:r w:rsidR="00C26FD0">
        <w:rPr>
          <w:rFonts w:cs="Arial"/>
          <w:color w:val="000000"/>
        </w:rPr>
        <w:t>s</w:t>
      </w:r>
      <w:r w:rsidRPr="001F4925">
        <w:rPr>
          <w:rFonts w:cs="Arial"/>
          <w:color w:val="000000"/>
        </w:rPr>
        <w:t xml:space="preserve"> provisions of the Bills of Exchange Act.</w:t>
      </w:r>
      <w:r>
        <w:rPr>
          <w:rFonts w:cs="Arial"/>
          <w:color w:val="000000"/>
        </w:rPr>
        <w:t xml:space="preserve"> As was reiterated by panellists in the second oral evidence session, the Bill is not intended to be the “be all and end all” of reform in this area, but is rather targeted in its approach to a specific area of domestic law that requires immediate reform.</w:t>
      </w:r>
    </w:p>
    <w:p w:rsidR="0051140B" w:rsidRPr="001F4925" w:rsidP="0051140B">
      <w:pPr>
        <w:pStyle w:val="Text1nonumber"/>
        <w:keepLines w:val="0"/>
        <w:numPr>
          <w:ilvl w:val="0"/>
          <w:numId w:val="8"/>
        </w:numPr>
        <w:ind w:left="539" w:right="-57" w:hanging="539"/>
      </w:pPr>
      <w:r>
        <w:rPr>
          <w:rFonts w:cs="Arial"/>
          <w:color w:val="000000"/>
        </w:rPr>
        <w:t>Third, these issues are being considered as part of the Law Commission’s conflict of laws project. The issues are complex and require careful consideration and consultation, especially at the international level as these rules apply in other jurisdictions too, such as Singapore.</w:t>
      </w:r>
    </w:p>
    <w:p w:rsidR="00943459" w:rsidRPr="00D75E9A" w:rsidP="00D75E9A">
      <w:pPr>
        <w:pStyle w:val="Text1nonumber"/>
        <w:keepLines w:val="0"/>
        <w:ind w:left="0" w:right="-57"/>
        <w:rPr>
          <w:b/>
          <w:bCs/>
        </w:rPr>
      </w:pPr>
      <w:r w:rsidRPr="00D75E9A">
        <w:rPr>
          <w:b/>
          <w:bCs/>
        </w:rPr>
        <w:t xml:space="preserve">The EU is the UK’s largest trading partner. </w:t>
      </w:r>
      <w:r w:rsidRPr="00D75E9A">
        <w:rPr>
          <w:rFonts w:cs="Arial"/>
          <w:b/>
          <w:bCs/>
          <w:color w:val="000000"/>
          <w:szCs w:val="22"/>
        </w:rPr>
        <w:t>What</w:t>
      </w:r>
      <w:r w:rsidRPr="00D75E9A">
        <w:rPr>
          <w:b/>
          <w:bCs/>
        </w:rPr>
        <w:t xml:space="preserve"> steps is the EU taking to recognise electronic trade documents, perhaps through the MLETR, and are there any concerns around inter-operability with the EU’s approach? </w:t>
      </w:r>
    </w:p>
    <w:p w:rsidR="00074D95" w:rsidP="0071065C">
      <w:pPr>
        <w:pStyle w:val="Text1nonumber"/>
        <w:keepLines w:val="0"/>
        <w:numPr>
          <w:ilvl w:val="0"/>
          <w:numId w:val="8"/>
        </w:numPr>
        <w:ind w:left="539" w:right="-57" w:hanging="539"/>
      </w:pPr>
      <w:r>
        <w:t>This section examines the steps being taken across several EU member states</w:t>
      </w:r>
      <w:r w:rsidRPr="00E91547">
        <w:t xml:space="preserve"> to recognise electronic trade documents</w:t>
      </w:r>
      <w:r>
        <w:t xml:space="preserve">, and the extent to which these jurisdictions intend to implement MLETR-compliant legislation. </w:t>
      </w:r>
    </w:p>
    <w:p w:rsidR="00074D95" w:rsidP="0071065C">
      <w:pPr>
        <w:pStyle w:val="Text1nonumber"/>
        <w:keepLines w:val="0"/>
        <w:numPr>
          <w:ilvl w:val="0"/>
          <w:numId w:val="8"/>
        </w:numPr>
        <w:ind w:left="539" w:right="-57" w:hanging="539"/>
      </w:pPr>
      <w:r>
        <w:t xml:space="preserve">In their capacity as G7 members, three EU member states – France, Italy and Germany – have committed to addressing the barriers currently facing </w:t>
      </w:r>
      <w:r w:rsidRPr="00E91547" w:rsidR="008A20AD">
        <w:t>electronic trade documents</w:t>
      </w:r>
      <w:r>
        <w:t>. The position in each of these countries is set out below, before briefly considering other member states, and finally the EU as a whole.</w:t>
      </w:r>
    </w:p>
    <w:p w:rsidR="009650DE" w:rsidP="0071065C">
      <w:pPr>
        <w:pStyle w:val="Text1nonumber"/>
        <w:keepLines w:val="0"/>
        <w:numPr>
          <w:ilvl w:val="0"/>
          <w:numId w:val="8"/>
        </w:numPr>
        <w:ind w:left="539" w:right="-57" w:hanging="539"/>
      </w:pPr>
      <w:r>
        <w:t>In general, it seems that the movement towards adopting MLETR-compliant legislation is progressing across the EU. However, the precise details of each country’s domestic laws, and possible amendments thereto, are unclear at present. Without</w:t>
      </w:r>
      <w:r>
        <w:t xml:space="preserve"> </w:t>
      </w:r>
      <w:r>
        <w:t>further publicly available information, it is not possible to state the extent to which each member state will diverge from, or adhere to, the wording or approach of the MLETR.</w:t>
      </w:r>
    </w:p>
    <w:p w:rsidR="00074D95" w:rsidP="00074D95">
      <w:pPr>
        <w:pStyle w:val="Text1nonumber"/>
        <w:keepLines w:val="0"/>
        <w:ind w:left="0" w:right="-57"/>
        <w:rPr>
          <w:u w:val="single"/>
        </w:rPr>
      </w:pPr>
      <w:r>
        <w:rPr>
          <w:u w:val="single"/>
        </w:rPr>
        <w:t>France</w:t>
      </w:r>
    </w:p>
    <w:p w:rsidR="00074D95" w:rsidRPr="00074D95" w:rsidP="00074D95">
      <w:pPr>
        <w:pStyle w:val="Text1nonumber"/>
        <w:keepLines w:val="0"/>
        <w:numPr>
          <w:ilvl w:val="0"/>
          <w:numId w:val="8"/>
        </w:numPr>
        <w:ind w:left="539" w:right="-57" w:hanging="539"/>
      </w:pPr>
      <w:r>
        <w:t xml:space="preserve">The Paris Europlace working group, comprised of ICC France and representatives from the international trade finance sector, has been tasked with reform in this area. A final report to be submitted to the </w:t>
      </w:r>
      <w:r w:rsidR="008A20AD">
        <w:t xml:space="preserve">French </w:t>
      </w:r>
      <w:r>
        <w:t>Government discussing the necessary legal changes to bring domestic law in line with the MLETR is scheduled for March 2023.</w:t>
      </w:r>
      <w:r>
        <w:rPr>
          <w:rStyle w:val="FootnoteReference"/>
        </w:rPr>
        <w:footnoteReference w:id="9"/>
      </w:r>
      <w:r>
        <w:t xml:space="preserve"> A number of amendments to the French Civil Code (and possibly to other codes) have been suggested in order to allow this to happen.</w:t>
      </w:r>
      <w:r>
        <w:rPr>
          <w:rStyle w:val="FootnoteReference"/>
        </w:rPr>
        <w:footnoteReference w:id="10"/>
      </w:r>
      <w:r>
        <w:t xml:space="preserve"> The authors of </w:t>
      </w:r>
      <w:r w:rsidR="00ED0D47">
        <w:t>a</w:t>
      </w:r>
      <w:r>
        <w:t xml:space="preserve"> white paper issued by ICC France recommend, in particular, “</w:t>
      </w:r>
      <w:r w:rsidRPr="6023455D">
        <w:rPr>
          <w:rFonts w:cs="Arial"/>
          <w:i/>
          <w:color w:val="000000" w:themeColor="text1"/>
          <w:sz w:val="23"/>
          <w:szCs w:val="23"/>
        </w:rPr>
        <w:t>adaptation</w:t>
      </w:r>
      <w:r w:rsidRPr="6023455D">
        <w:rPr>
          <w:rFonts w:cs="Arial"/>
          <w:color w:val="000000" w:themeColor="text1"/>
          <w:sz w:val="23"/>
          <w:szCs w:val="23"/>
        </w:rPr>
        <w:t xml:space="preserve"> of French and EU law to existing international instruments” (emphasis added).</w:t>
      </w:r>
      <w:r>
        <w:rPr>
          <w:rStyle w:val="FootnoteReference"/>
          <w:rFonts w:cs="Arial"/>
          <w:color w:val="000000"/>
          <w:sz w:val="23"/>
          <w:szCs w:val="23"/>
          <w:shd w:val="clear" w:color="auto" w:fill="FFFFFF"/>
        </w:rPr>
        <w:footnoteReference w:id="11"/>
      </w:r>
    </w:p>
    <w:p w:rsidR="00074D95" w:rsidP="00074D95">
      <w:pPr>
        <w:pStyle w:val="Text1nonumber"/>
        <w:keepLines w:val="0"/>
        <w:numPr>
          <w:ilvl w:val="0"/>
          <w:numId w:val="8"/>
        </w:numPr>
        <w:ind w:left="539" w:right="-57" w:hanging="539"/>
      </w:pPr>
      <w:r>
        <w:t xml:space="preserve">France have reportedly identified the legal barriers to using </w:t>
      </w:r>
      <w:r w:rsidRPr="00E91547" w:rsidR="008A20AD">
        <w:t>electronic trade documents</w:t>
      </w:r>
      <w:r w:rsidR="008A20AD">
        <w:t xml:space="preserve"> </w:t>
      </w:r>
      <w:r>
        <w:t xml:space="preserve">and are now moving towards </w:t>
      </w:r>
      <w:r w:rsidR="00ED0D47">
        <w:t>legislation</w:t>
      </w:r>
      <w:r>
        <w:t xml:space="preserve"> to address these issues.</w:t>
      </w:r>
      <w:r>
        <w:rPr>
          <w:rStyle w:val="FootnoteReference"/>
        </w:rPr>
        <w:footnoteReference w:id="12"/>
      </w:r>
      <w:r>
        <w:t xml:space="preserve"> The Law Commission understands that the ICC expects these reforms to be complete by 2025.</w:t>
      </w:r>
    </w:p>
    <w:p w:rsidR="00C76775" w:rsidP="00074D95">
      <w:pPr>
        <w:pStyle w:val="Text1nonumber"/>
        <w:keepLines w:val="0"/>
        <w:numPr>
          <w:ilvl w:val="0"/>
          <w:numId w:val="8"/>
        </w:numPr>
        <w:ind w:left="539" w:right="-57" w:hanging="539"/>
      </w:pPr>
      <w:r>
        <w:t xml:space="preserve">Furthermore, we recently received an email from the </w:t>
      </w:r>
      <w:r>
        <w:rPr>
          <w:lang w:val="en-US"/>
        </w:rPr>
        <w:t xml:space="preserve">Deputy Head of the Economic Department at the French Embassy to the UK, referring to the work of the Paris working group in this context, and requesting an audience with the Law Commission and members of the working group to discuss the UK’s approach to the digitalisation of electronic trade documents. This is a great opportunity to explain the approach taken in the Bill, and to contribute to the development of this area in France. It also goes to show that the UK is achieving its goal of being a leading jurisdiction in this context. </w:t>
      </w:r>
    </w:p>
    <w:p w:rsidR="00AD0503" w:rsidP="00AD0503">
      <w:pPr>
        <w:pStyle w:val="Text1nonumber"/>
        <w:keepLines w:val="0"/>
        <w:ind w:left="0" w:right="-57"/>
        <w:rPr>
          <w:u w:val="single"/>
        </w:rPr>
      </w:pPr>
      <w:r>
        <w:rPr>
          <w:u w:val="single"/>
        </w:rPr>
        <w:t>Italy</w:t>
      </w:r>
    </w:p>
    <w:p w:rsidR="00AD0503" w:rsidP="00AD0503">
      <w:pPr>
        <w:pStyle w:val="Text1nonumber"/>
        <w:keepLines w:val="0"/>
        <w:numPr>
          <w:ilvl w:val="0"/>
          <w:numId w:val="8"/>
        </w:numPr>
        <w:ind w:left="539" w:right="-57" w:hanging="539"/>
      </w:pPr>
      <w:r>
        <w:t xml:space="preserve">As a G7 member, Italy has committed to the adoption of </w:t>
      </w:r>
      <w:r w:rsidRPr="00E91547" w:rsidR="008A20AD">
        <w:t>electronic trade documents</w:t>
      </w:r>
      <w:r>
        <w:t xml:space="preserve">. However, they </w:t>
      </w:r>
      <w:r w:rsidR="00DF4FE2">
        <w:t>are</w:t>
      </w:r>
      <w:r>
        <w:t xml:space="preserve"> yet to enact law in this regard</w:t>
      </w:r>
      <w:r w:rsidR="008A20AD">
        <w:t>,</w:t>
      </w:r>
      <w:r w:rsidR="00DF4FE2">
        <w:t xml:space="preserve"> and it is not clear what the plans to legislate are</w:t>
      </w:r>
      <w:r>
        <w:t>.</w:t>
      </w:r>
      <w:r>
        <w:rPr>
          <w:rStyle w:val="FootnoteReference"/>
        </w:rPr>
        <w:footnoteReference w:id="13"/>
      </w:r>
    </w:p>
    <w:p w:rsidR="00AD0503" w:rsidP="00AD0503">
      <w:pPr>
        <w:pStyle w:val="Text1nonumber"/>
        <w:keepLines w:val="0"/>
        <w:ind w:left="0" w:right="-57"/>
        <w:rPr>
          <w:u w:val="single"/>
        </w:rPr>
      </w:pPr>
      <w:r>
        <w:rPr>
          <w:u w:val="single"/>
        </w:rPr>
        <w:t>Germany</w:t>
      </w:r>
    </w:p>
    <w:p w:rsidR="00AD0503" w:rsidP="00AD0503">
      <w:pPr>
        <w:pStyle w:val="Text1nonumber"/>
        <w:keepLines w:val="0"/>
        <w:numPr>
          <w:ilvl w:val="0"/>
          <w:numId w:val="8"/>
        </w:numPr>
        <w:ind w:left="539" w:right="-57" w:hanging="539"/>
      </w:pPr>
      <w:r>
        <w:t>As noted in the Law Commission’s consultation paper, the German Commercial Code allows for equivalence between an electronic bill of lading and an electronic sea waybill and their paper counterparts.</w:t>
      </w:r>
      <w:r>
        <w:rPr>
          <w:rStyle w:val="FootnoteReference"/>
        </w:rPr>
        <w:footnoteReference w:id="14"/>
      </w:r>
      <w:r>
        <w:t xml:space="preserve"> This has been the case since amendments in 2013. For example, section 516 of the HGB provides that:</w:t>
      </w:r>
    </w:p>
    <w:p w:rsidR="00912E6B" w:rsidP="00912E6B">
      <w:pPr>
        <w:pStyle w:val="Text1nonumber"/>
        <w:keepLines w:val="0"/>
        <w:ind w:left="720" w:right="-57"/>
      </w:pPr>
      <w:r>
        <w:t>An electronic record having the same functions as a bill of lading shall be deemed equivalent to a bill of lading, provided that the authenticity and integrity of the record are assured (electronic bill of lading).</w:t>
      </w:r>
      <w:r>
        <w:rPr>
          <w:rStyle w:val="FootnoteReference"/>
        </w:rPr>
        <w:footnoteReference w:id="15"/>
      </w:r>
    </w:p>
    <w:p w:rsidR="00912E6B" w:rsidP="00912E6B">
      <w:pPr>
        <w:pStyle w:val="Text1nonumber"/>
        <w:keepLines w:val="0"/>
        <w:ind w:left="539" w:right="-57"/>
      </w:pPr>
      <w:r>
        <w:t>The relevant “functions” of the document are not defined. The Federal Ministry of Justice and Consumer Protection have the power to further regulate for an electronic bill of lading, but have not yet exercised this power.</w:t>
      </w:r>
      <w:r>
        <w:rPr>
          <w:rStyle w:val="FootnoteReference"/>
        </w:rPr>
        <w:footnoteReference w:id="16"/>
      </w:r>
      <w:r>
        <w:t xml:space="preserve"> Commentators have suggested that this lack of regulation makes the use of electronic bills of lading impossible at present.</w:t>
      </w:r>
      <w:r>
        <w:rPr>
          <w:rStyle w:val="FootnoteReference"/>
        </w:rPr>
        <w:footnoteReference w:id="17"/>
      </w:r>
    </w:p>
    <w:p w:rsidR="00912E6B" w:rsidP="00912E6B">
      <w:pPr>
        <w:pStyle w:val="Text1nonumber"/>
        <w:keepLines w:val="0"/>
        <w:numPr>
          <w:ilvl w:val="0"/>
          <w:numId w:val="8"/>
        </w:numPr>
        <w:ind w:left="539" w:right="-57" w:hanging="539"/>
      </w:pPr>
      <w:r>
        <w:t>ICC UK suggest that there is a lack of clarity under the current German law, impeding industry implementation.</w:t>
      </w:r>
      <w:r>
        <w:rPr>
          <w:rStyle w:val="FootnoteReference"/>
        </w:rPr>
        <w:footnoteReference w:id="18"/>
      </w:r>
      <w:r>
        <w:t xml:space="preserve"> In particular, it is unclear what suffices as “functional equivalence” between the paper and electronic documents because the term is not defined.</w:t>
      </w:r>
      <w:r>
        <w:rPr>
          <w:rStyle w:val="FootnoteReference"/>
        </w:rPr>
        <w:footnoteReference w:id="19"/>
      </w:r>
      <w:r>
        <w:t xml:space="preserve"> Commentators suggest that there is insufficient guidance on the requirements that must be fulfilled, creating legal uncertainty and discouraging the use of electronic documents. A working group of lawyers and experts was set up in partnership with ICC Germany to establish details such as:</w:t>
      </w:r>
      <w:r>
        <w:rPr>
          <w:rStyle w:val="FootnoteReference"/>
        </w:rPr>
        <w:footnoteReference w:id="20"/>
      </w:r>
    </w:p>
    <w:p w:rsidR="00912E6B" w:rsidP="00912E6B">
      <w:pPr>
        <w:pStyle w:val="Text3"/>
        <w:numPr>
          <w:ilvl w:val="1"/>
          <w:numId w:val="8"/>
        </w:numPr>
      </w:pPr>
      <w:r>
        <w:t>what functional equivalence means – that is, what functions of the paper document must be reproduced electronically;</w:t>
      </w:r>
    </w:p>
    <w:p w:rsidR="00912E6B" w:rsidP="00912E6B">
      <w:pPr>
        <w:pStyle w:val="Text3"/>
        <w:numPr>
          <w:ilvl w:val="1"/>
          <w:numId w:val="8"/>
        </w:numPr>
      </w:pPr>
      <w:r>
        <w:t>what authenticity means; and</w:t>
      </w:r>
    </w:p>
    <w:p w:rsidR="00912E6B" w:rsidP="00912E6B">
      <w:pPr>
        <w:pStyle w:val="Text3"/>
        <w:numPr>
          <w:ilvl w:val="1"/>
          <w:numId w:val="8"/>
        </w:numPr>
      </w:pPr>
      <w:r>
        <w:t>what integrity means.</w:t>
      </w:r>
    </w:p>
    <w:p w:rsidR="00912E6B" w:rsidP="00912E6B">
      <w:pPr>
        <w:pStyle w:val="Text1nonumber"/>
        <w:keepLines w:val="0"/>
        <w:numPr>
          <w:ilvl w:val="0"/>
          <w:numId w:val="8"/>
        </w:numPr>
        <w:ind w:left="539" w:right="-57" w:hanging="539"/>
      </w:pPr>
      <w:r>
        <w:t xml:space="preserve">The working group have stated their intention to finalise a definition of functional equivalence for </w:t>
      </w:r>
      <w:r w:rsidRPr="00E91547" w:rsidR="008A20AD">
        <w:t>electronic trade documents</w:t>
      </w:r>
      <w:r w:rsidR="008A20AD">
        <w:t xml:space="preserve"> </w:t>
      </w:r>
      <w:r>
        <w:t xml:space="preserve">and present it to law-makers for inclusion in legislation. The ICC have stressed the need for clear guidance and detail on the use of electronic documents, and have stated that in order to align </w:t>
      </w:r>
      <w:r>
        <w:t xml:space="preserve">with MLETR, German law must also enable </w:t>
      </w:r>
      <w:r w:rsidRPr="00582A02">
        <w:t xml:space="preserve">bills of exchange, promissory notes, </w:t>
      </w:r>
      <w:r>
        <w:t>and</w:t>
      </w:r>
      <w:r w:rsidRPr="00582A02">
        <w:t xml:space="preserve"> transport insurance certificates</w:t>
      </w:r>
      <w:r>
        <w:t xml:space="preserve"> to be handled electronically.</w:t>
      </w:r>
      <w:r>
        <w:rPr>
          <w:rStyle w:val="FootnoteReference"/>
        </w:rPr>
        <w:footnoteReference w:id="21"/>
      </w:r>
      <w:r w:rsidRPr="00912E6B">
        <w:rPr>
          <w:rStyle w:val="FootnoteReference"/>
        </w:rPr>
        <w:t xml:space="preserve"> </w:t>
      </w:r>
    </w:p>
    <w:p w:rsidR="00912E6B" w:rsidP="00912E6B">
      <w:pPr>
        <w:pStyle w:val="Text1nonumber"/>
        <w:keepLines w:val="0"/>
        <w:numPr>
          <w:ilvl w:val="0"/>
          <w:numId w:val="8"/>
        </w:numPr>
        <w:ind w:left="539" w:right="-57" w:hanging="539"/>
      </w:pPr>
      <w:r>
        <w:t>The Law Commission understands from the ICC that Germany have now identified the legislation required in this sphere and are committed to resolving this by the end of 2023.</w:t>
      </w:r>
    </w:p>
    <w:p w:rsidR="00361B51" w:rsidP="00361B51">
      <w:pPr>
        <w:pStyle w:val="Text1nonumber"/>
        <w:keepLines w:val="0"/>
        <w:ind w:left="0" w:right="-57"/>
        <w:rPr>
          <w:u w:val="single"/>
        </w:rPr>
      </w:pPr>
      <w:r>
        <w:rPr>
          <w:u w:val="single"/>
        </w:rPr>
        <w:t>The Netherlands</w:t>
      </w:r>
    </w:p>
    <w:p w:rsidR="00361B51" w:rsidP="00361B51">
      <w:pPr>
        <w:pStyle w:val="Text1nonumber"/>
        <w:keepLines w:val="0"/>
        <w:numPr>
          <w:ilvl w:val="0"/>
          <w:numId w:val="8"/>
        </w:numPr>
        <w:ind w:left="539" w:right="-57" w:hanging="539"/>
      </w:pPr>
      <w:r>
        <w:t>Although not a G7 member, the Netherlands is also working on this issue. The Government conducted a consultation on a draft law last year which would amend the Dutch Civil Code to allow for electronic bills of lading and waybills.</w:t>
      </w:r>
      <w:r>
        <w:rPr>
          <w:rStyle w:val="FootnoteReference"/>
        </w:rPr>
        <w:footnoteReference w:id="22"/>
      </w:r>
      <w:r>
        <w:t xml:space="preserve"> This law seems to have been based on </w:t>
      </w:r>
      <w:r w:rsidRPr="00AE5257">
        <w:t>the Rotterdam Rules</w:t>
      </w:r>
      <w:r>
        <w:t xml:space="preserve">, with the </w:t>
      </w:r>
      <w:r w:rsidRPr="00AE5257">
        <w:t>consultation</w:t>
      </w:r>
      <w:r>
        <w:t xml:space="preserve"> responses suggesting that</w:t>
      </w:r>
      <w:r w:rsidRPr="00AE5257">
        <w:t xml:space="preserve"> the MLETR would provide a better basis for the legal regulation of </w:t>
      </w:r>
      <w:r>
        <w:t>these kind of documents.</w:t>
      </w:r>
      <w:r>
        <w:rPr>
          <w:rStyle w:val="FootnoteReference"/>
        </w:rPr>
        <w:footnoteReference w:id="23"/>
      </w:r>
      <w:r>
        <w:t xml:space="preserve"> The current status of the draft bill is not entirely clear.</w:t>
      </w:r>
      <w:r>
        <w:rPr>
          <w:rStyle w:val="FootnoteReference"/>
        </w:rPr>
        <w:footnoteReference w:id="24"/>
      </w:r>
      <w:r>
        <w:t xml:space="preserve"> </w:t>
      </w:r>
    </w:p>
    <w:p w:rsidR="00361B51" w:rsidP="00361B51">
      <w:pPr>
        <w:pStyle w:val="Text1nonumber"/>
        <w:keepLines w:val="0"/>
        <w:numPr>
          <w:ilvl w:val="0"/>
          <w:numId w:val="8"/>
        </w:numPr>
        <w:ind w:left="539" w:right="-57" w:hanging="539"/>
      </w:pPr>
      <w:r>
        <w:t>Representatives from the ICC have suggested to the Law Commission that work is ongoing on an MLETR-compliant law, and that the Netherlands are aiming to have legislation in place by 2024/5.</w:t>
      </w:r>
    </w:p>
    <w:p w:rsidR="00361B51" w:rsidP="00361B51">
      <w:pPr>
        <w:pStyle w:val="Text1nonumber"/>
        <w:keepLines w:val="0"/>
        <w:ind w:left="0" w:right="-57"/>
        <w:rPr>
          <w:u w:val="single"/>
        </w:rPr>
      </w:pPr>
      <w:r>
        <w:rPr>
          <w:u w:val="single"/>
        </w:rPr>
        <w:t xml:space="preserve">Spain </w:t>
      </w:r>
    </w:p>
    <w:p w:rsidR="00361B51" w:rsidP="00361B51">
      <w:pPr>
        <w:pStyle w:val="Text1nonumber"/>
        <w:keepLines w:val="0"/>
        <w:numPr>
          <w:ilvl w:val="0"/>
          <w:numId w:val="8"/>
        </w:numPr>
        <w:ind w:left="539" w:right="-57" w:hanging="539"/>
      </w:pPr>
      <w:r>
        <w:t>Spain has had legislation allowing for electronic bills of lading since 2014.</w:t>
      </w:r>
      <w:r>
        <w:rPr>
          <w:rStyle w:val="FootnoteReference"/>
        </w:rPr>
        <w:footnoteReference w:id="25"/>
      </w:r>
      <w:r>
        <w:t xml:space="preserve"> This law predates the MLETR and is based broadly on the Rotterdam Rules. Similarly to the position in Germany, there is a suggestion that the current law is insufficient to encourage the use of electronic documents in practice.</w:t>
      </w:r>
      <w:r>
        <w:rPr>
          <w:rStyle w:val="FootnoteReference"/>
        </w:rPr>
        <w:footnoteReference w:id="26"/>
      </w:r>
    </w:p>
    <w:p w:rsidR="00361B51" w:rsidP="00361B51">
      <w:pPr>
        <w:pStyle w:val="Text1nonumber"/>
        <w:keepLines w:val="0"/>
        <w:ind w:left="0" w:right="-57"/>
        <w:rPr>
          <w:u w:val="single"/>
        </w:rPr>
      </w:pPr>
      <w:r>
        <w:rPr>
          <w:u w:val="single"/>
        </w:rPr>
        <w:t>The EU as a whole</w:t>
      </w:r>
    </w:p>
    <w:p w:rsidR="00361B51" w:rsidP="00361B51">
      <w:pPr>
        <w:pStyle w:val="Text1nonumber"/>
        <w:keepLines w:val="0"/>
        <w:numPr>
          <w:ilvl w:val="0"/>
          <w:numId w:val="8"/>
        </w:numPr>
        <w:ind w:left="539" w:right="-57" w:hanging="539"/>
      </w:pPr>
      <w:r>
        <w:t xml:space="preserve">There is no law on the use and recognition of </w:t>
      </w:r>
      <w:r w:rsidRPr="00E91547" w:rsidR="008A20AD">
        <w:t>electronic trade documents</w:t>
      </w:r>
      <w:r w:rsidR="008A20AD">
        <w:t xml:space="preserve"> </w:t>
      </w:r>
      <w:r>
        <w:t xml:space="preserve">at EU level. </w:t>
      </w:r>
    </w:p>
    <w:p w:rsidR="00361B51" w:rsidP="00361B51">
      <w:pPr>
        <w:pStyle w:val="Text1nonumber"/>
        <w:keepLines w:val="0"/>
        <w:numPr>
          <w:ilvl w:val="0"/>
          <w:numId w:val="8"/>
        </w:numPr>
        <w:ind w:left="539" w:right="-57" w:hanging="539"/>
      </w:pPr>
      <w:r>
        <w:t>Relatedly, the use of electronic signatures in the EU is regulated under the eIDAS Regulation,</w:t>
      </w:r>
      <w:r>
        <w:rPr>
          <w:rStyle w:val="FootnoteReference"/>
        </w:rPr>
        <w:footnoteReference w:id="27"/>
      </w:r>
      <w:r>
        <w:t xml:space="preserve"> which has direct effect in member states. It was suggested at one point that the MLETR could be integrated into the body of EU law, in particular </w:t>
      </w:r>
      <w:r>
        <w:t>into the eIDAS Regulation, as opposed to an approach relying on piecemeal domestic adoption. However, this</w:t>
      </w:r>
      <w:r w:rsidR="008A20AD">
        <w:t xml:space="preserve"> approach</w:t>
      </w:r>
      <w:r>
        <w:t xml:space="preserve"> was reportedly rejected by the EU.</w:t>
      </w:r>
      <w:r>
        <w:rPr>
          <w:rStyle w:val="FootnoteReference"/>
        </w:rPr>
        <w:footnoteReference w:id="28"/>
      </w:r>
      <w:r>
        <w:t xml:space="preserve"> </w:t>
      </w:r>
    </w:p>
    <w:p w:rsidR="00361B51" w:rsidP="00361B51">
      <w:pPr>
        <w:pStyle w:val="Text1nonumber"/>
        <w:keepLines w:val="0"/>
        <w:numPr>
          <w:ilvl w:val="0"/>
          <w:numId w:val="8"/>
        </w:numPr>
        <w:ind w:left="539" w:right="-57" w:hanging="539"/>
      </w:pPr>
      <w:r>
        <w:t>Some stakeholders have expressed a view to the Law Commission that this issue is beyond EU competence and is instead a matter for individual member states. This is perhaps unsurprising given that personal property law and the laws in relation to documents of title vary between states.</w:t>
      </w:r>
      <w:r>
        <w:rPr>
          <w:rStyle w:val="FootnoteReference"/>
        </w:rPr>
        <w:footnoteReference w:id="29"/>
      </w:r>
    </w:p>
    <w:p w:rsidR="00361B51" w:rsidP="00361B51">
      <w:pPr>
        <w:pStyle w:val="Text1nonumber"/>
        <w:keepLines w:val="0"/>
        <w:ind w:left="0" w:right="-57"/>
        <w:rPr>
          <w:u w:val="single"/>
        </w:rPr>
      </w:pPr>
      <w:r>
        <w:rPr>
          <w:u w:val="single"/>
        </w:rPr>
        <w:t>Conclusion</w:t>
      </w:r>
    </w:p>
    <w:p w:rsidR="00361B51" w:rsidP="00361B51">
      <w:pPr>
        <w:pStyle w:val="Text1nonumber"/>
        <w:keepLines w:val="0"/>
        <w:numPr>
          <w:ilvl w:val="0"/>
          <w:numId w:val="8"/>
        </w:numPr>
        <w:ind w:left="539" w:right="-57" w:hanging="539"/>
      </w:pPr>
      <w:r>
        <w:t xml:space="preserve">The above discussion is a broad summary of the current approach to </w:t>
      </w:r>
      <w:r w:rsidRPr="00E91547" w:rsidR="008A20AD">
        <w:t>electronic trade documents</w:t>
      </w:r>
      <w:r w:rsidR="008A20AD">
        <w:t xml:space="preserve"> </w:t>
      </w:r>
      <w:r>
        <w:t>in relation to a few key EU member states, based on publicly available information</w:t>
      </w:r>
      <w:r w:rsidR="008A20AD">
        <w:t xml:space="preserve"> and information some stakeholders have provided to us</w:t>
      </w:r>
      <w:r>
        <w:t>. It is clear that jurisdictions across the EU are seeking to implement MLETR-compliant legislation through amendment</w:t>
      </w:r>
      <w:r w:rsidR="008A20AD">
        <w:t>s</w:t>
      </w:r>
      <w:r>
        <w:t xml:space="preserve"> to their own domestic law. It is not clear to what extent these future reforms will adhere to, or depart from, the wording or approach of the MLETR. </w:t>
      </w:r>
    </w:p>
    <w:p w:rsidR="00361B51" w:rsidP="00361B51">
      <w:pPr>
        <w:pStyle w:val="Text1nonumber"/>
        <w:keepLines w:val="0"/>
        <w:numPr>
          <w:ilvl w:val="0"/>
          <w:numId w:val="8"/>
        </w:numPr>
        <w:ind w:left="539" w:right="-57" w:hanging="539"/>
      </w:pPr>
      <w:r>
        <w:t>As a result, it is not possible to draw conclusions as to the interoperability between the Bill and the (future) law in these jurisdictions. Even so, given that the goal is to implement MLETR-compliant legislation, and the Bill does not depart materially from the MLETR, we do not foresee or anticipate interoperability concerns. Furthermore, given the current timeline, it is likely that interoperability with the Bill (once passed) will be a major consideration for other legislators across the EU and further afield</w:t>
      </w:r>
      <w:r w:rsidR="00C76775">
        <w:t>,</w:t>
      </w:r>
      <w:r w:rsidRPr="00C76775" w:rsidR="00C76775">
        <w:t xml:space="preserve"> </w:t>
      </w:r>
      <w:r w:rsidR="00C76775">
        <w:t>as evidenced by the recent correspondence from the Paris working group</w:t>
      </w:r>
      <w:r>
        <w:t>.</w:t>
      </w:r>
    </w:p>
    <w:p w:rsidR="00943459" w:rsidRPr="00D75E9A" w:rsidP="00D75E9A">
      <w:pPr>
        <w:pStyle w:val="Text1nonumber"/>
        <w:keepLines w:val="0"/>
        <w:ind w:left="0" w:right="-57"/>
        <w:rPr>
          <w:b/>
          <w:bCs/>
        </w:rPr>
      </w:pPr>
      <w:r w:rsidRPr="00D75E9A">
        <w:rPr>
          <w:b/>
          <w:bCs/>
        </w:rPr>
        <w:t xml:space="preserve">Singapore is very influential in trading terms and has taken a slightly different approach to the UK, despite the fact it has a common law system in most respect indistinguishable to the law in the UK. Singapore has in express terms implemented MLETR </w:t>
      </w:r>
      <w:r w:rsidRPr="005757DD">
        <w:rPr>
          <w:b/>
          <w:bCs/>
        </w:rPr>
        <w:t>and defined possession in s.16l of its Act in terms of exclusive control.</w:t>
      </w:r>
      <w:r w:rsidRPr="00D75E9A">
        <w:rPr>
          <w:b/>
          <w:bCs/>
        </w:rPr>
        <w:t xml:space="preserve"> Would you be able to explain why you did not favour the Singapore approach in the UK. </w:t>
      </w:r>
      <w:r w:rsidRPr="005757DD">
        <w:rPr>
          <w:b/>
          <w:bCs/>
        </w:rPr>
        <w:t>Or is there no distinction between the approaches? If so, how is that best made clear and how is it also made clear the UK is implementing MLETR? If there is a distinction, are there any concerns</w:t>
      </w:r>
      <w:r w:rsidRPr="00D75E9A">
        <w:rPr>
          <w:b/>
          <w:bCs/>
        </w:rPr>
        <w:t xml:space="preserve"> about two such important common law nations diverging?</w:t>
      </w:r>
    </w:p>
    <w:p w:rsidR="004F0186" w:rsidP="004F0186">
      <w:pPr>
        <w:pStyle w:val="Text1nonumber"/>
        <w:keepLines w:val="0"/>
        <w:numPr>
          <w:ilvl w:val="0"/>
          <w:numId w:val="8"/>
        </w:numPr>
        <w:ind w:left="539" w:right="-57" w:hanging="539"/>
      </w:pPr>
      <w:r>
        <w:t xml:space="preserve">Section 16I of the Singapore legislation is materially the same as article 11 of the MLETR. Both provisions provide that if an electronic document can be exclusively controlled by a person (and that person can be identified as the person in control) the document can satisfy a possession requirement. The Bill, in contrast, provides that a document that satisfies certain criteria (including being capable of exclusive control) qualifies as an electronic trade document, and an electronic trade document can be possessed. As such, the main distinction between the two </w:t>
      </w:r>
      <w:r>
        <w:t xml:space="preserve">approaches is that the MLETR/Singapore approach </w:t>
      </w:r>
      <w:r w:rsidR="00455987">
        <w:t>conceptualises</w:t>
      </w:r>
      <w:r>
        <w:t xml:space="preserve"> exclusive control as a functional equivalent to possession, whereas the Bill provides expressly that a document that can be exclusively controlled can be possessed.</w:t>
      </w:r>
    </w:p>
    <w:p w:rsidR="004F0186" w:rsidP="004F0186">
      <w:pPr>
        <w:pStyle w:val="Text1nonumber"/>
        <w:keepLines w:val="0"/>
        <w:numPr>
          <w:ilvl w:val="0"/>
          <w:numId w:val="8"/>
        </w:numPr>
        <w:ind w:left="539" w:right="-57" w:hanging="539"/>
      </w:pPr>
      <w:r>
        <w:t>The approach taken in the Bill was deliberate, and was consciously chosen for several reasons. First, explicitly stating that electronic trade documents are possessable directly removes the legal blocker that currently prevents electronic trade documents from functioning in the same way as paper trade documents. Since the issue is the lack of legal recognition that such documents can be possessed, removing this legal blocker expressly and clearly in statute addresses the issue head on. It is a more direct and effective solution.</w:t>
      </w:r>
    </w:p>
    <w:p w:rsidR="004F0186" w:rsidP="004F0186">
      <w:pPr>
        <w:pStyle w:val="Text1nonumber"/>
        <w:keepLines w:val="0"/>
        <w:numPr>
          <w:ilvl w:val="0"/>
          <w:numId w:val="8"/>
        </w:numPr>
        <w:ind w:left="539" w:right="-57" w:hanging="539"/>
      </w:pPr>
      <w:r>
        <w:t>Second, if the MLETR approach were adopted wholesale into English and Welsh law without any adaptation or refinement, questions may arise as to whether “animus possidendi” (the intention to possess; a necessary element of possession) is still required, and how this fits with exclusive control as a functional equivalent of possession. If exclusive control is a functional equivalent to the fact of possession, as is said to be the case in the Explanatory Note to the MLETR,</w:t>
      </w:r>
      <w:r>
        <w:rPr>
          <w:rStyle w:val="FootnoteReference"/>
        </w:rPr>
        <w:footnoteReference w:id="30"/>
      </w:r>
      <w:r>
        <w:t xml:space="preserve"> we understand this to mean that the</w:t>
      </w:r>
      <w:r w:rsidRPr="005867C7">
        <w:t xml:space="preserve"> person with exclusive control is </w:t>
      </w:r>
      <w:r>
        <w:t xml:space="preserve">in the same position as the </w:t>
      </w:r>
      <w:r w:rsidRPr="005867C7">
        <w:t xml:space="preserve">person </w:t>
      </w:r>
      <w:r>
        <w:t>with</w:t>
      </w:r>
      <w:r w:rsidRPr="005867C7">
        <w:t xml:space="preserve"> possession</w:t>
      </w:r>
      <w:r w:rsidR="00F42D04">
        <w:t xml:space="preserve"> as a matter of fact</w:t>
      </w:r>
      <w:r>
        <w:t>.</w:t>
      </w:r>
      <w:r w:rsidRPr="005867C7">
        <w:t xml:space="preserve"> </w:t>
      </w:r>
      <w:r>
        <w:t xml:space="preserve">This could raise doubts as to whether intention is still required or, to put it differently, the role of intention is at least not clear. Intention plays an important role in the context of possession </w:t>
      </w:r>
      <w:r w:rsidR="00F42D04">
        <w:t xml:space="preserve">as a matter of fact </w:t>
      </w:r>
      <w:r>
        <w:t>under English and Welsh law, and we did not want the legislation to be worded in a way that might raise doubts as to its continued relevance.</w:t>
      </w:r>
      <w:r>
        <w:rPr>
          <w:rStyle w:val="FootnoteReference"/>
        </w:rPr>
        <w:footnoteReference w:id="31"/>
      </w:r>
    </w:p>
    <w:p w:rsidR="004F0186" w:rsidP="004F0186">
      <w:pPr>
        <w:pStyle w:val="Text1nonumber"/>
        <w:keepLines w:val="0"/>
        <w:numPr>
          <w:ilvl w:val="0"/>
          <w:numId w:val="8"/>
        </w:numPr>
        <w:ind w:left="539" w:right="-57" w:hanging="539"/>
      </w:pPr>
      <w:r>
        <w:t>Third, the MLETR is a model law, with the intention being that it will be adapted for specific jurisdictions to fit with their legal system and their notion of possession.</w:t>
      </w:r>
      <w:r w:rsidRPr="00C76775" w:rsidR="00C76775">
        <w:t xml:space="preserve"> </w:t>
      </w:r>
      <w:r w:rsidR="00C76775">
        <w:t xml:space="preserve">Whilst we are obviously not in a position to say why Singapore opted to adopt it wholesale, we can set out why we do not think this approach is suitable for England and Wales. </w:t>
      </w:r>
      <w:r>
        <w:t xml:space="preserve">Having said that, part of the reason might be that even though Singapore is a common law jurisdiction, it has diverged from the UK in the context of electronic communications and electronic commerce. In particular, Singapore has adopted other UNCITRAL texts into its laws (unlike the UK) including the Model Law on Electronic Commerce </w:t>
      </w:r>
      <w:r w:rsidR="00FF0255">
        <w:t>(</w:t>
      </w:r>
      <w:r>
        <w:t>1996</w:t>
      </w:r>
      <w:r w:rsidR="00FF0255">
        <w:t>)</w:t>
      </w:r>
      <w:r>
        <w:t xml:space="preserve">, and the </w:t>
      </w:r>
      <w:r w:rsidRPr="00F626C3" w:rsidR="00F626C3">
        <w:t>United Nations Convention on the Use of Electronic Communications in International Contracts (New York, 2005)</w:t>
      </w:r>
      <w:r>
        <w:t>. The language of the MLETR might therefore be more compatible with Singapore’s existing law than it is with the UK’s, and its implementation without adaptation might therefore raise fewer difficulties of interpretation than it would in this jurisdiction.</w:t>
      </w:r>
    </w:p>
    <w:p w:rsidR="004F0186" w:rsidP="004F0186">
      <w:pPr>
        <w:pStyle w:val="Text1nonumber"/>
        <w:keepLines w:val="0"/>
        <w:numPr>
          <w:ilvl w:val="0"/>
          <w:numId w:val="8"/>
        </w:numPr>
        <w:ind w:left="539" w:right="-57" w:hanging="539"/>
      </w:pPr>
      <w:r>
        <w:t>Despite the differences in drafting, we do not consider there to be any substantive distinction between the two approaches. We therefore do not have any concerns with interoperability or harmonisation in this regard. Whether one adopts a functional equivalen</w:t>
      </w:r>
      <w:r w:rsidR="002D348F">
        <w:t>t</w:t>
      </w:r>
      <w:r>
        <w:t xml:space="preserve"> to possession, or makes possession directly applicable to these documents, the outcome will be the same: possessory concepts and remedies will apply to electronic trade documents. However, in order to benefit </w:t>
      </w:r>
      <w:r>
        <w:t>from the existing law on possession and to ensure that there is no difference in legal treatment between documents in different forms, we think it is clearer and more direct to extend the application of the concept of possession itself. Possession is a common law concept with a significant and hugely valuable pedigree. The Bill aims to avoid diluting or questioning that concept itself, and instead to make it clear that possession is applicable, as it stands, to electronic forms of documents. In essence, the Bill is carefully worded so as to make an important and necessary change without risking the integrity of a well-established and foundational common law concept.</w:t>
      </w:r>
    </w:p>
    <w:p w:rsidR="004F0186" w:rsidRPr="005E6542" w:rsidP="004F0186">
      <w:pPr>
        <w:pStyle w:val="Text1nonumber"/>
        <w:keepLines w:val="0"/>
        <w:ind w:left="0" w:right="-57"/>
        <w:rPr>
          <w:u w:val="single"/>
        </w:rPr>
      </w:pPr>
      <w:r w:rsidRPr="005E6542">
        <w:rPr>
          <w:u w:val="single"/>
        </w:rPr>
        <w:t>How can we make this position clearer?</w:t>
      </w:r>
    </w:p>
    <w:p w:rsidR="005867C7" w:rsidP="004F0186">
      <w:pPr>
        <w:pStyle w:val="Text1nonumber"/>
        <w:keepLines w:val="0"/>
        <w:numPr>
          <w:ilvl w:val="0"/>
          <w:numId w:val="8"/>
        </w:numPr>
        <w:ind w:left="539" w:right="-57" w:hanging="539"/>
      </w:pPr>
      <w:r>
        <w:t xml:space="preserve">The </w:t>
      </w:r>
      <w:r w:rsidR="0005736D">
        <w:t>compatibility</w:t>
      </w:r>
      <w:r w:rsidR="00805E1B">
        <w:t xml:space="preserve"> </w:t>
      </w:r>
      <w:r>
        <w:t>between the MLETR/Singapore approach and the approach in the Bill can be dealt with in the explanatory notes to the Bill. We think this is the appropriate place to explain and address the point, rather than by inserting specific wording in the Bill, which seems out of place in the legislation itself.</w:t>
      </w:r>
    </w:p>
    <w:p w:rsidR="00943459" w:rsidRPr="00D75E9A" w:rsidP="00D75E9A">
      <w:pPr>
        <w:pStyle w:val="Text1nonumber"/>
        <w:keepLines w:val="0"/>
        <w:ind w:left="0" w:right="-57"/>
        <w:rPr>
          <w:b/>
          <w:bCs/>
        </w:rPr>
      </w:pPr>
      <w:r w:rsidRPr="00D75E9A">
        <w:rPr>
          <w:b/>
          <w:bCs/>
        </w:rPr>
        <w:t>Could you expand on how “time and place” applies when trade documents change form? Could there be a scenario where the original paper document refers to time and place, but the electronic trade document does not? Which would apply?</w:t>
      </w:r>
    </w:p>
    <w:p w:rsidR="00A75969" w:rsidP="0071065C">
      <w:pPr>
        <w:pStyle w:val="Text1nonumber"/>
        <w:keepLines w:val="0"/>
        <w:numPr>
          <w:ilvl w:val="0"/>
          <w:numId w:val="8"/>
        </w:numPr>
        <w:ind w:left="539" w:right="-57" w:hanging="539"/>
      </w:pPr>
      <w:r>
        <w:t xml:space="preserve">Before a document in electronic form can qualify as an electronic trade document, the document </w:t>
      </w:r>
      <w:r>
        <w:rPr>
          <w:rFonts w:cs="Arial"/>
          <w:color w:val="000000"/>
          <w:szCs w:val="22"/>
        </w:rPr>
        <w:t xml:space="preserve">must contain the same information as would be required to be contained in the paper equivalent. Clause 2(1) </w:t>
      </w:r>
      <w:r w:rsidR="009E7C07">
        <w:rPr>
          <w:rFonts w:cs="Arial"/>
          <w:color w:val="000000"/>
          <w:szCs w:val="22"/>
        </w:rPr>
        <w:t>mandates this</w:t>
      </w:r>
      <w:r>
        <w:rPr>
          <w:rFonts w:cs="Arial"/>
          <w:color w:val="000000"/>
          <w:szCs w:val="22"/>
        </w:rPr>
        <w:t>. As such, if a paper trade document were required to contain time and place indications, the electronic version would similarly need to contain time and place indications</w:t>
      </w:r>
      <w:r w:rsidR="00893BDB">
        <w:rPr>
          <w:rFonts w:cs="Arial"/>
          <w:color w:val="000000"/>
          <w:szCs w:val="22"/>
        </w:rPr>
        <w:t xml:space="preserve"> in order to qualify as an electronic trade document.</w:t>
      </w:r>
    </w:p>
    <w:p w:rsidR="00B75CC5" w:rsidP="0071065C">
      <w:pPr>
        <w:pStyle w:val="Text1nonumber"/>
        <w:keepLines w:val="0"/>
        <w:numPr>
          <w:ilvl w:val="0"/>
          <w:numId w:val="8"/>
        </w:numPr>
        <w:ind w:left="539" w:right="-57" w:hanging="539"/>
      </w:pPr>
      <w:r>
        <w:t>Upon conversion of a paper trade document to electronic, the electronic document would (in the first place) still need to qualify as an electronic trade document</w:t>
      </w:r>
      <w:r w:rsidR="00893BDB">
        <w:t xml:space="preserve"> for the purposes of the Bill</w:t>
      </w:r>
      <w:r>
        <w:t xml:space="preserve">. This means that the document would need to contain time and place indications, if these </w:t>
      </w:r>
      <w:r w:rsidR="00893BDB">
        <w:t>were</w:t>
      </w:r>
      <w:r>
        <w:t xml:space="preserve"> required of the paper </w:t>
      </w:r>
      <w:r w:rsidR="00893BDB">
        <w:t>trade document</w:t>
      </w:r>
      <w:r>
        <w:t xml:space="preserve">. </w:t>
      </w:r>
      <w:r w:rsidR="00893BDB">
        <w:t>Assuming</w:t>
      </w:r>
      <w:r>
        <w:t xml:space="preserve"> the electronic version </w:t>
      </w:r>
      <w:r w:rsidR="00893BDB">
        <w:t>does</w:t>
      </w:r>
      <w:r>
        <w:t xml:space="preserve"> </w:t>
      </w:r>
      <w:r w:rsidR="00893BDB">
        <w:t xml:space="preserve">contain </w:t>
      </w:r>
      <w:r>
        <w:t>time and place indications</w:t>
      </w:r>
      <w:r w:rsidR="00893BDB">
        <w:t xml:space="preserve"> (because these are required of the paper trade document)</w:t>
      </w:r>
      <w:r>
        <w:t xml:space="preserve"> it </w:t>
      </w:r>
      <w:r w:rsidR="00893BDB">
        <w:t>will</w:t>
      </w:r>
      <w:r>
        <w:t xml:space="preserve"> </w:t>
      </w:r>
      <w:r w:rsidR="00893BDB">
        <w:t>satisfy</w:t>
      </w:r>
      <w:r>
        <w:t xml:space="preserve"> clause 2(1) and will (</w:t>
      </w:r>
      <w:r w:rsidR="00893BDB">
        <w:t>provided</w:t>
      </w:r>
      <w:r>
        <w:t xml:space="preserve"> it meets the remaining requirements in clause 2(2)) qualify as an electronic trade document. </w:t>
      </w:r>
      <w:r w:rsidR="00893BDB">
        <w:t xml:space="preserve">The next enquiry will be whether there has been a valid change of form of the paper trade document to the electronic trade document, and that turns on whether the requirements in clause </w:t>
      </w:r>
      <w:r w:rsidR="00F64A6F">
        <w:t>4</w:t>
      </w:r>
      <w:r w:rsidR="00893BDB">
        <w:t xml:space="preserve"> have been satisfied. As such, before the question of change of form arises, the electronic document in question would first need to qualify as an electronic trade document, part of which requires the electronic document to contain time and place indications where this is required of the paper equivalent. There is, therefore, no scenario where the original paper trade document would refer to time and place and the electronic version would not (upon a conversion or otherwise)</w:t>
      </w:r>
      <w:r w:rsidR="00C26FD0">
        <w:t>,</w:t>
      </w:r>
      <w:r w:rsidR="00893BDB">
        <w:t xml:space="preserve"> provided time and place indications are required to be contained in the paper version.</w:t>
      </w:r>
    </w:p>
    <w:p w:rsidR="00AE2A78" w:rsidP="0041643E">
      <w:pPr>
        <w:pStyle w:val="Text1nonumber"/>
        <w:keepLines w:val="0"/>
        <w:ind w:left="0" w:right="-57"/>
        <w:rPr>
          <w:b/>
          <w:bCs/>
        </w:rPr>
      </w:pPr>
    </w:p>
    <w:p w:rsidR="00AE2A78" w:rsidP="0041643E">
      <w:pPr>
        <w:pStyle w:val="Text1nonumber"/>
        <w:keepLines w:val="0"/>
        <w:ind w:left="0" w:right="-57"/>
        <w:rPr>
          <w:b/>
          <w:bCs/>
        </w:rPr>
      </w:pPr>
    </w:p>
    <w:p w:rsidR="0041643E" w:rsidP="0041643E">
      <w:pPr>
        <w:pStyle w:val="Text1nonumber"/>
        <w:keepLines w:val="0"/>
        <w:ind w:left="0" w:right="-57"/>
        <w:rPr>
          <w:b/>
          <w:bCs/>
        </w:rPr>
      </w:pPr>
      <w:bookmarkStart w:id="6" w:name="_GoBack"/>
      <w:bookmarkEnd w:id="6"/>
      <w:r>
        <w:rPr>
          <w:b/>
          <w:bCs/>
        </w:rPr>
        <w:t>Persons acting jointly</w:t>
      </w:r>
    </w:p>
    <w:p w:rsidR="0041643E" w:rsidP="0041643E">
      <w:pPr>
        <w:pStyle w:val="Text1nonumber"/>
        <w:keepLines w:val="0"/>
        <w:numPr>
          <w:ilvl w:val="0"/>
          <w:numId w:val="8"/>
        </w:numPr>
        <w:ind w:left="539" w:right="-57" w:hanging="539"/>
      </w:pPr>
      <w:r>
        <w:t>During the second oral evidence session, a question arose concerning the wording in clause 2(3)(b) the Bill around persons acting jointly, and what situation this wording was intended to cover.</w:t>
      </w:r>
      <w:r w:rsidR="0002641E">
        <w:t xml:space="preserve"> Even though the Committee has not asked us to address this question specifically, we have set out an explanation below in case that is helpful.</w:t>
      </w:r>
    </w:p>
    <w:p w:rsidR="0041643E" w:rsidRPr="0041643E" w:rsidP="0041643E">
      <w:pPr>
        <w:pStyle w:val="Text1nonumber"/>
        <w:keepLines w:val="0"/>
        <w:numPr>
          <w:ilvl w:val="0"/>
          <w:numId w:val="8"/>
        </w:numPr>
        <w:ind w:left="539" w:right="-57" w:hanging="539"/>
      </w:pPr>
      <w:r w:rsidRPr="0041643E">
        <w:t xml:space="preserve">Clause 2(3)(b) of the Bill covers the situation where a group of persons acting jointly can exercise control of the trade document in electronic form. </w:t>
      </w:r>
      <w:r>
        <w:t>The typical situation in which this scenario</w:t>
      </w:r>
      <w:r w:rsidRPr="0041643E">
        <w:t xml:space="preserve"> </w:t>
      </w:r>
      <w:r w:rsidR="0002641E">
        <w:t>could arise</w:t>
      </w:r>
      <w:r>
        <w:t xml:space="preserve"> (at least under the current technology) is </w:t>
      </w:r>
      <w:r w:rsidRPr="0041643E">
        <w:t>in a multi-signature arrangement</w:t>
      </w:r>
      <w:r>
        <w:t xml:space="preserve">. A multi-signature arrangement is one </w:t>
      </w:r>
      <w:r w:rsidRPr="0041643E">
        <w:t xml:space="preserve">where several people have different (fragments of) </w:t>
      </w:r>
      <w:r>
        <w:t xml:space="preserve">private </w:t>
      </w:r>
      <w:r w:rsidRPr="0041643E">
        <w:t>keys</w:t>
      </w:r>
      <w:r>
        <w:t xml:space="preserve"> (the means by which control of the document is exercised)</w:t>
      </w:r>
      <w:r w:rsidRPr="0041643E">
        <w:t>, with a certain combination or number of them being necessary to effect a transfer of the document. In this case, the persons who can exercise control jointly over the document are treated as one person for the purposes of clause 2(2)(c). As such, even though multiple persons (acting jointly) can exercise control of the document, these arrangements are still capable of satisfying the exclusive control requirement in clause 2(2)(c).</w:t>
      </w:r>
      <w:r>
        <w:t xml:space="preserve"> </w:t>
      </w:r>
      <w:r w:rsidR="00842101">
        <w:t xml:space="preserve">The same situation could arise in the paper context (for example, if two keys are required to unlock a cabinet that contains the paper trade document). </w:t>
      </w:r>
      <w:r>
        <w:t>This wording ensures we do not inadvertently exclude certain types of electronic documents from the scope of the Bill.</w:t>
      </w:r>
    </w:p>
    <w:p w:rsidR="00FE79E0" w:rsidP="00D42D5E">
      <w:pPr>
        <w:pStyle w:val="Text1nonumber"/>
        <w:keepLines w:val="0"/>
        <w:ind w:left="0" w:right="-57"/>
      </w:pPr>
      <w:r w:rsidRPr="00D42D5E">
        <w:rPr>
          <w:b/>
          <w:bCs/>
        </w:rPr>
        <w:t>Conclusion</w:t>
      </w:r>
    </w:p>
    <w:p w:rsidR="00230AAF" w:rsidP="00943459">
      <w:pPr>
        <w:pStyle w:val="Text1nonumber"/>
        <w:keepLines w:val="0"/>
        <w:numPr>
          <w:ilvl w:val="0"/>
          <w:numId w:val="8"/>
        </w:numPr>
        <w:ind w:left="539" w:right="-57" w:hanging="539"/>
      </w:pPr>
      <w:r>
        <w:t xml:space="preserve">I should be happy to </w:t>
      </w:r>
      <w:r w:rsidR="00943459">
        <w:t>discuss</w:t>
      </w:r>
      <w:r>
        <w:t xml:space="preserve"> any of the points raised in this submission </w:t>
      </w:r>
      <w:r w:rsidR="00943459">
        <w:t>with</w:t>
      </w:r>
      <w:r>
        <w:t xml:space="preserve"> the Committee, if that would be of assistance</w:t>
      </w:r>
      <w:r w:rsidRPr="00504E26">
        <w:t>.</w:t>
      </w:r>
    </w:p>
    <w:p w:rsidR="00230AAF" w:rsidP="00230AAF">
      <w:pPr>
        <w:pStyle w:val="Text1nonumber"/>
        <w:ind w:left="0" w:right="-58"/>
      </w:pPr>
      <w:r>
        <w:t>Yours sincerely,</w:t>
      </w:r>
    </w:p>
    <w:p w:rsidR="00230AAF" w:rsidRPr="00FC233D" w:rsidP="00230AAF">
      <w:pPr>
        <w:pStyle w:val="Text1nonumber"/>
        <w:ind w:left="0" w:right="-58"/>
        <w:rPr>
          <w:b/>
        </w:rPr>
      </w:pPr>
      <w:r>
        <w:rPr>
          <w:b/>
        </w:rPr>
        <w:t>Professor Sarah Green</w:t>
      </w:r>
      <w:r w:rsidRPr="00744787">
        <w:rPr>
          <w:b/>
        </w:rPr>
        <w:t>, Law Commissioner</w:t>
      </w:r>
    </w:p>
    <w:sectPr>
      <w:headerReference w:type="default" r:id="rId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42F0D" w:rsidP="0064095C">
      <w:r>
        <w:separator/>
      </w:r>
    </w:p>
  </w:footnote>
  <w:footnote w:type="continuationSeparator" w:id="1">
    <w:p w:rsidR="00042F0D" w:rsidP="0064095C">
      <w:r>
        <w:continuationSeparator/>
      </w:r>
    </w:p>
  </w:footnote>
  <w:footnote w:id="2">
    <w:p w:rsidR="008D4A81" w:rsidRPr="008A090F">
      <w:pPr>
        <w:pStyle w:val="FootnoteText"/>
        <w:rPr>
          <w:rFonts w:ascii="Arial" w:hAnsi="Arial" w:cs="Arial"/>
          <w:sz w:val="16"/>
          <w:szCs w:val="16"/>
        </w:rPr>
      </w:pPr>
      <w:r w:rsidRPr="008A090F">
        <w:rPr>
          <w:rStyle w:val="FootnoteReference"/>
          <w:rFonts w:ascii="Arial" w:hAnsi="Arial" w:cs="Arial"/>
          <w:sz w:val="16"/>
          <w:szCs w:val="16"/>
        </w:rPr>
        <w:footnoteRef/>
      </w:r>
      <w:r w:rsidRPr="008A090F">
        <w:rPr>
          <w:rFonts w:ascii="Arial" w:hAnsi="Arial" w:cs="Arial"/>
          <w:sz w:val="16"/>
          <w:szCs w:val="16"/>
        </w:rPr>
        <w:t xml:space="preserve"> Bills of lading and negotiable instruments are transferable as chattels by delivery under English and Welsh law: See </w:t>
      </w:r>
      <w:r w:rsidRPr="008A090F" w:rsidR="001D4A28">
        <w:rPr>
          <w:rFonts w:ascii="Arial" w:hAnsi="Arial" w:cs="Arial"/>
          <w:sz w:val="16"/>
          <w:szCs w:val="16"/>
        </w:rPr>
        <w:t xml:space="preserve">Lord Collins of Mapesbury and J Harris (eds), </w:t>
      </w:r>
      <w:r w:rsidRPr="008A090F" w:rsidR="001D4A28">
        <w:rPr>
          <w:rFonts w:ascii="Arial" w:hAnsi="Arial" w:cs="Arial"/>
          <w:i/>
          <w:iCs/>
          <w:sz w:val="16"/>
          <w:szCs w:val="16"/>
        </w:rPr>
        <w:t>Dicey, Morris &amp; Collins, The Conflict of Laws</w:t>
      </w:r>
      <w:r w:rsidRPr="008A090F" w:rsidR="001D4A28">
        <w:rPr>
          <w:rFonts w:ascii="Arial" w:hAnsi="Arial" w:cs="Arial"/>
          <w:sz w:val="16"/>
          <w:szCs w:val="16"/>
        </w:rPr>
        <w:t xml:space="preserve"> (16th ed 2022), </w:t>
      </w:r>
      <w:r w:rsidRPr="008A090F">
        <w:rPr>
          <w:rFonts w:ascii="Arial" w:hAnsi="Arial" w:cs="Arial"/>
          <w:sz w:val="16"/>
          <w:szCs w:val="16"/>
        </w:rPr>
        <w:t>para 33-</w:t>
      </w:r>
      <w:r w:rsidRPr="008A090F" w:rsidR="001D4A28">
        <w:rPr>
          <w:rFonts w:ascii="Arial" w:hAnsi="Arial" w:cs="Arial"/>
          <w:sz w:val="16"/>
          <w:szCs w:val="16"/>
        </w:rPr>
        <w:t>402</w:t>
      </w:r>
      <w:r w:rsidRPr="008A090F">
        <w:rPr>
          <w:rFonts w:ascii="Arial" w:hAnsi="Arial" w:cs="Arial"/>
          <w:sz w:val="16"/>
          <w:szCs w:val="16"/>
        </w:rPr>
        <w:t>.</w:t>
      </w:r>
      <w:r w:rsidRPr="008A090F" w:rsidR="001D4A28">
        <w:rPr>
          <w:rFonts w:ascii="Arial" w:hAnsi="Arial" w:cs="Arial"/>
          <w:sz w:val="16"/>
          <w:szCs w:val="16"/>
        </w:rPr>
        <w:t xml:space="preserve"> </w:t>
      </w:r>
    </w:p>
  </w:footnote>
  <w:footnote w:id="3">
    <w:p w:rsidR="008D4A81" w:rsidRPr="008A090F" w:rsidP="00341260">
      <w:pPr>
        <w:pStyle w:val="FootnoteText"/>
        <w:rPr>
          <w:rFonts w:ascii="Arial" w:hAnsi="Arial" w:cs="Arial"/>
          <w:sz w:val="16"/>
          <w:szCs w:val="16"/>
        </w:rPr>
      </w:pPr>
      <w:r w:rsidRPr="008A090F">
        <w:rPr>
          <w:rStyle w:val="FootnoteReference"/>
          <w:rFonts w:ascii="Arial" w:hAnsi="Arial" w:cs="Arial"/>
          <w:sz w:val="16"/>
          <w:szCs w:val="16"/>
        </w:rPr>
        <w:footnoteRef/>
      </w:r>
      <w:r w:rsidRPr="008A090F">
        <w:rPr>
          <w:rFonts w:ascii="Arial" w:hAnsi="Arial" w:cs="Arial"/>
          <w:sz w:val="16"/>
          <w:szCs w:val="16"/>
        </w:rPr>
        <w:t xml:space="preserve"> </w:t>
      </w:r>
      <w:r w:rsidRPr="008A090F" w:rsidR="008A090F">
        <w:rPr>
          <w:rFonts w:ascii="Arial" w:hAnsi="Arial" w:cs="Arial"/>
          <w:i/>
          <w:iCs/>
          <w:sz w:val="16"/>
          <w:szCs w:val="16"/>
        </w:rPr>
        <w:t>Dicey, Morris &amp; Collins, The Conflict of Laws</w:t>
      </w:r>
      <w:r w:rsidRPr="008A090F" w:rsidR="008A090F">
        <w:rPr>
          <w:rFonts w:ascii="Arial" w:hAnsi="Arial" w:cs="Arial"/>
          <w:sz w:val="16"/>
          <w:szCs w:val="16"/>
        </w:rPr>
        <w:t xml:space="preserve"> (16th ed 2022),</w:t>
      </w:r>
      <w:r w:rsidRPr="008A090F">
        <w:rPr>
          <w:rFonts w:ascii="Arial" w:hAnsi="Arial" w:cs="Arial"/>
          <w:sz w:val="16"/>
          <w:szCs w:val="16"/>
        </w:rPr>
        <w:t xml:space="preserve"> Rule 141 (25R-001)</w:t>
      </w:r>
      <w:r w:rsidRPr="008A090F" w:rsidR="00341260">
        <w:rPr>
          <w:rFonts w:ascii="Arial" w:hAnsi="Arial" w:cs="Arial"/>
          <w:sz w:val="16"/>
          <w:szCs w:val="16"/>
        </w:rPr>
        <w:t>: The validity of a transfer of a tangible movable and its effect on the proprietary rights of the parties thereto and of those claiming under them in respect thereof are governed by the law of the country</w:t>
      </w:r>
      <w:r w:rsidR="008A090F">
        <w:rPr>
          <w:rFonts w:ascii="Arial" w:hAnsi="Arial" w:cs="Arial"/>
          <w:sz w:val="16"/>
          <w:szCs w:val="16"/>
        </w:rPr>
        <w:t xml:space="preserve"> </w:t>
      </w:r>
      <w:r w:rsidRPr="008A090F" w:rsidR="00341260">
        <w:rPr>
          <w:rFonts w:ascii="Arial" w:hAnsi="Arial" w:cs="Arial"/>
          <w:sz w:val="16"/>
          <w:szCs w:val="16"/>
        </w:rPr>
        <w:t>where the movable is at the time of the transfer (lex situs).</w:t>
      </w:r>
    </w:p>
  </w:footnote>
  <w:footnote w:id="4">
    <w:p w:rsidR="008D4A81" w:rsidRPr="008A090F" w:rsidP="00DD7500">
      <w:pPr>
        <w:pStyle w:val="FootnoteText"/>
        <w:rPr>
          <w:rFonts w:ascii="Arial" w:hAnsi="Arial" w:cs="Arial"/>
          <w:sz w:val="16"/>
          <w:szCs w:val="16"/>
        </w:rPr>
      </w:pPr>
      <w:r w:rsidRPr="008A090F">
        <w:rPr>
          <w:rStyle w:val="FootnoteReference"/>
          <w:rFonts w:ascii="Arial" w:hAnsi="Arial" w:cs="Arial"/>
          <w:sz w:val="16"/>
          <w:szCs w:val="16"/>
        </w:rPr>
        <w:footnoteRef/>
      </w:r>
      <w:r w:rsidRPr="008A090F">
        <w:rPr>
          <w:rFonts w:ascii="Arial" w:hAnsi="Arial" w:cs="Arial"/>
          <w:sz w:val="16"/>
          <w:szCs w:val="16"/>
        </w:rPr>
        <w:t xml:space="preserve"> Support for this proposition can be found in </w:t>
      </w:r>
      <w:r w:rsidRPr="008A090F">
        <w:rPr>
          <w:rFonts w:ascii="Arial" w:hAnsi="Arial" w:cs="Arial"/>
          <w:i/>
          <w:iCs/>
          <w:sz w:val="16"/>
          <w:szCs w:val="16"/>
        </w:rPr>
        <w:t>City Bank v Barrow</w:t>
      </w:r>
      <w:r w:rsidRPr="008A090F">
        <w:rPr>
          <w:rFonts w:ascii="Arial" w:hAnsi="Arial" w:cs="Arial"/>
          <w:sz w:val="16"/>
          <w:szCs w:val="16"/>
        </w:rPr>
        <w:t xml:space="preserve"> (1880) 5 App. Cas. 664.</w:t>
      </w:r>
    </w:p>
  </w:footnote>
  <w:footnote w:id="5">
    <w:p w:rsidR="008D4A81" w:rsidRPr="008A090F">
      <w:pPr>
        <w:pStyle w:val="FootnoteText"/>
        <w:rPr>
          <w:rFonts w:ascii="Arial" w:hAnsi="Arial" w:cs="Arial"/>
          <w:sz w:val="16"/>
          <w:szCs w:val="16"/>
        </w:rPr>
      </w:pPr>
      <w:r w:rsidRPr="008A090F">
        <w:rPr>
          <w:rStyle w:val="FootnoteReference"/>
          <w:rFonts w:ascii="Arial" w:hAnsi="Arial" w:cs="Arial"/>
          <w:sz w:val="16"/>
          <w:szCs w:val="16"/>
        </w:rPr>
        <w:footnoteRef/>
      </w:r>
      <w:r w:rsidRPr="008A090F">
        <w:rPr>
          <w:rFonts w:ascii="Arial" w:hAnsi="Arial" w:cs="Arial"/>
          <w:sz w:val="16"/>
          <w:szCs w:val="16"/>
        </w:rPr>
        <w:t xml:space="preserve"> Dicey makes the point that even though a person’s (proprietary) entitlement to be treated as a ‘‘holder’’, as against other claimants, will normally be determined in accordance with the lex situs, the question whether the instrument carries with it rights against the issuer (and questions concerning the exercise of those rights) will, ultimately, be matters for the law governing the instrument.</w:t>
      </w:r>
      <w:r w:rsidR="00C34E29">
        <w:rPr>
          <w:rFonts w:ascii="Arial" w:hAnsi="Arial" w:cs="Arial"/>
          <w:sz w:val="16"/>
          <w:szCs w:val="16"/>
        </w:rPr>
        <w:t xml:space="preserve"> See </w:t>
      </w:r>
      <w:r w:rsidRPr="008A090F" w:rsidR="00C34E29">
        <w:rPr>
          <w:rFonts w:ascii="Arial" w:hAnsi="Arial" w:cs="Arial"/>
          <w:i/>
          <w:iCs/>
          <w:sz w:val="16"/>
          <w:szCs w:val="16"/>
        </w:rPr>
        <w:t>Dicey, Morris &amp; Collins, The Conflict of Laws</w:t>
      </w:r>
      <w:r w:rsidRPr="008A090F" w:rsidR="00C34E29">
        <w:rPr>
          <w:rFonts w:ascii="Arial" w:hAnsi="Arial" w:cs="Arial"/>
          <w:sz w:val="16"/>
          <w:szCs w:val="16"/>
        </w:rPr>
        <w:t xml:space="preserve"> (16th ed 2022),</w:t>
      </w:r>
      <w:r w:rsidR="00C34E29">
        <w:rPr>
          <w:rFonts w:ascii="Arial" w:hAnsi="Arial" w:cs="Arial"/>
          <w:sz w:val="16"/>
          <w:szCs w:val="16"/>
        </w:rPr>
        <w:t xml:space="preserve"> para</w:t>
      </w:r>
      <w:r w:rsidR="00E943BC">
        <w:rPr>
          <w:rFonts w:ascii="Arial" w:hAnsi="Arial" w:cs="Arial"/>
          <w:sz w:val="16"/>
          <w:szCs w:val="16"/>
        </w:rPr>
        <w:t xml:space="preserve"> 33-410.</w:t>
      </w:r>
    </w:p>
  </w:footnote>
  <w:footnote w:id="6">
    <w:p w:rsidR="00804DDD">
      <w:pPr>
        <w:pStyle w:val="FootnoteText"/>
      </w:pPr>
      <w:r w:rsidRPr="008A090F">
        <w:rPr>
          <w:rStyle w:val="FootnoteReference"/>
          <w:rFonts w:ascii="Arial" w:hAnsi="Arial" w:cs="Arial"/>
          <w:sz w:val="16"/>
          <w:szCs w:val="16"/>
        </w:rPr>
        <w:footnoteRef/>
      </w:r>
      <w:r>
        <w:t xml:space="preserve"> </w:t>
      </w:r>
      <w:r>
        <w:rPr>
          <w:rFonts w:ascii="Arial" w:hAnsi="Arial" w:cs="Arial"/>
          <w:sz w:val="16"/>
          <w:szCs w:val="16"/>
        </w:rPr>
        <w:t>See, for example,</w:t>
      </w:r>
      <w:r w:rsidRPr="00E14D46">
        <w:rPr>
          <w:rFonts w:ascii="Arial" w:hAnsi="Arial" w:cs="Arial"/>
          <w:sz w:val="16"/>
          <w:szCs w:val="16"/>
        </w:rPr>
        <w:t xml:space="preserve"> </w:t>
      </w:r>
      <w:r w:rsidRPr="00E14D46">
        <w:rPr>
          <w:rStyle w:val="coitalic"/>
          <w:rFonts w:ascii="Arial" w:hAnsi="Arial" w:cs="Arial"/>
          <w:i/>
          <w:iCs/>
          <w:sz w:val="16"/>
          <w:szCs w:val="16"/>
        </w:rPr>
        <w:t xml:space="preserve">Ion Sciences Ltd v Persons Unknown </w:t>
      </w:r>
      <w:r w:rsidRPr="00E14D46">
        <w:rPr>
          <w:rStyle w:val="coitalic"/>
          <w:rFonts w:ascii="Arial" w:hAnsi="Arial" w:cs="Arial"/>
          <w:sz w:val="16"/>
          <w:szCs w:val="16"/>
        </w:rPr>
        <w:t>and others (unreported), 21 December 2020 (Commercial Court)</w:t>
      </w:r>
      <w:r>
        <w:rPr>
          <w:rStyle w:val="coitalic"/>
          <w:rFonts w:ascii="Arial" w:hAnsi="Arial" w:cs="Arial"/>
          <w:sz w:val="16"/>
          <w:szCs w:val="16"/>
        </w:rPr>
        <w:t xml:space="preserve">; </w:t>
      </w:r>
      <w:r w:rsidRPr="00E14D46">
        <w:rPr>
          <w:rStyle w:val="coitalic"/>
          <w:rFonts w:ascii="Arial" w:hAnsi="Arial" w:cs="Arial"/>
          <w:i/>
          <w:iCs/>
          <w:sz w:val="16"/>
          <w:szCs w:val="16"/>
        </w:rPr>
        <w:t>Fetch.ai Ltd and another company v Persons Unknown Category A and others</w:t>
      </w:r>
      <w:r w:rsidRPr="00E14D46">
        <w:rPr>
          <w:rStyle w:val="coitalic"/>
          <w:rFonts w:ascii="Arial" w:hAnsi="Arial" w:cs="Arial"/>
          <w:sz w:val="16"/>
          <w:szCs w:val="16"/>
        </w:rPr>
        <w:t xml:space="preserve"> [2021] EWHC 2254 (Comm)</w:t>
      </w:r>
      <w:r>
        <w:rPr>
          <w:rStyle w:val="coitalic"/>
          <w:rFonts w:ascii="Arial" w:hAnsi="Arial" w:cs="Arial"/>
          <w:sz w:val="16"/>
          <w:szCs w:val="16"/>
        </w:rPr>
        <w:t xml:space="preserve">; </w:t>
      </w:r>
      <w:r w:rsidRPr="000707BC">
        <w:rPr>
          <w:rStyle w:val="coitalic"/>
          <w:rFonts w:ascii="Arial" w:hAnsi="Arial" w:cs="Arial"/>
          <w:i/>
          <w:iCs/>
          <w:sz w:val="16"/>
          <w:szCs w:val="16"/>
        </w:rPr>
        <w:t>D’Aloia v Persons Unknown</w:t>
      </w:r>
      <w:r>
        <w:rPr>
          <w:rStyle w:val="coitalic"/>
          <w:rFonts w:ascii="Arial" w:hAnsi="Arial" w:cs="Arial"/>
          <w:sz w:val="16"/>
          <w:szCs w:val="16"/>
        </w:rPr>
        <w:t xml:space="preserve"> </w:t>
      </w:r>
      <w:r w:rsidRPr="00E14D46">
        <w:rPr>
          <w:rStyle w:val="coitalic"/>
          <w:rFonts w:ascii="Arial" w:hAnsi="Arial" w:cs="Arial"/>
          <w:sz w:val="16"/>
          <w:szCs w:val="16"/>
        </w:rPr>
        <w:t>[2022] EWHC 1723 (Ch)</w:t>
      </w:r>
      <w:r>
        <w:rPr>
          <w:rStyle w:val="coitalic"/>
          <w:rFonts w:ascii="Arial" w:hAnsi="Arial" w:cs="Arial"/>
          <w:sz w:val="16"/>
          <w:szCs w:val="16"/>
        </w:rPr>
        <w:t>.</w:t>
      </w:r>
    </w:p>
  </w:footnote>
  <w:footnote w:id="7">
    <w:p w:rsidR="00C76775" w:rsidRPr="00F414CF">
      <w:pPr>
        <w:pStyle w:val="FootnoteText"/>
        <w:rPr>
          <w:rFonts w:ascii="Arial" w:hAnsi="Arial" w:cs="Arial"/>
          <w:sz w:val="16"/>
          <w:szCs w:val="16"/>
        </w:rPr>
      </w:pPr>
      <w:r w:rsidRPr="00F414CF">
        <w:rPr>
          <w:rStyle w:val="FootnoteReference"/>
          <w:rFonts w:ascii="Arial" w:hAnsi="Arial" w:cs="Arial"/>
          <w:sz w:val="16"/>
          <w:szCs w:val="16"/>
        </w:rPr>
        <w:footnoteRef/>
      </w:r>
      <w:r w:rsidRPr="00F414CF">
        <w:rPr>
          <w:rFonts w:ascii="Arial" w:hAnsi="Arial" w:cs="Arial"/>
          <w:sz w:val="16"/>
          <w:szCs w:val="16"/>
        </w:rPr>
        <w:t xml:space="preserve"> See, for example, the Court of Appeal decision in </w:t>
      </w:r>
      <w:r w:rsidRPr="00F414CF">
        <w:rPr>
          <w:rFonts w:ascii="Arial" w:hAnsi="Arial" w:cs="Arial"/>
          <w:i/>
          <w:iCs/>
          <w:sz w:val="16"/>
          <w:szCs w:val="16"/>
        </w:rPr>
        <w:t>Byers v Saudi National Bank</w:t>
      </w:r>
      <w:r w:rsidRPr="00F414CF">
        <w:rPr>
          <w:rFonts w:ascii="Arial" w:hAnsi="Arial" w:cs="Arial"/>
          <w:sz w:val="16"/>
          <w:szCs w:val="16"/>
        </w:rPr>
        <w:t xml:space="preserve"> [2022] EWCA Civ 43. In this case, the Court held that a claim in knowing receipt required the claimant to have a continuing proprietary interest in the relevant trust property following the impugned transfer. As such, a claim in knowing receipt would fail if, at the moment of receipt, the beneficiary’s equitable proprietary interest was destroyed or overridden. Importantly for our purposes, the question of whether the claimant’s equitable proprietary interest was extinguished was said to be determined by reference to the law of the place where the shares were at the time of the transfer (the lex situs), which was Saudi Arabia. According to Saudi Arabian law, the registration of the shares in the defendant’s name was conclusive of full and exclusive ownership rights (although this was different to the position under English law). The appeal was therefore dismissed. This case illustrates how a foreign applicable law can treat the subject matter of the dispute differently from English law.</w:t>
      </w:r>
    </w:p>
  </w:footnote>
  <w:footnote w:id="8">
    <w:p w:rsidR="00804DDD">
      <w:pPr>
        <w:pStyle w:val="FootnoteText"/>
      </w:pPr>
      <w:r w:rsidRPr="00506181">
        <w:rPr>
          <w:rStyle w:val="FootnoteReference"/>
          <w:rFonts w:ascii="Arial" w:hAnsi="Arial" w:cs="Arial"/>
          <w:sz w:val="16"/>
          <w:szCs w:val="16"/>
        </w:rPr>
        <w:footnoteRef/>
      </w:r>
      <w:r w:rsidRPr="00506181">
        <w:rPr>
          <w:rFonts w:ascii="Arial" w:hAnsi="Arial" w:cs="Arial"/>
          <w:sz w:val="16"/>
          <w:szCs w:val="16"/>
        </w:rPr>
        <w:t xml:space="preserve"> </w:t>
      </w:r>
      <w:r>
        <w:rPr>
          <w:rFonts w:ascii="Arial" w:hAnsi="Arial" w:cs="Arial"/>
          <w:sz w:val="16"/>
          <w:szCs w:val="16"/>
        </w:rPr>
        <w:t>See, for example,</w:t>
      </w:r>
      <w:r w:rsidRPr="00E14D46">
        <w:rPr>
          <w:rFonts w:ascii="Arial" w:hAnsi="Arial" w:cs="Arial"/>
          <w:sz w:val="16"/>
          <w:szCs w:val="16"/>
        </w:rPr>
        <w:t xml:space="preserve"> </w:t>
      </w:r>
      <w:r w:rsidRPr="00E14D46">
        <w:rPr>
          <w:rStyle w:val="coitalic"/>
          <w:rFonts w:ascii="Arial" w:hAnsi="Arial" w:cs="Arial"/>
          <w:i/>
          <w:iCs/>
          <w:sz w:val="16"/>
          <w:szCs w:val="16"/>
        </w:rPr>
        <w:t xml:space="preserve">Ion Sciences Ltd v Persons Unknown </w:t>
      </w:r>
      <w:r w:rsidRPr="00E14D46">
        <w:rPr>
          <w:rStyle w:val="coitalic"/>
          <w:rFonts w:ascii="Arial" w:hAnsi="Arial" w:cs="Arial"/>
          <w:sz w:val="16"/>
          <w:szCs w:val="16"/>
        </w:rPr>
        <w:t>and others (unreported), 21 December 2020 (Commercial Court)</w:t>
      </w:r>
      <w:r>
        <w:rPr>
          <w:rStyle w:val="coitalic"/>
          <w:rFonts w:ascii="Arial" w:hAnsi="Arial" w:cs="Arial"/>
          <w:sz w:val="16"/>
          <w:szCs w:val="16"/>
        </w:rPr>
        <w:t xml:space="preserve">; </w:t>
      </w:r>
      <w:r w:rsidRPr="00E14D46">
        <w:rPr>
          <w:rStyle w:val="coitalic"/>
          <w:rFonts w:ascii="Arial" w:hAnsi="Arial" w:cs="Arial"/>
          <w:i/>
          <w:iCs/>
          <w:sz w:val="16"/>
          <w:szCs w:val="16"/>
        </w:rPr>
        <w:t>Fetch.ai Ltd and another company v Persons Unknown Category A and others</w:t>
      </w:r>
      <w:r w:rsidRPr="00E14D46">
        <w:rPr>
          <w:rStyle w:val="coitalic"/>
          <w:rFonts w:ascii="Arial" w:hAnsi="Arial" w:cs="Arial"/>
          <w:sz w:val="16"/>
          <w:szCs w:val="16"/>
        </w:rPr>
        <w:t xml:space="preserve"> [2021] EWHC 2254 (Comm)</w:t>
      </w:r>
      <w:r>
        <w:rPr>
          <w:rStyle w:val="coitalic"/>
          <w:rFonts w:ascii="Arial" w:hAnsi="Arial" w:cs="Arial"/>
          <w:sz w:val="16"/>
          <w:szCs w:val="16"/>
        </w:rPr>
        <w:t xml:space="preserve">; </w:t>
      </w:r>
      <w:r w:rsidRPr="000707BC">
        <w:rPr>
          <w:rStyle w:val="coitalic"/>
          <w:rFonts w:ascii="Arial" w:hAnsi="Arial" w:cs="Arial"/>
          <w:i/>
          <w:iCs/>
          <w:sz w:val="16"/>
          <w:szCs w:val="16"/>
        </w:rPr>
        <w:t>D’Aloia v Persons Unknown</w:t>
      </w:r>
      <w:r>
        <w:rPr>
          <w:rStyle w:val="coitalic"/>
          <w:rFonts w:ascii="Arial" w:hAnsi="Arial" w:cs="Arial"/>
          <w:sz w:val="16"/>
          <w:szCs w:val="16"/>
        </w:rPr>
        <w:t xml:space="preserve"> </w:t>
      </w:r>
      <w:r w:rsidRPr="00E14D46">
        <w:rPr>
          <w:rStyle w:val="coitalic"/>
          <w:rFonts w:ascii="Arial" w:hAnsi="Arial" w:cs="Arial"/>
          <w:sz w:val="16"/>
          <w:szCs w:val="16"/>
        </w:rPr>
        <w:t>[2022] EWHC 1723 (Ch)</w:t>
      </w:r>
      <w:r>
        <w:rPr>
          <w:rStyle w:val="coitalic"/>
          <w:rFonts w:ascii="Arial" w:hAnsi="Arial" w:cs="Arial"/>
          <w:sz w:val="16"/>
          <w:szCs w:val="16"/>
        </w:rPr>
        <w:t>.</w:t>
      </w:r>
    </w:p>
  </w:footnote>
  <w:footnote w:id="9">
    <w:p w:rsidR="00074D95" w:rsidRPr="00074D95" w:rsidP="00074D95">
      <w:pPr>
        <w:pStyle w:val="FootnoteText"/>
        <w:rPr>
          <w:rFonts w:ascii="Arial" w:hAnsi="Arial" w:cs="Arial"/>
          <w:sz w:val="16"/>
          <w:szCs w:val="16"/>
        </w:rPr>
      </w:pPr>
      <w:r w:rsidRPr="00074D95">
        <w:rPr>
          <w:rStyle w:val="FootnoteReference"/>
          <w:rFonts w:ascii="Arial" w:hAnsi="Arial" w:cs="Arial"/>
          <w:sz w:val="16"/>
          <w:szCs w:val="16"/>
        </w:rPr>
        <w:footnoteRef/>
      </w:r>
      <w:r w:rsidRPr="00074D95">
        <w:rPr>
          <w:rFonts w:ascii="Arial" w:hAnsi="Arial" w:cs="Arial"/>
          <w:sz w:val="16"/>
          <w:szCs w:val="16"/>
        </w:rPr>
        <w:t xml:space="preserve"> “Press Release: Launch of a Programme Assigned to Paris Europlace to Accelerate the Digitization of International Trade Finance Operations” (8 November 2022) N°282; “France working on accelerating electronic trade documentation and trade finance”, Shipping and Freight Resource, 8 December 2022, accessible at: </w:t>
      </w:r>
      <w:r>
        <w:fldChar w:fldCharType="begin"/>
      </w:r>
      <w:r>
        <w:instrText xml:space="preserve"> HYPERLINK "https://www.shippingandfreightresource.com/france-working-on-accelerating-electronic-trade-documentation-and-trade-finance/" </w:instrText>
      </w:r>
      <w:r>
        <w:fldChar w:fldCharType="separate"/>
      </w:r>
      <w:r w:rsidRPr="00074D95">
        <w:rPr>
          <w:rStyle w:val="Hyperlink"/>
          <w:rFonts w:ascii="Arial" w:hAnsi="Arial" w:cs="Arial"/>
          <w:sz w:val="16"/>
          <w:szCs w:val="16"/>
        </w:rPr>
        <w:t>https://www.shippingandfreightresource.com/france-working-on-accelerating-electronic-trade-documentation-and-trade-finance/</w:t>
      </w:r>
      <w:r>
        <w:fldChar w:fldCharType="end"/>
      </w:r>
      <w:r w:rsidRPr="00074D95">
        <w:rPr>
          <w:rFonts w:ascii="Arial" w:hAnsi="Arial" w:cs="Arial"/>
          <w:sz w:val="16"/>
          <w:szCs w:val="16"/>
        </w:rPr>
        <w:t xml:space="preserve">. </w:t>
      </w:r>
    </w:p>
  </w:footnote>
  <w:footnote w:id="10">
    <w:p w:rsidR="00074D95" w:rsidP="00074D95">
      <w:pPr>
        <w:pStyle w:val="FootnoteText"/>
      </w:pPr>
      <w:r w:rsidRPr="00074D95">
        <w:rPr>
          <w:rStyle w:val="FootnoteReference"/>
          <w:rFonts w:ascii="Arial" w:hAnsi="Arial" w:cs="Arial"/>
          <w:sz w:val="16"/>
          <w:szCs w:val="16"/>
        </w:rPr>
        <w:footnoteRef/>
      </w:r>
      <w:r w:rsidRPr="00074D95">
        <w:rPr>
          <w:rFonts w:ascii="Arial" w:hAnsi="Arial" w:cs="Arial"/>
          <w:sz w:val="16"/>
          <w:szCs w:val="16"/>
        </w:rPr>
        <w:t xml:space="preserve"> See ICC France, “White Paper: Challenges and Opportunities of Digitalisation of International Trade” (2022), pp 64 to 66.</w:t>
      </w:r>
    </w:p>
  </w:footnote>
  <w:footnote w:id="11">
    <w:p w:rsidR="00074D95" w:rsidRPr="00ED0D47" w:rsidP="00074D95">
      <w:pPr>
        <w:pStyle w:val="FootnoteText"/>
        <w:rPr>
          <w:rFonts w:ascii="Arial" w:hAnsi="Arial" w:cs="Arial"/>
          <w:sz w:val="16"/>
          <w:szCs w:val="16"/>
        </w:rPr>
      </w:pPr>
      <w:r w:rsidRPr="00ED0D47">
        <w:rPr>
          <w:rStyle w:val="FootnoteReference"/>
          <w:rFonts w:ascii="Arial" w:hAnsi="Arial" w:cs="Arial"/>
          <w:sz w:val="16"/>
          <w:szCs w:val="16"/>
        </w:rPr>
        <w:footnoteRef/>
      </w:r>
      <w:r w:rsidRPr="00ED0D47">
        <w:rPr>
          <w:rFonts w:ascii="Arial" w:hAnsi="Arial" w:cs="Arial"/>
          <w:sz w:val="16"/>
          <w:szCs w:val="16"/>
        </w:rPr>
        <w:t xml:space="preserve"> </w:t>
      </w:r>
      <w:r>
        <w:fldChar w:fldCharType="begin"/>
      </w:r>
      <w:r>
        <w:instrText xml:space="preserve"> HYPERLINK "https://www.icc-france.fr/publications/the-english-version-of-our-white-paper-is-out/" </w:instrText>
      </w:r>
      <w:r>
        <w:fldChar w:fldCharType="separate"/>
      </w:r>
      <w:r w:rsidRPr="00ED0D47" w:rsidR="00ED0D47">
        <w:rPr>
          <w:rStyle w:val="Hyperlink"/>
          <w:rFonts w:ascii="Arial" w:hAnsi="Arial" w:cs="Arial"/>
          <w:sz w:val="16"/>
          <w:szCs w:val="16"/>
        </w:rPr>
        <w:t>https://www.icc-france.fr/publications/the-english-version-of-our-white-paper-is-out/#</w:t>
      </w:r>
      <w:r>
        <w:fldChar w:fldCharType="end"/>
      </w:r>
      <w:r w:rsidRPr="00ED0D47">
        <w:rPr>
          <w:rFonts w:ascii="Arial" w:hAnsi="Arial" w:cs="Arial"/>
          <w:sz w:val="16"/>
          <w:szCs w:val="16"/>
        </w:rPr>
        <w:t xml:space="preserve">. </w:t>
      </w:r>
    </w:p>
  </w:footnote>
  <w:footnote w:id="12">
    <w:p w:rsidR="00074D95" w:rsidRPr="00ED0D47" w:rsidP="00074D95">
      <w:pPr>
        <w:pStyle w:val="FootnoteText"/>
        <w:rPr>
          <w:rFonts w:ascii="Arial" w:hAnsi="Arial" w:cs="Arial"/>
          <w:sz w:val="16"/>
          <w:szCs w:val="16"/>
        </w:rPr>
      </w:pPr>
      <w:r w:rsidRPr="00ED0D47">
        <w:rPr>
          <w:rStyle w:val="FootnoteReference"/>
          <w:rFonts w:ascii="Arial" w:hAnsi="Arial" w:cs="Arial"/>
          <w:sz w:val="16"/>
          <w:szCs w:val="16"/>
        </w:rPr>
        <w:footnoteRef/>
      </w:r>
      <w:r w:rsidRPr="00ED0D47">
        <w:rPr>
          <w:rFonts w:ascii="Arial" w:hAnsi="Arial" w:cs="Arial"/>
          <w:sz w:val="16"/>
          <w:szCs w:val="16"/>
        </w:rPr>
        <w:t xml:space="preserve"> C </w:t>
      </w:r>
      <w:r w:rsidRPr="00ED0D47">
        <w:rPr>
          <w:rFonts w:ascii="Arial" w:hAnsi="Arial" w:cs="Arial"/>
          <w:sz w:val="16"/>
          <w:szCs w:val="16"/>
        </w:rPr>
        <w:t>Hartup</w:t>
      </w:r>
      <w:r w:rsidRPr="00ED0D47">
        <w:rPr>
          <w:rFonts w:ascii="Arial" w:hAnsi="Arial" w:cs="Arial"/>
          <w:sz w:val="16"/>
          <w:szCs w:val="16"/>
        </w:rPr>
        <w:t xml:space="preserve">, “Electronic Trade Documents Bill, with Chris Southworth, ICC United Kingdom and Oswald </w:t>
      </w:r>
      <w:r w:rsidRPr="00ED0D47">
        <w:rPr>
          <w:rFonts w:ascii="Arial" w:hAnsi="Arial" w:cs="Arial"/>
          <w:sz w:val="16"/>
          <w:szCs w:val="16"/>
        </w:rPr>
        <w:t>Kuyler</w:t>
      </w:r>
      <w:r w:rsidRPr="00ED0D47">
        <w:rPr>
          <w:rFonts w:ascii="Arial" w:hAnsi="Arial" w:cs="Arial"/>
          <w:sz w:val="16"/>
          <w:szCs w:val="16"/>
        </w:rPr>
        <w:t xml:space="preserve">, </w:t>
      </w:r>
      <w:r w:rsidRPr="00ED0D47">
        <w:rPr>
          <w:rFonts w:ascii="Arial" w:hAnsi="Arial" w:cs="Arial"/>
          <w:sz w:val="16"/>
          <w:szCs w:val="16"/>
        </w:rPr>
        <w:t>MonetaGo</w:t>
      </w:r>
      <w:r w:rsidRPr="00ED0D47">
        <w:rPr>
          <w:rFonts w:ascii="Arial" w:hAnsi="Arial" w:cs="Arial"/>
          <w:sz w:val="16"/>
          <w:szCs w:val="16"/>
        </w:rPr>
        <w:t xml:space="preserve"> – Podcast Episode 82”, 21 December 2022, accessible at: </w:t>
      </w:r>
      <w:r>
        <w:fldChar w:fldCharType="begin"/>
      </w:r>
      <w:r>
        <w:instrText xml:space="preserve"> HYPERLINK "https://www.ubisecure.com/podcast/electronic-trade-documents-bill/" </w:instrText>
      </w:r>
      <w:r>
        <w:fldChar w:fldCharType="separate"/>
      </w:r>
      <w:r w:rsidRPr="00ED0D47">
        <w:rPr>
          <w:rStyle w:val="Hyperlink"/>
          <w:rFonts w:ascii="Arial" w:hAnsi="Arial" w:cs="Arial"/>
          <w:sz w:val="16"/>
          <w:szCs w:val="16"/>
        </w:rPr>
        <w:t>https://www.ubisecure.com/podcast/electronic-trade-documents-bill/</w:t>
      </w:r>
      <w:r>
        <w:fldChar w:fldCharType="end"/>
      </w:r>
      <w:r w:rsidRPr="00ED0D47">
        <w:rPr>
          <w:rFonts w:ascii="Arial" w:hAnsi="Arial" w:cs="Arial"/>
          <w:sz w:val="16"/>
          <w:szCs w:val="16"/>
        </w:rPr>
        <w:t xml:space="preserve">. </w:t>
      </w:r>
    </w:p>
  </w:footnote>
  <w:footnote w:id="13">
    <w:p w:rsidR="00AD0503" w:rsidRPr="00912E6B" w:rsidP="00AD0503">
      <w:pPr>
        <w:pStyle w:val="FootnoteText"/>
        <w:rPr>
          <w:rFonts w:ascii="Arial" w:hAnsi="Arial" w:cs="Arial"/>
          <w:sz w:val="16"/>
          <w:szCs w:val="16"/>
        </w:rPr>
      </w:pPr>
      <w:r w:rsidRPr="00AD0503">
        <w:rPr>
          <w:rStyle w:val="FootnoteReference"/>
          <w:rFonts w:ascii="Arial" w:hAnsi="Arial" w:cs="Arial"/>
          <w:sz w:val="16"/>
          <w:szCs w:val="16"/>
        </w:rPr>
        <w:footnoteRef/>
      </w:r>
      <w:r w:rsidRPr="00AD0503">
        <w:rPr>
          <w:rFonts w:ascii="Arial" w:hAnsi="Arial" w:cs="Arial"/>
          <w:sz w:val="16"/>
          <w:szCs w:val="16"/>
        </w:rPr>
        <w:t xml:space="preserve"> Responses of the Italian Maritime Law Association to the CMI Questionnaire on Domestic Legislation for Electronic </w:t>
      </w:r>
      <w:r w:rsidRPr="00912E6B">
        <w:rPr>
          <w:rFonts w:ascii="Arial" w:hAnsi="Arial" w:cs="Arial"/>
          <w:sz w:val="16"/>
          <w:szCs w:val="16"/>
        </w:rPr>
        <w:t xml:space="preserve">Bills of Lading (27 September 2022), accessible at: </w:t>
      </w:r>
      <w:r>
        <w:fldChar w:fldCharType="begin"/>
      </w:r>
      <w:r>
        <w:instrText xml:space="preserve"> HYPERLINK "https://comitemaritime.org/work/rules-for-electronic-billing-of-lading-copy/" </w:instrText>
      </w:r>
      <w:r>
        <w:fldChar w:fldCharType="separate"/>
      </w:r>
      <w:r w:rsidRPr="00912E6B">
        <w:rPr>
          <w:rStyle w:val="Hyperlink"/>
          <w:rFonts w:ascii="Arial" w:hAnsi="Arial" w:cs="Arial"/>
          <w:sz w:val="16"/>
          <w:szCs w:val="16"/>
        </w:rPr>
        <w:t>https://comitemaritime.org/work/rules-for-electronic-billing-of-lading-copy/</w:t>
      </w:r>
      <w:r>
        <w:fldChar w:fldCharType="end"/>
      </w:r>
      <w:r w:rsidRPr="00912E6B">
        <w:rPr>
          <w:rFonts w:ascii="Arial" w:hAnsi="Arial" w:cs="Arial"/>
          <w:sz w:val="16"/>
          <w:szCs w:val="16"/>
        </w:rPr>
        <w:t>.</w:t>
      </w:r>
    </w:p>
  </w:footnote>
  <w:footnote w:id="14">
    <w:p w:rsidR="00912E6B" w:rsidRPr="00912E6B" w:rsidP="00912E6B">
      <w:pPr>
        <w:pStyle w:val="FootnoteText"/>
        <w:rPr>
          <w:rFonts w:ascii="Arial" w:hAnsi="Arial" w:cs="Arial"/>
          <w:sz w:val="16"/>
          <w:szCs w:val="16"/>
        </w:rPr>
      </w:pPr>
      <w:r w:rsidRPr="00912E6B">
        <w:rPr>
          <w:rStyle w:val="FootnoteReference"/>
          <w:rFonts w:ascii="Arial" w:hAnsi="Arial" w:cs="Arial"/>
          <w:sz w:val="16"/>
          <w:szCs w:val="16"/>
        </w:rPr>
        <w:footnoteRef/>
      </w:r>
      <w:r w:rsidRPr="00912E6B">
        <w:rPr>
          <w:rFonts w:ascii="Arial" w:hAnsi="Arial" w:cs="Arial"/>
          <w:sz w:val="16"/>
          <w:szCs w:val="16"/>
        </w:rPr>
        <w:t xml:space="preserve"> It also allows for electronic waybills (sec. 408(3) HGB), consignment notes (sec. 443(3) HGB) and warehouse receipts (sec. 475c(4) HGB).</w:t>
      </w:r>
    </w:p>
  </w:footnote>
  <w:footnote w:id="15">
    <w:p w:rsidR="00912E6B" w:rsidRPr="00912E6B" w:rsidP="00912E6B">
      <w:pPr>
        <w:pStyle w:val="FootnoteText"/>
        <w:rPr>
          <w:rFonts w:ascii="Arial" w:hAnsi="Arial" w:cs="Arial"/>
          <w:sz w:val="16"/>
          <w:szCs w:val="16"/>
        </w:rPr>
      </w:pPr>
      <w:r w:rsidRPr="00912E6B">
        <w:rPr>
          <w:rStyle w:val="FootnoteReference"/>
          <w:rFonts w:ascii="Arial" w:hAnsi="Arial" w:cs="Arial"/>
          <w:sz w:val="16"/>
          <w:szCs w:val="16"/>
        </w:rPr>
        <w:footnoteRef/>
      </w:r>
      <w:r w:rsidRPr="00912E6B">
        <w:rPr>
          <w:rFonts w:ascii="Arial" w:hAnsi="Arial" w:cs="Arial"/>
          <w:sz w:val="16"/>
          <w:szCs w:val="16"/>
        </w:rPr>
        <w:t xml:space="preserve"> English translation accessible at: </w:t>
      </w:r>
      <w:r>
        <w:fldChar w:fldCharType="begin"/>
      </w:r>
      <w:r>
        <w:instrText xml:space="preserve"> HYPERLINK "https://www.gesetze-im-internet.de/englisch_hgb/englisch_hgb.html" </w:instrText>
      </w:r>
      <w:r>
        <w:fldChar w:fldCharType="separate"/>
      </w:r>
      <w:r w:rsidRPr="00912E6B">
        <w:rPr>
          <w:rStyle w:val="Hyperlink"/>
          <w:rFonts w:ascii="Arial" w:hAnsi="Arial" w:cs="Arial"/>
          <w:sz w:val="16"/>
          <w:szCs w:val="16"/>
        </w:rPr>
        <w:t>https://www.gesetze-im-internet.de/englisch_hgb/englisch_hgb.html</w:t>
      </w:r>
      <w:r>
        <w:fldChar w:fldCharType="end"/>
      </w:r>
      <w:r w:rsidRPr="00912E6B">
        <w:rPr>
          <w:rFonts w:ascii="Arial" w:hAnsi="Arial" w:cs="Arial"/>
          <w:sz w:val="16"/>
          <w:szCs w:val="16"/>
        </w:rPr>
        <w:t xml:space="preserve">. </w:t>
      </w:r>
    </w:p>
  </w:footnote>
  <w:footnote w:id="16">
    <w:p w:rsidR="00912E6B" w:rsidRPr="00912E6B" w:rsidP="00912E6B">
      <w:pPr>
        <w:pStyle w:val="FootnoteText"/>
        <w:rPr>
          <w:rFonts w:ascii="Arial" w:hAnsi="Arial" w:cs="Arial"/>
          <w:sz w:val="16"/>
          <w:szCs w:val="16"/>
        </w:rPr>
      </w:pPr>
      <w:r w:rsidRPr="00912E6B">
        <w:rPr>
          <w:rStyle w:val="FootnoteReference"/>
          <w:rFonts w:ascii="Arial" w:hAnsi="Arial" w:cs="Arial"/>
          <w:sz w:val="16"/>
          <w:szCs w:val="16"/>
        </w:rPr>
        <w:footnoteRef/>
      </w:r>
      <w:r w:rsidRPr="00912E6B">
        <w:rPr>
          <w:rFonts w:ascii="Arial" w:hAnsi="Arial" w:cs="Arial"/>
          <w:sz w:val="16"/>
          <w:szCs w:val="16"/>
        </w:rPr>
        <w:t xml:space="preserve"> Dr Tim </w:t>
      </w:r>
      <w:r w:rsidRPr="00912E6B">
        <w:rPr>
          <w:rFonts w:ascii="Arial" w:hAnsi="Arial" w:cs="Arial"/>
          <w:sz w:val="16"/>
          <w:szCs w:val="16"/>
        </w:rPr>
        <w:t>Schommer</w:t>
      </w:r>
      <w:r w:rsidRPr="00912E6B">
        <w:rPr>
          <w:rFonts w:ascii="Arial" w:hAnsi="Arial" w:cs="Arial"/>
          <w:sz w:val="16"/>
          <w:szCs w:val="16"/>
        </w:rPr>
        <w:t xml:space="preserve"> LLM, “Response”, in Clyde &amp; Co, “The Legal Status of Electronic Bills of Lading: A report for the ICC Banking Commission” (2018) p 37.</w:t>
      </w:r>
    </w:p>
  </w:footnote>
  <w:footnote w:id="17">
    <w:p w:rsidR="00912E6B" w:rsidRPr="00912E6B" w:rsidP="00912E6B">
      <w:pPr>
        <w:pStyle w:val="FootnoteText"/>
        <w:rPr>
          <w:rFonts w:ascii="Arial" w:hAnsi="Arial" w:cs="Arial"/>
          <w:sz w:val="16"/>
          <w:szCs w:val="16"/>
        </w:rPr>
      </w:pPr>
      <w:r w:rsidRPr="00912E6B">
        <w:rPr>
          <w:rStyle w:val="FootnoteReference"/>
          <w:rFonts w:ascii="Arial" w:hAnsi="Arial" w:cs="Arial"/>
          <w:sz w:val="16"/>
          <w:szCs w:val="16"/>
        </w:rPr>
        <w:footnoteRef/>
      </w:r>
      <w:r w:rsidRPr="00912E6B">
        <w:rPr>
          <w:rFonts w:ascii="Arial" w:hAnsi="Arial" w:cs="Arial"/>
          <w:sz w:val="16"/>
          <w:szCs w:val="16"/>
        </w:rPr>
        <w:t xml:space="preserve"> Dr Tim </w:t>
      </w:r>
      <w:r w:rsidRPr="00912E6B">
        <w:rPr>
          <w:rFonts w:ascii="Arial" w:hAnsi="Arial" w:cs="Arial"/>
          <w:sz w:val="16"/>
          <w:szCs w:val="16"/>
        </w:rPr>
        <w:t>Schommer</w:t>
      </w:r>
      <w:r w:rsidRPr="00912E6B">
        <w:rPr>
          <w:rFonts w:ascii="Arial" w:hAnsi="Arial" w:cs="Arial"/>
          <w:sz w:val="16"/>
          <w:szCs w:val="16"/>
        </w:rPr>
        <w:t xml:space="preserve"> LLM, “Response”, in Clyde &amp; Co, “The Legal Status of Electronic Bills of Lading: A report for the ICC Banking Commission” (2018) p 37.</w:t>
      </w:r>
    </w:p>
  </w:footnote>
  <w:footnote w:id="18">
    <w:p w:rsidR="00912E6B" w:rsidP="00912E6B">
      <w:pPr>
        <w:pStyle w:val="FootnoteText"/>
      </w:pPr>
      <w:r w:rsidRPr="00912E6B">
        <w:rPr>
          <w:rStyle w:val="FootnoteReference"/>
          <w:rFonts w:ascii="Arial" w:hAnsi="Arial" w:cs="Arial"/>
          <w:sz w:val="16"/>
          <w:szCs w:val="16"/>
        </w:rPr>
        <w:footnoteRef/>
      </w:r>
      <w:r w:rsidRPr="00912E6B">
        <w:rPr>
          <w:rFonts w:ascii="Arial" w:hAnsi="Arial" w:cs="Arial"/>
          <w:sz w:val="16"/>
          <w:szCs w:val="16"/>
        </w:rPr>
        <w:t xml:space="preserve"> ICC UK, “Germany: Creating a Modern Digital Trade Ecosystem” accessible at: </w:t>
      </w:r>
      <w:r>
        <w:fldChar w:fldCharType="begin"/>
      </w:r>
      <w:r>
        <w:instrText xml:space="preserve"> HYPERLINK "https://www.dsi.iccwbo.org/_files/ugd/0b6be5_61f54ceb1560400992f2e6751aa6b5a4.pdf?index=true" </w:instrText>
      </w:r>
      <w:r>
        <w:fldChar w:fldCharType="separate"/>
      </w:r>
      <w:r w:rsidRPr="00912E6B">
        <w:rPr>
          <w:rStyle w:val="Hyperlink"/>
          <w:rFonts w:ascii="Arial" w:hAnsi="Arial" w:cs="Arial"/>
          <w:sz w:val="16"/>
          <w:szCs w:val="16"/>
        </w:rPr>
        <w:t>https://www.dsi.iccwbo.org/_files/ugd/0b6be5_61f54ceb1560400992f2e6751aa6b5a4.pdf?index=true</w:t>
      </w:r>
      <w:r>
        <w:fldChar w:fldCharType="end"/>
      </w:r>
      <w:r w:rsidRPr="00912E6B">
        <w:rPr>
          <w:rFonts w:ascii="Arial" w:hAnsi="Arial" w:cs="Arial"/>
          <w:sz w:val="16"/>
          <w:szCs w:val="16"/>
        </w:rPr>
        <w:t xml:space="preserve">, p 15. </w:t>
      </w:r>
    </w:p>
  </w:footnote>
  <w:footnote w:id="19">
    <w:p w:rsidR="00912E6B" w:rsidRPr="00912E6B" w:rsidP="00912E6B">
      <w:pPr>
        <w:pStyle w:val="FootnoteText"/>
        <w:rPr>
          <w:rFonts w:ascii="Arial" w:hAnsi="Arial" w:cs="Arial"/>
          <w:sz w:val="16"/>
          <w:szCs w:val="16"/>
        </w:rPr>
      </w:pPr>
      <w:r w:rsidRPr="00912E6B">
        <w:rPr>
          <w:rStyle w:val="FootnoteReference"/>
          <w:rFonts w:ascii="Arial" w:hAnsi="Arial" w:cs="Arial"/>
          <w:sz w:val="16"/>
          <w:szCs w:val="16"/>
        </w:rPr>
        <w:footnoteRef/>
      </w:r>
      <w:r w:rsidRPr="00912E6B">
        <w:rPr>
          <w:rFonts w:ascii="Arial" w:hAnsi="Arial" w:cs="Arial"/>
          <w:sz w:val="16"/>
          <w:szCs w:val="16"/>
        </w:rPr>
        <w:t xml:space="preserve"> E Wragg, “Analysis: Tackling ‘functional equivalence’ to make MLETR work in Germany”, Global Trade Review, 31 January 2022, accessible at: </w:t>
      </w:r>
      <w:r>
        <w:fldChar w:fldCharType="begin"/>
      </w:r>
      <w:r>
        <w:instrText xml:space="preserve"> HYPERLINK "https://www.gtreview.com/news/europe/analysis-tackling-functional-equivalence-to-make-mletr-work-in-germany/" </w:instrText>
      </w:r>
      <w:r>
        <w:fldChar w:fldCharType="separate"/>
      </w:r>
      <w:r w:rsidRPr="00912E6B">
        <w:rPr>
          <w:rStyle w:val="Hyperlink"/>
          <w:rFonts w:ascii="Arial" w:hAnsi="Arial" w:cs="Arial"/>
          <w:sz w:val="16"/>
          <w:szCs w:val="16"/>
        </w:rPr>
        <w:t>https://www.gtreview.com/news/europe/analysis-tackling-functional-equivalence-to-make-mletr-work-in-germany/</w:t>
      </w:r>
      <w:r>
        <w:fldChar w:fldCharType="end"/>
      </w:r>
      <w:r w:rsidRPr="00912E6B">
        <w:rPr>
          <w:rFonts w:ascii="Arial" w:hAnsi="Arial" w:cs="Arial"/>
          <w:sz w:val="16"/>
          <w:szCs w:val="16"/>
        </w:rPr>
        <w:t xml:space="preserve">; ICC UK, “Germany: Creating a Modern Digital Trade Ecosystem” accessible at: </w:t>
      </w:r>
      <w:r>
        <w:fldChar w:fldCharType="begin"/>
      </w:r>
      <w:r>
        <w:instrText xml:space="preserve"> HYPERLINK "https://www.dsi.iccwbo.org/_files/ugd/0b6be5_61f54ceb1560400992f2e6751aa6b5a4.pdf?index=true" </w:instrText>
      </w:r>
      <w:r>
        <w:fldChar w:fldCharType="separate"/>
      </w:r>
      <w:r w:rsidRPr="00912E6B">
        <w:rPr>
          <w:rStyle w:val="Hyperlink"/>
          <w:rFonts w:ascii="Arial" w:hAnsi="Arial" w:cs="Arial"/>
          <w:sz w:val="16"/>
          <w:szCs w:val="16"/>
        </w:rPr>
        <w:t>https://www.dsi.iccwbo.org/_files/ugd/0b6be5_61f54ceb1560400992f2e6751aa6b5a4.pdf?index=true</w:t>
      </w:r>
      <w:r>
        <w:fldChar w:fldCharType="end"/>
      </w:r>
      <w:r w:rsidRPr="00912E6B">
        <w:rPr>
          <w:rFonts w:ascii="Arial" w:hAnsi="Arial" w:cs="Arial"/>
          <w:sz w:val="16"/>
          <w:szCs w:val="16"/>
        </w:rPr>
        <w:t>, p 15.</w:t>
      </w:r>
    </w:p>
  </w:footnote>
  <w:footnote w:id="20">
    <w:p w:rsidR="00912E6B" w:rsidRPr="00361B51" w:rsidP="00912E6B">
      <w:pPr>
        <w:pStyle w:val="FootnoteText"/>
        <w:rPr>
          <w:rFonts w:ascii="Arial" w:hAnsi="Arial" w:cs="Arial"/>
          <w:sz w:val="16"/>
          <w:szCs w:val="16"/>
        </w:rPr>
      </w:pPr>
      <w:r w:rsidRPr="00361B51">
        <w:rPr>
          <w:rStyle w:val="FootnoteReference"/>
          <w:rFonts w:ascii="Arial" w:hAnsi="Arial" w:cs="Arial"/>
          <w:sz w:val="16"/>
          <w:szCs w:val="16"/>
        </w:rPr>
        <w:footnoteRef/>
      </w:r>
      <w:r w:rsidRPr="00361B51">
        <w:rPr>
          <w:rFonts w:ascii="Arial" w:hAnsi="Arial" w:cs="Arial"/>
          <w:sz w:val="16"/>
          <w:szCs w:val="16"/>
        </w:rPr>
        <w:t xml:space="preserve"> E Wragg, “Analysis: Tackling ‘functional equivalence’ to make MLETR work in Germany”, Global Trade Review, 31 January 2022, accessible at: </w:t>
      </w:r>
      <w:r>
        <w:fldChar w:fldCharType="begin"/>
      </w:r>
      <w:r>
        <w:instrText xml:space="preserve"> HYPERLINK "https://www.gtreview.com/news/europe/analysis-tackling-functional-equivalence-to-make-mletr-work-in-germany/" </w:instrText>
      </w:r>
      <w:r>
        <w:fldChar w:fldCharType="separate"/>
      </w:r>
      <w:r w:rsidRPr="00361B51">
        <w:rPr>
          <w:rStyle w:val="Hyperlink"/>
          <w:rFonts w:ascii="Arial" w:hAnsi="Arial" w:cs="Arial"/>
          <w:sz w:val="16"/>
          <w:szCs w:val="16"/>
        </w:rPr>
        <w:t>https://www.gtreview.com/news/europe/analysis-tackling-functional-equivalence-to-make-mletr-work-in-germany/</w:t>
      </w:r>
      <w:r>
        <w:fldChar w:fldCharType="end"/>
      </w:r>
      <w:r w:rsidRPr="00361B51">
        <w:rPr>
          <w:rFonts w:ascii="Arial" w:hAnsi="Arial" w:cs="Arial"/>
          <w:sz w:val="16"/>
          <w:szCs w:val="16"/>
        </w:rPr>
        <w:t>.</w:t>
      </w:r>
    </w:p>
  </w:footnote>
  <w:footnote w:id="21">
    <w:p w:rsidR="00912E6B" w:rsidRPr="00361B51" w:rsidP="00912E6B">
      <w:pPr>
        <w:pStyle w:val="FootnoteText"/>
        <w:rPr>
          <w:rFonts w:ascii="Arial" w:hAnsi="Arial" w:cs="Arial"/>
          <w:sz w:val="16"/>
          <w:szCs w:val="16"/>
        </w:rPr>
      </w:pPr>
      <w:r w:rsidRPr="00361B51">
        <w:rPr>
          <w:rStyle w:val="FootnoteReference"/>
          <w:rFonts w:ascii="Arial" w:hAnsi="Arial" w:cs="Arial"/>
          <w:sz w:val="16"/>
          <w:szCs w:val="16"/>
        </w:rPr>
        <w:footnoteRef/>
      </w:r>
      <w:r w:rsidRPr="00361B51">
        <w:rPr>
          <w:rFonts w:ascii="Arial" w:hAnsi="Arial" w:cs="Arial"/>
          <w:sz w:val="16"/>
          <w:szCs w:val="16"/>
        </w:rPr>
        <w:t xml:space="preserve"> ICC Germany, “Electronic Documents of Trade in Germany”, accessible at: </w:t>
      </w:r>
      <w:r>
        <w:fldChar w:fldCharType="begin"/>
      </w:r>
      <w:r>
        <w:instrText xml:space="preserve"> HYPERLINK "https://www.dsi.iccwbo.org/_files/ugd/0b6be5_cb8a1bb9e2834275a1e900df65a341e7.pdf?index=true" </w:instrText>
      </w:r>
      <w:r>
        <w:fldChar w:fldCharType="separate"/>
      </w:r>
      <w:r w:rsidRPr="00361B51">
        <w:rPr>
          <w:rStyle w:val="Hyperlink"/>
          <w:rFonts w:ascii="Arial" w:hAnsi="Arial" w:cs="Arial"/>
          <w:sz w:val="16"/>
          <w:szCs w:val="16"/>
        </w:rPr>
        <w:t>https://www.dsi.iccwbo.org/_files/ugd/0b6be5_cb8a1bb9e2834275a1e900df65a341e7.pdf?index=true</w:t>
      </w:r>
      <w:r>
        <w:fldChar w:fldCharType="end"/>
      </w:r>
      <w:r w:rsidRPr="00361B51">
        <w:rPr>
          <w:rFonts w:ascii="Arial" w:hAnsi="Arial" w:cs="Arial"/>
          <w:sz w:val="16"/>
          <w:szCs w:val="16"/>
        </w:rPr>
        <w:t xml:space="preserve">. </w:t>
      </w:r>
    </w:p>
  </w:footnote>
  <w:footnote w:id="22">
    <w:p w:rsidR="00361B51" w:rsidRPr="00361B51" w:rsidP="00361B51">
      <w:pPr>
        <w:pStyle w:val="FootnoteText"/>
        <w:rPr>
          <w:rFonts w:ascii="Arial" w:hAnsi="Arial" w:cs="Arial"/>
          <w:sz w:val="16"/>
          <w:szCs w:val="16"/>
        </w:rPr>
      </w:pPr>
      <w:r w:rsidRPr="00361B51">
        <w:rPr>
          <w:rStyle w:val="FootnoteReference"/>
          <w:rFonts w:ascii="Arial" w:hAnsi="Arial" w:cs="Arial"/>
          <w:sz w:val="16"/>
          <w:szCs w:val="16"/>
        </w:rPr>
        <w:footnoteRef/>
      </w:r>
      <w:r w:rsidRPr="00361B51">
        <w:rPr>
          <w:rFonts w:ascii="Arial" w:hAnsi="Arial" w:cs="Arial"/>
          <w:sz w:val="16"/>
          <w:szCs w:val="16"/>
        </w:rPr>
        <w:t xml:space="preserve"> See “Wet </w:t>
      </w:r>
      <w:r w:rsidRPr="00361B51">
        <w:rPr>
          <w:rFonts w:ascii="Arial" w:hAnsi="Arial" w:cs="Arial"/>
          <w:sz w:val="16"/>
          <w:szCs w:val="16"/>
        </w:rPr>
        <w:t>invoering</w:t>
      </w:r>
      <w:r w:rsidRPr="00361B51">
        <w:rPr>
          <w:rFonts w:ascii="Arial" w:hAnsi="Arial" w:cs="Arial"/>
          <w:sz w:val="16"/>
          <w:szCs w:val="16"/>
        </w:rPr>
        <w:t xml:space="preserve"> </w:t>
      </w:r>
      <w:r w:rsidRPr="00361B51">
        <w:rPr>
          <w:rFonts w:ascii="Arial" w:hAnsi="Arial" w:cs="Arial"/>
          <w:sz w:val="16"/>
          <w:szCs w:val="16"/>
        </w:rPr>
        <w:t>elektronisch</w:t>
      </w:r>
      <w:r w:rsidRPr="00361B51">
        <w:rPr>
          <w:rFonts w:ascii="Arial" w:hAnsi="Arial" w:cs="Arial"/>
          <w:sz w:val="16"/>
          <w:szCs w:val="16"/>
        </w:rPr>
        <w:t xml:space="preserve"> </w:t>
      </w:r>
      <w:r w:rsidRPr="00361B51">
        <w:rPr>
          <w:rFonts w:ascii="Arial" w:hAnsi="Arial" w:cs="Arial"/>
          <w:sz w:val="16"/>
          <w:szCs w:val="16"/>
        </w:rPr>
        <w:t>vervoerbestand</w:t>
      </w:r>
      <w:r w:rsidRPr="00361B51">
        <w:rPr>
          <w:rFonts w:ascii="Arial" w:hAnsi="Arial" w:cs="Arial"/>
          <w:sz w:val="16"/>
          <w:szCs w:val="16"/>
        </w:rPr>
        <w:t xml:space="preserve">” (Act introducing electronic transport files), accessible at: </w:t>
      </w:r>
      <w:r>
        <w:fldChar w:fldCharType="begin"/>
      </w:r>
      <w:r>
        <w:instrText xml:space="preserve"> HYPERLINK "https://www.internetconsultatie.nl/elektronischvervoerbestand/b1" </w:instrText>
      </w:r>
      <w:r>
        <w:fldChar w:fldCharType="separate"/>
      </w:r>
      <w:r w:rsidRPr="00361B51">
        <w:rPr>
          <w:rStyle w:val="Hyperlink"/>
          <w:rFonts w:ascii="Arial" w:hAnsi="Arial" w:cs="Arial"/>
          <w:sz w:val="16"/>
          <w:szCs w:val="16"/>
        </w:rPr>
        <w:t>https://www.internetconsultatie.nl/elektronischvervoerbestand/b1</w:t>
      </w:r>
      <w:r>
        <w:fldChar w:fldCharType="end"/>
      </w:r>
      <w:r w:rsidRPr="00361B51">
        <w:rPr>
          <w:rFonts w:ascii="Arial" w:hAnsi="Arial" w:cs="Arial"/>
          <w:sz w:val="16"/>
          <w:szCs w:val="16"/>
        </w:rPr>
        <w:t xml:space="preserve">. </w:t>
      </w:r>
    </w:p>
  </w:footnote>
  <w:footnote w:id="23">
    <w:p w:rsidR="00361B51" w:rsidRPr="00361B51" w:rsidP="00361B51">
      <w:pPr>
        <w:pStyle w:val="FootnoteText"/>
        <w:rPr>
          <w:rFonts w:ascii="Arial" w:hAnsi="Arial" w:cs="Arial"/>
          <w:sz w:val="16"/>
          <w:szCs w:val="16"/>
        </w:rPr>
      </w:pPr>
      <w:r w:rsidRPr="00361B51">
        <w:rPr>
          <w:rStyle w:val="FootnoteReference"/>
          <w:rFonts w:ascii="Arial" w:hAnsi="Arial" w:cs="Arial"/>
          <w:sz w:val="16"/>
          <w:szCs w:val="16"/>
        </w:rPr>
        <w:footnoteRef/>
      </w:r>
      <w:r w:rsidRPr="00361B51">
        <w:rPr>
          <w:rFonts w:ascii="Arial" w:hAnsi="Arial" w:cs="Arial"/>
          <w:sz w:val="16"/>
          <w:szCs w:val="16"/>
        </w:rPr>
        <w:t xml:space="preserve"> “</w:t>
      </w:r>
      <w:r w:rsidRPr="00361B51">
        <w:rPr>
          <w:rFonts w:ascii="Arial" w:hAnsi="Arial" w:cs="Arial"/>
          <w:sz w:val="16"/>
          <w:szCs w:val="16"/>
        </w:rPr>
        <w:t>Toelichting</w:t>
      </w:r>
      <w:r w:rsidRPr="00361B51">
        <w:rPr>
          <w:rFonts w:ascii="Arial" w:hAnsi="Arial" w:cs="Arial"/>
          <w:sz w:val="16"/>
          <w:szCs w:val="16"/>
        </w:rPr>
        <w:t xml:space="preserve">” (Explanation) p 2, accessible at: </w:t>
      </w:r>
      <w:r>
        <w:fldChar w:fldCharType="begin"/>
      </w:r>
      <w:r>
        <w:instrText xml:space="preserve"> HYPERLINK "https://www.internetconsultatie.nl/elektronischvervoerbestand/b1" </w:instrText>
      </w:r>
      <w:r>
        <w:fldChar w:fldCharType="separate"/>
      </w:r>
      <w:r w:rsidRPr="00361B51">
        <w:rPr>
          <w:rStyle w:val="Hyperlink"/>
          <w:rFonts w:ascii="Arial" w:hAnsi="Arial" w:cs="Arial"/>
          <w:sz w:val="16"/>
          <w:szCs w:val="16"/>
        </w:rPr>
        <w:t>https://www.internetconsultatie.nl/elektronischvervoerbestand/b1</w:t>
      </w:r>
      <w:r>
        <w:fldChar w:fldCharType="end"/>
      </w:r>
      <w:r w:rsidRPr="00361B51">
        <w:rPr>
          <w:rFonts w:ascii="Arial" w:hAnsi="Arial" w:cs="Arial"/>
          <w:sz w:val="16"/>
          <w:szCs w:val="16"/>
        </w:rPr>
        <w:t xml:space="preserve">; ATR, “Wet tot </w:t>
      </w:r>
      <w:r w:rsidRPr="00361B51">
        <w:rPr>
          <w:rFonts w:ascii="Arial" w:hAnsi="Arial" w:cs="Arial"/>
          <w:sz w:val="16"/>
          <w:szCs w:val="16"/>
        </w:rPr>
        <w:t>wijziging</w:t>
      </w:r>
      <w:r w:rsidRPr="00361B51">
        <w:rPr>
          <w:rFonts w:ascii="Arial" w:hAnsi="Arial" w:cs="Arial"/>
          <w:sz w:val="16"/>
          <w:szCs w:val="16"/>
        </w:rPr>
        <w:t xml:space="preserve"> van </w:t>
      </w:r>
      <w:r w:rsidRPr="00361B51">
        <w:rPr>
          <w:rFonts w:ascii="Arial" w:hAnsi="Arial" w:cs="Arial"/>
          <w:sz w:val="16"/>
          <w:szCs w:val="16"/>
        </w:rPr>
        <w:t>Boek</w:t>
      </w:r>
      <w:r w:rsidRPr="00361B51">
        <w:rPr>
          <w:rFonts w:ascii="Arial" w:hAnsi="Arial" w:cs="Arial"/>
          <w:sz w:val="16"/>
          <w:szCs w:val="16"/>
        </w:rPr>
        <w:t xml:space="preserve"> 8 van het </w:t>
      </w:r>
      <w:r w:rsidRPr="00361B51">
        <w:rPr>
          <w:rFonts w:ascii="Arial" w:hAnsi="Arial" w:cs="Arial"/>
          <w:sz w:val="16"/>
          <w:szCs w:val="16"/>
        </w:rPr>
        <w:t>Burgerlijk</w:t>
      </w:r>
      <w:r w:rsidRPr="00361B51">
        <w:rPr>
          <w:rFonts w:ascii="Arial" w:hAnsi="Arial" w:cs="Arial"/>
          <w:sz w:val="16"/>
          <w:szCs w:val="16"/>
        </w:rPr>
        <w:t xml:space="preserve"> </w:t>
      </w:r>
      <w:r w:rsidRPr="00361B51">
        <w:rPr>
          <w:rFonts w:ascii="Arial" w:hAnsi="Arial" w:cs="Arial"/>
          <w:sz w:val="16"/>
          <w:szCs w:val="16"/>
        </w:rPr>
        <w:t>Wetboek</w:t>
      </w:r>
      <w:r w:rsidRPr="00361B51">
        <w:rPr>
          <w:rFonts w:ascii="Arial" w:hAnsi="Arial" w:cs="Arial"/>
          <w:sz w:val="16"/>
          <w:szCs w:val="16"/>
        </w:rPr>
        <w:t xml:space="preserve"> </w:t>
      </w:r>
      <w:r w:rsidRPr="00361B51">
        <w:rPr>
          <w:rFonts w:ascii="Arial" w:hAnsi="Arial" w:cs="Arial"/>
          <w:sz w:val="16"/>
          <w:szCs w:val="16"/>
        </w:rPr>
        <w:t>i.v.m</w:t>
      </w:r>
      <w:r w:rsidRPr="00361B51">
        <w:rPr>
          <w:rFonts w:ascii="Arial" w:hAnsi="Arial" w:cs="Arial"/>
          <w:sz w:val="16"/>
          <w:szCs w:val="16"/>
        </w:rPr>
        <w:t xml:space="preserve">. de </w:t>
      </w:r>
      <w:r w:rsidRPr="00361B51">
        <w:rPr>
          <w:rFonts w:ascii="Arial" w:hAnsi="Arial" w:cs="Arial"/>
          <w:sz w:val="16"/>
          <w:szCs w:val="16"/>
        </w:rPr>
        <w:t>invoering</w:t>
      </w:r>
      <w:r w:rsidRPr="00361B51">
        <w:rPr>
          <w:rFonts w:ascii="Arial" w:hAnsi="Arial" w:cs="Arial"/>
          <w:sz w:val="16"/>
          <w:szCs w:val="16"/>
        </w:rPr>
        <w:t xml:space="preserve"> van het </w:t>
      </w:r>
      <w:r w:rsidRPr="00361B51">
        <w:rPr>
          <w:rFonts w:ascii="Arial" w:hAnsi="Arial" w:cs="Arial"/>
          <w:sz w:val="16"/>
          <w:szCs w:val="16"/>
        </w:rPr>
        <w:t>elektronisch</w:t>
      </w:r>
      <w:r w:rsidRPr="00361B51">
        <w:rPr>
          <w:rFonts w:ascii="Arial" w:hAnsi="Arial" w:cs="Arial"/>
          <w:sz w:val="16"/>
          <w:szCs w:val="16"/>
        </w:rPr>
        <w:t xml:space="preserve"> </w:t>
      </w:r>
      <w:r w:rsidRPr="00361B51">
        <w:rPr>
          <w:rFonts w:ascii="Arial" w:hAnsi="Arial" w:cs="Arial"/>
          <w:sz w:val="16"/>
          <w:szCs w:val="16"/>
        </w:rPr>
        <w:t>vervoerbestand</w:t>
      </w:r>
      <w:r w:rsidRPr="00361B51">
        <w:rPr>
          <w:rFonts w:ascii="Arial" w:hAnsi="Arial" w:cs="Arial"/>
          <w:sz w:val="16"/>
          <w:szCs w:val="16"/>
        </w:rPr>
        <w:t xml:space="preserve">”, 17 August 2022, accessible at: </w:t>
      </w:r>
      <w:r>
        <w:fldChar w:fldCharType="begin"/>
      </w:r>
      <w:r>
        <w:instrText xml:space="preserve"> HYPERLINK "https://www.atr-regeldruk.nl/wet-tot-wijziging-van-boek-8-van-het-burgerlijk-wetboek-i-v-m-de-invoering-van-het-elektronisch-vervoerbestand/" </w:instrText>
      </w:r>
      <w:r>
        <w:fldChar w:fldCharType="separate"/>
      </w:r>
      <w:r w:rsidRPr="00361B51">
        <w:rPr>
          <w:rStyle w:val="Hyperlink"/>
          <w:rFonts w:ascii="Arial" w:hAnsi="Arial" w:cs="Arial"/>
          <w:sz w:val="16"/>
          <w:szCs w:val="16"/>
        </w:rPr>
        <w:t>https://www.atr-regeldruk.nl/wet-tot-wijziging-van-boek-8-van-het-burgerlijk-wetboek-i-v-m-de-invoering-van-het-elektronisch-vervoerbestand/</w:t>
      </w:r>
      <w:r>
        <w:fldChar w:fldCharType="end"/>
      </w:r>
      <w:r w:rsidRPr="00361B51">
        <w:rPr>
          <w:rFonts w:ascii="Arial" w:hAnsi="Arial" w:cs="Arial"/>
          <w:sz w:val="16"/>
          <w:szCs w:val="16"/>
        </w:rPr>
        <w:t xml:space="preserve">. </w:t>
      </w:r>
    </w:p>
  </w:footnote>
  <w:footnote w:id="24">
    <w:p w:rsidR="00361B51" w:rsidP="00361B51">
      <w:pPr>
        <w:pStyle w:val="FootnoteText"/>
      </w:pPr>
      <w:r w:rsidRPr="00361B51">
        <w:rPr>
          <w:rStyle w:val="FootnoteReference"/>
          <w:rFonts w:ascii="Arial" w:hAnsi="Arial" w:cs="Arial"/>
          <w:sz w:val="16"/>
          <w:szCs w:val="16"/>
        </w:rPr>
        <w:footnoteRef/>
      </w:r>
      <w:r w:rsidRPr="00361B51">
        <w:rPr>
          <w:rFonts w:ascii="Arial" w:hAnsi="Arial" w:cs="Arial"/>
          <w:sz w:val="16"/>
          <w:szCs w:val="16"/>
        </w:rPr>
        <w:t xml:space="preserve"> A government website lists the bill on the 2022 legislative agenda, and states its status as “internal preparation”.</w:t>
      </w:r>
      <w:r>
        <w:t xml:space="preserve"> </w:t>
      </w:r>
    </w:p>
  </w:footnote>
  <w:footnote w:id="25">
    <w:p w:rsidR="00361B51" w:rsidRPr="00506181" w:rsidP="00361B51">
      <w:pPr>
        <w:pStyle w:val="FootnoteText"/>
        <w:rPr>
          <w:rFonts w:ascii="Arial" w:hAnsi="Arial" w:cs="Arial"/>
          <w:sz w:val="16"/>
          <w:szCs w:val="16"/>
        </w:rPr>
      </w:pPr>
      <w:r w:rsidRPr="00506181">
        <w:rPr>
          <w:rStyle w:val="FootnoteReference"/>
          <w:rFonts w:ascii="Arial" w:hAnsi="Arial" w:cs="Arial"/>
          <w:sz w:val="16"/>
          <w:szCs w:val="16"/>
        </w:rPr>
        <w:footnoteRef/>
      </w:r>
      <w:r w:rsidRPr="00506181">
        <w:rPr>
          <w:rFonts w:ascii="Arial" w:hAnsi="Arial" w:cs="Arial"/>
          <w:sz w:val="16"/>
          <w:szCs w:val="16"/>
        </w:rPr>
        <w:t xml:space="preserve"> Ley 14/2014, de 24 de </w:t>
      </w:r>
      <w:r w:rsidRPr="00506181">
        <w:rPr>
          <w:rFonts w:ascii="Arial" w:hAnsi="Arial" w:cs="Arial"/>
          <w:sz w:val="16"/>
          <w:szCs w:val="16"/>
        </w:rPr>
        <w:t>julio</w:t>
      </w:r>
      <w:r w:rsidRPr="00506181">
        <w:rPr>
          <w:rFonts w:ascii="Arial" w:hAnsi="Arial" w:cs="Arial"/>
          <w:sz w:val="16"/>
          <w:szCs w:val="16"/>
        </w:rPr>
        <w:t xml:space="preserve">, de </w:t>
      </w:r>
      <w:r w:rsidRPr="00506181">
        <w:rPr>
          <w:rFonts w:ascii="Arial" w:hAnsi="Arial" w:cs="Arial"/>
          <w:sz w:val="16"/>
          <w:szCs w:val="16"/>
        </w:rPr>
        <w:t>Navegación</w:t>
      </w:r>
      <w:r w:rsidRPr="00506181">
        <w:rPr>
          <w:rFonts w:ascii="Arial" w:hAnsi="Arial" w:cs="Arial"/>
          <w:sz w:val="16"/>
          <w:szCs w:val="16"/>
        </w:rPr>
        <w:t xml:space="preserve"> </w:t>
      </w:r>
      <w:r w:rsidRPr="00506181">
        <w:rPr>
          <w:rFonts w:ascii="Arial" w:hAnsi="Arial" w:cs="Arial"/>
          <w:sz w:val="16"/>
          <w:szCs w:val="16"/>
        </w:rPr>
        <w:t>Marítima</w:t>
      </w:r>
      <w:r w:rsidRPr="00506181">
        <w:rPr>
          <w:rFonts w:ascii="Arial" w:hAnsi="Arial" w:cs="Arial"/>
          <w:sz w:val="16"/>
          <w:szCs w:val="16"/>
        </w:rPr>
        <w:t xml:space="preserve"> (Shipping Act 2014; Official </w:t>
      </w:r>
      <w:r w:rsidRPr="00506181">
        <w:rPr>
          <w:rFonts w:ascii="Arial" w:hAnsi="Arial" w:cs="Arial"/>
          <w:sz w:val="16"/>
          <w:szCs w:val="16"/>
        </w:rPr>
        <w:t>Gazzette</w:t>
      </w:r>
      <w:r w:rsidRPr="00506181">
        <w:rPr>
          <w:rFonts w:ascii="Arial" w:hAnsi="Arial" w:cs="Arial"/>
          <w:sz w:val="16"/>
          <w:szCs w:val="16"/>
        </w:rPr>
        <w:t xml:space="preserve"> no. 51 of Friday 28th February 2020), articles 262-266.</w:t>
      </w:r>
    </w:p>
  </w:footnote>
  <w:footnote w:id="26">
    <w:p w:rsidR="00361B51" w:rsidRPr="00506181" w:rsidP="00361B51">
      <w:pPr>
        <w:pStyle w:val="FootnoteText"/>
        <w:rPr>
          <w:rFonts w:ascii="Arial" w:hAnsi="Arial" w:cs="Arial"/>
          <w:sz w:val="16"/>
          <w:szCs w:val="16"/>
        </w:rPr>
      </w:pPr>
      <w:r w:rsidRPr="00506181">
        <w:rPr>
          <w:rStyle w:val="FootnoteReference"/>
          <w:rFonts w:ascii="Arial" w:hAnsi="Arial" w:cs="Arial"/>
          <w:sz w:val="16"/>
          <w:szCs w:val="16"/>
        </w:rPr>
        <w:footnoteRef/>
      </w:r>
      <w:r w:rsidRPr="00506181">
        <w:rPr>
          <w:rFonts w:ascii="Arial" w:hAnsi="Arial" w:cs="Arial"/>
          <w:sz w:val="16"/>
          <w:szCs w:val="16"/>
        </w:rPr>
        <w:t xml:space="preserve"> Responses of the AEDM/ Spain’s MLA to the CMI Questionnaire on Domestic Legislation for Electronic Bills of Lading (2022) p 3, accessible at: </w:t>
      </w:r>
      <w:r>
        <w:fldChar w:fldCharType="begin"/>
      </w:r>
      <w:r>
        <w:instrText xml:space="preserve"> HYPERLINK "https://comitemaritime.org/wp-content/uploads/2022/09/response-SMLA-to-CMI-questionnaire-on-domestic-legislations-for-electronic-bills-of-lading.pdf" </w:instrText>
      </w:r>
      <w:r>
        <w:fldChar w:fldCharType="separate"/>
      </w:r>
      <w:r w:rsidRPr="00506181">
        <w:rPr>
          <w:rStyle w:val="Hyperlink"/>
          <w:rFonts w:ascii="Arial" w:hAnsi="Arial" w:cs="Arial"/>
          <w:sz w:val="16"/>
          <w:szCs w:val="16"/>
        </w:rPr>
        <w:t>https://comitemaritime.org/wp-content/uploads/2022/09/response-SMLA-to-CMI-questionnaire-on-domestic-legislations-for-electronic-bills-of-lading.pdf</w:t>
      </w:r>
      <w:r>
        <w:fldChar w:fldCharType="end"/>
      </w:r>
      <w:r w:rsidRPr="00506181">
        <w:rPr>
          <w:rFonts w:ascii="Arial" w:hAnsi="Arial" w:cs="Arial"/>
          <w:sz w:val="16"/>
          <w:szCs w:val="16"/>
        </w:rPr>
        <w:t xml:space="preserve">. </w:t>
      </w:r>
    </w:p>
  </w:footnote>
  <w:footnote w:id="27">
    <w:p w:rsidR="00361B51" w:rsidRPr="00506181" w:rsidP="00361B51">
      <w:pPr>
        <w:pStyle w:val="FootnoteText"/>
        <w:rPr>
          <w:rFonts w:ascii="Arial" w:hAnsi="Arial" w:cs="Arial"/>
          <w:sz w:val="16"/>
          <w:szCs w:val="16"/>
        </w:rPr>
      </w:pPr>
      <w:r w:rsidRPr="00506181">
        <w:rPr>
          <w:rStyle w:val="FootnoteReference"/>
          <w:rFonts w:ascii="Arial" w:hAnsi="Arial" w:cs="Arial"/>
          <w:sz w:val="16"/>
          <w:szCs w:val="16"/>
        </w:rPr>
        <w:footnoteRef/>
      </w:r>
      <w:r w:rsidRPr="00506181">
        <w:rPr>
          <w:rFonts w:ascii="Arial" w:hAnsi="Arial" w:cs="Arial"/>
          <w:sz w:val="16"/>
          <w:szCs w:val="16"/>
        </w:rPr>
        <w:t xml:space="preserve"> Regulation on electronic identification and trust services for electronic transactions in the internal market (Regulation (EU) No 910/2014).</w:t>
      </w:r>
    </w:p>
  </w:footnote>
  <w:footnote w:id="28">
    <w:p w:rsidR="00361B51" w:rsidRPr="00506181" w:rsidP="00361B51">
      <w:pPr>
        <w:pStyle w:val="FootnoteText"/>
        <w:rPr>
          <w:rFonts w:ascii="Arial" w:hAnsi="Arial" w:cs="Arial"/>
          <w:sz w:val="16"/>
          <w:szCs w:val="16"/>
        </w:rPr>
      </w:pPr>
      <w:r w:rsidRPr="00506181">
        <w:rPr>
          <w:rStyle w:val="FootnoteReference"/>
          <w:rFonts w:ascii="Arial" w:hAnsi="Arial" w:cs="Arial"/>
          <w:sz w:val="16"/>
          <w:szCs w:val="16"/>
        </w:rPr>
        <w:footnoteRef/>
      </w:r>
      <w:r w:rsidRPr="00506181">
        <w:rPr>
          <w:rFonts w:ascii="Arial" w:hAnsi="Arial" w:cs="Arial"/>
          <w:sz w:val="16"/>
          <w:szCs w:val="16"/>
        </w:rPr>
        <w:t xml:space="preserve"> ICC France noting that “there was no desire on the European side to deal with the subject of title documents in the revision of the eIDAS Regulation”. See ICC France, “White Paper: Challenges and Opportunities of Digitalisation of International Trade” (2022), p 66.</w:t>
      </w:r>
    </w:p>
  </w:footnote>
  <w:footnote w:id="29">
    <w:p w:rsidR="00361B51" w:rsidP="00361B51">
      <w:pPr>
        <w:pStyle w:val="FootnoteText"/>
      </w:pPr>
      <w:r w:rsidRPr="00506181">
        <w:rPr>
          <w:rStyle w:val="FootnoteReference"/>
          <w:rFonts w:ascii="Arial" w:hAnsi="Arial" w:cs="Arial"/>
          <w:sz w:val="16"/>
          <w:szCs w:val="16"/>
        </w:rPr>
        <w:footnoteRef/>
      </w:r>
      <w:r w:rsidRPr="00506181">
        <w:rPr>
          <w:rFonts w:ascii="Arial" w:hAnsi="Arial" w:cs="Arial"/>
          <w:sz w:val="16"/>
          <w:szCs w:val="16"/>
        </w:rPr>
        <w:t xml:space="preserve"> For some of the distinctions, see M </w:t>
      </w:r>
      <w:r w:rsidRPr="00506181">
        <w:rPr>
          <w:rFonts w:ascii="Arial" w:hAnsi="Arial" w:cs="Arial"/>
          <w:sz w:val="16"/>
          <w:szCs w:val="16"/>
        </w:rPr>
        <w:t>Hwaidi</w:t>
      </w:r>
      <w:r w:rsidRPr="00506181">
        <w:rPr>
          <w:rFonts w:ascii="Arial" w:hAnsi="Arial" w:cs="Arial"/>
          <w:sz w:val="16"/>
          <w:szCs w:val="16"/>
        </w:rPr>
        <w:t xml:space="preserve"> and G Ferris, “Switching from paper to electronic bills of lading – Part 1” (2019) 25(4) </w:t>
      </w:r>
      <w:r w:rsidRPr="00506181">
        <w:rPr>
          <w:rFonts w:ascii="Arial" w:hAnsi="Arial" w:cs="Arial"/>
          <w:i/>
          <w:iCs/>
          <w:sz w:val="16"/>
          <w:szCs w:val="16"/>
        </w:rPr>
        <w:t xml:space="preserve">Journal of International Maritime Law </w:t>
      </w:r>
      <w:r w:rsidRPr="00506181">
        <w:rPr>
          <w:rFonts w:ascii="Arial" w:hAnsi="Arial" w:cs="Arial"/>
          <w:sz w:val="16"/>
          <w:szCs w:val="16"/>
        </w:rPr>
        <w:t>297, 302 to 303.The authors suggest (at p 305) that “owing to differences in national laws relating to the effects of the characteristics of document of title and transferability of bills of lading</w:t>
      </w:r>
      <w:r w:rsidRPr="005853C1">
        <w:rPr>
          <w:rFonts w:ascii="Arial" w:hAnsi="Arial" w:cs="Arial"/>
          <w:sz w:val="16"/>
          <w:szCs w:val="16"/>
        </w:rPr>
        <w:t>, a platform facilitating electronic bills of lading should focus on the generally accepted or common elements of each characteristic of the bill of lading. Such a platform must be sufficiently flexible to accommodate the differences between various national laws”.</w:t>
      </w:r>
    </w:p>
  </w:footnote>
  <w:footnote w:id="30">
    <w:p w:rsidR="004F0186" w:rsidRPr="00506181" w:rsidP="004F0186">
      <w:pPr>
        <w:pStyle w:val="FootnoteText"/>
        <w:rPr>
          <w:rFonts w:ascii="Arial" w:hAnsi="Arial" w:cs="Arial"/>
          <w:sz w:val="16"/>
          <w:szCs w:val="16"/>
        </w:rPr>
      </w:pPr>
      <w:r w:rsidRPr="00506181">
        <w:rPr>
          <w:rStyle w:val="FootnoteReference"/>
          <w:rFonts w:ascii="Arial" w:hAnsi="Arial" w:cs="Arial"/>
          <w:sz w:val="16"/>
          <w:szCs w:val="16"/>
        </w:rPr>
        <w:footnoteRef/>
      </w:r>
      <w:r w:rsidRPr="00506181">
        <w:rPr>
          <w:rFonts w:ascii="Arial" w:hAnsi="Arial" w:cs="Arial"/>
          <w:sz w:val="16"/>
          <w:szCs w:val="16"/>
        </w:rPr>
        <w:t xml:space="preserve"> See paras 106 and 107 of the </w:t>
      </w:r>
      <w:r>
        <w:fldChar w:fldCharType="begin"/>
      </w:r>
      <w:r>
        <w:instrText xml:space="preserve"> HYPERLINK "https://uncitral.un.org/sites/uncitral.un.org/files/media-documents/uncitral/en/mletr_ebook_e.pdf" </w:instrText>
      </w:r>
      <w:r>
        <w:fldChar w:fldCharType="separate"/>
      </w:r>
      <w:r w:rsidRPr="00506181">
        <w:rPr>
          <w:rStyle w:val="Hyperlink"/>
          <w:rFonts w:ascii="Arial" w:hAnsi="Arial" w:cs="Arial"/>
          <w:sz w:val="16"/>
          <w:szCs w:val="16"/>
        </w:rPr>
        <w:t>explanatory notes</w:t>
      </w:r>
      <w:r>
        <w:fldChar w:fldCharType="end"/>
      </w:r>
      <w:r w:rsidRPr="00506181">
        <w:rPr>
          <w:rFonts w:ascii="Arial" w:hAnsi="Arial" w:cs="Arial"/>
          <w:sz w:val="16"/>
          <w:szCs w:val="16"/>
        </w:rPr>
        <w:t>.</w:t>
      </w:r>
    </w:p>
  </w:footnote>
  <w:footnote w:id="31">
    <w:p w:rsidR="004F0186" w:rsidRPr="005774D2" w:rsidP="004F0186">
      <w:pPr>
        <w:pStyle w:val="FootnoteText"/>
        <w:rPr>
          <w:rFonts w:ascii="Arial" w:hAnsi="Arial" w:cs="Arial"/>
          <w:sz w:val="16"/>
          <w:szCs w:val="16"/>
        </w:rPr>
      </w:pPr>
      <w:r w:rsidRPr="00506181">
        <w:rPr>
          <w:rStyle w:val="FootnoteReference"/>
          <w:rFonts w:ascii="Arial" w:hAnsi="Arial" w:cs="Arial"/>
          <w:sz w:val="16"/>
          <w:szCs w:val="16"/>
        </w:rPr>
        <w:footnoteRef/>
      </w:r>
      <w:r w:rsidRPr="00506181">
        <w:rPr>
          <w:rFonts w:ascii="Arial" w:hAnsi="Arial" w:cs="Arial"/>
          <w:sz w:val="16"/>
          <w:szCs w:val="16"/>
        </w:rPr>
        <w:t xml:space="preserve"> The</w:t>
      </w:r>
      <w:r w:rsidRPr="005774D2">
        <w:rPr>
          <w:rFonts w:ascii="Arial" w:hAnsi="Arial" w:cs="Arial"/>
          <w:sz w:val="16"/>
          <w:szCs w:val="16"/>
        </w:rPr>
        <w:t xml:space="preserve"> MLETR/Singapore is </w:t>
      </w:r>
      <w:r>
        <w:rPr>
          <w:rFonts w:ascii="Arial" w:hAnsi="Arial" w:cs="Arial"/>
          <w:sz w:val="16"/>
          <w:szCs w:val="16"/>
        </w:rPr>
        <w:t>similar</w:t>
      </w:r>
      <w:r w:rsidRPr="005774D2">
        <w:rPr>
          <w:rFonts w:ascii="Arial" w:hAnsi="Arial" w:cs="Arial"/>
          <w:sz w:val="16"/>
          <w:szCs w:val="16"/>
        </w:rPr>
        <w:t xml:space="preserve"> to the approach the Law</w:t>
      </w:r>
      <w:r>
        <w:rPr>
          <w:rFonts w:ascii="Arial" w:hAnsi="Arial" w:cs="Arial"/>
          <w:sz w:val="16"/>
          <w:szCs w:val="16"/>
        </w:rPr>
        <w:t xml:space="preserve"> </w:t>
      </w:r>
      <w:r w:rsidRPr="005774D2">
        <w:rPr>
          <w:rFonts w:ascii="Arial" w:hAnsi="Arial" w:cs="Arial"/>
          <w:sz w:val="16"/>
          <w:szCs w:val="16"/>
        </w:rPr>
        <w:t xml:space="preserve">Commission adopted in </w:t>
      </w:r>
      <w:r>
        <w:rPr>
          <w:rFonts w:ascii="Arial" w:hAnsi="Arial" w:cs="Arial"/>
          <w:sz w:val="16"/>
          <w:szCs w:val="16"/>
        </w:rPr>
        <w:t>our</w:t>
      </w:r>
      <w:r w:rsidRPr="005774D2">
        <w:rPr>
          <w:rFonts w:ascii="Arial" w:hAnsi="Arial" w:cs="Arial"/>
          <w:sz w:val="16"/>
          <w:szCs w:val="16"/>
        </w:rPr>
        <w:t xml:space="preserve"> consultation draft Bill, where we equated control with possession. It was clear from consultees that this caused confusion, particularly for the reasons stated</w:t>
      </w:r>
      <w:r>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4A81" w:rsidP="00EC571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2F4B52"/>
    <w:multiLevelType w:val="hybridMultilevel"/>
    <w:tmpl w:val="DBC4AA8A"/>
    <w:lvl w:ilvl="0">
      <w:start w:val="1"/>
      <w:numFmt w:val="decimal"/>
      <w:lvlText w:val="%1."/>
      <w:lvlJc w:val="left"/>
      <w:pPr>
        <w:tabs>
          <w:tab w:val="num" w:pos="2280"/>
        </w:tabs>
        <w:ind w:left="2280" w:hanging="360"/>
      </w:pPr>
      <w:rPr>
        <w:rFonts w:hint="default"/>
        <w:i w:val="0"/>
        <w:iCs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9A2139A"/>
    <w:multiLevelType w:val="hybridMultilevel"/>
    <w:tmpl w:val="DBC4AA8A"/>
    <w:lvl w:ilvl="0">
      <w:start w:val="1"/>
      <w:numFmt w:val="decimal"/>
      <w:lvlText w:val="%1."/>
      <w:lvlJc w:val="left"/>
      <w:pPr>
        <w:tabs>
          <w:tab w:val="num" w:pos="2280"/>
        </w:tabs>
        <w:ind w:left="2280" w:hanging="360"/>
      </w:pPr>
      <w:rPr>
        <w:rFonts w:hint="default"/>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E9205EC"/>
    <w:multiLevelType w:val="multilevel"/>
    <w:tmpl w:val="DCC8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286D20"/>
    <w:multiLevelType w:val="multilevel"/>
    <w:tmpl w:val="701A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0E4CFF"/>
    <w:multiLevelType w:val="multilevel"/>
    <w:tmpl w:val="3ABA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7715BD"/>
    <w:multiLevelType w:val="multilevel"/>
    <w:tmpl w:val="437A16D2"/>
    <w:lvl w:ilvl="0">
      <w:start w:val="1"/>
      <w:numFmt w:val="decimal"/>
      <w:pStyle w:val="Heading1"/>
      <w:suff w:val="nothing"/>
      <w:lvlText w:val="Chapter %1: "/>
      <w:lvlJc w:val="left"/>
      <w:pPr>
        <w:ind w:left="0" w:firstLine="0"/>
      </w:pPr>
      <w:rPr>
        <w:rFonts w:hint="default"/>
      </w:rPr>
    </w:lvl>
    <w:lvl w:ilvl="1">
      <w:start w:val="1"/>
      <w:numFmt w:val="decimal"/>
      <w:pStyle w:val="Text2"/>
      <w:lvlText w:val="%1.%2"/>
      <w:lvlJc w:val="left"/>
      <w:pPr>
        <w:tabs>
          <w:tab w:val="num" w:pos="624"/>
        </w:tabs>
        <w:ind w:left="624" w:hanging="624"/>
      </w:pPr>
      <w:rPr>
        <w:rFonts w:hint="default"/>
        <w:b w:val="0"/>
        <w:i w:val="0"/>
      </w:rPr>
    </w:lvl>
    <w:lvl w:ilvl="2">
      <w:start w:val="1"/>
      <w:numFmt w:val="decimal"/>
      <w:pStyle w:val="Text3"/>
      <w:lvlText w:val="(%3)"/>
      <w:lvlJc w:val="left"/>
      <w:pPr>
        <w:tabs>
          <w:tab w:val="num" w:pos="1247"/>
        </w:tabs>
        <w:ind w:left="1247" w:hanging="623"/>
      </w:pPr>
      <w:rPr>
        <w:rFonts w:hint="default"/>
        <w:b w:val="0"/>
        <w:i w:val="0"/>
      </w:rPr>
    </w:lvl>
    <w:lvl w:ilvl="3">
      <w:start w:val="1"/>
      <w:numFmt w:val="lowerLetter"/>
      <w:pStyle w:val="Text4"/>
      <w:lvlText w:val="(%4)"/>
      <w:lvlJc w:val="left"/>
      <w:pPr>
        <w:tabs>
          <w:tab w:val="num" w:pos="1871"/>
        </w:tabs>
        <w:ind w:left="1871" w:hanging="624"/>
      </w:pPr>
      <w:rPr>
        <w:rFonts w:hint="default"/>
      </w:rPr>
    </w:lvl>
    <w:lvl w:ilvl="4">
      <w:start w:val="1"/>
      <w:numFmt w:val="lowerRoman"/>
      <w:pStyle w:val="Text5"/>
      <w:lvlText w:val="(%5)"/>
      <w:lvlJc w:val="left"/>
      <w:pPr>
        <w:tabs>
          <w:tab w:val="num" w:pos="2495"/>
        </w:tabs>
        <w:ind w:left="2495" w:hanging="624"/>
      </w:pPr>
      <w:rPr>
        <w:rFonts w:hint="default"/>
      </w:rPr>
    </w:lvl>
    <w:lvl w:ilvl="5">
      <w:start w:val="1"/>
      <w:numFmt w:val="upperLetter"/>
      <w:pStyle w:val="Text6"/>
      <w:lvlText w:val="(%6)"/>
      <w:lvlJc w:val="left"/>
      <w:pPr>
        <w:tabs>
          <w:tab w:val="num" w:pos="3119"/>
        </w:tabs>
        <w:ind w:left="3119" w:hanging="624"/>
      </w:pPr>
      <w:rPr>
        <w:rFonts w:hint="default"/>
      </w:rPr>
    </w:lvl>
    <w:lvl w:ilvl="6">
      <w:start w:val="1"/>
      <w:numFmt w:val="lowerLetter"/>
      <w:pStyle w:val="Text7"/>
      <w:lvlText w:val="%7."/>
      <w:lvlJc w:val="left"/>
      <w:pPr>
        <w:tabs>
          <w:tab w:val="num" w:pos="3742"/>
        </w:tabs>
        <w:ind w:left="3742" w:hanging="623"/>
      </w:pPr>
      <w:rPr>
        <w:rFonts w:hint="default"/>
      </w:rPr>
    </w:lvl>
    <w:lvl w:ilvl="7">
      <w:start w:val="1"/>
      <w:numFmt w:val="none"/>
      <w:lvlJc w:val="left"/>
      <w:pPr>
        <w:tabs>
          <w:tab w:val="num" w:pos="4366"/>
        </w:tabs>
        <w:ind w:left="4366" w:hanging="624"/>
      </w:pPr>
      <w:rPr>
        <w:rFonts w:hint="default"/>
      </w:rPr>
    </w:lvl>
    <w:lvl w:ilvl="8">
      <w:start w:val="1"/>
      <w:numFmt w:val="none"/>
      <w:lvlJc w:val="left"/>
      <w:pPr>
        <w:tabs>
          <w:tab w:val="num" w:pos="4366"/>
        </w:tabs>
        <w:ind w:left="4990" w:hanging="624"/>
      </w:pPr>
      <w:rPr>
        <w:rFonts w:hint="default"/>
      </w:rPr>
    </w:lvl>
  </w:abstractNum>
  <w:abstractNum w:abstractNumId="6">
    <w:nsid w:val="34DE61A6"/>
    <w:multiLevelType w:val="hybridMultilevel"/>
    <w:tmpl w:val="DBC4AA8A"/>
    <w:lvl w:ilvl="0">
      <w:start w:val="1"/>
      <w:numFmt w:val="decimal"/>
      <w:lvlText w:val="%1."/>
      <w:lvlJc w:val="left"/>
      <w:pPr>
        <w:tabs>
          <w:tab w:val="num" w:pos="2280"/>
        </w:tabs>
        <w:ind w:left="2280" w:hanging="360"/>
      </w:pPr>
      <w:rPr>
        <w:rFonts w:hint="default"/>
        <w:i w:val="0"/>
        <w:iCs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D506855"/>
    <w:multiLevelType w:val="multilevel"/>
    <w:tmpl w:val="97C6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D46F8C"/>
    <w:multiLevelType w:val="hybridMultilevel"/>
    <w:tmpl w:val="B2A60106"/>
    <w:lvl w:ilvl="0">
      <w:start w:val="1"/>
      <w:numFmt w:val="decimal"/>
      <w:lvlText w:val="%1."/>
      <w:lvlJc w:val="left"/>
      <w:pPr>
        <w:tabs>
          <w:tab w:val="num" w:pos="2280"/>
        </w:tabs>
        <w:ind w:left="22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6641E59"/>
    <w:multiLevelType w:val="multilevel"/>
    <w:tmpl w:val="F6A0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EA22FB"/>
    <w:multiLevelType w:val="multilevel"/>
    <w:tmpl w:val="66CAD41C"/>
    <w:name w:val="MyListTemplate3"/>
    <w:lvl w:ilvl="0">
      <w:start w:val="0"/>
      <w:numFmt w:val="decimal"/>
      <w:isLgl/>
      <w:suff w:val="space"/>
      <w:lvlText w:val="%1"/>
      <w:lvlJc w:val="left"/>
      <w:pPr>
        <w:ind w:left="360" w:hanging="360"/>
      </w:pPr>
      <w:rPr>
        <w:rFonts w:ascii="Times New Roman" w:hAnsi="Times New Roman"/>
        <w:b w:val="0"/>
        <w:i w:val="0"/>
        <w:vanish/>
        <w:sz w:val="2"/>
      </w:rPr>
    </w:lvl>
    <w:lvl w:ilvl="1">
      <w:start w:val="1"/>
      <w:numFmt w:val="upperLetter"/>
      <w:pStyle w:val="Appendixnumber"/>
      <w:suff w:val="nothing"/>
      <w:lvlText w:val="Appendix %2"/>
      <w:lvlJc w:val="left"/>
      <w:pPr>
        <w:ind w:left="1134" w:firstLine="0"/>
      </w:pPr>
    </w:lvl>
    <w:lvl w:ilvl="2">
      <w:start w:val="1"/>
      <w:numFmt w:val="decimal"/>
      <w:pStyle w:val="Apxtext1"/>
      <w:lvlText w:val="%2.%3"/>
      <w:lvlJc w:val="right"/>
      <w:pPr>
        <w:tabs>
          <w:tab w:val="num" w:pos="1134"/>
        </w:tabs>
        <w:ind w:left="1134" w:hanging="284"/>
      </w:pPr>
    </w:lvl>
    <w:lvl w:ilvl="3">
      <w:start w:val="1"/>
      <w:numFmt w:val="decimal"/>
      <w:pStyle w:val="Apxtext2"/>
      <w:lvlText w:val="(%4)"/>
      <w:lvlJc w:val="right"/>
      <w:pPr>
        <w:tabs>
          <w:tab w:val="num" w:pos="1928"/>
        </w:tabs>
        <w:ind w:left="1928" w:hanging="369"/>
      </w:pPr>
    </w:lvl>
    <w:lvl w:ilvl="4">
      <w:start w:val="1"/>
      <w:numFmt w:val="lowerLetter"/>
      <w:pStyle w:val="Apxtext3"/>
      <w:lvlText w:val="(%5)"/>
      <w:lvlJc w:val="right"/>
      <w:pPr>
        <w:tabs>
          <w:tab w:val="num" w:pos="2665"/>
        </w:tabs>
        <w:ind w:left="2665" w:hanging="397"/>
      </w:pPr>
    </w:lvl>
    <w:lvl w:ilvl="5">
      <w:start w:val="1"/>
      <w:numFmt w:val="lowerRoman"/>
      <w:pStyle w:val="Apxtext4"/>
      <w:lvlText w:val="(%6)"/>
      <w:lvlJc w:val="right"/>
      <w:pPr>
        <w:tabs>
          <w:tab w:val="num" w:pos="3345"/>
        </w:tabs>
        <w:ind w:left="3345" w:hanging="369"/>
      </w:pPr>
    </w:lvl>
    <w:lvl w:ilvl="6">
      <w:start w:val="1"/>
      <w:numFmt w:val="upperLetter"/>
      <w:pStyle w:val="Apxtext5"/>
      <w:lvlText w:val="(%7)"/>
      <w:lvlJc w:val="right"/>
      <w:pPr>
        <w:tabs>
          <w:tab w:val="num" w:pos="4082"/>
        </w:tabs>
        <w:ind w:left="4082" w:hanging="397"/>
      </w:pPr>
    </w:lvl>
    <w:lvl w:ilvl="7">
      <w:start w:val="1"/>
      <w:numFmt w:val="bullet"/>
      <w:pStyle w:val="Apxtext6"/>
      <w:lvlText w:val=""/>
      <w:lvlJc w:val="left"/>
      <w:pPr>
        <w:tabs>
          <w:tab w:val="num" w:pos="4762"/>
        </w:tabs>
        <w:ind w:left="4762" w:hanging="368"/>
      </w:pPr>
      <w:rPr>
        <w:rFonts w:ascii="Symbol" w:hAnsi="Symbol" w:hint="default"/>
      </w:rPr>
    </w:lvl>
    <w:lvl w:ilvl="8">
      <w:start w:val="1"/>
      <w:numFmt w:val="bullet"/>
      <w:pStyle w:val="Apxtext7"/>
      <w:lvlText w:val=""/>
      <w:lvlJc w:val="left"/>
      <w:pPr>
        <w:tabs>
          <w:tab w:val="num" w:pos="5462"/>
        </w:tabs>
        <w:ind w:left="5386" w:hanging="284"/>
      </w:pPr>
      <w:rPr>
        <w:rFonts w:ascii="Symbol" w:hAnsi="Symbol" w:hint="default"/>
        <w:sz w:val="28"/>
      </w:rPr>
    </w:lvl>
  </w:abstractNum>
  <w:abstractNum w:abstractNumId="11">
    <w:nsid w:val="65577BA3"/>
    <w:multiLevelType w:val="multilevel"/>
    <w:tmpl w:val="CADA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51006D"/>
    <w:multiLevelType w:val="hybridMultilevel"/>
    <w:tmpl w:val="CBFC275A"/>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6D872D5E"/>
    <w:multiLevelType w:val="hybridMultilevel"/>
    <w:tmpl w:val="59C8CF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3"/>
  </w:num>
  <w:num w:numId="4">
    <w:abstractNumId w:val="8"/>
  </w:num>
  <w:num w:numId="5">
    <w:abstractNumId w:val="5"/>
  </w:num>
  <w:num w:numId="6">
    <w:abstractNumId w:val="2"/>
  </w:num>
  <w:num w:numId="7">
    <w:abstractNumId w:val="3"/>
  </w:num>
  <w:num w:numId="8">
    <w:abstractNumId w:val="1"/>
  </w:num>
  <w:num w:numId="9">
    <w:abstractNumId w:val="6"/>
  </w:num>
  <w:num w:numId="10">
    <w:abstractNumId w:val="12"/>
  </w:num>
  <w:num w:numId="11">
    <w:abstractNumId w:val="11"/>
  </w:num>
  <w:num w:numId="12">
    <w:abstractNumId w:val="9"/>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79E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Heading2"/>
    <w:link w:val="Heading1Char"/>
    <w:uiPriority w:val="9"/>
    <w:qFormat/>
    <w:rsid w:val="0064095C"/>
    <w:pPr>
      <w:keepNext/>
      <w:pageBreakBefore/>
      <w:numPr>
        <w:numId w:val="5"/>
      </w:numPr>
      <w:spacing w:after="840" w:line="264" w:lineRule="auto"/>
      <w:outlineLvl w:val="0"/>
    </w:pPr>
    <w:rPr>
      <w:rFonts w:ascii="Arial" w:hAnsi="Arial" w:eastAsiaTheme="minorHAnsi" w:cstheme="minorBidi"/>
      <w:b/>
      <w:color w:val="44546A" w:themeColor="text2"/>
      <w:sz w:val="36"/>
      <w:szCs w:val="36"/>
      <w:lang w:eastAsia="en-US" w:bidi="he-IL"/>
    </w:rPr>
  </w:style>
  <w:style w:type="paragraph" w:styleId="Heading2">
    <w:name w:val="heading 2"/>
    <w:next w:val="Normal"/>
    <w:link w:val="Heading2Char"/>
    <w:autoRedefine/>
    <w:qFormat/>
    <w:rsid w:val="00FE79E0"/>
    <w:pPr>
      <w:keepNext/>
      <w:keepLines/>
      <w:spacing w:before="120" w:after="60" w:line="264" w:lineRule="auto"/>
      <w:ind w:left="1134" w:right="567"/>
      <w:jc w:val="both"/>
      <w:outlineLvl w:val="1"/>
    </w:pPr>
    <w:rPr>
      <w:rFonts w:ascii="Arial" w:eastAsia="Times New Roman" w:hAnsi="Arial" w:cs="Times New Roman"/>
      <w:b/>
      <w:szCs w:val="20"/>
      <w:lang w:eastAsia="en-GB"/>
    </w:rPr>
  </w:style>
  <w:style w:type="paragraph" w:styleId="Heading3">
    <w:name w:val="heading 3"/>
    <w:basedOn w:val="Normal"/>
    <w:next w:val="Normal"/>
    <w:link w:val="Heading3Char"/>
    <w:uiPriority w:val="9"/>
    <w:semiHidden/>
    <w:unhideWhenUsed/>
    <w:qFormat/>
    <w:rsid w:val="004701A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79E0"/>
    <w:rPr>
      <w:rFonts w:ascii="Arial" w:eastAsia="Times New Roman" w:hAnsi="Arial" w:cs="Times New Roman"/>
      <w:b/>
      <w:szCs w:val="20"/>
      <w:lang w:eastAsia="en-GB"/>
    </w:rPr>
  </w:style>
  <w:style w:type="character" w:styleId="Hyperlink">
    <w:name w:val="Hyperlink"/>
    <w:rsid w:val="00FE79E0"/>
    <w:rPr>
      <w:color w:val="0000FF"/>
      <w:u w:val="single"/>
    </w:rPr>
  </w:style>
  <w:style w:type="paragraph" w:customStyle="1" w:styleId="letter-address">
    <w:name w:val="letter - address"/>
    <w:rsid w:val="00FE79E0"/>
    <w:pPr>
      <w:spacing w:after="0" w:line="240" w:lineRule="auto"/>
    </w:pPr>
    <w:rPr>
      <w:rFonts w:ascii="Arial" w:eastAsia="Times New Roman" w:hAnsi="Arial" w:cs="Times New Roman"/>
      <w:sz w:val="17"/>
      <w:szCs w:val="20"/>
      <w:lang w:eastAsia="en-GB"/>
    </w:rPr>
  </w:style>
  <w:style w:type="paragraph" w:customStyle="1" w:styleId="Text1nonumber">
    <w:name w:val="Text 1 (no number)"/>
    <w:rsid w:val="00FE79E0"/>
    <w:pPr>
      <w:keepLines/>
      <w:spacing w:after="240" w:line="264" w:lineRule="auto"/>
      <w:ind w:left="1134" w:right="567"/>
      <w:jc w:val="both"/>
    </w:pPr>
    <w:rPr>
      <w:rFonts w:ascii="Arial" w:eastAsia="Times New Roman" w:hAnsi="Arial" w:cs="Times New Roman"/>
      <w:szCs w:val="20"/>
      <w:lang w:eastAsia="en-GB"/>
    </w:rPr>
  </w:style>
  <w:style w:type="paragraph" w:customStyle="1" w:styleId="Apxtext1nonumber">
    <w:name w:val="Apx text 1 (no number)"/>
    <w:basedOn w:val="Text1nonumber"/>
    <w:next w:val="Apxtext1"/>
    <w:rsid w:val="00FE79E0"/>
  </w:style>
  <w:style w:type="paragraph" w:customStyle="1" w:styleId="Appendixname">
    <w:name w:val="Appendix name"/>
    <w:basedOn w:val="Normal"/>
    <w:next w:val="Normal"/>
    <w:rsid w:val="00FE79E0"/>
    <w:pPr>
      <w:keepNext/>
      <w:keepLines/>
      <w:spacing w:after="360"/>
      <w:ind w:left="1134" w:right="567"/>
      <w:outlineLvl w:val="0"/>
    </w:pPr>
    <w:rPr>
      <w:rFonts w:ascii="Arial" w:hAnsi="Arial"/>
      <w:b/>
      <w:caps/>
      <w:sz w:val="35"/>
      <w:szCs w:val="20"/>
    </w:rPr>
  </w:style>
  <w:style w:type="paragraph" w:customStyle="1" w:styleId="Apxtext7">
    <w:name w:val="Apx text 7"/>
    <w:basedOn w:val="Normal"/>
    <w:rsid w:val="00FE79E0"/>
    <w:pPr>
      <w:keepLines/>
      <w:numPr>
        <w:ilvl w:val="8"/>
        <w:numId w:val="1"/>
      </w:numPr>
      <w:spacing w:after="240" w:line="264" w:lineRule="auto"/>
      <w:ind w:left="5387" w:right="567"/>
      <w:jc w:val="both"/>
    </w:pPr>
    <w:rPr>
      <w:rFonts w:ascii="Arial" w:hAnsi="Arial"/>
      <w:sz w:val="22"/>
      <w:szCs w:val="20"/>
    </w:rPr>
  </w:style>
  <w:style w:type="paragraph" w:customStyle="1" w:styleId="Apxtext6">
    <w:name w:val="Apx text 6"/>
    <w:basedOn w:val="Normal"/>
    <w:rsid w:val="00FE79E0"/>
    <w:pPr>
      <w:keepLines/>
      <w:numPr>
        <w:ilvl w:val="7"/>
        <w:numId w:val="1"/>
      </w:numPr>
      <w:spacing w:after="240" w:line="264" w:lineRule="auto"/>
      <w:ind w:left="4763" w:right="567" w:hanging="369"/>
      <w:jc w:val="both"/>
    </w:pPr>
    <w:rPr>
      <w:rFonts w:ascii="Arial" w:hAnsi="Arial"/>
      <w:sz w:val="22"/>
      <w:szCs w:val="20"/>
    </w:rPr>
  </w:style>
  <w:style w:type="paragraph" w:customStyle="1" w:styleId="Apxtext5">
    <w:name w:val="Apx text 5"/>
    <w:basedOn w:val="Normal"/>
    <w:rsid w:val="00FE79E0"/>
    <w:pPr>
      <w:keepLines/>
      <w:numPr>
        <w:ilvl w:val="6"/>
        <w:numId w:val="1"/>
      </w:numPr>
      <w:spacing w:after="240" w:line="264" w:lineRule="auto"/>
      <w:ind w:left="4083" w:right="567"/>
      <w:jc w:val="both"/>
    </w:pPr>
    <w:rPr>
      <w:rFonts w:ascii="Arial" w:hAnsi="Arial"/>
      <w:sz w:val="22"/>
      <w:szCs w:val="20"/>
    </w:rPr>
  </w:style>
  <w:style w:type="paragraph" w:customStyle="1" w:styleId="Apxtext4">
    <w:name w:val="Apx text 4"/>
    <w:basedOn w:val="Normal"/>
    <w:rsid w:val="00FE79E0"/>
    <w:pPr>
      <w:keepLines/>
      <w:numPr>
        <w:ilvl w:val="5"/>
        <w:numId w:val="1"/>
      </w:numPr>
      <w:spacing w:after="240" w:line="264" w:lineRule="auto"/>
      <w:ind w:left="3346" w:right="567"/>
      <w:jc w:val="both"/>
    </w:pPr>
    <w:rPr>
      <w:rFonts w:ascii="Arial" w:hAnsi="Arial"/>
      <w:sz w:val="22"/>
      <w:szCs w:val="20"/>
    </w:rPr>
  </w:style>
  <w:style w:type="paragraph" w:customStyle="1" w:styleId="Apxtext3">
    <w:name w:val="Apx text 3"/>
    <w:basedOn w:val="Normal"/>
    <w:rsid w:val="00FE79E0"/>
    <w:pPr>
      <w:keepLines/>
      <w:numPr>
        <w:ilvl w:val="4"/>
        <w:numId w:val="1"/>
      </w:numPr>
      <w:spacing w:after="240" w:line="264" w:lineRule="auto"/>
      <w:ind w:right="567"/>
      <w:jc w:val="both"/>
    </w:pPr>
    <w:rPr>
      <w:rFonts w:ascii="Arial" w:hAnsi="Arial"/>
      <w:sz w:val="22"/>
      <w:szCs w:val="20"/>
    </w:rPr>
  </w:style>
  <w:style w:type="paragraph" w:customStyle="1" w:styleId="Apxtext2">
    <w:name w:val="Apx text 2"/>
    <w:basedOn w:val="Normal"/>
    <w:rsid w:val="00FE79E0"/>
    <w:pPr>
      <w:keepLines/>
      <w:numPr>
        <w:ilvl w:val="3"/>
        <w:numId w:val="1"/>
      </w:numPr>
      <w:spacing w:after="240" w:line="264" w:lineRule="auto"/>
      <w:ind w:right="567"/>
      <w:jc w:val="both"/>
      <w:outlineLvl w:val="1"/>
    </w:pPr>
    <w:rPr>
      <w:rFonts w:ascii="Arial" w:hAnsi="Arial"/>
      <w:sz w:val="22"/>
      <w:szCs w:val="20"/>
    </w:rPr>
  </w:style>
  <w:style w:type="paragraph" w:customStyle="1" w:styleId="Apxtext1">
    <w:name w:val="Apx text 1"/>
    <w:basedOn w:val="Normal"/>
    <w:rsid w:val="00FE79E0"/>
    <w:pPr>
      <w:keepLines/>
      <w:numPr>
        <w:ilvl w:val="2"/>
        <w:numId w:val="1"/>
      </w:numPr>
      <w:spacing w:after="240" w:line="264" w:lineRule="auto"/>
      <w:ind w:right="567"/>
      <w:jc w:val="both"/>
      <w:outlineLvl w:val="0"/>
    </w:pPr>
    <w:rPr>
      <w:rFonts w:ascii="Arial" w:hAnsi="Arial"/>
      <w:sz w:val="22"/>
      <w:szCs w:val="20"/>
    </w:rPr>
  </w:style>
  <w:style w:type="paragraph" w:customStyle="1" w:styleId="Appendixnumber">
    <w:name w:val="Appendix number"/>
    <w:next w:val="Appendixname"/>
    <w:rsid w:val="00FE79E0"/>
    <w:pPr>
      <w:keepNext/>
      <w:keepLines/>
      <w:numPr>
        <w:ilvl w:val="1"/>
        <w:numId w:val="1"/>
      </w:numPr>
      <w:spacing w:after="0" w:line="240" w:lineRule="auto"/>
      <w:ind w:right="567"/>
    </w:pPr>
    <w:rPr>
      <w:rFonts w:ascii="Arial" w:eastAsia="Times New Roman" w:hAnsi="Arial" w:cs="Times New Roman"/>
      <w:b/>
      <w:caps/>
      <w:sz w:val="35"/>
      <w:szCs w:val="20"/>
      <w:lang w:eastAsia="en-GB"/>
    </w:rPr>
  </w:style>
  <w:style w:type="paragraph" w:customStyle="1" w:styleId="Appendixheading2">
    <w:name w:val="Appendix heading 2"/>
    <w:basedOn w:val="Heading2"/>
    <w:next w:val="Apxtext1"/>
    <w:rsid w:val="00FE79E0"/>
  </w:style>
  <w:style w:type="paragraph" w:styleId="Header">
    <w:name w:val="header"/>
    <w:basedOn w:val="Normal"/>
    <w:link w:val="HeaderChar"/>
    <w:rsid w:val="00FE79E0"/>
    <w:pPr>
      <w:tabs>
        <w:tab w:val="center" w:pos="4513"/>
        <w:tab w:val="right" w:pos="9026"/>
      </w:tabs>
    </w:pPr>
  </w:style>
  <w:style w:type="character" w:customStyle="1" w:styleId="HeaderChar">
    <w:name w:val="Header Char"/>
    <w:basedOn w:val="DefaultParagraphFont"/>
    <w:link w:val="Header"/>
    <w:rsid w:val="00FE79E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rsid w:val="00FE79E0"/>
    <w:rPr>
      <w:sz w:val="16"/>
      <w:szCs w:val="16"/>
    </w:rPr>
  </w:style>
  <w:style w:type="paragraph" w:styleId="CommentText">
    <w:name w:val="annotation text"/>
    <w:basedOn w:val="Normal"/>
    <w:link w:val="CommentTextChar"/>
    <w:uiPriority w:val="99"/>
    <w:rsid w:val="00FE79E0"/>
    <w:rPr>
      <w:sz w:val="20"/>
      <w:szCs w:val="20"/>
    </w:rPr>
  </w:style>
  <w:style w:type="character" w:customStyle="1" w:styleId="CommentTextChar">
    <w:name w:val="Comment Text Char"/>
    <w:basedOn w:val="DefaultParagraphFont"/>
    <w:link w:val="CommentText"/>
    <w:uiPriority w:val="99"/>
    <w:rsid w:val="00FE79E0"/>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FE79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9E0"/>
    <w:rPr>
      <w:rFonts w:ascii="Segoe UI" w:eastAsia="Times New Roman" w:hAnsi="Segoe UI" w:cs="Segoe UI"/>
      <w:sz w:val="18"/>
      <w:szCs w:val="18"/>
      <w:lang w:eastAsia="en-GB"/>
    </w:rPr>
  </w:style>
  <w:style w:type="paragraph" w:styleId="ListParagraph">
    <w:name w:val="List Paragraph"/>
    <w:basedOn w:val="Normal"/>
    <w:uiPriority w:val="34"/>
    <w:qFormat/>
    <w:rsid w:val="001A489A"/>
    <w:pPr>
      <w:ind w:left="720"/>
      <w:contextualSpacing/>
    </w:pPr>
  </w:style>
  <w:style w:type="paragraph" w:styleId="CommentSubject">
    <w:name w:val="annotation subject"/>
    <w:basedOn w:val="CommentText"/>
    <w:next w:val="CommentText"/>
    <w:link w:val="CommentSubjectChar"/>
    <w:uiPriority w:val="99"/>
    <w:semiHidden/>
    <w:unhideWhenUsed/>
    <w:rsid w:val="0064095C"/>
    <w:rPr>
      <w:b/>
      <w:bCs/>
    </w:rPr>
  </w:style>
  <w:style w:type="character" w:customStyle="1" w:styleId="CommentSubjectChar">
    <w:name w:val="Comment Subject Char"/>
    <w:basedOn w:val="CommentTextChar"/>
    <w:link w:val="CommentSubject"/>
    <w:uiPriority w:val="99"/>
    <w:semiHidden/>
    <w:rsid w:val="0064095C"/>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64095C"/>
    <w:rPr>
      <w:sz w:val="20"/>
      <w:szCs w:val="20"/>
    </w:rPr>
  </w:style>
  <w:style w:type="character" w:customStyle="1" w:styleId="FootnoteTextChar">
    <w:name w:val="Footnote Text Char"/>
    <w:basedOn w:val="DefaultParagraphFont"/>
    <w:link w:val="FootnoteText"/>
    <w:uiPriority w:val="99"/>
    <w:semiHidden/>
    <w:rsid w:val="0064095C"/>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64095C"/>
    <w:rPr>
      <w:vertAlign w:val="superscript"/>
    </w:rPr>
  </w:style>
  <w:style w:type="character" w:customStyle="1" w:styleId="Heading1Char">
    <w:name w:val="Heading 1 Char"/>
    <w:basedOn w:val="DefaultParagraphFont"/>
    <w:link w:val="Heading1"/>
    <w:uiPriority w:val="9"/>
    <w:rsid w:val="0064095C"/>
    <w:rPr>
      <w:rFonts w:ascii="Arial" w:hAnsi="Arial"/>
      <w:b/>
      <w:color w:val="44546A" w:themeColor="text2"/>
      <w:sz w:val="36"/>
      <w:szCs w:val="36"/>
      <w:lang w:bidi="he-IL"/>
    </w:rPr>
  </w:style>
  <w:style w:type="paragraph" w:customStyle="1" w:styleId="Text2">
    <w:name w:val="Text 2"/>
    <w:basedOn w:val="Normal"/>
    <w:qFormat/>
    <w:rsid w:val="0064095C"/>
    <w:pPr>
      <w:numPr>
        <w:ilvl w:val="1"/>
        <w:numId w:val="5"/>
      </w:numPr>
      <w:spacing w:after="240" w:line="264" w:lineRule="auto"/>
    </w:pPr>
    <w:rPr>
      <w:rFonts w:ascii="Arial" w:hAnsi="Arial" w:eastAsiaTheme="minorHAnsi" w:cstheme="minorBidi"/>
      <w:sz w:val="22"/>
      <w:szCs w:val="22"/>
      <w:lang w:eastAsia="en-US" w:bidi="he-IL"/>
    </w:rPr>
  </w:style>
  <w:style w:type="paragraph" w:customStyle="1" w:styleId="Text3">
    <w:name w:val="Text 3"/>
    <w:basedOn w:val="Normal"/>
    <w:qFormat/>
    <w:rsid w:val="0064095C"/>
    <w:pPr>
      <w:numPr>
        <w:ilvl w:val="2"/>
        <w:numId w:val="5"/>
      </w:numPr>
      <w:spacing w:after="240" w:line="264" w:lineRule="auto"/>
    </w:pPr>
    <w:rPr>
      <w:rFonts w:ascii="Arial" w:hAnsi="Arial" w:eastAsiaTheme="minorHAnsi" w:cstheme="minorBidi"/>
      <w:sz w:val="22"/>
      <w:szCs w:val="22"/>
      <w:lang w:eastAsia="en-US" w:bidi="he-IL"/>
    </w:rPr>
  </w:style>
  <w:style w:type="paragraph" w:customStyle="1" w:styleId="Text4">
    <w:name w:val="Text 4"/>
    <w:basedOn w:val="Normal"/>
    <w:qFormat/>
    <w:rsid w:val="0064095C"/>
    <w:pPr>
      <w:numPr>
        <w:ilvl w:val="3"/>
        <w:numId w:val="5"/>
      </w:numPr>
      <w:spacing w:after="240" w:line="264" w:lineRule="auto"/>
    </w:pPr>
    <w:rPr>
      <w:rFonts w:ascii="Arial" w:hAnsi="Arial" w:eastAsiaTheme="minorHAnsi" w:cstheme="minorBidi"/>
      <w:sz w:val="22"/>
      <w:szCs w:val="22"/>
      <w:lang w:eastAsia="en-US" w:bidi="he-IL"/>
    </w:rPr>
  </w:style>
  <w:style w:type="paragraph" w:customStyle="1" w:styleId="Text5">
    <w:name w:val="Text 5"/>
    <w:basedOn w:val="Normal"/>
    <w:qFormat/>
    <w:rsid w:val="0064095C"/>
    <w:pPr>
      <w:numPr>
        <w:ilvl w:val="4"/>
        <w:numId w:val="5"/>
      </w:numPr>
      <w:spacing w:after="240" w:line="264" w:lineRule="auto"/>
    </w:pPr>
    <w:rPr>
      <w:rFonts w:ascii="Arial" w:hAnsi="Arial" w:eastAsiaTheme="minorHAnsi" w:cstheme="minorBidi"/>
      <w:sz w:val="22"/>
      <w:szCs w:val="22"/>
      <w:lang w:eastAsia="en-US" w:bidi="he-IL"/>
    </w:rPr>
  </w:style>
  <w:style w:type="paragraph" w:customStyle="1" w:styleId="Text6">
    <w:name w:val="Text 6"/>
    <w:basedOn w:val="Normal"/>
    <w:qFormat/>
    <w:rsid w:val="0064095C"/>
    <w:pPr>
      <w:numPr>
        <w:ilvl w:val="5"/>
        <w:numId w:val="5"/>
      </w:numPr>
      <w:spacing w:after="240" w:line="264" w:lineRule="auto"/>
    </w:pPr>
    <w:rPr>
      <w:rFonts w:ascii="Arial" w:hAnsi="Arial" w:eastAsiaTheme="minorHAnsi" w:cstheme="minorBidi"/>
      <w:sz w:val="22"/>
      <w:szCs w:val="22"/>
      <w:lang w:eastAsia="en-US" w:bidi="he-IL"/>
    </w:rPr>
  </w:style>
  <w:style w:type="paragraph" w:customStyle="1" w:styleId="Text7">
    <w:name w:val="Text 7"/>
    <w:basedOn w:val="Normal"/>
    <w:qFormat/>
    <w:rsid w:val="0064095C"/>
    <w:pPr>
      <w:numPr>
        <w:ilvl w:val="6"/>
        <w:numId w:val="5"/>
      </w:numPr>
      <w:spacing w:after="240" w:line="264" w:lineRule="auto"/>
    </w:pPr>
    <w:rPr>
      <w:rFonts w:ascii="Arial" w:hAnsi="Arial" w:eastAsiaTheme="minorHAnsi" w:cstheme="minorBidi"/>
      <w:sz w:val="22"/>
      <w:szCs w:val="22"/>
      <w:lang w:eastAsia="en-US" w:bidi="he-IL"/>
    </w:rPr>
  </w:style>
  <w:style w:type="paragraph" w:styleId="Footer">
    <w:name w:val="footer"/>
    <w:basedOn w:val="Normal"/>
    <w:link w:val="FooterChar"/>
    <w:uiPriority w:val="99"/>
    <w:unhideWhenUsed/>
    <w:rsid w:val="007C427F"/>
    <w:pPr>
      <w:tabs>
        <w:tab w:val="center" w:pos="4513"/>
        <w:tab w:val="right" w:pos="9026"/>
      </w:tabs>
    </w:pPr>
  </w:style>
  <w:style w:type="character" w:customStyle="1" w:styleId="FooterChar">
    <w:name w:val="Footer Char"/>
    <w:basedOn w:val="DefaultParagraphFont"/>
    <w:link w:val="Footer"/>
    <w:uiPriority w:val="99"/>
    <w:rsid w:val="007C427F"/>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83163"/>
    <w:pPr>
      <w:spacing w:before="100" w:beforeAutospacing="1" w:after="100" w:afterAutospacing="1"/>
    </w:pPr>
  </w:style>
  <w:style w:type="character" w:customStyle="1" w:styleId="UnresolvedMention">
    <w:name w:val="Unresolved Mention"/>
    <w:basedOn w:val="DefaultParagraphFont"/>
    <w:uiPriority w:val="99"/>
    <w:semiHidden/>
    <w:unhideWhenUsed/>
    <w:rsid w:val="00851F09"/>
    <w:rPr>
      <w:color w:val="605E5C"/>
      <w:shd w:val="clear" w:color="auto" w:fill="E1DFDD"/>
    </w:rPr>
  </w:style>
  <w:style w:type="character" w:styleId="FollowedHyperlink">
    <w:name w:val="FollowedHyperlink"/>
    <w:basedOn w:val="DefaultParagraphFont"/>
    <w:uiPriority w:val="99"/>
    <w:semiHidden/>
    <w:unhideWhenUsed/>
    <w:rsid w:val="0067445D"/>
    <w:rPr>
      <w:color w:val="954F72" w:themeColor="followedHyperlink"/>
      <w:u w:val="single"/>
    </w:rPr>
  </w:style>
  <w:style w:type="paragraph" w:styleId="Revision">
    <w:name w:val="Revision"/>
    <w:hidden/>
    <w:uiPriority w:val="99"/>
    <w:semiHidden/>
    <w:rsid w:val="00E057DE"/>
    <w:pPr>
      <w:spacing w:after="0"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4701A6"/>
    <w:rPr>
      <w:rFonts w:asciiTheme="majorHAnsi" w:eastAsiaTheme="majorEastAsia" w:hAnsiTheme="majorHAnsi" w:cstheme="majorBidi"/>
      <w:color w:val="1F3763" w:themeColor="accent1" w:themeShade="7F"/>
      <w:sz w:val="24"/>
      <w:szCs w:val="24"/>
      <w:lang w:eastAsia="en-GB"/>
    </w:rPr>
  </w:style>
  <w:style w:type="paragraph" w:styleId="Title">
    <w:name w:val="Title"/>
    <w:basedOn w:val="Normal"/>
    <w:next w:val="Normal"/>
    <w:link w:val="TitleChar"/>
    <w:uiPriority w:val="10"/>
    <w:qFormat/>
    <w:rsid w:val="00912E6B"/>
    <w:pPr>
      <w:pageBreakBefore/>
      <w:spacing w:after="240" w:line="264" w:lineRule="auto"/>
    </w:pPr>
    <w:rPr>
      <w:rFonts w:ascii="Arial" w:hAnsi="Arial" w:eastAsiaTheme="minorHAnsi" w:cstheme="minorBidi"/>
      <w:color w:val="44546A" w:themeColor="text2"/>
      <w:sz w:val="48"/>
      <w:szCs w:val="48"/>
      <w:lang w:eastAsia="en-US" w:bidi="he-IL"/>
    </w:rPr>
  </w:style>
  <w:style w:type="character" w:customStyle="1" w:styleId="TitleChar">
    <w:name w:val="Title Char"/>
    <w:basedOn w:val="DefaultParagraphFont"/>
    <w:link w:val="Title"/>
    <w:uiPriority w:val="10"/>
    <w:rsid w:val="00912E6B"/>
    <w:rPr>
      <w:rFonts w:ascii="Arial" w:hAnsi="Arial"/>
      <w:color w:val="44546A" w:themeColor="text2"/>
      <w:sz w:val="48"/>
      <w:szCs w:val="48"/>
      <w:lang w:bidi="he-IL"/>
    </w:rPr>
  </w:style>
  <w:style w:type="character" w:customStyle="1" w:styleId="coitalic">
    <w:name w:val="co_italic"/>
    <w:basedOn w:val="DefaultParagraphFont"/>
    <w:rsid w:val="00804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9f70a1d-2b14-45d1-bf0c-e2fce3c9f4da" xsi:nil="true"/>
    <IsModified xmlns="19f70a1d-2b14-45d1-bf0c-e2fce3c9f4da">No</IsModified>
    <TaxCatchAll xmlns="19f70a1d-2b14-45d1-bf0c-e2fce3c9f4da" xsi:nil="true"/>
    <lcf76f155ced4ddcb4097134ff3c332f xmlns="7f47bb1a-927a-4a03-b7c1-18cf2127e5d0">
      <Terms xmlns="http://schemas.microsoft.com/office/infopath/2007/PartnerControls"/>
    </lcf76f155ced4ddcb4097134ff3c332f>
    <_dlc_DocId xmlns="19f70a1d-2b14-45d1-bf0c-e2fce3c9f4da">ASOF-1551808732-26167</_dlc_DocId>
    <_dlc_DocIdUrl xmlns="19f70a1d-2b14-45d1-bf0c-e2fce3c9f4da">
      <Url>https://justiceuk.sharepoint.com/sites/MOJ-JS-AO/LAWC/CACL/_layouts/15/DocIdRedir.aspx?ID=ASOF-1551808732-26167</Url>
      <Description>ASOF-1551808732-26167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9D90D4FC6D80B47BC2D4E4C05AE5DD4" ma:contentTypeVersion="23" ma:contentTypeDescription="Create a new document." ma:contentTypeScope="" ma:versionID="2812f468274aa875af37ffef17ac9870">
  <xsd:schema xmlns:xsd="http://www.w3.org/2001/XMLSchema" xmlns:xs="http://www.w3.org/2001/XMLSchema" xmlns:p="http://schemas.microsoft.com/office/2006/metadata/properties" xmlns:ns2="19f70a1d-2b14-45d1-bf0c-e2fce3c9f4da" xmlns:ns3="c6462d9d-09d7-49ea-a5c9-46fa8063d3cc" xmlns:ns4="7f47bb1a-927a-4a03-b7c1-18cf2127e5d0" targetNamespace="http://schemas.microsoft.com/office/2006/metadata/properties" ma:root="true" ma:fieldsID="32ce2ced7e400c3910931903d4387183" ns2:_="" ns3:_="" ns4:_="">
    <xsd:import namespace="19f70a1d-2b14-45d1-bf0c-e2fce3c9f4da"/>
    <xsd:import namespace="c6462d9d-09d7-49ea-a5c9-46fa8063d3cc"/>
    <xsd:import namespace="7f47bb1a-927a-4a03-b7c1-18cf2127e5d0"/>
    <xsd:element name="properties">
      <xsd:complexType>
        <xsd:sequence>
          <xsd:element name="documentManagement">
            <xsd:complexType>
              <xsd:all>
                <xsd:element ref="ns2:_dlc_DocId" minOccurs="0"/>
                <xsd:element ref="ns2:_dlc_DocIdUrl" minOccurs="0"/>
                <xsd:element ref="ns2:_dlc_DocIdPersistId" minOccurs="0"/>
                <xsd:element ref="ns2:IsModified"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lcf76f155ced4ddcb4097134ff3c332f" minOccurs="0"/>
                <xsd:element ref="ns2: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70a1d-2b14-45d1-bf0c-e2fce3c9f4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IsModified" ma:index="11" nillable="true" ma:displayName="IsModified" ma:default="No" ma:hidden="true" ma:internalName="IsModified" ma:readOnly="false">
      <xsd:simpleType>
        <xsd:restriction base="dms:Text">
          <xsd:maxLength value="255"/>
        </xsd:restriction>
      </xsd:simpleType>
    </xsd:element>
    <xsd:element name="TaxCatchAll" ma:index="20" nillable="true" ma:displayName="Taxonomy Catch All Column" ma:hidden="true" ma:list="{0311db33-0fc2-4c72-835f-a3fa961df7b0}" ma:internalName="TaxCatchAll" ma:showField="CatchAllData" ma:web="19f70a1d-2b14-45d1-bf0c-e2fce3c9f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462d9d-09d7-49ea-a5c9-46fa8063d3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7bb1a-927a-4a03-b7c1-18cf2127e5d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5C84B-D9AF-4A3E-B249-3DFF485E762F}">
  <ds:schemaRefs>
    <ds:schemaRef ds:uri="http://schemas.microsoft.com/sharepoint/v3/contenttype/forms"/>
  </ds:schemaRefs>
</ds:datastoreItem>
</file>

<file path=customXml/itemProps2.xml><?xml version="1.0" encoding="utf-8"?>
<ds:datastoreItem xmlns:ds="http://schemas.openxmlformats.org/officeDocument/2006/customXml" ds:itemID="{7C07403C-C983-4EEE-BAEB-5B65365927F6}">
  <ds:schemaRefs>
    <ds:schemaRef ds:uri="http://schemas.microsoft.com/office/2006/metadata/properties"/>
    <ds:schemaRef ds:uri="http://schemas.microsoft.com/office/infopath/2007/PartnerControls"/>
    <ds:schemaRef ds:uri="19f70a1d-2b14-45d1-bf0c-e2fce3c9f4da"/>
    <ds:schemaRef ds:uri="7f47bb1a-927a-4a03-b7c1-18cf2127e5d0"/>
  </ds:schemaRefs>
</ds:datastoreItem>
</file>

<file path=customXml/itemProps3.xml><?xml version="1.0" encoding="utf-8"?>
<ds:datastoreItem xmlns:ds="http://schemas.openxmlformats.org/officeDocument/2006/customXml" ds:itemID="{9EF1ACCA-3384-47C0-8790-AA1E0EDC4C8F}">
  <ds:schemaRefs>
    <ds:schemaRef ds:uri="http://schemas.microsoft.com/sharepoint/events"/>
  </ds:schemaRefs>
</ds:datastoreItem>
</file>

<file path=customXml/itemProps4.xml><?xml version="1.0" encoding="utf-8"?>
<ds:datastoreItem xmlns:ds="http://schemas.openxmlformats.org/officeDocument/2006/customXml" ds:itemID="{765AFCBA-B6DA-49E3-8EDF-78A5BACEB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70a1d-2b14-45d1-bf0c-e2fce3c9f4da"/>
    <ds:schemaRef ds:uri="c6462d9d-09d7-49ea-a5c9-46fa8063d3cc"/>
    <ds:schemaRef ds:uri="7f47bb1a-927a-4a03-b7c1-18cf2127e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3EF8EC-1D5C-402F-AAAB-F5FFF9FA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