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tbl>
      <w:tblPr>
        <w:tblStyle w:val="TableGrid"/>
        <w:tblW w:w="0" w:type="auto"/>
        <w:tblLayout w:type="fixed"/>
        <w:tblLook w:val="01E0"/>
      </w:tblPr>
      <w:tblGrid>
        <w:gridCol w:w="7088"/>
        <w:gridCol w:w="170"/>
        <w:gridCol w:w="2949"/>
      </w:tblGrid>
      <w:tr w:rsidTr="008712B4">
        <w:tblPrEx>
          <w:tblW w:w="0" w:type="auto"/>
          <w:tblLayout w:type="fixed"/>
          <w:tblLook w:val="01E0"/>
        </w:tblPrEx>
        <w:trPr>
          <w:trHeight w:hRule="exact" w:val="834"/>
        </w:trPr>
        <w:tc>
          <w:tcPr>
            <w:tcW w:w="7088" w:type="dxa"/>
            <w:vMerge w:val="restart"/>
          </w:tcPr>
          <w:p w:rsidR="008712B4" w:rsidRPr="007B3E6C" w:rsidP="008712B4">
            <w:r>
              <w:rPr>
                <w:noProof/>
              </w:rPr>
              <w:drawing>
                <wp:inline distT="0" distB="0" distL="0" distR="0">
                  <wp:extent cx="1474470" cy="669925"/>
                  <wp:effectExtent l="19050" t="0" r="0" b="0"/>
                  <wp:docPr id="1" name="Picture 1" descr="HM Treas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 Treas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8712B4" w:rsidRPr="007B3E6C" w:rsidP="008712B4">
            <w:pPr>
              <w:pStyle w:val="address"/>
            </w:pPr>
          </w:p>
        </w:tc>
      </w:tr>
      <w:tr w:rsidTr="008712B4">
        <w:tblPrEx>
          <w:tblW w:w="0" w:type="auto"/>
          <w:tblLayout w:type="fixed"/>
          <w:tblLook w:val="01E0"/>
        </w:tblPrEx>
        <w:trPr>
          <w:trHeight w:val="1469"/>
        </w:trPr>
        <w:tc>
          <w:tcPr>
            <w:tcW w:w="7088" w:type="dxa"/>
            <w:vMerge/>
            <w:tcBorders>
              <w:bottom w:val="nil"/>
            </w:tcBorders>
          </w:tcPr>
          <w:p w:rsidR="008712B4" w:rsidRPr="00FB5309">
            <w:pPr>
              <w:rPr>
                <w:sz w:val="28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8712B4" w:rsidRPr="00AE783F" w:rsidP="008712B4">
            <w:pPr>
              <w:pStyle w:val="address"/>
              <w:rPr>
                <w:sz w:val="24"/>
              </w:rPr>
            </w:pPr>
            <w:r>
              <w:rPr>
                <w:sz w:val="24"/>
              </w:rPr>
              <w:t>David Fairbrother</w:t>
            </w:r>
            <w:r w:rsidRPr="00AE783F">
              <w:rPr>
                <w:sz w:val="24"/>
              </w:rPr>
              <w:br/>
              <w:t>Treasury Officer of Accounts</w:t>
            </w:r>
            <w:r w:rsidRPr="00AE783F">
              <w:rPr>
                <w:sz w:val="24"/>
              </w:rPr>
              <w:br/>
              <w:t>HM Treasury</w:t>
            </w:r>
            <w:r w:rsidRPr="00AE783F">
              <w:rPr>
                <w:sz w:val="24"/>
              </w:rPr>
              <w:br/>
              <w:t>1 Horse Guards Road</w:t>
            </w:r>
            <w:r w:rsidRPr="00AE783F">
              <w:rPr>
                <w:sz w:val="24"/>
              </w:rPr>
              <w:br/>
              <w:t>London SW1A 2HQ</w:t>
            </w:r>
          </w:p>
        </w:tc>
      </w:tr>
      <w:tr>
        <w:tblPrEx>
          <w:tblW w:w="0" w:type="auto"/>
          <w:tblLayout w:type="fixed"/>
          <w:tblLook w:val="01E0"/>
        </w:tblPrEx>
        <w:trPr>
          <w:trHeight w:hRule="exact" w:val="340"/>
        </w:trPr>
        <w:tc>
          <w:tcPr>
            <w:tcW w:w="7088" w:type="dxa"/>
          </w:tcPr>
          <w:p w:rsidR="008712B4" w:rsidRPr="00FB5309">
            <w:pPr>
              <w:rPr>
                <w:sz w:val="28"/>
              </w:rPr>
            </w:pPr>
          </w:p>
        </w:tc>
        <w:tc>
          <w:tcPr>
            <w:tcW w:w="3119" w:type="dxa"/>
            <w:gridSpan w:val="2"/>
          </w:tcPr>
          <w:p w:rsidR="008712B4" w:rsidRPr="00FB5309" w:rsidP="008712B4">
            <w:pPr>
              <w:pStyle w:val="address"/>
              <w:rPr>
                <w:sz w:val="20"/>
              </w:rPr>
            </w:pPr>
          </w:p>
        </w:tc>
      </w:tr>
      <w:tr>
        <w:tblPrEx>
          <w:tblW w:w="0" w:type="auto"/>
          <w:tblLayout w:type="fixed"/>
          <w:tblLook w:val="01E0"/>
        </w:tblPrEx>
        <w:trPr>
          <w:trHeight w:val="964"/>
        </w:trPr>
        <w:tc>
          <w:tcPr>
            <w:tcW w:w="7088" w:type="dxa"/>
            <w:vMerge w:val="restart"/>
          </w:tcPr>
          <w:p w:rsidR="006D4FEA" w:rsidP="008712B4">
            <w:pPr>
              <w:rPr>
                <w:sz w:val="28"/>
              </w:rPr>
            </w:pPr>
            <w:r w:rsidRPr="00FB5309">
              <w:rPr>
                <w:sz w:val="28"/>
              </w:rPr>
              <w:br/>
            </w:r>
            <w:r>
              <w:rPr>
                <w:sz w:val="28"/>
              </w:rPr>
              <w:t>Mr Richard Bacon MP</w:t>
            </w:r>
          </w:p>
          <w:p w:rsidR="006D4FEA" w:rsidP="008712B4">
            <w:pPr>
              <w:rPr>
                <w:sz w:val="28"/>
              </w:rPr>
            </w:pPr>
            <w:r w:rsidRPr="00FB5309">
              <w:rPr>
                <w:sz w:val="28"/>
              </w:rPr>
              <w:t>Chair</w:t>
            </w:r>
            <w:r>
              <w:rPr>
                <w:sz w:val="28"/>
              </w:rPr>
              <w:t xml:space="preserve">, </w:t>
            </w:r>
            <w:r w:rsidRPr="00FB5309">
              <w:rPr>
                <w:sz w:val="28"/>
              </w:rPr>
              <w:t>The Public Accounts Commission</w:t>
            </w:r>
            <w:r w:rsidRPr="00FB5309">
              <w:rPr>
                <w:sz w:val="28"/>
              </w:rPr>
              <w:br/>
              <w:t>House of Commons</w:t>
            </w:r>
            <w:r w:rsidRPr="00FB5309">
              <w:rPr>
                <w:sz w:val="28"/>
              </w:rPr>
              <w:br/>
              <w:t xml:space="preserve">London </w:t>
            </w:r>
          </w:p>
          <w:p w:rsidR="008712B4" w:rsidRPr="00FB5309" w:rsidP="008712B4">
            <w:pPr>
              <w:rPr>
                <w:sz w:val="28"/>
              </w:rPr>
            </w:pPr>
            <w:r w:rsidRPr="00FB5309">
              <w:rPr>
                <w:sz w:val="28"/>
              </w:rPr>
              <w:t>SW1A 0AA</w:t>
            </w:r>
          </w:p>
        </w:tc>
        <w:tc>
          <w:tcPr>
            <w:tcW w:w="170" w:type="dxa"/>
          </w:tcPr>
          <w:p w:rsidR="008712B4" w:rsidRPr="00FB5309" w:rsidP="008712B4">
            <w:pPr>
              <w:pStyle w:val="address"/>
              <w:rPr>
                <w:sz w:val="20"/>
              </w:rPr>
            </w:pPr>
            <w:r w:rsidRPr="00FB5309">
              <w:rPr>
                <w:sz w:val="20"/>
              </w:rPr>
              <w:t>T</w:t>
            </w:r>
          </w:p>
          <w:p w:rsidR="008712B4" w:rsidRPr="00FB5309" w:rsidP="008712B4">
            <w:pPr>
              <w:pStyle w:val="address"/>
              <w:rPr>
                <w:sz w:val="20"/>
              </w:rPr>
            </w:pPr>
            <w:r w:rsidRPr="00FB5309">
              <w:rPr>
                <w:sz w:val="20"/>
              </w:rPr>
              <w:t>E</w:t>
            </w:r>
          </w:p>
        </w:tc>
        <w:tc>
          <w:tcPr>
            <w:tcW w:w="2948" w:type="dxa"/>
          </w:tcPr>
          <w:p w:rsidR="008712B4" w:rsidRPr="00FB5309" w:rsidP="008712B4">
            <w:pPr>
              <w:pStyle w:val="address"/>
              <w:rPr>
                <w:sz w:val="20"/>
              </w:rPr>
            </w:pPr>
            <w:r w:rsidRPr="00FB5309">
              <w:rPr>
                <w:sz w:val="20"/>
              </w:rPr>
              <w:t>020 7270 6040</w:t>
            </w:r>
          </w:p>
          <w:p w:rsidR="008712B4" w:rsidRPr="00FB5309" w:rsidP="008712B4">
            <w:pPr>
              <w:pStyle w:val="address"/>
              <w:rPr>
                <w:sz w:val="20"/>
              </w:rPr>
            </w:pPr>
            <w:r>
              <w:fldChar w:fldCharType="begin"/>
            </w:r>
            <w:r>
              <w:instrText xml:space="preserve"> HYPERLINK "mailto:david.fairbrother@hmtreasury.gov.uk" </w:instrText>
            </w:r>
            <w:r>
              <w:fldChar w:fldCharType="separate"/>
            </w:r>
            <w:r w:rsidRPr="00562B46" w:rsidR="00EC6E2F">
              <w:rPr>
                <w:rStyle w:val="Hyperlink"/>
                <w:szCs w:val="20"/>
              </w:rPr>
              <w:t>david.fairbrother@hmtreasury.gov.uk</w:t>
            </w:r>
            <w:r>
              <w:fldChar w:fldCharType="end"/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7088" w:type="dxa"/>
            <w:vMerge/>
          </w:tcPr>
          <w:p w:rsidR="008712B4" w:rsidRPr="00FB5309" w:rsidP="008712B4">
            <w:pPr>
              <w:rPr>
                <w:sz w:val="28"/>
              </w:rPr>
            </w:pPr>
          </w:p>
        </w:tc>
        <w:tc>
          <w:tcPr>
            <w:tcW w:w="3119" w:type="dxa"/>
            <w:gridSpan w:val="2"/>
          </w:tcPr>
          <w:p w:rsidR="008712B4" w:rsidRPr="00FB5309" w:rsidP="008712B4">
            <w:pPr>
              <w:pStyle w:val="address"/>
              <w:rPr>
                <w:sz w:val="20"/>
              </w:rPr>
            </w:pPr>
            <w:r>
              <w:fldChar w:fldCharType="begin"/>
            </w:r>
            <w:r>
              <w:instrText xml:space="preserve"> HYPERLINK "http://www.hm-treasury.gov.uk" </w:instrText>
            </w:r>
            <w:r>
              <w:fldChar w:fldCharType="separate"/>
            </w:r>
            <w:r w:rsidRPr="00FB5309" w:rsidR="00EC6E2F">
              <w:rPr>
                <w:rStyle w:val="Hyperlink"/>
                <w:color w:val="auto"/>
                <w:sz w:val="20"/>
                <w:u w:val="none"/>
              </w:rPr>
              <w:t>www.gov.uk</w:t>
            </w:r>
            <w:r>
              <w:fldChar w:fldCharType="end"/>
            </w:r>
            <w:r w:rsidRPr="00FB5309" w:rsidR="00EC6E2F">
              <w:rPr>
                <w:sz w:val="20"/>
              </w:rPr>
              <w:t>/hm-treasury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7088" w:type="dxa"/>
            <w:vMerge/>
          </w:tcPr>
          <w:p w:rsidR="008712B4" w:rsidRPr="00FB5309" w:rsidP="008712B4">
            <w:pPr>
              <w:rPr>
                <w:sz w:val="28"/>
              </w:rPr>
            </w:pPr>
          </w:p>
        </w:tc>
        <w:tc>
          <w:tcPr>
            <w:tcW w:w="3119" w:type="dxa"/>
            <w:gridSpan w:val="2"/>
          </w:tcPr>
          <w:p w:rsidR="008712B4" w:rsidRPr="00FB5309" w:rsidP="008712B4">
            <w:pPr>
              <w:pStyle w:val="address"/>
              <w:rPr>
                <w:sz w:val="20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7088" w:type="dxa"/>
          </w:tcPr>
          <w:p w:rsidR="008712B4" w:rsidRPr="00FB5309">
            <w:pPr>
              <w:rPr>
                <w:sz w:val="28"/>
              </w:rPr>
            </w:pPr>
          </w:p>
        </w:tc>
        <w:tc>
          <w:tcPr>
            <w:tcW w:w="3119" w:type="dxa"/>
            <w:gridSpan w:val="2"/>
          </w:tcPr>
          <w:p w:rsidR="008712B4" w:rsidRPr="00FB5309" w:rsidP="008712B4">
            <w:pPr>
              <w:pStyle w:val="address"/>
              <w:rPr>
                <w:sz w:val="20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7088" w:type="dxa"/>
          </w:tcPr>
          <w:p w:rsidR="008712B4" w:rsidRPr="00FB5309" w:rsidP="008712B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286943">
              <w:rPr>
                <w:sz w:val="28"/>
              </w:rPr>
              <w:t xml:space="preserve"> </w:t>
            </w:r>
            <w:r w:rsidR="006D4FEA">
              <w:rPr>
                <w:sz w:val="28"/>
              </w:rPr>
              <w:t>October</w:t>
            </w:r>
            <w:r w:rsidR="00286943">
              <w:rPr>
                <w:sz w:val="28"/>
              </w:rPr>
              <w:t xml:space="preserve"> 2022</w:t>
            </w:r>
          </w:p>
        </w:tc>
        <w:tc>
          <w:tcPr>
            <w:tcW w:w="3119" w:type="dxa"/>
            <w:gridSpan w:val="2"/>
          </w:tcPr>
          <w:p w:rsidR="008712B4" w:rsidRPr="00FB5309" w:rsidP="008712B4">
            <w:pPr>
              <w:pStyle w:val="address"/>
              <w:rPr>
                <w:sz w:val="20"/>
              </w:rPr>
            </w:pPr>
          </w:p>
        </w:tc>
      </w:tr>
    </w:tbl>
    <w:p w:rsidR="001C556E" w:rsidRPr="00FB5309">
      <w:pPr>
        <w:rPr>
          <w:sz w:val="28"/>
        </w:rPr>
      </w:pPr>
    </w:p>
    <w:p w:rsidR="008712B4" w:rsidRPr="00FB5309" w:rsidP="008712B4">
      <w:pPr>
        <w:spacing w:before="240"/>
        <w:rPr>
          <w:sz w:val="28"/>
        </w:rPr>
      </w:pPr>
      <w:r w:rsidRPr="00FB5309">
        <w:rPr>
          <w:sz w:val="28"/>
        </w:rPr>
        <w:t xml:space="preserve">Dear </w:t>
      </w:r>
      <w:r w:rsidR="00286943">
        <w:rPr>
          <w:sz w:val="28"/>
        </w:rPr>
        <w:t>Richard</w:t>
      </w:r>
      <w:r w:rsidRPr="00FB5309">
        <w:rPr>
          <w:sz w:val="28"/>
        </w:rPr>
        <w:t>,</w:t>
      </w:r>
    </w:p>
    <w:p w:rsidR="008712B4" w:rsidRPr="00FB5309" w:rsidP="008712B4">
      <w:pPr>
        <w:pStyle w:val="Heading1"/>
        <w:spacing w:before="240" w:after="0"/>
        <w:rPr>
          <w:sz w:val="32"/>
          <w:szCs w:val="24"/>
        </w:rPr>
      </w:pPr>
      <w:r w:rsidRPr="00FB5309">
        <w:rPr>
          <w:sz w:val="32"/>
          <w:szCs w:val="24"/>
        </w:rPr>
        <w:t>NATIONAL AUDIT OFFICE</w:t>
      </w:r>
      <w:r w:rsidRPr="00D66248">
        <w:rPr>
          <w:sz w:val="32"/>
          <w:szCs w:val="24"/>
        </w:rPr>
        <w:t>:</w:t>
      </w:r>
      <w:r>
        <w:rPr>
          <w:sz w:val="32"/>
          <w:szCs w:val="24"/>
        </w:rPr>
        <w:t xml:space="preserve"> </w:t>
      </w:r>
      <w:r w:rsidR="006D4FEA">
        <w:rPr>
          <w:sz w:val="32"/>
          <w:szCs w:val="24"/>
        </w:rPr>
        <w:t>SUPPLEMENTARY ESTIMATE</w:t>
      </w:r>
      <w:r w:rsidR="00286943">
        <w:rPr>
          <w:sz w:val="32"/>
          <w:szCs w:val="24"/>
        </w:rPr>
        <w:t xml:space="preserve"> 2022-23</w:t>
      </w:r>
    </w:p>
    <w:p w:rsidR="006D4FEA" w:rsidP="008712B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>
        <w:rPr>
          <w:sz w:val="28"/>
        </w:rPr>
        <w:t xml:space="preserve">At its meeting on </w:t>
      </w:r>
      <w:r w:rsidRPr="00D24B50" w:rsidR="00A90469">
        <w:rPr>
          <w:sz w:val="28"/>
        </w:rPr>
        <w:t>3 November</w:t>
      </w:r>
      <w:r>
        <w:rPr>
          <w:sz w:val="28"/>
        </w:rPr>
        <w:t>, the</w:t>
      </w:r>
      <w:r w:rsidRPr="00B34B81" w:rsidR="00EC6E2F">
        <w:rPr>
          <w:sz w:val="28"/>
        </w:rPr>
        <w:t xml:space="preserve"> Public Accounts Commission will be considering the NAO’s </w:t>
      </w:r>
      <w:r>
        <w:rPr>
          <w:sz w:val="28"/>
        </w:rPr>
        <w:t>proposal for a 2022-23 Supplementary</w:t>
      </w:r>
      <w:r w:rsidRPr="00B34B81" w:rsidR="00EC6E2F">
        <w:rPr>
          <w:sz w:val="28"/>
        </w:rPr>
        <w:t xml:space="preserve"> </w:t>
      </w:r>
      <w:r w:rsidR="00EC6E2F">
        <w:rPr>
          <w:sz w:val="28"/>
        </w:rPr>
        <w:t>Estimate.</w:t>
      </w:r>
    </w:p>
    <w:p w:rsidR="008712B4" w:rsidP="008712B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 w:rsidRPr="00D66248">
        <w:rPr>
          <w:sz w:val="28"/>
        </w:rPr>
        <w:t>This</w:t>
      </w:r>
      <w:r w:rsidRPr="00FB5309">
        <w:rPr>
          <w:sz w:val="28"/>
        </w:rPr>
        <w:t xml:space="preserve"> letter </w:t>
      </w:r>
      <w:r w:rsidR="006D4FEA">
        <w:rPr>
          <w:sz w:val="28"/>
        </w:rPr>
        <w:t>provides</w:t>
      </w:r>
      <w:r w:rsidRPr="00FB5309">
        <w:rPr>
          <w:sz w:val="28"/>
        </w:rPr>
        <w:t xml:space="preserve"> the Treasury’s advice on </w:t>
      </w:r>
      <w:r>
        <w:rPr>
          <w:sz w:val="28"/>
        </w:rPr>
        <w:t>these documents</w:t>
      </w:r>
      <w:r w:rsidRPr="00FB5309">
        <w:rPr>
          <w:sz w:val="28"/>
        </w:rPr>
        <w:t xml:space="preserve"> in accordance with our responsibilities under Section 23 and Schedule 3</w:t>
      </w:r>
      <w:r>
        <w:rPr>
          <w:sz w:val="28"/>
        </w:rPr>
        <w:t xml:space="preserve"> Paragraph 1</w:t>
      </w:r>
      <w:r w:rsidRPr="00FB5309">
        <w:rPr>
          <w:sz w:val="28"/>
        </w:rPr>
        <w:t xml:space="preserve"> of the </w:t>
      </w:r>
      <w:r w:rsidRPr="00FB5309">
        <w:rPr>
          <w:i/>
          <w:sz w:val="28"/>
        </w:rPr>
        <w:t>Budget Responsibility and National Audit Act 2011</w:t>
      </w:r>
      <w:r w:rsidRPr="00FB5309">
        <w:rPr>
          <w:sz w:val="28"/>
        </w:rPr>
        <w:t>.</w:t>
      </w:r>
    </w:p>
    <w:p w:rsidR="008712B4" w:rsidP="008712B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>
        <w:rPr>
          <w:sz w:val="28"/>
        </w:rPr>
        <w:t xml:space="preserve">HM Treasury welcomes the NAO’s engagement in advance of </w:t>
      </w:r>
      <w:r w:rsidR="00FE7806">
        <w:rPr>
          <w:sz w:val="28"/>
        </w:rPr>
        <w:t>the Commission’s</w:t>
      </w:r>
      <w:r>
        <w:rPr>
          <w:sz w:val="28"/>
        </w:rPr>
        <w:t xml:space="preserve"> meeting</w:t>
      </w:r>
      <w:r w:rsidR="006D4FEA">
        <w:rPr>
          <w:sz w:val="28"/>
        </w:rPr>
        <w:t>,</w:t>
      </w:r>
      <w:r>
        <w:rPr>
          <w:sz w:val="28"/>
        </w:rPr>
        <w:t xml:space="preserve"> to explain and answer questions on their </w:t>
      </w:r>
      <w:r w:rsidR="0077250F">
        <w:rPr>
          <w:sz w:val="28"/>
        </w:rPr>
        <w:t>Estimate</w:t>
      </w:r>
      <w:r w:rsidRPr="00FE7806">
        <w:rPr>
          <w:sz w:val="28"/>
        </w:rPr>
        <w:t>. The following points have</w:t>
      </w:r>
      <w:r w:rsidR="00FE7806">
        <w:rPr>
          <w:sz w:val="28"/>
        </w:rPr>
        <w:t xml:space="preserve"> </w:t>
      </w:r>
      <w:r w:rsidRPr="00FE7806">
        <w:rPr>
          <w:sz w:val="28"/>
        </w:rPr>
        <w:t xml:space="preserve">been discussed with </w:t>
      </w:r>
      <w:r w:rsidR="006D4FEA">
        <w:rPr>
          <w:sz w:val="28"/>
        </w:rPr>
        <w:t>the NAO</w:t>
      </w:r>
      <w:r w:rsidRPr="00FE7806">
        <w:rPr>
          <w:sz w:val="28"/>
        </w:rPr>
        <w:t xml:space="preserve"> and noted as items that we will </w:t>
      </w:r>
      <w:r w:rsidR="00B51466">
        <w:rPr>
          <w:sz w:val="28"/>
        </w:rPr>
        <w:t>draw</w:t>
      </w:r>
      <w:r w:rsidRPr="00FE7806">
        <w:rPr>
          <w:sz w:val="28"/>
        </w:rPr>
        <w:t xml:space="preserve"> to the Commission’s attention.</w:t>
      </w:r>
      <w:r>
        <w:rPr>
          <w:sz w:val="28"/>
        </w:rPr>
        <w:t xml:space="preserve"> </w:t>
      </w:r>
    </w:p>
    <w:p w:rsidR="005171D6" w:rsidP="001C556E">
      <w:pPr>
        <w:pStyle w:val="BodyText1"/>
        <w:spacing w:before="240" w:after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Changes to </w:t>
      </w:r>
      <w:r w:rsidR="00885DD4">
        <w:rPr>
          <w:b/>
          <w:bCs/>
          <w:sz w:val="28"/>
        </w:rPr>
        <w:t>c</w:t>
      </w:r>
      <w:r>
        <w:rPr>
          <w:b/>
          <w:bCs/>
          <w:sz w:val="28"/>
        </w:rPr>
        <w:t xml:space="preserve">apital and </w:t>
      </w:r>
      <w:r w:rsidR="00885DD4">
        <w:rPr>
          <w:b/>
          <w:bCs/>
          <w:sz w:val="28"/>
        </w:rPr>
        <w:t>r</w:t>
      </w:r>
      <w:r>
        <w:rPr>
          <w:b/>
          <w:bCs/>
          <w:sz w:val="28"/>
        </w:rPr>
        <w:t>esource budgets associated with Newcastle office move</w:t>
      </w:r>
    </w:p>
    <w:p w:rsidR="00885DD4" w:rsidP="001C556E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 w:rsidRPr="00885DD4">
        <w:rPr>
          <w:sz w:val="28"/>
        </w:rPr>
        <w:t xml:space="preserve">The </w:t>
      </w:r>
      <w:r>
        <w:rPr>
          <w:sz w:val="28"/>
        </w:rPr>
        <w:t xml:space="preserve">NAO are suggesting increases in their capital budget of £3.3m, and £0.4m for the resource budget, compared to the Main Estimate. This is to cover costs associated with securing new office space in Newcastle, earlier than was anticipated. </w:t>
      </w:r>
    </w:p>
    <w:p w:rsidR="00885DD4" w:rsidP="00885DD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>
        <w:rPr>
          <w:sz w:val="28"/>
        </w:rPr>
        <w:t>The</w:t>
      </w:r>
      <w:r w:rsidR="00446B66">
        <w:rPr>
          <w:sz w:val="28"/>
        </w:rPr>
        <w:t xml:space="preserve"> </w:t>
      </w:r>
      <w:r w:rsidR="003C0C42">
        <w:rPr>
          <w:sz w:val="28"/>
        </w:rPr>
        <w:t>Commission</w:t>
      </w:r>
      <w:r w:rsidR="00446B66">
        <w:rPr>
          <w:sz w:val="28"/>
        </w:rPr>
        <w:t xml:space="preserve"> should note that the</w:t>
      </w:r>
      <w:r>
        <w:rPr>
          <w:sz w:val="28"/>
        </w:rPr>
        <w:t xml:space="preserve"> NAO’s ambitions in respect of its Newcastle office align with the government’s ambitions to relocate Civil Service </w:t>
      </w:r>
      <w:r>
        <w:rPr>
          <w:sz w:val="28"/>
        </w:rPr>
        <w:t>roles</w:t>
      </w:r>
      <w:r>
        <w:rPr>
          <w:sz w:val="28"/>
        </w:rPr>
        <w:t xml:space="preserve"> out of Greater London through the Places for Growth programme. </w:t>
      </w:r>
    </w:p>
    <w:p w:rsidR="00B145A2" w:rsidP="00B145A2">
      <w:pPr>
        <w:pStyle w:val="BodyText1"/>
        <w:spacing w:before="240" w:after="0"/>
        <w:jc w:val="both"/>
        <w:rPr>
          <w:sz w:val="28"/>
        </w:rPr>
      </w:pPr>
      <w:r>
        <w:rPr>
          <w:b/>
          <w:bCs/>
          <w:sz w:val="28"/>
        </w:rPr>
        <w:t>Pay</w:t>
      </w:r>
    </w:p>
    <w:p w:rsidR="00446B66" w:rsidP="00885DD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 w:rsidRPr="00BC5FB1">
        <w:rPr>
          <w:sz w:val="28"/>
        </w:rPr>
        <w:t xml:space="preserve">The Commission should note the NAO’s proposals on pay. </w:t>
      </w:r>
      <w:r w:rsidRPr="001C556E">
        <w:rPr>
          <w:sz w:val="28"/>
        </w:rPr>
        <w:t>Following a pay freeze in 2021-</w:t>
      </w:r>
      <w:r>
        <w:rPr>
          <w:sz w:val="28"/>
        </w:rPr>
        <w:t>22, the NAO intend</w:t>
      </w:r>
      <w:r>
        <w:rPr>
          <w:sz w:val="28"/>
        </w:rPr>
        <w:t>ed</w:t>
      </w:r>
      <w:r>
        <w:rPr>
          <w:sz w:val="28"/>
        </w:rPr>
        <w:t xml:space="preserve"> to introduce a minimum 2% pay </w:t>
      </w:r>
      <w:r w:rsidR="00B51466">
        <w:rPr>
          <w:sz w:val="28"/>
        </w:rPr>
        <w:t>increase</w:t>
      </w:r>
      <w:r>
        <w:rPr>
          <w:sz w:val="28"/>
        </w:rPr>
        <w:t xml:space="preserve"> for all staff, with targeted additional payments for staff at the lower end of pay ranges, resulting in an average 3% pay award. </w:t>
      </w:r>
    </w:p>
    <w:p w:rsidR="00446B66" w:rsidP="00885DD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>
        <w:rPr>
          <w:sz w:val="28"/>
        </w:rPr>
        <w:t xml:space="preserve">The </w:t>
      </w:r>
      <w:r w:rsidR="009E6C28">
        <w:rPr>
          <w:sz w:val="28"/>
        </w:rPr>
        <w:t>NAO’s offer was</w:t>
      </w:r>
      <w:r>
        <w:rPr>
          <w:sz w:val="28"/>
        </w:rPr>
        <w:t xml:space="preserve"> </w:t>
      </w:r>
      <w:r w:rsidR="00DC3B59">
        <w:rPr>
          <w:sz w:val="28"/>
        </w:rPr>
        <w:t xml:space="preserve">slightly </w:t>
      </w:r>
      <w:r w:rsidR="009E6C28">
        <w:rPr>
          <w:sz w:val="28"/>
        </w:rPr>
        <w:t>more generous than</w:t>
      </w:r>
      <w:r>
        <w:rPr>
          <w:sz w:val="28"/>
        </w:rPr>
        <w:t xml:space="preserve"> the civil service pay remit</w:t>
      </w:r>
      <w:r w:rsidR="00D9432A">
        <w:rPr>
          <w:sz w:val="28"/>
        </w:rPr>
        <w:t xml:space="preserve">, </w:t>
      </w:r>
      <w:r w:rsidR="00055F92">
        <w:rPr>
          <w:sz w:val="28"/>
        </w:rPr>
        <w:t xml:space="preserve">but below increases seen in the private sector audit market. In the civil service, </w:t>
      </w:r>
      <w:r w:rsidRPr="00D9432A" w:rsidR="00D9432A">
        <w:rPr>
          <w:sz w:val="28"/>
        </w:rPr>
        <w:t xml:space="preserve">departments </w:t>
      </w:r>
      <w:r w:rsidR="00055F92">
        <w:rPr>
          <w:sz w:val="28"/>
        </w:rPr>
        <w:t xml:space="preserve">were </w:t>
      </w:r>
      <w:r w:rsidRPr="00D9432A" w:rsidR="00D9432A">
        <w:rPr>
          <w:sz w:val="28"/>
        </w:rPr>
        <w:t>able to make average pay awards up to 2%</w:t>
      </w:r>
      <w:r w:rsidR="00D9432A">
        <w:rPr>
          <w:sz w:val="28"/>
        </w:rPr>
        <w:t xml:space="preserve">, with </w:t>
      </w:r>
      <w:r w:rsidRPr="00D9432A" w:rsidR="00D9432A">
        <w:rPr>
          <w:sz w:val="28"/>
        </w:rPr>
        <w:t>additional flexibility to pay up to a further 1% to address specific priorities in their workforce and pay strategies</w:t>
      </w:r>
      <w:r>
        <w:rPr>
          <w:rStyle w:val="FootnoteReference"/>
          <w:sz w:val="28"/>
        </w:rPr>
        <w:footnoteReference w:id="2"/>
      </w:r>
      <w:r>
        <w:rPr>
          <w:sz w:val="28"/>
        </w:rPr>
        <w:t>.</w:t>
      </w:r>
    </w:p>
    <w:p w:rsidR="00885DD4" w:rsidP="00885DD4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>
        <w:rPr>
          <w:sz w:val="28"/>
        </w:rPr>
        <w:t>In the context of a tight labour market, recruitment challenges and higher than expected turnover, the NAO</w:t>
      </w:r>
      <w:r w:rsidRPr="00446B66">
        <w:t xml:space="preserve"> </w:t>
      </w:r>
      <w:r>
        <w:rPr>
          <w:sz w:val="28"/>
        </w:rPr>
        <w:t>have proposed</w:t>
      </w:r>
      <w:r w:rsidRPr="00446B66">
        <w:rPr>
          <w:sz w:val="28"/>
        </w:rPr>
        <w:t xml:space="preserve"> us</w:t>
      </w:r>
      <w:r>
        <w:rPr>
          <w:sz w:val="28"/>
        </w:rPr>
        <w:t>ing</w:t>
      </w:r>
      <w:r w:rsidRPr="00446B66">
        <w:rPr>
          <w:sz w:val="28"/>
        </w:rPr>
        <w:t xml:space="preserve"> forecast savings </w:t>
      </w:r>
      <w:r>
        <w:rPr>
          <w:sz w:val="28"/>
        </w:rPr>
        <w:t>against</w:t>
      </w:r>
      <w:r w:rsidRPr="00446B66">
        <w:rPr>
          <w:sz w:val="28"/>
        </w:rPr>
        <w:t xml:space="preserve"> budgeted payroll expenditure to implement an additional 1% consolidated pay increase to all staff below the Audit Manager grade, effective from 1 October 2022.</w:t>
      </w:r>
    </w:p>
    <w:p w:rsidR="00A90469" w:rsidRPr="00D24B50" w:rsidP="00446B66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 w:rsidRPr="00D24B50">
        <w:rPr>
          <w:sz w:val="28"/>
        </w:rPr>
        <w:t xml:space="preserve">Schedule 2 Paragraph 17 of the </w:t>
      </w:r>
      <w:r w:rsidRPr="00D24B50">
        <w:rPr>
          <w:i/>
          <w:iCs/>
          <w:sz w:val="28"/>
        </w:rPr>
        <w:t xml:space="preserve">Budget Responsibility and National Audit Act 2011 </w:t>
      </w:r>
      <w:r w:rsidRPr="00D24B50">
        <w:rPr>
          <w:sz w:val="28"/>
        </w:rPr>
        <w:t>states</w:t>
      </w:r>
      <w:r w:rsidRPr="00D24B50">
        <w:rPr>
          <w:i/>
          <w:iCs/>
          <w:sz w:val="28"/>
        </w:rPr>
        <w:t xml:space="preserve"> </w:t>
      </w:r>
      <w:r w:rsidRPr="00D24B50">
        <w:rPr>
          <w:sz w:val="28"/>
        </w:rPr>
        <w:t>“In determining the terms of employment of any staff, NAO must have regard to the desirability of keeping the terms broadly in line with those applying to civil servants”</w:t>
      </w:r>
      <w:r w:rsidRPr="00D24B50">
        <w:rPr>
          <w:i/>
          <w:iCs/>
          <w:sz w:val="28"/>
        </w:rPr>
        <w:t>.</w:t>
      </w:r>
    </w:p>
    <w:p w:rsidR="00446B66" w:rsidRPr="00D24B50" w:rsidP="00446B66">
      <w:pPr>
        <w:pStyle w:val="BodyText1"/>
        <w:numPr>
          <w:ilvl w:val="0"/>
          <w:numId w:val="17"/>
        </w:numPr>
        <w:spacing w:before="240" w:after="0"/>
        <w:ind w:left="924" w:hanging="357"/>
        <w:jc w:val="both"/>
        <w:rPr>
          <w:sz w:val="28"/>
        </w:rPr>
      </w:pPr>
      <w:r w:rsidRPr="00D24B50">
        <w:rPr>
          <w:sz w:val="28"/>
        </w:rPr>
        <w:t>In this context</w:t>
      </w:r>
      <w:r w:rsidRPr="00D24B50">
        <w:rPr>
          <w:i/>
          <w:iCs/>
          <w:sz w:val="28"/>
        </w:rPr>
        <w:t xml:space="preserve">, </w:t>
      </w:r>
      <w:r w:rsidRPr="00D24B50" w:rsidR="000B1703">
        <w:rPr>
          <w:sz w:val="28"/>
        </w:rPr>
        <w:t>t</w:t>
      </w:r>
      <w:r w:rsidRPr="00D24B50" w:rsidR="00B51466">
        <w:rPr>
          <w:sz w:val="28"/>
        </w:rPr>
        <w:t xml:space="preserve">he </w:t>
      </w:r>
      <w:r w:rsidRPr="00D24B50" w:rsidR="00C21584">
        <w:rPr>
          <w:sz w:val="28"/>
        </w:rPr>
        <w:t>Commission</w:t>
      </w:r>
      <w:r w:rsidRPr="00D24B50">
        <w:rPr>
          <w:sz w:val="28"/>
        </w:rPr>
        <w:t xml:space="preserve"> should note that:</w:t>
      </w:r>
    </w:p>
    <w:p w:rsidR="00885DD4" w:rsidP="00446B66">
      <w:pPr>
        <w:pStyle w:val="BodyText1"/>
        <w:numPr>
          <w:ilvl w:val="1"/>
          <w:numId w:val="17"/>
        </w:numPr>
        <w:spacing w:after="0"/>
        <w:jc w:val="both"/>
        <w:rPr>
          <w:sz w:val="28"/>
        </w:rPr>
      </w:pPr>
      <w:r w:rsidRPr="00D24B50">
        <w:rPr>
          <w:sz w:val="28"/>
        </w:rPr>
        <w:t>this would be</w:t>
      </w:r>
      <w:r w:rsidRPr="00446B66">
        <w:rPr>
          <w:sz w:val="28"/>
        </w:rPr>
        <w:t xml:space="preserve"> a consolidated pay increase</w:t>
      </w:r>
      <w:r>
        <w:rPr>
          <w:sz w:val="28"/>
        </w:rPr>
        <w:t xml:space="preserve">, </w:t>
      </w:r>
      <w:r w:rsidRPr="00446B66">
        <w:rPr>
          <w:sz w:val="28"/>
        </w:rPr>
        <w:t xml:space="preserve">which will </w:t>
      </w:r>
      <w:r>
        <w:rPr>
          <w:sz w:val="28"/>
        </w:rPr>
        <w:t xml:space="preserve">increase payroll costs in perpetuity </w:t>
      </w:r>
    </w:p>
    <w:p w:rsidR="008712B4" w:rsidRPr="00B51466" w:rsidP="00B51466">
      <w:pPr>
        <w:pStyle w:val="BodyText1"/>
        <w:numPr>
          <w:ilvl w:val="1"/>
          <w:numId w:val="17"/>
        </w:numPr>
        <w:spacing w:after="0"/>
        <w:jc w:val="both"/>
        <w:rPr>
          <w:sz w:val="28"/>
        </w:rPr>
      </w:pPr>
      <w:r>
        <w:rPr>
          <w:sz w:val="28"/>
        </w:rPr>
        <w:t xml:space="preserve">because of </w:t>
      </w:r>
      <w:r w:rsidR="00C21584">
        <w:rPr>
          <w:sz w:val="28"/>
        </w:rPr>
        <w:t>the long-term impacts</w:t>
      </w:r>
      <w:r>
        <w:rPr>
          <w:sz w:val="28"/>
        </w:rPr>
        <w:t xml:space="preserve">, the recycling of </w:t>
      </w:r>
      <w:r w:rsidR="00C21584">
        <w:rPr>
          <w:sz w:val="28"/>
        </w:rPr>
        <w:t xml:space="preserve">in-year </w:t>
      </w:r>
      <w:r>
        <w:rPr>
          <w:sz w:val="28"/>
        </w:rPr>
        <w:t>payroll underspends into consolidated salary increases is an approach which is not permitted for Civil Service pay</w:t>
      </w:r>
    </w:p>
    <w:p w:rsidR="00B51466" w:rsidRPr="00B51466" w:rsidP="00B51466">
      <w:pPr>
        <w:pStyle w:val="BodyText1"/>
        <w:spacing w:after="0"/>
        <w:jc w:val="both"/>
        <w:rPr>
          <w:sz w:val="28"/>
        </w:rPr>
      </w:pPr>
    </w:p>
    <w:p w:rsidR="008712B4" w:rsidRPr="00730D15" w:rsidP="008712B4">
      <w:pPr>
        <w:pStyle w:val="BodyText1"/>
        <w:spacing w:before="120" w:after="0"/>
        <w:rPr>
          <w:b/>
          <w:sz w:val="28"/>
        </w:rPr>
      </w:pPr>
      <w:r>
        <w:rPr>
          <w:b/>
          <w:sz w:val="28"/>
        </w:rPr>
        <w:t>DAVID FAIRBROTHER</w:t>
      </w:r>
      <w:r w:rsidRPr="00FB5309">
        <w:rPr>
          <w:b/>
          <w:sz w:val="28"/>
        </w:rPr>
        <w:br/>
        <w:t>TREASURY OFFICER OF ACCOUNTS</w:t>
      </w:r>
      <w:r w:rsidRPr="00FB5309">
        <w:rPr>
          <w:b/>
          <w:sz w:val="28"/>
        </w:rPr>
        <w:br/>
        <w:t>HM TREASURY</w:t>
      </w:r>
    </w:p>
    <w:sectPr w:rsidSect="008712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P="008712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 w:rsidRPr="003248A9">
      <w:rPr>
        <w:rStyle w:val="PageNumber"/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rFonts w:ascii="Calibri" w:hAnsi="Calibri"/>
        <w:b w:val="0"/>
        <w:color w:val="000000"/>
        <w:sz w:val="22"/>
      </w:rPr>
      <w:t>UNCLASSIFIED</w:t>
    </w:r>
    <w:r>
      <w:rPr>
        <w:rStyle w:val="PageNumber"/>
      </w:rPr>
      <w:fldChar w:fldCharType="end"/>
    </w:r>
  </w:p>
  <w:p w:rsidR="008712B4" w:rsidP="008712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RPr="00D30CAA" w:rsidP="008712B4">
    <w:pPr>
      <w:pStyle w:val="Footer"/>
      <w:tabs>
        <w:tab w:val="center" w:pos="5103"/>
        <w:tab w:val="right" w:pos="10206"/>
      </w:tabs>
      <w:rPr>
        <w:b w:val="0"/>
        <w:sz w:val="22"/>
        <w:szCs w:val="22"/>
      </w:rPr>
    </w:pPr>
    <w:r w:rsidRPr="00D30CAA">
      <w:rPr>
        <w:b w:val="0"/>
      </w:rPr>
      <w:tab/>
    </w:r>
    <w:r w:rsidRPr="00D30CAA">
      <w:rPr>
        <w:b w:val="0"/>
        <w:sz w:val="22"/>
        <w:szCs w:val="22"/>
      </w:rPr>
      <w:tab/>
      <w:t xml:space="preserve">Page </w: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begin"/>
    </w:r>
    <w:r w:rsidRPr="00D30CAA">
      <w:rPr>
        <w:rStyle w:val="PageNumber"/>
        <w:rFonts w:ascii="Humnst777 Lt BT" w:hAnsi="Humnst777 Lt BT"/>
        <w:b w:val="0"/>
        <w:sz w:val="22"/>
        <w:szCs w:val="22"/>
      </w:rPr>
      <w:instrText xml:space="preserve"> PAGE </w:instrTex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separate"/>
    </w:r>
    <w:r>
      <w:rPr>
        <w:rStyle w:val="PageNumber"/>
        <w:rFonts w:ascii="Humnst777 Lt BT" w:hAnsi="Humnst777 Lt BT"/>
        <w:b w:val="0"/>
        <w:noProof/>
        <w:sz w:val="22"/>
        <w:szCs w:val="22"/>
      </w:rPr>
      <w:t>3</w: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end"/>
    </w:r>
    <w:r w:rsidRPr="00D30CAA">
      <w:rPr>
        <w:rStyle w:val="PageNumber"/>
        <w:rFonts w:ascii="Humnst777 Lt BT" w:hAnsi="Humnst777 Lt BT"/>
        <w:b w:val="0"/>
        <w:sz w:val="22"/>
        <w:szCs w:val="22"/>
      </w:rPr>
      <w:t xml:space="preserve"> of </w: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begin"/>
    </w:r>
    <w:r w:rsidRPr="00D30CAA">
      <w:rPr>
        <w:rStyle w:val="PageNumber"/>
        <w:rFonts w:ascii="Humnst777 Lt BT" w:hAnsi="Humnst777 Lt BT"/>
        <w:b w:val="0"/>
        <w:sz w:val="22"/>
        <w:szCs w:val="22"/>
      </w:rPr>
      <w:instrText xml:space="preserve"> NUMPAGES </w:instrTex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separate"/>
    </w:r>
    <w:r>
      <w:rPr>
        <w:rStyle w:val="PageNumber"/>
        <w:rFonts w:ascii="Humnst777 Lt BT" w:hAnsi="Humnst777 Lt BT"/>
        <w:b w:val="0"/>
        <w:noProof/>
        <w:sz w:val="22"/>
        <w:szCs w:val="22"/>
      </w:rPr>
      <w:t>3</w:t>
    </w:r>
    <w:r w:rsidRPr="00D30CAA">
      <w:rPr>
        <w:rStyle w:val="PageNumber"/>
        <w:rFonts w:ascii="Humnst777 Lt BT" w:hAnsi="Humnst777 Lt BT"/>
        <w:b w:val="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P="008712B4">
    <w:pPr>
      <w:pStyle w:val="Footer"/>
      <w:tabs>
        <w:tab w:val="center" w:pos="5103"/>
      </w:tabs>
      <w:rPr>
        <w:sz w:val="22"/>
        <w:szCs w:val="22"/>
      </w:rPr>
    </w:pPr>
    <w:r>
      <w:rPr>
        <w:sz w:val="22"/>
        <w:szCs w:val="22"/>
      </w:rPr>
      <w:fldChar w:fldCharType="begin"/>
    </w:r>
    <w:r w:rsidRPr="003248A9">
      <w:rPr>
        <w:rFonts w:ascii="Calibri" w:hAnsi="Calibri"/>
        <w:b w:val="0"/>
        <w:color w:val="000000"/>
        <w:sz w:val="22"/>
        <w:szCs w:val="22"/>
      </w:rPr>
      <w:instrText xml:space="preserve"> DOCPROPERTY  bjDocumentSecurityLabel"  \* MERGEFORMAT </w:instrText>
    </w:r>
    <w:r>
      <w:rPr>
        <w:sz w:val="22"/>
        <w:szCs w:val="22"/>
      </w:rPr>
      <w:fldChar w:fldCharType="separate"/>
    </w:r>
    <w:r>
      <w:rPr>
        <w:rFonts w:ascii="Calibri" w:hAnsi="Calibri"/>
        <w:b w:val="0"/>
        <w:color w:val="000000"/>
        <w:sz w:val="22"/>
        <w:szCs w:val="22"/>
      </w:rPr>
      <w:t>UNCLASSIFIED</w:t>
    </w:r>
    <w:r>
      <w:rPr>
        <w:sz w:val="22"/>
        <w:szCs w:val="22"/>
      </w:rPr>
      <w:fldChar w:fldCharType="end"/>
    </w:r>
  </w:p>
  <w:p w:rsidR="008712B4" w:rsidP="008712B4">
    <w:pPr>
      <w:pStyle w:val="Footer"/>
      <w:tabs>
        <w:tab w:val="center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9449F">
      <w:r>
        <w:separator/>
      </w:r>
    </w:p>
  </w:footnote>
  <w:footnote w:type="continuationSeparator" w:id="1">
    <w:p w:rsidR="00F9449F">
      <w:r>
        <w:continuationSeparator/>
      </w:r>
    </w:p>
  </w:footnote>
  <w:footnote w:id="2">
    <w:p w:rsidR="00446B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"https://www.gov.uk/government/publications/civil-service-pay-remit-guidance-2022-to-2023/civil-service-pay-remit-guidance-2022-to-2023" </w:instrText>
      </w:r>
      <w:r>
        <w:fldChar w:fldCharType="separate"/>
      </w:r>
      <w:r w:rsidRPr="00446B66">
        <w:rPr>
          <w:rStyle w:val="Hyperlink"/>
        </w:rPr>
        <w:t>Civil Service Pay Remit 22/23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P="008712B4">
    <w:pPr>
      <w:pStyle w:val="Header"/>
    </w:pPr>
    <w:r>
      <w:fldChar w:fldCharType="begin"/>
    </w:r>
    <w:r w:rsidRPr="003248A9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b w:val="0"/>
        <w:color w:val="000000"/>
        <w:sz w:val="22"/>
      </w:rPr>
      <w:t>UNCLASSIFIED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RPr="00262F55" w:rsidP="008712B4">
    <w:pPr>
      <w:pStyle w:val="Header"/>
      <w:tabs>
        <w:tab w:val="center" w:pos="5103"/>
      </w:tabs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2B4" w:rsidP="008712B4">
    <w:pPr>
      <w:pStyle w:val="Header"/>
      <w:tabs>
        <w:tab w:val="center" w:pos="5103"/>
      </w:tabs>
      <w:rPr>
        <w:sz w:val="22"/>
        <w:szCs w:val="22"/>
      </w:rPr>
    </w:pPr>
    <w:r>
      <w:rPr>
        <w:sz w:val="22"/>
        <w:szCs w:val="22"/>
      </w:rPr>
      <w:fldChar w:fldCharType="begin"/>
    </w:r>
    <w:r w:rsidRPr="003248A9">
      <w:rPr>
        <w:rFonts w:ascii="Calibri" w:hAnsi="Calibri"/>
        <w:b w:val="0"/>
        <w:color w:val="000000"/>
        <w:sz w:val="22"/>
        <w:szCs w:val="22"/>
      </w:rPr>
      <w:instrText xml:space="preserve"> DOCPROPERTY  bjDocumentSecurityLabel"  \* MERGEFORMAT </w:instrText>
    </w:r>
    <w:r>
      <w:rPr>
        <w:sz w:val="22"/>
        <w:szCs w:val="22"/>
      </w:rPr>
      <w:fldChar w:fldCharType="separate"/>
    </w:r>
    <w:r>
      <w:rPr>
        <w:rFonts w:ascii="Calibri" w:hAnsi="Calibri"/>
        <w:b w:val="0"/>
        <w:color w:val="000000"/>
        <w:sz w:val="22"/>
        <w:szCs w:val="22"/>
      </w:rPr>
      <w:t>UNCLASSIFIED</w:t>
    </w:r>
    <w:r>
      <w:rPr>
        <w:sz w:val="22"/>
        <w:szCs w:val="22"/>
      </w:rPr>
      <w:fldChar w:fldCharType="end"/>
    </w:r>
  </w:p>
  <w:p w:rsidR="008712B4" w:rsidP="008712B4">
    <w:pPr>
      <w:pStyle w:val="Header"/>
      <w:tabs>
        <w:tab w:val="center" w:pos="5103"/>
      </w:tabs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C3D4C"/>
    <w:multiLevelType w:val="hybridMultilevel"/>
    <w:tmpl w:val="74321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4070A"/>
    <w:multiLevelType w:val="hybridMultilevel"/>
    <w:tmpl w:val="7C868D4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CCD1F1C"/>
    <w:multiLevelType w:val="hybridMultilevel"/>
    <w:tmpl w:val="3CAC1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F1C38"/>
    <w:multiLevelType w:val="hybridMultilevel"/>
    <w:tmpl w:val="A39E4B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A3533"/>
    <w:multiLevelType w:val="hybridMultilevel"/>
    <w:tmpl w:val="2B36069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8677F47"/>
    <w:multiLevelType w:val="hybridMultilevel"/>
    <w:tmpl w:val="20A25A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406CDA"/>
    <w:multiLevelType w:val="hybridMultilevel"/>
    <w:tmpl w:val="7FC2D78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C1C97"/>
    <w:multiLevelType w:val="hybridMultilevel"/>
    <w:tmpl w:val="F754D5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13E42"/>
    <w:multiLevelType w:val="hybridMultilevel"/>
    <w:tmpl w:val="409053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222F5"/>
    <w:multiLevelType w:val="hybridMultilevel"/>
    <w:tmpl w:val="0BEC9CE2"/>
    <w:lvl w:ilvl="0">
      <w:start w:val="1"/>
      <w:numFmt w:val="decimal"/>
      <w:pStyle w:val="Letternumbere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575E1"/>
    <w:multiLevelType w:val="hybridMultilevel"/>
    <w:tmpl w:val="8C5E97AA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9"/>
  </w:num>
  <w:num w:numId="10">
    <w:abstractNumId w:val="7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  <w:num w:numId="15">
    <w:abstractNumId w:val="9"/>
  </w:num>
  <w:num w:numId="16">
    <w:abstractNumId w:val="9"/>
  </w:num>
  <w:num w:numId="17">
    <w:abstractNumId w:val="1"/>
  </w:num>
  <w:num w:numId="18">
    <w:abstractNumId w:val="10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oNotTrackMoves/>
  <w:defaultTabStop w:val="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BDC"/>
    <w:rPr>
      <w:rFonts w:ascii="Humnst777 Lt BT" w:hAnsi="Humnst777 Lt BT"/>
      <w:sz w:val="22"/>
      <w:szCs w:val="24"/>
    </w:rPr>
  </w:style>
  <w:style w:type="paragraph" w:styleId="Heading1">
    <w:name w:val="heading 1"/>
    <w:basedOn w:val="Normal"/>
    <w:next w:val="Normal"/>
    <w:qFormat/>
    <w:rsid w:val="003B018B"/>
    <w:pPr>
      <w:keepNext/>
      <w:spacing w:after="1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BodyText1"/>
    <w:next w:val="Normal"/>
    <w:qFormat/>
    <w:rsid w:val="00F07F98"/>
    <w:pPr>
      <w:keepNext/>
      <w:keepLines/>
      <w:spacing w:before="240" w:after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C7AF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7AF7"/>
    <w:pPr>
      <w:widowControl w:val="0"/>
      <w:jc w:val="center"/>
    </w:pPr>
    <w:rPr>
      <w:b/>
      <w:sz w:val="20"/>
    </w:rPr>
  </w:style>
  <w:style w:type="paragraph" w:styleId="Footer">
    <w:name w:val="footer"/>
    <w:basedOn w:val="Normal"/>
    <w:rsid w:val="00BC7AF7"/>
    <w:pPr>
      <w:widowControl w:val="0"/>
      <w:jc w:val="center"/>
    </w:pPr>
    <w:rPr>
      <w:b/>
      <w:sz w:val="20"/>
    </w:rPr>
  </w:style>
  <w:style w:type="character" w:styleId="PageNumber">
    <w:name w:val="page number"/>
    <w:basedOn w:val="DefaultParagraphFont"/>
    <w:rsid w:val="00BC7AF7"/>
    <w:rPr>
      <w:rFonts w:ascii="Arial" w:hAnsi="Arial"/>
      <w:sz w:val="20"/>
    </w:rPr>
  </w:style>
  <w:style w:type="table" w:styleId="TableGrid">
    <w:name w:val="Table Grid"/>
    <w:basedOn w:val="TableNormal"/>
    <w:rsid w:val="00BC7AF7"/>
    <w:rPr>
      <w:rFonts w:ascii="Arial" w:hAnsi="Arial"/>
      <w:sz w:val="22"/>
    </w:rPr>
    <w:tblPr>
      <w:tblCellMar>
        <w:left w:w="57" w:type="dxa"/>
        <w:right w:w="57" w:type="dxa"/>
      </w:tblCellMar>
    </w:tblPr>
    <w:trPr>
      <w:cantSplit/>
    </w:trPr>
  </w:style>
  <w:style w:type="paragraph" w:customStyle="1" w:styleId="address">
    <w:name w:val="address"/>
    <w:basedOn w:val="Normal"/>
    <w:rsid w:val="00BC7AF7"/>
    <w:rPr>
      <w:sz w:val="16"/>
    </w:rPr>
  </w:style>
  <w:style w:type="character" w:styleId="Hyperlink">
    <w:name w:val="Hyperlink"/>
    <w:basedOn w:val="DefaultParagraphFont"/>
    <w:rsid w:val="00CC46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18B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3B018B"/>
    <w:pPr>
      <w:spacing w:after="240"/>
    </w:pPr>
  </w:style>
  <w:style w:type="paragraph" w:styleId="Caption">
    <w:name w:val="caption"/>
    <w:basedOn w:val="Normal"/>
    <w:next w:val="Normal"/>
    <w:unhideWhenUsed/>
    <w:qFormat/>
    <w:rsid w:val="003555FA"/>
    <w:pPr>
      <w:keepNext/>
      <w:keepLines/>
      <w:spacing w:before="480" w:after="120"/>
    </w:pPr>
    <w:rPr>
      <w:b/>
      <w:iCs/>
      <w:sz w:val="18"/>
      <w:szCs w:val="18"/>
    </w:rPr>
  </w:style>
  <w:style w:type="paragraph" w:customStyle="1" w:styleId="Source">
    <w:name w:val="Source"/>
    <w:basedOn w:val="Normal"/>
    <w:qFormat/>
    <w:rsid w:val="003555FA"/>
    <w:pPr>
      <w:keepLines/>
      <w:spacing w:before="120"/>
    </w:pPr>
    <w:rPr>
      <w:i/>
      <w:sz w:val="18"/>
    </w:rPr>
  </w:style>
  <w:style w:type="paragraph" w:customStyle="1" w:styleId="Letternumbered">
    <w:name w:val="Letter numbered"/>
    <w:basedOn w:val="BodyText1"/>
    <w:qFormat/>
    <w:rsid w:val="00717EEC"/>
    <w:pPr>
      <w:numPr>
        <w:numId w:val="1"/>
      </w:numPr>
      <w:tabs>
        <w:tab w:val="left" w:pos="426"/>
      </w:tabs>
      <w:spacing w:before="240" w:after="0"/>
    </w:pPr>
  </w:style>
  <w:style w:type="paragraph" w:customStyle="1" w:styleId="Quotation">
    <w:name w:val="Quotation"/>
    <w:basedOn w:val="Letternumbered"/>
    <w:qFormat/>
    <w:rsid w:val="00AC5B6D"/>
    <w:pPr>
      <w:numPr>
        <w:numId w:val="0"/>
      </w:numPr>
      <w:ind w:left="426" w:right="1132"/>
    </w:pPr>
    <w:rPr>
      <w:sz w:val="20"/>
    </w:rPr>
  </w:style>
  <w:style w:type="paragraph" w:styleId="ListParagraph">
    <w:name w:val="List Paragraph"/>
    <w:basedOn w:val="Normal"/>
    <w:uiPriority w:val="34"/>
    <w:qFormat/>
    <w:rsid w:val="0085425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C7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D08"/>
    <w:rPr>
      <w:rFonts w:ascii="Humnst777 Lt BT" w:hAnsi="Humnst777 Lt B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D08"/>
    <w:rPr>
      <w:rFonts w:ascii="Humnst777 Lt BT" w:hAnsi="Humnst777 Lt BT"/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78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103E"/>
    <w:rPr>
      <w:rFonts w:ascii="Humnst777 Lt BT" w:hAnsi="Humnst777 Lt BT"/>
    </w:rPr>
  </w:style>
  <w:style w:type="character" w:styleId="FootnoteReference">
    <w:name w:val="footnote reference"/>
    <w:basedOn w:val="DefaultParagraphFont"/>
    <w:semiHidden/>
    <w:unhideWhenUsed/>
    <w:rsid w:val="0078103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37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446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image" Target="media/image1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abel version="1.0">
  <element uid="id_newpolicy" value=""/>
  <element uid="id_unclassified" value=""/>
</labe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Meeting_x0020_Date xmlns="2ec40755-c3d9-4a45-b82a-5bd7afe6400c" xsi:nil="true"/>
    <TaxCatchAll xmlns="4600776d-0a3c-44b4-bff2-0ceaafb13046">
      <Value>3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jc6cfa30142d49c0ba17f4d1d1652000 xmlns="2ec40755-c3d9-4a45-b82a-5bd7afe6400c">
      <Terms xmlns="http://schemas.microsoft.com/office/infopath/2007/PartnerControls"/>
    </jc6cfa30142d49c0ba17f4d1d1652000>
    <j6c5b17cd04246da82e5604daf08bc68 xmlns="4600776d-0a3c-44b4-bff2-0ceaafb13046">
      <Terms xmlns="http://schemas.microsoft.com/office/infopath/2007/PartnerControls"/>
    </j6c5b17cd04246da82e5604daf08bc68>
    <_dlc_DocIdPersistId xmlns="31f6ee45-1613-46c6-adf8-c54c193c7083" xsi:nil="true"/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2017-19</TermName>
          <TermId xmlns="http://schemas.microsoft.com/office/infopath/2007/PartnerControls">790133b5-8265-463c-8ed3-ef2f6e04a689</TermId>
        </TermInfo>
      </Terms>
    </e6f926d7f5b14a74bee86c3452d91372>
    <j7ecd96f478f4adfbddcd70a90214e9f xmlns="2ec40755-c3d9-4a45-b82a-5bd7afe6400c">
      <Terms xmlns="http://schemas.microsoft.com/office/infopath/2007/PartnerControls"/>
    </j7ecd96f478f4adfbddcd70a90214e9f>
    <Document_x0020_Status xmlns="2ec40755-c3d9-4a45-b82a-5bd7afe6400c" xsi:nil="true"/>
    <TransfertoArchives xmlns="4600776d-0a3c-44b4-bff2-0ceaafb13046">true</TransfertoArchives>
    <oa8b5b9ad7d042cb96628e82e262af77 xmlns="2ec40755-c3d9-4a45-b82a-5bd7afe6400c">
      <Terms xmlns="http://schemas.microsoft.com/office/infopath/2007/PartnerControls"/>
    </oa8b5b9ad7d042cb96628e82e262af77>
    <Additional_x0020_Category xmlns="2ec40755-c3d9-4a45-b82a-5bd7afe6400c" xsi:nil="true"/>
    <Correspondence_x0020_Status xmlns="2ec40755-c3d9-4a45-b82a-5bd7afe6400c" xsi:nil="true"/>
    <cd0fc526a5c840319a97fd94028e9904 xmlns="4600776d-0a3c-44b4-bff2-0ceaafb13046">
      <Terms xmlns="http://schemas.microsoft.com/office/infopath/2007/PartnerControls"/>
    </cd0fc526a5c840319a97fd94028e9904>
    <Circulation_x0020_Date xmlns="2ec40755-c3d9-4a45-b82a-5bd7afe6400c" xsi:nil="true"/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  <Date xmlns="2ec40755-c3d9-4a45-b82a-5bd7afe6400c" xsi:nil="true"/>
    <_dlc_DocId xmlns="31f6ee45-1613-46c6-adf8-c54c193c7083">S33RPFEXFCUF-386668629-364</_dlc_DocId>
    <_dlc_DocIdUrl xmlns="31f6ee45-1613-46c6-adf8-c54c193c7083">
      <Url>https://hopuk.sharepoint.com/sites/hcc-PublicAccounts/_layouts/15/DocIdRedir.aspx?ID=S33RPFEXFCUF-386668629-364</Url>
      <Description>S33RPFEXFCUF-386668629-364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0FE434D14D4C933944A711DC8730" ma:contentTypeVersion="136" ma:contentTypeDescription="Create a new document." ma:contentTypeScope="" ma:versionID="90427829342f2e08af57417e68756859">
  <xsd:schema xmlns:xsd="http://www.w3.org/2001/XMLSchema" xmlns:xs="http://www.w3.org/2001/XMLSchema" xmlns:p="http://schemas.microsoft.com/office/2006/metadata/properties" xmlns:ns2="31f6ee45-1613-46c6-adf8-c54c193c7083" xmlns:ns3="4600776d-0a3c-44b4-bff2-0ceaafb13046" xmlns:ns4="2ec40755-c3d9-4a45-b82a-5bd7afe6400c" xmlns:ns5="69cb01bb-d57d-4ec5-8b27-6a5df6b76636" targetNamespace="http://schemas.microsoft.com/office/2006/metadata/properties" ma:root="true" ma:fieldsID="60b5b38c903c59c128e249b41f0b0cb0" ns2:_="" ns3:_="" ns4:_="" ns5:_="">
    <xsd:import namespace="31f6ee45-1613-46c6-adf8-c54c193c7083"/>
    <xsd:import namespace="4600776d-0a3c-44b4-bff2-0ceaafb13046"/>
    <xsd:import namespace="2ec40755-c3d9-4a45-b82a-5bd7afe6400c"/>
    <xsd:import namespace="69cb01bb-d57d-4ec5-8b27-6a5df6b76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c4838c65c76546ae93d5703426802f7f" minOccurs="0"/>
                <xsd:element ref="ns3:j6c5b17cd04246da82e5604daf08bc68" minOccurs="0"/>
                <xsd:element ref="ns3:g3ef09377e3444258679b6035a1ff93a" minOccurs="0"/>
                <xsd:element ref="ns3:cd0fc526a5c840319a97fd94028e9904" minOccurs="0"/>
                <xsd:element ref="ns3:k5b153ee974a4a57a7568e533217f2cb" minOccurs="0"/>
                <xsd:element ref="ns3:RecordNumber" minOccurs="0"/>
                <xsd:element ref="ns3:RetentionTriggerDate" minOccurs="0"/>
                <xsd:element ref="ns3:TransfertoArchives" minOccurs="0"/>
                <xsd:element ref="ns4:Meeting_x0020_Date" minOccurs="0"/>
                <xsd:element ref="ns3:e6f926d7f5b14a74bee86c3452d91372" minOccurs="0"/>
                <xsd:element ref="ns4:oa8b5b9ad7d042cb96628e82e262af77" minOccurs="0"/>
                <xsd:element ref="ns4:Additional_x0020_Category" minOccurs="0"/>
                <xsd:element ref="ns4:j7ecd96f478f4adfbddcd70a90214e9f" minOccurs="0"/>
                <xsd:element ref="ns4:Circulation_x0020_Date" minOccurs="0"/>
                <xsd:element ref="ns4:Date" minOccurs="0"/>
                <xsd:element ref="ns4:Document_x0020_Status" minOccurs="0"/>
                <xsd:element ref="ns4:Correspondence_x0020_Status" minOccurs="0"/>
                <xsd:element ref="ns4:jc6cfa30142d49c0ba17f4d1d1652000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ee45-1613-46c6-adf8-c54c193c70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88258cb-d6f4-4ec7-b07c-398f41d88bcb}" ma:internalName="TaxCatchAll" ma:showField="CatchAllData" ma:web="31f6ee45-1613-46c6-adf8-c54c193c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38c65c76546ae93d5703426802f7f" ma:index="12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14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6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0" nillable="true" ma:taxonomy="true" ma:internalName="k5b153ee974a4a57a7568e533217f2cb" ma:taxonomyFieldName="ProtectiveMarking" ma:displayName="Protective Marking" ma:indexed="true" ma:default="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22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23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24" nillable="true" ma:displayName="Transfer to Archives" ma:default="1" ma:indexed="true" ma:internalName="TransfertoArchives" ma:readOnly="false">
      <xsd:simpleType>
        <xsd:restriction base="dms:Boolean"/>
      </xsd:simpleType>
    </xsd:element>
    <xsd:element name="e6f926d7f5b14a74bee86c3452d91372" ma:index="26" nillable="true" ma:taxonomy="true" ma:internalName="e6f926d7f5b14a74bee86c3452d91372" ma:taxonomyFieldName="Sessions" ma:displayName="Session" ma:indexed="true" ma:readOnly="false" ma:default="-1;#2017-19|790133b5-8265-463c-8ed3-ef2f6e04a689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0755-c3d9-4a45-b82a-5bd7afe6400c" elementFormDefault="qualified">
    <xsd:import namespace="http://schemas.microsoft.com/office/2006/documentManagement/types"/>
    <xsd:import namespace="http://schemas.microsoft.com/office/infopath/2007/PartnerControls"/>
    <xsd:element name="Meeting_x0020_Date" ma:index="25" nillable="true" ma:displayName="Meeting Date" ma:format="DateOnly" ma:indexed="true" ma:internalName="Meeting_x0020_Date" ma:readOnly="false">
      <xsd:simpleType>
        <xsd:restriction base="dms:DateTime"/>
      </xsd:simpleType>
    </xsd:element>
    <xsd:element name="oa8b5b9ad7d042cb96628e82e262af77" ma:index="28" nillable="true" ma:taxonomy="true" ma:internalName="oa8b5b9ad7d042cb96628e82e262af77" ma:taxonomyFieldName="Category" ma:displayName="Category" ma:indexed="true" ma:readOnly="false" ma:fieldId="{8a8b5b9a-d7d0-42cb-9662-8e82e262af77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ditional_x0020_Category" ma:index="30" nillable="true" ma:displayName="Additional Category" ma:indexed="true" ma:internalName="Additional_x0020_Category" ma:readOnly="false">
      <xsd:simpleType>
        <xsd:restriction base="dms:Text">
          <xsd:maxLength value="255"/>
        </xsd:restriction>
      </xsd:simpleType>
    </xsd:element>
    <xsd:element name="j7ecd96f478f4adfbddcd70a90214e9f" ma:index="31" nillable="true" ma:taxonomy="true" ma:internalName="j7ecd96f478f4adfbddcd70a90214e9f" ma:taxonomyFieldName="Circulation" ma:displayName="Circulation" ma:readOnly="false" ma:fieldId="{37ecd96f-478f-4adf-bddc-d70a90214e9f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Circulation_x0020_Date" ma:index="33" nillable="true" ma:displayName="Circulation Date" ma:format="DateOnly" ma:indexed="true" ma:internalName="Circulation_x0020_Date" ma:readOnly="false">
      <xsd:simpleType>
        <xsd:restriction base="dms:DateTime"/>
      </xsd:simpleType>
    </xsd:element>
    <xsd:element name="Date" ma:index="34" nillable="true" ma:displayName="Date" ma:format="DateOnly" ma:indexed="true" ma:internalName="Date" ma:readOnly="false">
      <xsd:simpleType>
        <xsd:restriction base="dms:DateTime"/>
      </xsd:simpleType>
    </xsd:element>
    <xsd:element name="Document_x0020_Status" ma:index="35" nillable="true" ma:displayName="Document Status" ma:format="Dropdown" ma:indexed="true" ma:internalName="Document_x0020_Status" ma:readOnly="false">
      <xsd:simpleType>
        <xsd:restriction base="dms:Choice">
          <xsd:enumeration value="DRAFT"/>
          <xsd:enumeration value="PUBLISHED"/>
        </xsd:restriction>
      </xsd:simpleType>
    </xsd:element>
    <xsd:element name="Correspondence_x0020_Status" ma:index="36" nillable="true" ma:displayName="Correspondence Status" ma:format="Dropdown" ma:indexed="true" ma:internalName="Correspondence_x0020_Status" ma:readOnly="false">
      <xsd:simpleType>
        <xsd:restriction base="dms:Choice">
          <xsd:enumeration value="Received - no action needed"/>
          <xsd:enumeration value="Received - allocated for action"/>
          <xsd:enumeration value="Drafting response"/>
          <xsd:enumeration value="Draft response with Chair"/>
          <xsd:enumeration value="Holding response sent"/>
          <xsd:enumeration value="Answered by Committee Staff"/>
          <xsd:enumeration value="Chair's response sent"/>
        </xsd:restriction>
      </xsd:simpleType>
    </xsd:element>
    <xsd:element name="jc6cfa30142d49c0ba17f4d1d1652000" ma:index="38" nillable="true" ma:taxonomy="true" ma:internalName="jc6cfa30142d49c0ba17f4d1d1652000" ma:taxonomyFieldName="Inquiry" ma:displayName="Inquiry" ma:default="" ma:fieldId="{3c6cfa30-142d-49c0-ba17-f4d1d1652000}" ma:sspId="eb37f91c-4bb8-4ab3-bc5a-cd8753815459" ma:termSetId="e92b6cb5-89aa-4b85-8d83-b805cf840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01bb-d57d-4ec5-8b27-6a5df6b76636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7E31-57B2-4322-8AE9-A77BF91F8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E33A8-D822-450A-8D1A-A7644356D4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1B8C6-ACDE-43B8-9024-B705E88B8D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4E9ACA-F6A2-48E6-84A9-A2960E7FF31E}">
  <ds:schemaRefs/>
</ds:datastoreItem>
</file>

<file path=customXml/itemProps5.xml><?xml version="1.0" encoding="utf-8"?>
<ds:datastoreItem xmlns:ds="http://schemas.openxmlformats.org/officeDocument/2006/customXml" ds:itemID="{9F781BE2-38CD-4757-8216-2A7716485AF6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2ec40755-c3d9-4a45-b82a-5bd7afe6400c"/>
    <ds:schemaRef ds:uri="31f6ee45-1613-46c6-adf8-c54c193c7083"/>
  </ds:schemaRefs>
</ds:datastoreItem>
</file>

<file path=customXml/itemProps6.xml><?xml version="1.0" encoding="utf-8"?>
<ds:datastoreItem xmlns:ds="http://schemas.openxmlformats.org/officeDocument/2006/customXml" ds:itemID="{DA69526F-B3C4-4491-AA31-3ED550772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6ee45-1613-46c6-adf8-c54c193c7083"/>
    <ds:schemaRef ds:uri="4600776d-0a3c-44b4-bff2-0ceaafb13046"/>
    <ds:schemaRef ds:uri="2ec40755-c3d9-4a45-b82a-5bd7afe6400c"/>
    <ds:schemaRef ds:uri="69cb01bb-d57d-4ec5-8b27-6a5df6b76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