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charts/chart1.xml" ContentType="application/vnd.openxmlformats-officedocument.drawingml.chart+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0E40D0" w:rsidP="000E40D0">
      <w:pPr>
        <w:rPr>
          <w:rFonts w:cs="Arial"/>
          <w:b/>
          <w:bCs/>
          <w:color w:val="17365D" w:themeColor="text2" w:themeShade="BF"/>
          <w:sz w:val="22"/>
          <w:szCs w:val="22"/>
        </w:rPr>
      </w:pPr>
    </w:p>
    <w:p w:rsidR="004F64C1" w:rsidP="004F64C1">
      <w:pPr>
        <w:jc w:val="center"/>
        <w:rPr>
          <w:rFonts w:cs="Arial"/>
          <w:b/>
          <w:bCs/>
          <w:color w:val="17365D" w:themeColor="text2" w:themeShade="BF"/>
          <w:sz w:val="22"/>
          <w:szCs w:val="22"/>
        </w:rPr>
      </w:pPr>
    </w:p>
    <w:p w:rsidR="004F64C1" w:rsidP="004F64C1">
      <w:pPr>
        <w:spacing w:before="240"/>
        <w:rPr>
          <w:rFonts w:cs="Arial"/>
          <w:b/>
          <w:bCs/>
          <w:color w:val="17365D" w:themeColor="text2" w:themeShade="BF"/>
          <w:sz w:val="22"/>
          <w:szCs w:val="22"/>
        </w:rPr>
      </w:pPr>
      <w:r>
        <w:rPr>
          <w:rFonts w:cs="Arial"/>
          <w:b/>
          <w:bCs/>
          <w:noProof/>
          <w:color w:val="1F497D" w:themeColor="text2"/>
        </w:rPr>
        <w:drawing>
          <wp:inline distT="0" distB="0" distL="0" distR="0">
            <wp:extent cx="1347470" cy="1054735"/>
            <wp:effectExtent l="0" t="0" r="508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xmlns:r="http://schemas.openxmlformats.org/officeDocument/2006/relationships" r:embed="rId9">
                      <a:extLst>
                        <a:ext uri="{28A0092B-C50C-407E-A947-70E740481C1C}">
                          <a14:useLocalDpi xmlns:a14="http://schemas.microsoft.com/office/drawing/2010/main" val="0"/>
                        </a:ext>
                      </a:extLst>
                    </a:blip>
                    <a:srcRect/>
                    <a:stretch>
                      <a:fillRect/>
                    </a:stretch>
                  </pic:blipFill>
                  <pic:spPr bwMode="auto">
                    <a:xfrm>
                      <a:off x="0" y="0"/>
                      <a:ext cx="1347470" cy="1054735"/>
                    </a:xfrm>
                    <a:prstGeom prst="rect">
                      <a:avLst/>
                    </a:prstGeom>
                    <a:noFill/>
                  </pic:spPr>
                </pic:pic>
              </a:graphicData>
            </a:graphic>
          </wp:inline>
        </w:drawing>
      </w:r>
    </w:p>
    <w:p w:rsidR="004F64C1" w:rsidP="004F64C1">
      <w:pPr>
        <w:spacing w:before="240"/>
        <w:jc w:val="center"/>
        <w:rPr>
          <w:rFonts w:cs="Arial"/>
          <w:b/>
          <w:bCs/>
          <w:color w:val="17365D" w:themeColor="text2" w:themeShade="BF"/>
          <w:sz w:val="22"/>
          <w:szCs w:val="22"/>
        </w:rPr>
      </w:pPr>
    </w:p>
    <w:p w:rsidR="004F64C1" w:rsidP="004F64C1">
      <w:pPr>
        <w:spacing w:before="240"/>
        <w:jc w:val="center"/>
        <w:rPr>
          <w:rFonts w:cs="Arial"/>
          <w:b/>
          <w:bCs/>
          <w:color w:val="17365D" w:themeColor="text2" w:themeShade="BF"/>
          <w:sz w:val="22"/>
          <w:szCs w:val="22"/>
        </w:rPr>
      </w:pPr>
    </w:p>
    <w:p w:rsidR="004F64C1" w:rsidP="004F64C1">
      <w:pPr>
        <w:spacing w:before="240"/>
        <w:jc w:val="center"/>
        <w:rPr>
          <w:rFonts w:cs="Arial"/>
          <w:b/>
          <w:bCs/>
          <w:color w:val="17365D" w:themeColor="text2" w:themeShade="BF"/>
          <w:sz w:val="22"/>
          <w:szCs w:val="22"/>
        </w:rPr>
      </w:pPr>
    </w:p>
    <w:p w:rsidR="004F64C1" w:rsidP="004F64C1">
      <w:pPr>
        <w:spacing w:before="240"/>
        <w:jc w:val="center"/>
        <w:rPr>
          <w:rFonts w:cs="Arial"/>
          <w:b/>
          <w:bCs/>
          <w:color w:val="17365D" w:themeColor="text2" w:themeShade="BF"/>
          <w:sz w:val="22"/>
          <w:szCs w:val="22"/>
        </w:rPr>
      </w:pPr>
    </w:p>
    <w:p w:rsidR="004F64C1" w:rsidRPr="00565172" w:rsidP="004F64C1">
      <w:pPr>
        <w:spacing w:after="60" w:line="259" w:lineRule="auto"/>
        <w:jc w:val="center"/>
        <w:rPr>
          <w:rFonts w:cs="Arial"/>
          <w:b/>
          <w:bCs/>
          <w:sz w:val="28"/>
          <w:szCs w:val="28"/>
        </w:rPr>
      </w:pPr>
      <w:r w:rsidRPr="00565172">
        <w:rPr>
          <w:rFonts w:cs="Arial"/>
          <w:b/>
          <w:bCs/>
          <w:sz w:val="28"/>
          <w:szCs w:val="28"/>
        </w:rPr>
        <w:t>ESTIMATES MEMORANDUM</w:t>
      </w:r>
    </w:p>
    <w:p w:rsidR="004F64C1" w:rsidRPr="00565172" w:rsidP="004F64C1">
      <w:pPr>
        <w:spacing w:after="60" w:line="259" w:lineRule="auto"/>
        <w:jc w:val="center"/>
        <w:rPr>
          <w:rFonts w:cs="Arial"/>
          <w:b/>
          <w:bCs/>
          <w:sz w:val="28"/>
          <w:szCs w:val="28"/>
        </w:rPr>
      </w:pPr>
      <w:r w:rsidRPr="00565172">
        <w:rPr>
          <w:rFonts w:cs="Arial"/>
          <w:b/>
          <w:bCs/>
          <w:sz w:val="28"/>
          <w:szCs w:val="28"/>
        </w:rPr>
        <w:t>DEPARTMENT OF HEALTH AND SOCIAL CARE</w:t>
      </w:r>
    </w:p>
    <w:p w:rsidR="004F64C1" w:rsidRPr="00565172" w:rsidP="004F64C1">
      <w:pPr>
        <w:spacing w:after="160" w:line="259" w:lineRule="auto"/>
        <w:contextualSpacing/>
        <w:jc w:val="center"/>
        <w:rPr>
          <w:rFonts w:cs="Arial"/>
          <w:b/>
          <w:bCs/>
          <w:sz w:val="28"/>
          <w:szCs w:val="28"/>
        </w:rPr>
      </w:pPr>
      <w:r w:rsidRPr="00565172">
        <w:rPr>
          <w:rFonts w:cs="Arial"/>
          <w:b/>
          <w:bCs/>
          <w:sz w:val="28"/>
          <w:szCs w:val="28"/>
        </w:rPr>
        <w:t>202</w:t>
      </w:r>
      <w:r w:rsidR="00E95970">
        <w:rPr>
          <w:rFonts w:cs="Arial"/>
          <w:b/>
          <w:bCs/>
          <w:sz w:val="28"/>
          <w:szCs w:val="28"/>
        </w:rPr>
        <w:t>2</w:t>
      </w:r>
      <w:r w:rsidRPr="00565172">
        <w:rPr>
          <w:rFonts w:cs="Arial"/>
          <w:b/>
          <w:bCs/>
          <w:sz w:val="28"/>
          <w:szCs w:val="28"/>
        </w:rPr>
        <w:t>-2</w:t>
      </w:r>
      <w:r w:rsidR="00E95970">
        <w:rPr>
          <w:rFonts w:cs="Arial"/>
          <w:b/>
          <w:bCs/>
          <w:sz w:val="28"/>
          <w:szCs w:val="28"/>
        </w:rPr>
        <w:t>3</w:t>
      </w:r>
      <w:r w:rsidRPr="00565172">
        <w:rPr>
          <w:rFonts w:cs="Arial"/>
          <w:b/>
          <w:bCs/>
          <w:sz w:val="28"/>
          <w:szCs w:val="28"/>
        </w:rPr>
        <w:t xml:space="preserve"> </w:t>
      </w:r>
      <w:r>
        <w:rPr>
          <w:rFonts w:cs="Arial"/>
          <w:b/>
          <w:bCs/>
          <w:sz w:val="28"/>
          <w:szCs w:val="28"/>
        </w:rPr>
        <w:t xml:space="preserve">MAIN </w:t>
      </w:r>
      <w:r w:rsidRPr="00565172">
        <w:rPr>
          <w:rFonts w:cs="Arial"/>
          <w:b/>
          <w:bCs/>
          <w:sz w:val="28"/>
          <w:szCs w:val="28"/>
        </w:rPr>
        <w:t>ESTIMATE</w:t>
      </w:r>
    </w:p>
    <w:p w:rsidR="004F64C1" w:rsidRPr="00565172" w:rsidP="004F64C1">
      <w:pPr>
        <w:contextualSpacing/>
        <w:jc w:val="center"/>
        <w:rPr>
          <w:rFonts w:cs="Arial"/>
          <w:b/>
          <w:bCs/>
          <w:sz w:val="28"/>
          <w:szCs w:val="28"/>
        </w:rPr>
      </w:pPr>
    </w:p>
    <w:p w:rsidR="004F64C1" w:rsidP="004F64C1">
      <w:pPr>
        <w:keepNext/>
        <w:keepLines/>
        <w:rPr>
          <w:rFonts w:cs="Arial"/>
          <w:b/>
          <w:bCs/>
          <w:color w:val="17365D" w:themeColor="text2" w:themeShade="BF"/>
          <w:sz w:val="22"/>
          <w:szCs w:val="22"/>
        </w:rPr>
      </w:pPr>
      <w:r>
        <w:rPr>
          <w:rFonts w:cs="Arial"/>
          <w:b/>
          <w:bCs/>
          <w:color w:val="17365D" w:themeColor="text2" w:themeShade="BF"/>
          <w:sz w:val="22"/>
          <w:szCs w:val="22"/>
        </w:rPr>
        <w:br w:type="page"/>
      </w:r>
    </w:p>
    <w:sdt>
      <w:sdtPr>
        <w:rPr>
          <w:rFonts w:eastAsiaTheme="minorEastAsia" w:cs="Arial"/>
          <w:sz w:val="22"/>
          <w:szCs w:val="22"/>
          <w:lang w:val="en-US" w:eastAsia="en-US"/>
        </w:rPr>
        <w:id w:val="-133187863"/>
        <w:docPartObj>
          <w:docPartGallery w:val="Table of Contents"/>
          <w:docPartUnique/>
        </w:docPartObj>
      </w:sdtPr>
      <w:sdtContent>
        <w:p w:rsidR="004F64C1" w:rsidRPr="00F5258B" w:rsidP="004F64C1">
          <w:pPr>
            <w:rPr>
              <w:rFonts w:eastAsiaTheme="majorEastAsia" w:cs="Arial"/>
              <w:bCs/>
              <w:color w:val="FF0000"/>
              <w:sz w:val="16"/>
              <w:szCs w:val="16"/>
              <w:lang w:val="en-US" w:eastAsia="en-US"/>
            </w:rPr>
          </w:pPr>
          <w:r w:rsidRPr="00565172">
            <w:rPr>
              <w:rFonts w:eastAsiaTheme="majorEastAsia" w:cs="Arial"/>
              <w:b/>
              <w:lang w:val="en-US" w:eastAsia="en-US"/>
            </w:rPr>
            <w:t>TABLE OF CONTENTS</w:t>
          </w:r>
          <w:r w:rsidR="00CF16B4">
            <w:rPr>
              <w:rFonts w:eastAsiaTheme="majorEastAsia" w:cs="Arial"/>
              <w:b/>
              <w:lang w:val="en-US" w:eastAsia="en-US"/>
            </w:rPr>
            <w:t xml:space="preserve"> </w:t>
          </w:r>
        </w:p>
        <w:p w:rsidR="004F64C1" w:rsidRPr="00565172" w:rsidP="004F64C1">
          <w:pPr>
            <w:keepNext/>
            <w:keepLines/>
            <w:rPr>
              <w:rFonts w:eastAsiaTheme="majorEastAsia" w:cs="Arial"/>
              <w:b/>
              <w:lang w:val="en-US" w:eastAsia="en-US"/>
            </w:rPr>
          </w:pPr>
        </w:p>
        <w:p w:rsidR="004F64C1" w:rsidRPr="00565172" w:rsidP="001F4DFB">
          <w:pPr>
            <w:numPr>
              <w:ilvl w:val="0"/>
              <w:numId w:val="9"/>
            </w:numPr>
            <w:spacing w:after="100"/>
            <w:rPr>
              <w:rFonts w:eastAsiaTheme="minorEastAsia" w:cs="Arial"/>
              <w:sz w:val="22"/>
              <w:szCs w:val="22"/>
              <w:lang w:val="en-US" w:eastAsia="en-US"/>
            </w:rPr>
          </w:pPr>
          <w:r w:rsidRPr="00565172">
            <w:rPr>
              <w:rFonts w:eastAsiaTheme="minorEastAsia" w:cs="Arial"/>
              <w:b/>
              <w:bCs/>
              <w:sz w:val="22"/>
              <w:szCs w:val="22"/>
              <w:lang w:val="en-US" w:eastAsia="en-US"/>
            </w:rPr>
            <w:t>Overview</w:t>
          </w:r>
          <w:r>
            <w:ptab w:relativeTo="margin" w:alignment="right" w:leader="dot"/>
          </w:r>
          <w:r>
            <w:rPr>
              <w:rFonts w:eastAsiaTheme="minorEastAsia" w:cs="Arial"/>
              <w:bCs/>
              <w:sz w:val="22"/>
              <w:szCs w:val="22"/>
              <w:lang w:val="en-US" w:eastAsia="en-US"/>
            </w:rPr>
            <w:t>3</w:t>
          </w:r>
        </w:p>
        <w:p w:rsidR="004F64C1" w:rsidRPr="00565172" w:rsidP="004F64C1">
          <w:pPr>
            <w:spacing w:after="100"/>
            <w:ind w:left="720"/>
            <w:rPr>
              <w:rFonts w:eastAsiaTheme="minorEastAsia" w:cs="Arial"/>
              <w:sz w:val="22"/>
              <w:szCs w:val="22"/>
              <w:lang w:val="en-US" w:eastAsia="en-US"/>
            </w:rPr>
          </w:pPr>
          <w:r w:rsidRPr="00565172">
            <w:rPr>
              <w:rFonts w:eastAsiaTheme="minorEastAsia" w:cs="Arial"/>
              <w:sz w:val="22"/>
              <w:szCs w:val="22"/>
              <w:lang w:val="en-US" w:eastAsia="en-US"/>
            </w:rPr>
            <w:t>1.1 Objectives</w:t>
          </w:r>
          <w:r>
            <w:ptab w:relativeTo="margin" w:alignment="right" w:leader="dot"/>
          </w:r>
          <w:r>
            <w:rPr>
              <w:rFonts w:eastAsiaTheme="minorEastAsia" w:cs="Arial"/>
              <w:sz w:val="22"/>
              <w:szCs w:val="22"/>
              <w:lang w:val="en-US" w:eastAsia="en-US"/>
            </w:rPr>
            <w:t>3</w:t>
          </w:r>
        </w:p>
        <w:p w:rsidR="004F64C1" w:rsidRPr="00565172" w:rsidP="004F64C1">
          <w:pPr>
            <w:spacing w:after="100"/>
            <w:ind w:left="720"/>
            <w:rPr>
              <w:rFonts w:eastAsiaTheme="minorEastAsia" w:cs="Arial"/>
              <w:sz w:val="22"/>
              <w:szCs w:val="22"/>
              <w:lang w:val="en-US" w:eastAsia="en-US"/>
            </w:rPr>
          </w:pPr>
          <w:r w:rsidRPr="00565172">
            <w:rPr>
              <w:rFonts w:eastAsiaTheme="minorEastAsia" w:cs="Arial"/>
              <w:sz w:val="22"/>
              <w:szCs w:val="22"/>
              <w:lang w:val="en-US" w:eastAsia="en-US"/>
            </w:rPr>
            <w:t>1.2 Spending Controls</w:t>
          </w:r>
          <w:r>
            <w:ptab w:relativeTo="margin" w:alignment="right" w:leader="dot"/>
          </w:r>
          <w:r>
            <w:rPr>
              <w:rFonts w:eastAsiaTheme="minorEastAsia" w:cs="Arial"/>
              <w:sz w:val="22"/>
              <w:szCs w:val="22"/>
              <w:lang w:val="en-US" w:eastAsia="en-US"/>
            </w:rPr>
            <w:t>3</w:t>
          </w:r>
        </w:p>
        <w:p w:rsidR="004F64C1" w:rsidRPr="00565172" w:rsidP="004F64C1">
          <w:pPr>
            <w:spacing w:after="100"/>
            <w:ind w:left="720"/>
            <w:rPr>
              <w:rFonts w:eastAsiaTheme="minorEastAsia" w:cs="Arial"/>
              <w:sz w:val="22"/>
              <w:szCs w:val="22"/>
              <w:lang w:val="en-US" w:eastAsia="en-US"/>
            </w:rPr>
          </w:pPr>
          <w:r w:rsidRPr="00565172">
            <w:rPr>
              <w:rFonts w:eastAsiaTheme="minorEastAsia" w:cs="Arial"/>
              <w:sz w:val="22"/>
              <w:szCs w:val="22"/>
              <w:lang w:val="en-US" w:eastAsia="en-US"/>
            </w:rPr>
            <w:t>1.3 Main Areas of Spending</w:t>
          </w:r>
          <w:r>
            <w:ptab w:relativeTo="margin" w:alignment="right" w:leader="dot"/>
          </w:r>
          <w:r>
            <w:rPr>
              <w:rFonts w:eastAsiaTheme="minorEastAsia" w:cs="Arial"/>
              <w:sz w:val="22"/>
              <w:szCs w:val="22"/>
              <w:lang w:val="en-US" w:eastAsia="en-US"/>
            </w:rPr>
            <w:t>4</w:t>
          </w:r>
        </w:p>
        <w:p w:rsidR="004F64C1" w:rsidRPr="00565172" w:rsidP="004F64C1">
          <w:pPr>
            <w:spacing w:after="100"/>
            <w:ind w:left="720"/>
            <w:rPr>
              <w:rFonts w:eastAsiaTheme="minorEastAsia" w:cs="Arial"/>
              <w:sz w:val="22"/>
              <w:szCs w:val="22"/>
              <w:lang w:val="en-US" w:eastAsia="en-US"/>
            </w:rPr>
          </w:pPr>
          <w:r w:rsidRPr="00565172">
            <w:rPr>
              <w:rFonts w:eastAsiaTheme="minorEastAsia" w:cs="Arial"/>
              <w:sz w:val="22"/>
              <w:szCs w:val="22"/>
              <w:lang w:val="en-US" w:eastAsia="en-US"/>
            </w:rPr>
            <w:t>1.4 Comparison of Spending Totals Sought</w:t>
          </w:r>
          <w:r>
            <w:ptab w:relativeTo="margin" w:alignment="right" w:leader="dot"/>
          </w:r>
          <w:r>
            <w:rPr>
              <w:rFonts w:eastAsiaTheme="minorEastAsia" w:cs="Arial"/>
              <w:sz w:val="22"/>
              <w:szCs w:val="22"/>
              <w:lang w:val="en-US" w:eastAsia="en-US"/>
            </w:rPr>
            <w:t>6</w:t>
          </w:r>
        </w:p>
        <w:p w:rsidR="004F64C1" w:rsidRPr="00565172" w:rsidP="004F64C1">
          <w:pPr>
            <w:spacing w:after="100"/>
            <w:ind w:left="720"/>
            <w:rPr>
              <w:rFonts w:eastAsiaTheme="minorEastAsia" w:cs="Arial"/>
              <w:sz w:val="22"/>
              <w:szCs w:val="22"/>
              <w:lang w:val="en-US" w:eastAsia="en-US"/>
            </w:rPr>
          </w:pPr>
          <w:r w:rsidRPr="00565172">
            <w:rPr>
              <w:rFonts w:eastAsiaTheme="minorEastAsia" w:cs="Arial"/>
              <w:sz w:val="22"/>
              <w:szCs w:val="22"/>
              <w:lang w:val="en-US" w:eastAsia="en-US"/>
            </w:rPr>
            <w:t>1.5 Key Drivers of Spending Changes Since Last Year</w:t>
          </w:r>
          <w:r>
            <w:ptab w:relativeTo="margin" w:alignment="right" w:leader="dot"/>
          </w:r>
          <w:r>
            <w:rPr>
              <w:rFonts w:eastAsiaTheme="minorEastAsia" w:cs="Arial"/>
              <w:sz w:val="22"/>
              <w:szCs w:val="22"/>
              <w:lang w:val="en-US" w:eastAsia="en-US"/>
            </w:rPr>
            <w:t>6</w:t>
          </w:r>
        </w:p>
        <w:p w:rsidR="004F64C1" w:rsidRPr="00565172" w:rsidP="004F64C1">
          <w:pPr>
            <w:spacing w:after="100"/>
            <w:ind w:left="720"/>
            <w:rPr>
              <w:rFonts w:eastAsiaTheme="minorEastAsia" w:cs="Arial"/>
              <w:sz w:val="22"/>
              <w:szCs w:val="22"/>
              <w:lang w:val="en-US" w:eastAsia="en-US"/>
            </w:rPr>
          </w:pPr>
          <w:r w:rsidRPr="00565172">
            <w:rPr>
              <w:rFonts w:eastAsiaTheme="minorEastAsia" w:cs="Arial"/>
              <w:sz w:val="22"/>
              <w:szCs w:val="22"/>
              <w:lang w:val="en-US" w:eastAsia="en-US"/>
            </w:rPr>
            <w:t xml:space="preserve">1.6 New Policies and </w:t>
          </w:r>
          <w:r w:rsidRPr="00565172">
            <w:rPr>
              <w:rFonts w:eastAsia="Calibri" w:cs="Arial"/>
              <w:sz w:val="22"/>
              <w:szCs w:val="22"/>
            </w:rPr>
            <w:t>Programmes</w:t>
          </w:r>
          <w:r w:rsidRPr="00565172">
            <w:rPr>
              <w:rFonts w:eastAsia="Calibri" w:cs="Arial"/>
              <w:b/>
              <w:sz w:val="22"/>
              <w:szCs w:val="22"/>
            </w:rPr>
            <w:t xml:space="preserve"> </w:t>
          </w:r>
          <w:r>
            <w:ptab w:relativeTo="margin" w:alignment="right" w:leader="dot"/>
          </w:r>
          <w:r w:rsidR="009B35B8">
            <w:rPr>
              <w:rFonts w:eastAsiaTheme="minorEastAsia" w:cs="Arial"/>
              <w:sz w:val="22"/>
              <w:szCs w:val="22"/>
              <w:lang w:val="en-US" w:eastAsia="en-US"/>
            </w:rPr>
            <w:t>7</w:t>
          </w:r>
          <w:r w:rsidRPr="00565172">
            <w:rPr>
              <w:rFonts w:eastAsiaTheme="minorEastAsia" w:cs="Arial"/>
              <w:sz w:val="22"/>
              <w:szCs w:val="22"/>
              <w:lang w:val="en-US" w:eastAsia="en-US"/>
            </w:rPr>
            <w:t xml:space="preserve">  </w:t>
          </w:r>
        </w:p>
        <w:p w:rsidR="004F64C1" w:rsidRPr="00565172" w:rsidP="004F64C1">
          <w:pPr>
            <w:spacing w:after="100"/>
            <w:ind w:left="720"/>
            <w:rPr>
              <w:rFonts w:eastAsiaTheme="minorEastAsia" w:cs="Arial"/>
              <w:sz w:val="22"/>
              <w:szCs w:val="22"/>
              <w:lang w:val="en-US" w:eastAsia="en-US"/>
            </w:rPr>
          </w:pPr>
          <w:r w:rsidRPr="00565172">
            <w:rPr>
              <w:rFonts w:eastAsiaTheme="minorEastAsia" w:cs="Arial"/>
              <w:sz w:val="22"/>
              <w:szCs w:val="22"/>
              <w:lang w:val="en-US" w:eastAsia="en-US"/>
            </w:rPr>
            <w:t>1.7 Spending Trends</w:t>
          </w:r>
          <w:r>
            <w:ptab w:relativeTo="margin" w:alignment="right" w:leader="dot"/>
          </w:r>
          <w:r>
            <w:rPr>
              <w:rFonts w:eastAsiaTheme="minorEastAsia" w:cs="Arial"/>
              <w:sz w:val="22"/>
              <w:szCs w:val="22"/>
              <w:lang w:val="en-US" w:eastAsia="en-US"/>
            </w:rPr>
            <w:t>7</w:t>
          </w:r>
        </w:p>
        <w:p w:rsidR="004F64C1" w:rsidRPr="00565172" w:rsidP="004F64C1">
          <w:pPr>
            <w:spacing w:after="100"/>
            <w:ind w:left="720"/>
            <w:rPr>
              <w:rFonts w:eastAsiaTheme="minorEastAsia" w:cs="Arial"/>
              <w:sz w:val="22"/>
              <w:szCs w:val="22"/>
              <w:lang w:val="en-US" w:eastAsia="en-US"/>
            </w:rPr>
          </w:pPr>
          <w:r w:rsidRPr="00565172">
            <w:rPr>
              <w:rFonts w:eastAsiaTheme="minorEastAsia" w:cs="Arial"/>
              <w:sz w:val="22"/>
              <w:szCs w:val="22"/>
              <w:lang w:val="en-US" w:eastAsia="en-US"/>
            </w:rPr>
            <w:t>1.8 Funding: Spending Review and Budgets and other spending announcements</w:t>
          </w:r>
          <w:r>
            <w:ptab w:relativeTo="margin" w:alignment="right" w:leader="dot"/>
          </w:r>
          <w:r w:rsidR="009B35B8">
            <w:rPr>
              <w:rFonts w:eastAsiaTheme="minorEastAsia" w:cs="Arial"/>
              <w:sz w:val="22"/>
              <w:szCs w:val="22"/>
              <w:lang w:val="en-US" w:eastAsia="en-US"/>
            </w:rPr>
            <w:t>10</w:t>
          </w:r>
        </w:p>
        <w:p w:rsidR="004F64C1" w:rsidRPr="00565172" w:rsidP="001F4DFB">
          <w:pPr>
            <w:numPr>
              <w:ilvl w:val="0"/>
              <w:numId w:val="9"/>
            </w:numPr>
            <w:spacing w:after="100"/>
            <w:rPr>
              <w:rFonts w:eastAsiaTheme="minorEastAsia" w:cs="Arial"/>
              <w:b/>
              <w:bCs/>
              <w:sz w:val="22"/>
              <w:szCs w:val="22"/>
              <w:lang w:val="en-US" w:eastAsia="en-US"/>
            </w:rPr>
          </w:pPr>
          <w:r w:rsidRPr="00565172">
            <w:rPr>
              <w:rFonts w:eastAsiaTheme="minorEastAsia" w:cs="Arial"/>
              <w:b/>
              <w:sz w:val="22"/>
              <w:szCs w:val="22"/>
              <w:lang w:val="en-US" w:eastAsia="en-US"/>
            </w:rPr>
            <w:t>Spending Detail</w:t>
          </w:r>
          <w:r>
            <w:ptab w:relativeTo="margin" w:alignment="right" w:leader="dot"/>
          </w:r>
          <w:r w:rsidR="00DA7275">
            <w:rPr>
              <w:rFonts w:eastAsiaTheme="minorEastAsia" w:cs="Arial"/>
              <w:sz w:val="22"/>
              <w:szCs w:val="22"/>
              <w:lang w:val="en-US" w:eastAsia="en-US"/>
            </w:rPr>
            <w:t>11</w:t>
          </w:r>
        </w:p>
        <w:p w:rsidR="004F64C1" w:rsidRPr="00565172" w:rsidP="004F64C1">
          <w:pPr>
            <w:spacing w:after="100"/>
            <w:ind w:left="720"/>
            <w:rPr>
              <w:rFonts w:eastAsiaTheme="minorEastAsia" w:cs="Arial"/>
              <w:sz w:val="22"/>
              <w:szCs w:val="22"/>
              <w:lang w:val="en-US" w:eastAsia="en-US"/>
            </w:rPr>
          </w:pPr>
          <w:r w:rsidRPr="00565172">
            <w:rPr>
              <w:rFonts w:eastAsiaTheme="minorEastAsia" w:cs="Arial"/>
              <w:sz w:val="22"/>
              <w:szCs w:val="22"/>
              <w:lang w:val="en-US" w:eastAsia="en-US"/>
            </w:rPr>
            <w:t>2.1 Resource DEL</w:t>
          </w:r>
          <w:r>
            <w:ptab w:relativeTo="margin" w:alignment="right" w:leader="dot"/>
          </w:r>
          <w:r w:rsidR="00422E93">
            <w:rPr>
              <w:rFonts w:eastAsiaTheme="minorEastAsia" w:cs="Arial"/>
              <w:sz w:val="22"/>
              <w:szCs w:val="22"/>
              <w:lang w:val="en-US" w:eastAsia="en-US"/>
            </w:rPr>
            <w:t>12</w:t>
          </w:r>
        </w:p>
        <w:p w:rsidR="004F64C1" w:rsidRPr="00565172" w:rsidP="004F64C1">
          <w:pPr>
            <w:spacing w:after="100"/>
            <w:ind w:left="720"/>
            <w:rPr>
              <w:rFonts w:eastAsiaTheme="minorEastAsia" w:cs="Arial"/>
              <w:sz w:val="22"/>
              <w:szCs w:val="22"/>
              <w:lang w:val="en-US" w:eastAsia="en-US"/>
            </w:rPr>
          </w:pPr>
          <w:r w:rsidRPr="00565172">
            <w:rPr>
              <w:rFonts w:eastAsiaTheme="minorEastAsia" w:cs="Arial"/>
              <w:sz w:val="22"/>
              <w:szCs w:val="22"/>
              <w:lang w:val="en-US" w:eastAsia="en-US"/>
            </w:rPr>
            <w:t>2.2 Capital DEL</w:t>
          </w:r>
          <w:r>
            <w:ptab w:relativeTo="margin" w:alignment="right" w:leader="dot"/>
          </w:r>
          <w:r w:rsidR="00DA7275">
            <w:rPr>
              <w:rFonts w:eastAsiaTheme="minorEastAsia" w:cs="Arial"/>
              <w:sz w:val="22"/>
              <w:szCs w:val="22"/>
              <w:lang w:val="en-US" w:eastAsia="en-US"/>
            </w:rPr>
            <w:t>12</w:t>
          </w:r>
        </w:p>
        <w:p w:rsidR="004F64C1" w:rsidRPr="00565172" w:rsidP="004F64C1">
          <w:pPr>
            <w:spacing w:after="100"/>
            <w:ind w:left="720"/>
            <w:rPr>
              <w:rFonts w:eastAsiaTheme="minorEastAsia" w:cs="Arial"/>
              <w:sz w:val="22"/>
              <w:szCs w:val="22"/>
              <w:lang w:val="en-US" w:eastAsia="en-US"/>
            </w:rPr>
          </w:pPr>
          <w:r w:rsidRPr="00565172">
            <w:rPr>
              <w:rFonts w:eastAsiaTheme="minorEastAsia" w:cs="Arial"/>
              <w:sz w:val="22"/>
              <w:szCs w:val="22"/>
              <w:lang w:val="en-US" w:eastAsia="en-US"/>
            </w:rPr>
            <w:t>2.3 Resource AME</w:t>
          </w:r>
          <w:r>
            <w:ptab w:relativeTo="margin" w:alignment="right" w:leader="dot"/>
          </w:r>
          <w:r w:rsidR="00422E93">
            <w:rPr>
              <w:rFonts w:eastAsiaTheme="minorEastAsia" w:cs="Arial"/>
              <w:sz w:val="22"/>
              <w:szCs w:val="22"/>
              <w:lang w:val="en-US" w:eastAsia="en-US"/>
            </w:rPr>
            <w:t>1</w:t>
          </w:r>
          <w:r w:rsidR="00DA7275">
            <w:rPr>
              <w:rFonts w:eastAsiaTheme="minorEastAsia" w:cs="Arial"/>
              <w:sz w:val="22"/>
              <w:szCs w:val="22"/>
              <w:lang w:val="en-US" w:eastAsia="en-US"/>
            </w:rPr>
            <w:t>3</w:t>
          </w:r>
        </w:p>
        <w:p w:rsidR="004F64C1" w:rsidRPr="00565172" w:rsidP="004F64C1">
          <w:pPr>
            <w:spacing w:after="100"/>
            <w:ind w:left="720"/>
            <w:rPr>
              <w:rFonts w:eastAsiaTheme="minorEastAsia" w:cs="Arial"/>
              <w:sz w:val="22"/>
              <w:szCs w:val="22"/>
              <w:lang w:val="en-US" w:eastAsia="en-US"/>
            </w:rPr>
          </w:pPr>
          <w:r w:rsidRPr="00565172">
            <w:rPr>
              <w:rFonts w:eastAsiaTheme="minorEastAsia" w:cs="Arial"/>
              <w:sz w:val="22"/>
              <w:szCs w:val="22"/>
              <w:lang w:val="en-US" w:eastAsia="en-US"/>
            </w:rPr>
            <w:t>2.4 Ring Fenced Budgets</w:t>
          </w:r>
          <w:r>
            <w:ptab w:relativeTo="margin" w:alignment="right" w:leader="dot"/>
          </w:r>
          <w:r w:rsidR="00422E93">
            <w:rPr>
              <w:rFonts w:eastAsiaTheme="minorEastAsia" w:cs="Arial"/>
              <w:sz w:val="22"/>
              <w:szCs w:val="22"/>
              <w:lang w:val="en-US" w:eastAsia="en-US"/>
            </w:rPr>
            <w:t>1</w:t>
          </w:r>
          <w:r w:rsidR="00DA7275">
            <w:rPr>
              <w:rFonts w:eastAsiaTheme="minorEastAsia" w:cs="Arial"/>
              <w:sz w:val="22"/>
              <w:szCs w:val="22"/>
              <w:lang w:val="en-US" w:eastAsia="en-US"/>
            </w:rPr>
            <w:t>3</w:t>
          </w:r>
        </w:p>
        <w:p w:rsidR="004F64C1" w:rsidRPr="00565172" w:rsidP="004F64C1">
          <w:pPr>
            <w:spacing w:after="100"/>
            <w:ind w:left="720"/>
            <w:rPr>
              <w:rFonts w:eastAsiaTheme="minorEastAsia" w:cs="Arial"/>
              <w:sz w:val="22"/>
              <w:szCs w:val="22"/>
              <w:lang w:val="en-US" w:eastAsia="en-US"/>
            </w:rPr>
          </w:pPr>
          <w:r w:rsidRPr="00565172">
            <w:rPr>
              <w:rFonts w:eastAsiaTheme="minorEastAsia" w:cs="Arial"/>
              <w:sz w:val="22"/>
              <w:szCs w:val="22"/>
              <w:lang w:val="en-US" w:eastAsia="en-US"/>
            </w:rPr>
            <w:t>2.5 Changes to Contingent Liabilities</w:t>
          </w:r>
          <w:r>
            <w:ptab w:relativeTo="margin" w:alignment="right" w:leader="dot"/>
          </w:r>
          <w:r w:rsidR="00422E93">
            <w:rPr>
              <w:rFonts w:eastAsiaTheme="minorEastAsia" w:cs="Arial"/>
              <w:sz w:val="22"/>
              <w:szCs w:val="22"/>
              <w:lang w:val="en-US" w:eastAsia="en-US"/>
            </w:rPr>
            <w:t>1</w:t>
          </w:r>
          <w:r w:rsidR="002A7330">
            <w:rPr>
              <w:rFonts w:eastAsiaTheme="minorEastAsia" w:cs="Arial"/>
              <w:sz w:val="22"/>
              <w:szCs w:val="22"/>
              <w:lang w:val="en-US" w:eastAsia="en-US"/>
            </w:rPr>
            <w:t>4</w:t>
          </w:r>
        </w:p>
        <w:p w:rsidR="004F64C1" w:rsidRPr="00565172" w:rsidP="001F4DFB">
          <w:pPr>
            <w:numPr>
              <w:ilvl w:val="0"/>
              <w:numId w:val="9"/>
            </w:numPr>
            <w:spacing w:after="100"/>
            <w:rPr>
              <w:rFonts w:eastAsiaTheme="minorEastAsia" w:cs="Arial"/>
              <w:b/>
              <w:bCs/>
              <w:sz w:val="22"/>
              <w:szCs w:val="22"/>
              <w:lang w:val="en-US" w:eastAsia="en-US"/>
            </w:rPr>
          </w:pPr>
          <w:r w:rsidRPr="00565172">
            <w:rPr>
              <w:rFonts w:eastAsiaTheme="minorEastAsia" w:cs="Arial"/>
              <w:b/>
              <w:bCs/>
              <w:sz w:val="22"/>
              <w:szCs w:val="22"/>
              <w:lang w:val="en-US" w:eastAsia="en-US"/>
            </w:rPr>
            <w:t>Priorities and Performance</w:t>
          </w:r>
          <w:r>
            <w:ptab w:relativeTo="margin" w:alignment="right" w:leader="dot"/>
          </w:r>
          <w:r w:rsidR="00422E93">
            <w:rPr>
              <w:rFonts w:eastAsiaTheme="minorEastAsia" w:cs="Arial"/>
              <w:bCs/>
              <w:sz w:val="22"/>
              <w:szCs w:val="22"/>
              <w:lang w:val="en-US" w:eastAsia="en-US"/>
            </w:rPr>
            <w:t>1</w:t>
          </w:r>
          <w:r w:rsidR="002A7330">
            <w:rPr>
              <w:rFonts w:eastAsiaTheme="minorEastAsia" w:cs="Arial"/>
              <w:bCs/>
              <w:sz w:val="22"/>
              <w:szCs w:val="22"/>
              <w:lang w:val="en-US" w:eastAsia="en-US"/>
            </w:rPr>
            <w:t>5</w:t>
          </w:r>
        </w:p>
        <w:p w:rsidR="004F64C1" w:rsidRPr="00565172" w:rsidP="004F64C1">
          <w:pPr>
            <w:spacing w:after="100"/>
            <w:ind w:left="720"/>
            <w:rPr>
              <w:rFonts w:eastAsiaTheme="minorEastAsia" w:cs="Arial"/>
              <w:sz w:val="22"/>
              <w:szCs w:val="22"/>
              <w:lang w:val="en-US" w:eastAsia="en-US"/>
            </w:rPr>
          </w:pPr>
          <w:r w:rsidRPr="00565172">
            <w:rPr>
              <w:rFonts w:eastAsiaTheme="minorEastAsia" w:cs="Arial"/>
              <w:sz w:val="22"/>
              <w:szCs w:val="22"/>
              <w:lang w:val="en-US" w:eastAsia="en-US"/>
            </w:rPr>
            <w:t>3.1 Major Projects</w:t>
          </w:r>
          <w:r>
            <w:ptab w:relativeTo="margin" w:alignment="right" w:leader="dot"/>
          </w:r>
          <w:r w:rsidR="00422E93">
            <w:rPr>
              <w:rFonts w:eastAsiaTheme="minorEastAsia" w:cs="Arial"/>
              <w:sz w:val="22"/>
              <w:szCs w:val="22"/>
              <w:lang w:val="en-US" w:eastAsia="en-US"/>
            </w:rPr>
            <w:t>1</w:t>
          </w:r>
          <w:r w:rsidR="002A7330">
            <w:rPr>
              <w:rFonts w:eastAsiaTheme="minorEastAsia" w:cs="Arial"/>
              <w:sz w:val="22"/>
              <w:szCs w:val="22"/>
              <w:lang w:val="en-US" w:eastAsia="en-US"/>
            </w:rPr>
            <w:t>5</w:t>
          </w:r>
        </w:p>
        <w:p w:rsidR="004F64C1" w:rsidRPr="00565172" w:rsidP="001F4DFB">
          <w:pPr>
            <w:numPr>
              <w:ilvl w:val="0"/>
              <w:numId w:val="9"/>
            </w:numPr>
            <w:spacing w:after="100"/>
            <w:rPr>
              <w:rFonts w:eastAsiaTheme="minorEastAsia" w:cs="Arial"/>
              <w:sz w:val="22"/>
              <w:szCs w:val="22"/>
              <w:lang w:val="en-US" w:eastAsia="en-US"/>
            </w:rPr>
          </w:pPr>
          <w:r w:rsidRPr="00565172">
            <w:rPr>
              <w:rFonts w:eastAsiaTheme="minorEastAsia" w:cs="Arial"/>
              <w:b/>
              <w:bCs/>
              <w:sz w:val="22"/>
              <w:szCs w:val="22"/>
              <w:lang w:val="en-US" w:eastAsia="en-US"/>
            </w:rPr>
            <w:t>Other Information</w:t>
          </w:r>
          <w:r>
            <w:ptab w:relativeTo="margin" w:alignment="right" w:leader="dot"/>
          </w:r>
          <w:r w:rsidR="00422E93">
            <w:rPr>
              <w:rFonts w:eastAsiaTheme="minorEastAsia" w:cs="Arial"/>
              <w:bCs/>
              <w:sz w:val="22"/>
              <w:szCs w:val="22"/>
              <w:lang w:val="en-US" w:eastAsia="en-US"/>
            </w:rPr>
            <w:t>1</w:t>
          </w:r>
          <w:r w:rsidR="002A7330">
            <w:rPr>
              <w:rFonts w:eastAsiaTheme="minorEastAsia" w:cs="Arial"/>
              <w:bCs/>
              <w:sz w:val="22"/>
              <w:szCs w:val="22"/>
              <w:lang w:val="en-US" w:eastAsia="en-US"/>
            </w:rPr>
            <w:t>6</w:t>
          </w:r>
        </w:p>
        <w:p w:rsidR="004F64C1" w:rsidRPr="00565172" w:rsidP="004F64C1">
          <w:pPr>
            <w:spacing w:after="100"/>
            <w:ind w:left="720"/>
            <w:rPr>
              <w:rFonts w:eastAsiaTheme="minorEastAsia" w:cs="Arial"/>
              <w:sz w:val="22"/>
              <w:szCs w:val="22"/>
              <w:lang w:val="en-US" w:eastAsia="en-US"/>
            </w:rPr>
          </w:pPr>
          <w:r w:rsidRPr="00565172">
            <w:rPr>
              <w:rFonts w:eastAsiaTheme="minorEastAsia" w:cs="Arial"/>
              <w:sz w:val="22"/>
              <w:szCs w:val="22"/>
              <w:lang w:val="en-US" w:eastAsia="en-US"/>
            </w:rPr>
            <w:t>4.1 NHS England</w:t>
          </w:r>
          <w:r>
            <w:ptab w:relativeTo="margin" w:alignment="right" w:leader="dot"/>
          </w:r>
          <w:r w:rsidR="00422E93">
            <w:rPr>
              <w:rFonts w:eastAsiaTheme="minorEastAsia" w:cs="Arial"/>
              <w:sz w:val="22"/>
              <w:szCs w:val="22"/>
              <w:lang w:val="en-US" w:eastAsia="en-US"/>
            </w:rPr>
            <w:t>1</w:t>
          </w:r>
          <w:r w:rsidR="00A94BF7">
            <w:rPr>
              <w:rFonts w:eastAsiaTheme="minorEastAsia" w:cs="Arial"/>
              <w:sz w:val="22"/>
              <w:szCs w:val="22"/>
              <w:lang w:val="en-US" w:eastAsia="en-US"/>
            </w:rPr>
            <w:t>6</w:t>
          </w:r>
        </w:p>
        <w:p w:rsidR="004F64C1" w:rsidRPr="00565172" w:rsidP="004F64C1">
          <w:pPr>
            <w:spacing w:after="100"/>
            <w:ind w:left="720"/>
            <w:rPr>
              <w:rFonts w:eastAsiaTheme="minorEastAsia" w:cs="Arial"/>
              <w:sz w:val="22"/>
              <w:szCs w:val="22"/>
              <w:lang w:val="en-US" w:eastAsia="en-US"/>
            </w:rPr>
          </w:pPr>
          <w:r w:rsidRPr="00565172">
            <w:rPr>
              <w:rFonts w:eastAsiaTheme="minorEastAsia" w:cs="Arial"/>
              <w:sz w:val="22"/>
              <w:szCs w:val="22"/>
              <w:lang w:val="en-US" w:eastAsia="en-US"/>
            </w:rPr>
            <w:t>4.2 DHSC Inter-Group Transactions</w:t>
          </w:r>
          <w:r>
            <w:ptab w:relativeTo="margin" w:alignment="right" w:leader="dot"/>
          </w:r>
          <w:r w:rsidR="00422E93">
            <w:rPr>
              <w:rFonts w:eastAsiaTheme="minorEastAsia" w:cs="Arial"/>
              <w:sz w:val="22"/>
              <w:szCs w:val="22"/>
              <w:lang w:val="en-US" w:eastAsia="en-US"/>
            </w:rPr>
            <w:t>1</w:t>
          </w:r>
          <w:r w:rsidR="00A94BF7">
            <w:rPr>
              <w:rFonts w:eastAsiaTheme="minorEastAsia" w:cs="Arial"/>
              <w:sz w:val="22"/>
              <w:szCs w:val="22"/>
              <w:lang w:val="en-US" w:eastAsia="en-US"/>
            </w:rPr>
            <w:t>7</w:t>
          </w:r>
        </w:p>
        <w:p w:rsidR="004F64C1" w:rsidRPr="00565172" w:rsidP="004F64C1">
          <w:pPr>
            <w:spacing w:after="100"/>
            <w:ind w:left="720"/>
            <w:rPr>
              <w:rFonts w:eastAsiaTheme="minorEastAsia" w:cs="Arial"/>
              <w:sz w:val="22"/>
              <w:szCs w:val="22"/>
              <w:lang w:val="en-US" w:eastAsia="en-US"/>
            </w:rPr>
          </w:pPr>
          <w:r w:rsidRPr="00565172">
            <w:rPr>
              <w:rFonts w:eastAsiaTheme="minorEastAsia" w:cs="Arial"/>
              <w:sz w:val="22"/>
              <w:szCs w:val="22"/>
              <w:lang w:val="en-US" w:eastAsia="en-US"/>
            </w:rPr>
            <w:t>4.3 DHSC Re</w:t>
          </w:r>
          <w:r w:rsidR="003B4A62">
            <w:rPr>
              <w:rFonts w:eastAsiaTheme="minorEastAsia" w:cs="Arial"/>
              <w:sz w:val="22"/>
              <w:szCs w:val="22"/>
              <w:lang w:val="en-US" w:eastAsia="en-US"/>
            </w:rPr>
            <w:t>source</w:t>
          </w:r>
          <w:r w:rsidRPr="00565172">
            <w:rPr>
              <w:rFonts w:eastAsiaTheme="minorEastAsia" w:cs="Arial"/>
              <w:sz w:val="22"/>
              <w:szCs w:val="22"/>
              <w:lang w:val="en-US" w:eastAsia="en-US"/>
            </w:rPr>
            <w:t xml:space="preserve"> Expenditure Analysis</w:t>
          </w:r>
          <w:r>
            <w:ptab w:relativeTo="margin" w:alignment="right" w:leader="dot"/>
          </w:r>
          <w:r w:rsidR="00422E93">
            <w:rPr>
              <w:rFonts w:eastAsiaTheme="minorEastAsia" w:cs="Arial"/>
              <w:sz w:val="22"/>
              <w:szCs w:val="22"/>
              <w:lang w:val="en-US" w:eastAsia="en-US"/>
            </w:rPr>
            <w:t>1</w:t>
          </w:r>
          <w:r w:rsidR="00A94BF7">
            <w:rPr>
              <w:rFonts w:eastAsiaTheme="minorEastAsia" w:cs="Arial"/>
              <w:sz w:val="22"/>
              <w:szCs w:val="22"/>
              <w:lang w:val="en-US" w:eastAsia="en-US"/>
            </w:rPr>
            <w:t>8</w:t>
          </w:r>
        </w:p>
      </w:sdtContent>
    </w:sdt>
    <w:p w:rsidR="004F64C1" w:rsidRPr="00565172" w:rsidP="004F64C1">
      <w:pPr>
        <w:spacing w:after="200" w:line="276" w:lineRule="auto"/>
        <w:ind w:left="567"/>
        <w:contextualSpacing/>
        <w:rPr>
          <w:rFonts w:eastAsiaTheme="minorHAnsi" w:cs="Arial"/>
          <w:b/>
          <w:sz w:val="22"/>
          <w:szCs w:val="22"/>
          <w:lang w:eastAsia="en-US"/>
        </w:rPr>
      </w:pPr>
    </w:p>
    <w:p w:rsidR="004F64C1" w:rsidP="004F64C1">
      <w:pPr>
        <w:rPr>
          <w:rFonts w:eastAsiaTheme="minorHAnsi" w:cs="Arial"/>
          <w:b/>
          <w:sz w:val="22"/>
          <w:szCs w:val="22"/>
          <w:lang w:eastAsia="en-US"/>
        </w:rPr>
      </w:pPr>
      <w:r>
        <w:rPr>
          <w:rFonts w:eastAsiaTheme="minorHAnsi" w:cs="Arial"/>
          <w:b/>
          <w:sz w:val="22"/>
          <w:szCs w:val="22"/>
          <w:lang w:eastAsia="en-US"/>
        </w:rPr>
        <w:br w:type="page"/>
      </w:r>
    </w:p>
    <w:p w:rsidR="004F64C1" w:rsidRPr="00A64903" w:rsidP="001F4DFB">
      <w:pPr>
        <w:numPr>
          <w:ilvl w:val="0"/>
          <w:numId w:val="3"/>
        </w:numPr>
        <w:spacing w:after="200" w:line="276" w:lineRule="auto"/>
        <w:ind w:left="567" w:hanging="567"/>
        <w:contextualSpacing/>
        <w:rPr>
          <w:rFonts w:eastAsiaTheme="minorHAnsi" w:cs="Arial"/>
          <w:b/>
          <w:sz w:val="22"/>
          <w:szCs w:val="22"/>
          <w:lang w:eastAsia="en-US"/>
        </w:rPr>
      </w:pPr>
      <w:r w:rsidRPr="00A64903">
        <w:rPr>
          <w:rFonts w:eastAsiaTheme="minorHAnsi" w:cs="Arial"/>
          <w:b/>
          <w:sz w:val="22"/>
          <w:szCs w:val="22"/>
          <w:lang w:eastAsia="en-US"/>
        </w:rPr>
        <w:t>OVERVIEW</w:t>
      </w:r>
    </w:p>
    <w:p w:rsidR="004F64C1" w:rsidRPr="00A64903" w:rsidP="004F64C1">
      <w:pPr>
        <w:spacing w:after="200" w:line="276" w:lineRule="auto"/>
        <w:ind w:left="567"/>
        <w:contextualSpacing/>
        <w:rPr>
          <w:rFonts w:eastAsiaTheme="minorHAnsi" w:cs="Arial"/>
          <w:b/>
          <w:sz w:val="22"/>
          <w:szCs w:val="22"/>
          <w:lang w:eastAsia="en-US"/>
        </w:rPr>
      </w:pPr>
    </w:p>
    <w:p w:rsidR="004F64C1" w:rsidRPr="00A64903" w:rsidP="004F64C1">
      <w:pPr>
        <w:spacing w:line="276" w:lineRule="auto"/>
        <w:rPr>
          <w:rFonts w:eastAsiaTheme="minorHAnsi" w:cs="Arial"/>
          <w:b/>
          <w:sz w:val="22"/>
          <w:szCs w:val="22"/>
          <w:lang w:eastAsia="en-US"/>
        </w:rPr>
      </w:pPr>
    </w:p>
    <w:p w:rsidR="004F64C1" w:rsidRPr="00A64903" w:rsidP="001F4DFB">
      <w:pPr>
        <w:numPr>
          <w:ilvl w:val="1"/>
          <w:numId w:val="4"/>
        </w:numPr>
        <w:spacing w:after="120" w:line="276" w:lineRule="auto"/>
        <w:ind w:left="567" w:hanging="567"/>
        <w:rPr>
          <w:rFonts w:eastAsia="Calibri" w:cs="Arial"/>
          <w:bCs/>
          <w:sz w:val="22"/>
          <w:szCs w:val="22"/>
        </w:rPr>
      </w:pPr>
      <w:bookmarkStart w:id="0" w:name="_Hlk63776998"/>
      <w:r w:rsidRPr="00A64903">
        <w:rPr>
          <w:rFonts w:eastAsia="Calibri" w:cs="Arial"/>
          <w:b/>
          <w:sz w:val="22"/>
          <w:szCs w:val="22"/>
        </w:rPr>
        <w:t>Objective</w:t>
      </w:r>
      <w:r w:rsidRPr="00A64903" w:rsidR="00A64903">
        <w:rPr>
          <w:rFonts w:eastAsia="Calibri" w:cs="Arial"/>
          <w:b/>
          <w:sz w:val="22"/>
          <w:szCs w:val="22"/>
        </w:rPr>
        <w:t>s</w:t>
      </w:r>
      <w:r w:rsidRPr="00A64903">
        <w:rPr>
          <w:rFonts w:eastAsia="Calibri" w:cs="Arial"/>
          <w:b/>
          <w:sz w:val="22"/>
          <w:szCs w:val="22"/>
        </w:rPr>
        <w:t xml:space="preserve"> </w:t>
      </w:r>
    </w:p>
    <w:p w:rsidR="004F64C1" w:rsidRPr="00A64903" w:rsidP="004F64C1">
      <w:pPr>
        <w:ind w:left="567"/>
        <w:jc w:val="both"/>
        <w:rPr>
          <w:rFonts w:eastAsia="Calibri" w:cs="Arial"/>
          <w:sz w:val="22"/>
          <w:szCs w:val="22"/>
        </w:rPr>
      </w:pPr>
      <w:r w:rsidRPr="00A64903">
        <w:rPr>
          <w:sz w:val="22"/>
          <w:szCs w:val="22"/>
        </w:rPr>
        <w:t xml:space="preserve">The Department of Health and Social Care (DHSC) supports ministers in leading the nation’s health and social care to help people live more independent, healthier lives for longer. </w:t>
      </w:r>
    </w:p>
    <w:p w:rsidR="004F64C1" w:rsidRPr="00A64903" w:rsidP="004F64C1">
      <w:pPr>
        <w:ind w:left="567"/>
        <w:jc w:val="both"/>
        <w:rPr>
          <w:rFonts w:eastAsia="Calibri" w:cs="Arial"/>
          <w:sz w:val="22"/>
          <w:szCs w:val="22"/>
        </w:rPr>
      </w:pPr>
    </w:p>
    <w:p w:rsidR="004F64C1" w:rsidRPr="00A64903" w:rsidP="004F64C1">
      <w:pPr>
        <w:ind w:left="567"/>
        <w:jc w:val="both"/>
        <w:rPr>
          <w:rFonts w:eastAsia="Calibri" w:cs="Arial"/>
          <w:sz w:val="22"/>
          <w:szCs w:val="22"/>
        </w:rPr>
      </w:pPr>
      <w:bookmarkStart w:id="1" w:name="_Hlk63765603"/>
      <w:r w:rsidRPr="00A64903">
        <w:rPr>
          <w:rFonts w:eastAsia="Calibri" w:cs="Arial"/>
          <w:sz w:val="22"/>
          <w:szCs w:val="22"/>
        </w:rPr>
        <w:t>Departmental priorities are summarised below:</w:t>
      </w:r>
    </w:p>
    <w:p w:rsidR="004F64C1" w:rsidRPr="00A64903" w:rsidP="004F64C1">
      <w:pPr>
        <w:ind w:left="567"/>
        <w:jc w:val="both"/>
        <w:rPr>
          <w:rFonts w:cs="Arial"/>
          <w:sz w:val="22"/>
          <w:szCs w:val="22"/>
        </w:rPr>
      </w:pPr>
    </w:p>
    <w:p w:rsidR="004F64C1" w:rsidRPr="00A64903" w:rsidP="001F4DFB">
      <w:pPr>
        <w:numPr>
          <w:ilvl w:val="0"/>
          <w:numId w:val="12"/>
        </w:numPr>
        <w:spacing w:after="200" w:line="276" w:lineRule="auto"/>
        <w:contextualSpacing/>
        <w:jc w:val="both"/>
        <w:rPr>
          <w:sz w:val="22"/>
          <w:szCs w:val="22"/>
        </w:rPr>
      </w:pPr>
      <w:r w:rsidRPr="00A64903">
        <w:rPr>
          <w:sz w:val="22"/>
          <w:szCs w:val="22"/>
        </w:rPr>
        <w:t>Protect the public’s health through the health and social care system’s response to Covid-19;</w:t>
      </w:r>
    </w:p>
    <w:p w:rsidR="004F64C1" w:rsidRPr="00A64903" w:rsidP="001F4DFB">
      <w:pPr>
        <w:numPr>
          <w:ilvl w:val="0"/>
          <w:numId w:val="12"/>
        </w:numPr>
        <w:spacing w:after="200" w:line="276" w:lineRule="auto"/>
        <w:contextualSpacing/>
        <w:jc w:val="both"/>
        <w:rPr>
          <w:sz w:val="22"/>
          <w:szCs w:val="22"/>
        </w:rPr>
      </w:pPr>
      <w:bookmarkStart w:id="2" w:name="_Hlk70619615"/>
      <w:r w:rsidRPr="00A64903">
        <w:rPr>
          <w:sz w:val="22"/>
          <w:szCs w:val="22"/>
        </w:rPr>
        <w:t>Improve healthcare outcomes by providing high-quality and sustainable care at the right time in the right place, improving infrastructure and transforming technology</w:t>
      </w:r>
      <w:bookmarkEnd w:id="2"/>
      <w:r w:rsidRPr="00A64903">
        <w:rPr>
          <w:sz w:val="22"/>
          <w:szCs w:val="22"/>
        </w:rPr>
        <w:t>;</w:t>
      </w:r>
    </w:p>
    <w:p w:rsidR="004F64C1" w:rsidRPr="00A64903" w:rsidP="001F4DFB">
      <w:pPr>
        <w:numPr>
          <w:ilvl w:val="0"/>
          <w:numId w:val="12"/>
        </w:numPr>
        <w:spacing w:after="200" w:line="276" w:lineRule="auto"/>
        <w:contextualSpacing/>
        <w:jc w:val="both"/>
        <w:rPr>
          <w:sz w:val="22"/>
          <w:szCs w:val="22"/>
        </w:rPr>
      </w:pPr>
      <w:r w:rsidRPr="00A64903">
        <w:rPr>
          <w:sz w:val="22"/>
          <w:szCs w:val="22"/>
        </w:rPr>
        <w:t>Improve healthcare outcomes through a supported workforce fit for the future;</w:t>
      </w:r>
    </w:p>
    <w:p w:rsidR="004F64C1" w:rsidRPr="00A64903" w:rsidP="001F4DFB">
      <w:pPr>
        <w:numPr>
          <w:ilvl w:val="0"/>
          <w:numId w:val="12"/>
        </w:numPr>
        <w:spacing w:after="200" w:line="276" w:lineRule="auto"/>
        <w:contextualSpacing/>
        <w:jc w:val="both"/>
        <w:rPr>
          <w:sz w:val="22"/>
          <w:szCs w:val="22"/>
        </w:rPr>
      </w:pPr>
      <w:r w:rsidRPr="00A64903">
        <w:rPr>
          <w:sz w:val="22"/>
          <w:szCs w:val="22"/>
        </w:rPr>
        <w:t>Improve, protect and level up the public’s health, including reducing inequalities; and,</w:t>
      </w:r>
    </w:p>
    <w:p w:rsidR="004F64C1" w:rsidRPr="00A64903" w:rsidP="001F4DFB">
      <w:pPr>
        <w:numPr>
          <w:ilvl w:val="0"/>
          <w:numId w:val="12"/>
        </w:numPr>
        <w:spacing w:after="200" w:line="276" w:lineRule="auto"/>
        <w:contextualSpacing/>
        <w:jc w:val="both"/>
        <w:rPr>
          <w:sz w:val="22"/>
          <w:szCs w:val="22"/>
        </w:rPr>
      </w:pPr>
      <w:r w:rsidRPr="00A64903">
        <w:rPr>
          <w:sz w:val="22"/>
          <w:szCs w:val="22"/>
        </w:rPr>
        <w:t>Improve social care outcomes through an affordable, high quality and sustainable adult social care system.</w:t>
      </w:r>
    </w:p>
    <w:p w:rsidR="004F64C1" w:rsidRPr="00A64903" w:rsidP="004F64C1">
      <w:pPr>
        <w:spacing w:after="200" w:line="276" w:lineRule="auto"/>
        <w:ind w:left="1080"/>
        <w:contextualSpacing/>
        <w:jc w:val="both"/>
        <w:rPr>
          <w:sz w:val="22"/>
          <w:szCs w:val="22"/>
        </w:rPr>
      </w:pPr>
      <w:bookmarkEnd w:id="1"/>
    </w:p>
    <w:p w:rsidR="00A64903" w:rsidRPr="008A08B5" w:rsidP="00A64903">
      <w:pPr>
        <w:spacing w:after="200" w:line="276" w:lineRule="auto"/>
        <w:ind w:left="720"/>
        <w:contextualSpacing/>
        <w:jc w:val="both"/>
        <w:rPr>
          <w:sz w:val="22"/>
          <w:szCs w:val="22"/>
        </w:rPr>
      </w:pPr>
      <w:r>
        <w:rPr>
          <w:sz w:val="22"/>
          <w:szCs w:val="22"/>
        </w:rPr>
        <w:t xml:space="preserve">Please note </w:t>
      </w:r>
      <w:r w:rsidRPr="006A7BEA" w:rsidR="00F1575C">
        <w:rPr>
          <w:sz w:val="22"/>
          <w:szCs w:val="22"/>
        </w:rPr>
        <w:t>updated</w:t>
      </w:r>
      <w:r w:rsidRPr="006A7BEA">
        <w:rPr>
          <w:sz w:val="22"/>
          <w:szCs w:val="22"/>
        </w:rPr>
        <w:t xml:space="preserve"> objectiv</w:t>
      </w:r>
      <w:r>
        <w:rPr>
          <w:sz w:val="22"/>
          <w:szCs w:val="22"/>
        </w:rPr>
        <w:t>es are to be published later in 2022-23</w:t>
      </w:r>
    </w:p>
    <w:p w:rsidR="004F64C1" w:rsidRPr="005210B3" w:rsidP="004F64C1">
      <w:pPr>
        <w:spacing w:after="200"/>
        <w:contextualSpacing/>
        <w:rPr>
          <w:rFonts w:eastAsiaTheme="minorHAnsi" w:cs="Arial"/>
          <w:sz w:val="22"/>
          <w:szCs w:val="22"/>
          <w:lang w:eastAsia="en-US"/>
        </w:rPr>
      </w:pPr>
      <w:bookmarkEnd w:id="0"/>
    </w:p>
    <w:p w:rsidR="004F64C1" w:rsidRPr="00565172" w:rsidP="001F4DFB">
      <w:pPr>
        <w:numPr>
          <w:ilvl w:val="1"/>
          <w:numId w:val="4"/>
        </w:numPr>
        <w:spacing w:after="120" w:line="276" w:lineRule="auto"/>
        <w:ind w:left="567" w:hanging="567"/>
        <w:rPr>
          <w:rFonts w:eastAsia="Calibri" w:cs="Arial"/>
          <w:sz w:val="22"/>
          <w:szCs w:val="22"/>
        </w:rPr>
      </w:pPr>
      <w:r w:rsidRPr="00565172">
        <w:rPr>
          <w:rFonts w:eastAsia="Calibri" w:cs="Arial"/>
          <w:b/>
          <w:sz w:val="22"/>
          <w:szCs w:val="22"/>
        </w:rPr>
        <w:t>Spending Controls</w:t>
      </w:r>
    </w:p>
    <w:p w:rsidR="004F64C1" w:rsidRPr="00565172" w:rsidP="004F64C1">
      <w:pPr>
        <w:ind w:left="567"/>
        <w:jc w:val="both"/>
        <w:rPr>
          <w:rFonts w:eastAsia="Calibri" w:cs="Arial"/>
          <w:sz w:val="22"/>
          <w:szCs w:val="22"/>
        </w:rPr>
      </w:pPr>
      <w:r w:rsidRPr="00565172">
        <w:rPr>
          <w:rFonts w:eastAsia="Calibri" w:cs="Arial"/>
          <w:sz w:val="22"/>
          <w:szCs w:val="22"/>
        </w:rPr>
        <w:t>DHSC’s spending is broken down into the different spending totals, for which Parliament’s approval is sought.  The spending totals which Parliament votes are:</w:t>
      </w:r>
    </w:p>
    <w:p w:rsidR="004F64C1" w:rsidRPr="00565172" w:rsidP="004F64C1">
      <w:pPr>
        <w:ind w:left="567"/>
        <w:jc w:val="both"/>
        <w:rPr>
          <w:rFonts w:eastAsia="Calibri" w:cs="Arial"/>
          <w:sz w:val="22"/>
          <w:szCs w:val="22"/>
        </w:rPr>
      </w:pPr>
    </w:p>
    <w:p w:rsidR="004F64C1" w:rsidRPr="00565172" w:rsidP="001F4DFB">
      <w:pPr>
        <w:numPr>
          <w:ilvl w:val="0"/>
          <w:numId w:val="6"/>
        </w:numPr>
        <w:spacing w:after="200" w:line="276" w:lineRule="auto"/>
        <w:contextualSpacing/>
        <w:jc w:val="both"/>
        <w:rPr>
          <w:rFonts w:eastAsia="Calibri" w:cs="Arial"/>
          <w:sz w:val="22"/>
          <w:szCs w:val="22"/>
        </w:rPr>
      </w:pPr>
      <w:r w:rsidRPr="00565172">
        <w:rPr>
          <w:rFonts w:eastAsia="Calibri" w:cs="Arial"/>
          <w:sz w:val="22"/>
          <w:szCs w:val="22"/>
        </w:rPr>
        <w:t>Resource Departmental Expenditure Limit (Resource DEL) – day to day running costs;</w:t>
      </w:r>
    </w:p>
    <w:p w:rsidR="004F64C1" w:rsidRPr="00565172" w:rsidP="001F4DFB">
      <w:pPr>
        <w:numPr>
          <w:ilvl w:val="0"/>
          <w:numId w:val="6"/>
        </w:numPr>
        <w:spacing w:after="200" w:line="276" w:lineRule="auto"/>
        <w:contextualSpacing/>
        <w:jc w:val="both"/>
        <w:rPr>
          <w:rFonts w:eastAsia="Calibri" w:cs="Arial"/>
          <w:sz w:val="22"/>
          <w:szCs w:val="22"/>
        </w:rPr>
      </w:pPr>
      <w:r w:rsidRPr="00565172">
        <w:rPr>
          <w:rFonts w:eastAsia="Calibri" w:cs="Arial"/>
          <w:sz w:val="22"/>
          <w:szCs w:val="22"/>
        </w:rPr>
        <w:t>Capital Departmental Expenditure Limit (Capital DEL) – investment in infrastructure;</w:t>
      </w:r>
    </w:p>
    <w:p w:rsidR="004F64C1" w:rsidRPr="00565172" w:rsidP="001F4DFB">
      <w:pPr>
        <w:numPr>
          <w:ilvl w:val="0"/>
          <w:numId w:val="6"/>
        </w:numPr>
        <w:spacing w:after="200" w:line="276" w:lineRule="auto"/>
        <w:contextualSpacing/>
        <w:jc w:val="both"/>
        <w:rPr>
          <w:rFonts w:eastAsia="Calibri" w:cs="Arial"/>
          <w:sz w:val="22"/>
          <w:szCs w:val="22"/>
        </w:rPr>
      </w:pPr>
      <w:r w:rsidRPr="00565172">
        <w:rPr>
          <w:rFonts w:eastAsia="Calibri" w:cs="Arial"/>
          <w:sz w:val="22"/>
          <w:szCs w:val="22"/>
        </w:rPr>
        <w:t>Resource Annually Managed Expenditure (Resource AME) –</w:t>
      </w:r>
      <w:r>
        <w:rPr>
          <w:rFonts w:eastAsia="Calibri" w:cs="Arial"/>
          <w:sz w:val="22"/>
          <w:szCs w:val="22"/>
        </w:rPr>
        <w:t xml:space="preserve"> non-fiscal less predictable expenditure,</w:t>
      </w:r>
      <w:r w:rsidRPr="00565172">
        <w:rPr>
          <w:rFonts w:eastAsia="Calibri" w:cs="Arial"/>
          <w:sz w:val="22"/>
          <w:szCs w:val="22"/>
        </w:rPr>
        <w:t xml:space="preserve"> in DHSC</w:t>
      </w:r>
      <w:r>
        <w:rPr>
          <w:rFonts w:eastAsia="Calibri" w:cs="Arial"/>
          <w:sz w:val="22"/>
          <w:szCs w:val="22"/>
        </w:rPr>
        <w:t>’</w:t>
      </w:r>
      <w:r w:rsidRPr="00565172">
        <w:rPr>
          <w:rFonts w:eastAsia="Calibri" w:cs="Arial"/>
          <w:sz w:val="22"/>
          <w:szCs w:val="22"/>
        </w:rPr>
        <w:t>s case this is mainly litigation provisions for clinical negligence cases managed by NHS Resolution (NHSR); and</w:t>
      </w:r>
    </w:p>
    <w:p w:rsidR="004F64C1" w:rsidRPr="00565172" w:rsidP="001F4DFB">
      <w:pPr>
        <w:numPr>
          <w:ilvl w:val="0"/>
          <w:numId w:val="6"/>
        </w:numPr>
        <w:spacing w:after="200" w:line="276" w:lineRule="auto"/>
        <w:contextualSpacing/>
        <w:jc w:val="both"/>
        <w:rPr>
          <w:rFonts w:eastAsia="Calibri" w:cs="Arial"/>
          <w:sz w:val="22"/>
          <w:szCs w:val="22"/>
        </w:rPr>
      </w:pPr>
      <w:r w:rsidRPr="00565172">
        <w:rPr>
          <w:rFonts w:eastAsia="Calibri" w:cs="Arial"/>
          <w:sz w:val="22"/>
          <w:szCs w:val="22"/>
        </w:rPr>
        <w:t>Capital Annually Managed Expenditure (Capital AME) – in DHSC’s case this covers the specific budgeting treatment relating to</w:t>
      </w:r>
      <w:r w:rsidR="007A7B0E">
        <w:rPr>
          <w:rFonts w:eastAsia="Calibri" w:cs="Arial"/>
          <w:sz w:val="22"/>
          <w:szCs w:val="22"/>
        </w:rPr>
        <w:t xml:space="preserve"> IFRS16</w:t>
      </w:r>
      <w:r w:rsidRPr="00565172">
        <w:rPr>
          <w:rFonts w:eastAsia="Calibri" w:cs="Arial"/>
          <w:sz w:val="22"/>
          <w:szCs w:val="22"/>
        </w:rPr>
        <w:t>.</w:t>
      </w:r>
    </w:p>
    <w:p w:rsidR="004F64C1" w:rsidRPr="00565172" w:rsidP="004F64C1">
      <w:pPr>
        <w:ind w:left="567"/>
        <w:jc w:val="both"/>
        <w:rPr>
          <w:rFonts w:eastAsia="Calibri" w:cs="Arial"/>
          <w:sz w:val="22"/>
          <w:szCs w:val="22"/>
        </w:rPr>
      </w:pPr>
    </w:p>
    <w:p w:rsidR="004F64C1" w:rsidRPr="00565172" w:rsidP="004F64C1">
      <w:pPr>
        <w:ind w:left="567"/>
        <w:jc w:val="both"/>
        <w:rPr>
          <w:rFonts w:eastAsia="Calibri" w:cs="Arial"/>
          <w:sz w:val="22"/>
          <w:szCs w:val="22"/>
        </w:rPr>
      </w:pPr>
      <w:r w:rsidRPr="00565172">
        <w:rPr>
          <w:rFonts w:eastAsia="Calibri" w:cs="Arial"/>
          <w:sz w:val="22"/>
          <w:szCs w:val="22"/>
        </w:rPr>
        <w:t>In addition, Parliament votes a net cash requirement, designed to cover the elements of the above budgets which require the DHSC Departmental group to pay out cash in year.</w:t>
      </w:r>
      <w:r>
        <w:rPr>
          <w:rFonts w:eastAsia="Calibri" w:cs="Arial"/>
          <w:sz w:val="22"/>
          <w:szCs w:val="22"/>
        </w:rPr>
        <w:t xml:space="preserve"> </w:t>
      </w:r>
    </w:p>
    <w:p w:rsidR="004F64C1" w:rsidP="004F64C1">
      <w:pPr>
        <w:ind w:left="567"/>
        <w:rPr>
          <w:rFonts w:eastAsia="Calibri" w:cs="Arial"/>
          <w:sz w:val="22"/>
          <w:szCs w:val="22"/>
        </w:rPr>
      </w:pPr>
    </w:p>
    <w:p w:rsidR="00207561">
      <w:pPr>
        <w:rPr>
          <w:rFonts w:eastAsia="Calibri" w:cs="Arial"/>
          <w:sz w:val="22"/>
          <w:szCs w:val="22"/>
        </w:rPr>
      </w:pPr>
      <w:r>
        <w:rPr>
          <w:rFonts w:eastAsia="Calibri" w:cs="Arial"/>
          <w:sz w:val="22"/>
          <w:szCs w:val="22"/>
        </w:rPr>
        <w:br w:type="page"/>
      </w:r>
    </w:p>
    <w:p w:rsidR="004F64C1" w:rsidP="004F64C1">
      <w:pPr>
        <w:rPr>
          <w:rFonts w:eastAsia="Calibri" w:cs="Arial"/>
          <w:sz w:val="22"/>
          <w:szCs w:val="22"/>
        </w:rPr>
      </w:pPr>
    </w:p>
    <w:p w:rsidR="004F64C1" w:rsidRPr="00565172" w:rsidP="001F4DFB">
      <w:pPr>
        <w:numPr>
          <w:ilvl w:val="1"/>
          <w:numId w:val="4"/>
        </w:numPr>
        <w:spacing w:after="120" w:line="276" w:lineRule="auto"/>
        <w:ind w:left="567" w:hanging="567"/>
        <w:rPr>
          <w:rFonts w:eastAsia="Calibri" w:cs="Arial"/>
          <w:sz w:val="22"/>
          <w:szCs w:val="22"/>
        </w:rPr>
      </w:pPr>
      <w:r w:rsidRPr="00565172">
        <w:rPr>
          <w:rFonts w:eastAsia="Calibri" w:cs="Arial"/>
          <w:b/>
          <w:sz w:val="22"/>
          <w:szCs w:val="22"/>
        </w:rPr>
        <w:t>Main Areas of Spending</w:t>
      </w:r>
    </w:p>
    <w:p w:rsidR="004F64C1" w:rsidP="004F64C1">
      <w:pPr>
        <w:ind w:left="567"/>
        <w:jc w:val="both"/>
        <w:rPr>
          <w:rFonts w:eastAsia="Calibri" w:cs="Arial"/>
          <w:sz w:val="22"/>
          <w:szCs w:val="22"/>
        </w:rPr>
      </w:pPr>
      <w:r w:rsidRPr="00565172">
        <w:rPr>
          <w:rFonts w:eastAsia="Calibri" w:cs="Arial"/>
          <w:sz w:val="22"/>
          <w:szCs w:val="22"/>
        </w:rPr>
        <w:t>The graphics below show the main components of DHSC’s proposed Resource DEL, Capital DEL and Resource AME spending plans, included in the latest</w:t>
      </w:r>
      <w:r>
        <w:rPr>
          <w:rFonts w:eastAsia="Calibri" w:cs="Arial"/>
          <w:sz w:val="22"/>
          <w:szCs w:val="22"/>
        </w:rPr>
        <w:t xml:space="preserve"> Main</w:t>
      </w:r>
      <w:r w:rsidRPr="00565172">
        <w:rPr>
          <w:rFonts w:eastAsia="Calibri" w:cs="Arial"/>
          <w:sz w:val="22"/>
          <w:szCs w:val="22"/>
        </w:rPr>
        <w:t xml:space="preserve"> Estimate, and the proportions spent by the different bodies within the group. The letters in the graphics below denote the letter attributed to each Estimate Subhead.</w:t>
      </w:r>
    </w:p>
    <w:p w:rsidR="004F64C1" w:rsidP="004F64C1">
      <w:pPr>
        <w:ind w:left="567"/>
        <w:jc w:val="both"/>
        <w:rPr>
          <w:rFonts w:eastAsia="Calibri" w:cs="Arial"/>
          <w:sz w:val="22"/>
          <w:szCs w:val="22"/>
        </w:rPr>
      </w:pPr>
    </w:p>
    <w:p w:rsidR="004F64C1" w:rsidP="004F64C1">
      <w:pPr>
        <w:ind w:left="567"/>
        <w:jc w:val="both"/>
        <w:rPr>
          <w:rFonts w:eastAsia="Calibri" w:cs="Arial"/>
          <w:sz w:val="22"/>
          <w:szCs w:val="22"/>
        </w:rPr>
      </w:pPr>
      <w:r w:rsidRPr="00B24D78">
        <w:rPr>
          <w:rFonts w:eastAsia="Calibri" w:cs="Arial"/>
          <w:sz w:val="22"/>
          <w:szCs w:val="22"/>
        </w:rPr>
        <w:t>Further details are included in paragraphs 1.8 and 2.1.</w:t>
      </w:r>
      <w:r>
        <w:rPr>
          <w:rFonts w:eastAsia="Calibri" w:cs="Arial"/>
          <w:sz w:val="22"/>
          <w:szCs w:val="22"/>
        </w:rPr>
        <w:t xml:space="preserve"> </w:t>
      </w:r>
    </w:p>
    <w:p w:rsidR="004C60A5" w:rsidRPr="00565172" w:rsidP="004F64C1">
      <w:pPr>
        <w:ind w:left="567"/>
        <w:jc w:val="both"/>
        <w:rPr>
          <w:rFonts w:eastAsia="Calibri" w:cs="Arial"/>
          <w:sz w:val="22"/>
          <w:szCs w:val="22"/>
        </w:rPr>
      </w:pPr>
    </w:p>
    <w:p w:rsidR="004F64C1" w:rsidP="004F64C1">
      <w:pPr>
        <w:ind w:left="567"/>
        <w:rPr>
          <w:rFonts w:eastAsia="Calibri" w:cs="Arial"/>
          <w:sz w:val="22"/>
          <w:szCs w:val="22"/>
        </w:rPr>
      </w:pPr>
      <w:r>
        <w:rPr>
          <w:noProof/>
        </w:rPr>
        <w:drawing>
          <wp:inline distT="0" distB="0" distL="0" distR="0">
            <wp:extent cx="5855250" cy="4312424"/>
            <wp:effectExtent l="0" t="0" r="12700" b="12065"/>
            <wp:docPr id="1" name="Chart 1"/>
            <wp:cNvGraphicFramePr>
              <a:graphicFrameLocks xmlns:a="http://schemas.openxmlformats.org/drawingml/2006/main" noChangeAspect="1" noGrp="1" noMove="1" noSelect="1"/>
            </wp:cNvGraphicFramePr>
            <a:graphic xmlns:a="http://schemas.openxmlformats.org/drawingml/2006/main">
              <a:graphicData uri="http://schemas.openxmlformats.org/drawingml/2006/picture">
                <pic:pic xmlns:pic="http://schemas.openxmlformats.org/drawingml/2006/picture">
                  <pic:nvPicPr>
                    <pic:cNvPr id="1" name="Chart 1">
                      <a:extLst>
                        <a:ext uri="{FF2B5EF4-FFF2-40B4-BE49-F238E27FC236}">
                          <a16:creationId xmlns:a16="http://schemas.microsoft.com/office/drawing/2014/main" id="{22F34877-A2B9-4B4E-8E69-EB0A707085FB}"/>
                        </a:ext>
                      </a:extLst>
                    </pic:cNvPr>
                    <pic:cNvPicPr>
                      <a:picLocks noGrp="1" noRot="1" noChangeAspect="1" noMove="1" noResize="1" noEditPoints="1" noAdjustHandles="1" noChangeArrowheads="1" noChangeShapeType="1"/>
                    </pic:cNvPicPr>
                  </pic:nvPicPr>
                  <pic:blipFill>
                    <a:blip xmlns:r="http://schemas.openxmlformats.org/officeDocument/2006/relationships" r:embed="rId10"/>
                    <a:stretch>
                      <a:fillRect/>
                    </a:stretch>
                  </pic:blipFill>
                  <pic:spPr>
                    <a:xfrm>
                      <a:off x="0" y="0"/>
                      <a:ext cx="5854700" cy="4312285"/>
                    </a:xfrm>
                    <a:prstGeom prst="rect">
                      <a:avLst/>
                    </a:prstGeom>
                  </pic:spPr>
                </pic:pic>
              </a:graphicData>
            </a:graphic>
          </wp:inline>
        </w:drawing>
      </w:r>
    </w:p>
    <w:p w:rsidR="004F64C1" w:rsidRPr="00565172" w:rsidP="0086658B">
      <w:pPr>
        <w:jc w:val="both"/>
        <w:rPr>
          <w:rFonts w:eastAsiaTheme="minorHAnsi" w:cs="Arial"/>
          <w:sz w:val="22"/>
          <w:szCs w:val="22"/>
          <w:lang w:eastAsia="en-US"/>
        </w:rPr>
      </w:pPr>
      <w:r w:rsidRPr="00565172">
        <w:rPr>
          <w:rFonts w:eastAsiaTheme="minorHAnsi" w:cs="Arial"/>
          <w:sz w:val="22"/>
          <w:szCs w:val="22"/>
          <w:lang w:eastAsia="en-US"/>
        </w:rPr>
        <w:t>* NHS – this section represents the funding available for the NHS and consists of the following Estimate lines:</w:t>
      </w:r>
    </w:p>
    <w:p w:rsidR="004F64C1" w:rsidRPr="00565172" w:rsidP="0086658B">
      <w:pPr>
        <w:spacing w:after="200" w:line="276" w:lineRule="auto"/>
        <w:contextualSpacing/>
        <w:jc w:val="both"/>
        <w:rPr>
          <w:rFonts w:eastAsiaTheme="minorHAnsi" w:cs="Arial"/>
          <w:sz w:val="22"/>
          <w:szCs w:val="22"/>
          <w:lang w:eastAsia="en-US"/>
        </w:rPr>
      </w:pPr>
      <w:r w:rsidRPr="00565172">
        <w:rPr>
          <w:rFonts w:eastAsiaTheme="minorHAnsi" w:cs="Arial"/>
          <w:sz w:val="22"/>
          <w:szCs w:val="22"/>
          <w:lang w:eastAsia="en-US"/>
        </w:rPr>
        <w:t>A – NHS Commissioning Board (known as NHS England);</w:t>
      </w:r>
    </w:p>
    <w:p w:rsidR="004F64C1" w:rsidRPr="00565172" w:rsidP="0086658B">
      <w:pPr>
        <w:spacing w:after="200" w:line="276" w:lineRule="auto"/>
        <w:contextualSpacing/>
        <w:jc w:val="both"/>
        <w:rPr>
          <w:rFonts w:eastAsiaTheme="minorHAnsi" w:cs="Arial"/>
          <w:sz w:val="22"/>
          <w:szCs w:val="22"/>
          <w:lang w:eastAsia="en-US"/>
        </w:rPr>
      </w:pPr>
      <w:r w:rsidRPr="00565172">
        <w:rPr>
          <w:rFonts w:eastAsiaTheme="minorHAnsi" w:cs="Arial"/>
          <w:sz w:val="22"/>
          <w:szCs w:val="22"/>
          <w:lang w:eastAsia="en-US"/>
        </w:rPr>
        <w:t>B – NHS Providers; and</w:t>
      </w:r>
    </w:p>
    <w:p w:rsidR="004F64C1" w:rsidRPr="00565172" w:rsidP="0086658B">
      <w:pPr>
        <w:spacing w:after="200" w:line="276" w:lineRule="auto"/>
        <w:contextualSpacing/>
        <w:jc w:val="both"/>
        <w:rPr>
          <w:rFonts w:eastAsiaTheme="minorHAnsi" w:cs="Arial"/>
          <w:sz w:val="22"/>
          <w:szCs w:val="22"/>
          <w:lang w:eastAsia="en-US"/>
        </w:rPr>
      </w:pPr>
      <w:r w:rsidRPr="00565172">
        <w:rPr>
          <w:rFonts w:eastAsiaTheme="minorHAnsi" w:cs="Arial"/>
          <w:sz w:val="22"/>
          <w:szCs w:val="22"/>
          <w:lang w:eastAsia="en-US"/>
        </w:rPr>
        <w:t>J – NHS Commissioning Board (known as NHS England) net expenditure financed from National Insurance Contributions.</w:t>
      </w:r>
    </w:p>
    <w:p w:rsidR="004F64C1" w:rsidRPr="00565172" w:rsidP="0086658B">
      <w:pPr>
        <w:jc w:val="both"/>
        <w:rPr>
          <w:rFonts w:eastAsiaTheme="minorHAnsi" w:cs="Arial"/>
          <w:sz w:val="22"/>
          <w:szCs w:val="22"/>
          <w:lang w:eastAsia="en-US"/>
        </w:rPr>
      </w:pPr>
      <w:r w:rsidRPr="00565172">
        <w:rPr>
          <w:rFonts w:eastAsiaTheme="minorHAnsi" w:cs="Arial"/>
          <w:sz w:val="22"/>
          <w:szCs w:val="22"/>
          <w:lang w:eastAsia="en-US"/>
        </w:rPr>
        <w:t xml:space="preserve">Details of the spending plans for each Estimate line can be </w:t>
      </w:r>
      <w:r w:rsidRPr="00B24D78">
        <w:rPr>
          <w:rFonts w:eastAsiaTheme="minorHAnsi" w:cs="Arial"/>
          <w:sz w:val="22"/>
          <w:szCs w:val="22"/>
          <w:lang w:eastAsia="en-US"/>
        </w:rPr>
        <w:t>found in section 2.1.</w:t>
      </w:r>
    </w:p>
    <w:p w:rsidR="004F64C1" w:rsidP="0086658B">
      <w:pPr>
        <w:jc w:val="both"/>
        <w:rPr>
          <w:rFonts w:eastAsiaTheme="minorHAnsi" w:cs="Arial"/>
          <w:sz w:val="22"/>
          <w:szCs w:val="22"/>
          <w:lang w:eastAsia="en-US"/>
        </w:rPr>
      </w:pPr>
      <w:r w:rsidRPr="00565172">
        <w:rPr>
          <w:rFonts w:eastAsiaTheme="minorHAnsi" w:cs="Arial"/>
          <w:sz w:val="22"/>
          <w:szCs w:val="22"/>
          <w:lang w:eastAsia="en-US"/>
        </w:rPr>
        <w:t>Please note the core funding for NHS Improvement (NHS TDA and Monitor) is not currently included in the *NHS funding block above. Instead it is included in block G (NHS TDA) and block H (Monitor).</w:t>
      </w:r>
    </w:p>
    <w:p w:rsidR="004F64C1" w:rsidRPr="00565172" w:rsidP="004F64C1">
      <w:pPr>
        <w:ind w:firstLine="567"/>
        <w:contextualSpacing/>
        <w:rPr>
          <w:rFonts w:eastAsiaTheme="minorHAnsi" w:cs="Arial"/>
          <w:sz w:val="22"/>
          <w:szCs w:val="22"/>
          <w:lang w:eastAsia="en-US"/>
        </w:rPr>
      </w:pPr>
    </w:p>
    <w:p w:rsidR="004F64C1" w:rsidRPr="00565172" w:rsidP="004F64C1">
      <w:pPr>
        <w:ind w:left="567"/>
        <w:rPr>
          <w:rFonts w:eastAsiaTheme="minorHAnsi" w:cs="Arial"/>
          <w:sz w:val="22"/>
          <w:szCs w:val="22"/>
          <w:highlight w:val="yellow"/>
          <w:lang w:eastAsia="en-US"/>
        </w:rPr>
      </w:pPr>
      <w:r w:rsidRPr="00565172">
        <w:rPr>
          <w:rFonts w:eastAsiaTheme="minorHAnsi" w:cs="Arial"/>
          <w:sz w:val="22"/>
          <w:szCs w:val="22"/>
          <w:lang w:eastAsia="en-US"/>
        </w:rPr>
        <w:t xml:space="preserve">              </w:t>
      </w:r>
    </w:p>
    <w:p w:rsidR="004F64C1" w:rsidP="004F64C1">
      <w:pPr>
        <w:ind w:left="720"/>
        <w:jc w:val="both"/>
        <w:rPr>
          <w:rFonts w:eastAsiaTheme="minorHAnsi" w:cs="Arial"/>
          <w:sz w:val="22"/>
          <w:szCs w:val="22"/>
          <w:lang w:eastAsia="en-US"/>
        </w:rPr>
      </w:pPr>
      <w:r>
        <w:rPr>
          <w:rFonts w:eastAsiaTheme="minorHAnsi" w:cs="Arial"/>
          <w:noProof/>
          <w:sz w:val="22"/>
          <w:szCs w:val="22"/>
          <w:lang w:eastAsia="en-US"/>
        </w:rPr>
        <w:drawing>
          <wp:inline distT="0" distB="0" distL="0" distR="0">
            <wp:extent cx="5852795" cy="4316095"/>
            <wp:effectExtent l="0" t="0" r="0" b="825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xmlns:r="http://schemas.openxmlformats.org/officeDocument/2006/relationships" r:embed="rId11">
                      <a:extLst>
                        <a:ext uri="{28A0092B-C50C-407E-A947-70E740481C1C}">
                          <a14:useLocalDpi xmlns:a14="http://schemas.microsoft.com/office/drawing/2010/main" val="0"/>
                        </a:ext>
                      </a:extLst>
                    </a:blip>
                    <a:srcRect/>
                    <a:stretch>
                      <a:fillRect/>
                    </a:stretch>
                  </pic:blipFill>
                  <pic:spPr bwMode="auto">
                    <a:xfrm>
                      <a:off x="0" y="0"/>
                      <a:ext cx="5852795" cy="4316095"/>
                    </a:xfrm>
                    <a:prstGeom prst="rect">
                      <a:avLst/>
                    </a:prstGeom>
                    <a:noFill/>
                  </pic:spPr>
                </pic:pic>
              </a:graphicData>
            </a:graphic>
          </wp:inline>
        </w:drawing>
      </w:r>
    </w:p>
    <w:p w:rsidR="004F64C1" w:rsidP="00207561">
      <w:pPr>
        <w:jc w:val="both"/>
        <w:rPr>
          <w:rFonts w:eastAsiaTheme="minorHAnsi" w:cs="Arial"/>
          <w:sz w:val="22"/>
          <w:szCs w:val="22"/>
          <w:lang w:eastAsia="en-US"/>
        </w:rPr>
      </w:pPr>
      <w:r>
        <w:rPr>
          <w:rFonts w:eastAsiaTheme="minorHAnsi" w:cs="Arial"/>
          <w:sz w:val="22"/>
          <w:szCs w:val="22"/>
          <w:lang w:eastAsia="en-US"/>
        </w:rPr>
        <w:t>P</w:t>
      </w:r>
      <w:r w:rsidRPr="00565172">
        <w:rPr>
          <w:rFonts w:eastAsiaTheme="minorHAnsi" w:cs="Arial"/>
          <w:sz w:val="22"/>
          <w:szCs w:val="22"/>
          <w:lang w:eastAsia="en-US"/>
        </w:rPr>
        <w:t xml:space="preserve">lease </w:t>
      </w:r>
      <w:r w:rsidRPr="00B24D78">
        <w:rPr>
          <w:rFonts w:eastAsiaTheme="minorHAnsi" w:cs="Arial"/>
          <w:sz w:val="22"/>
          <w:szCs w:val="22"/>
          <w:lang w:eastAsia="en-US"/>
        </w:rPr>
        <w:t>note the capital for Health Education England (line F) is not shown in this illustration due to relatively small size of the budget (£2m).  Details of the spending plans for each Estimate line can be found in section 2.1.</w:t>
      </w:r>
    </w:p>
    <w:p w:rsidR="00207561" w:rsidP="004F64C1">
      <w:pPr>
        <w:ind w:left="720"/>
        <w:jc w:val="both"/>
        <w:rPr>
          <w:rFonts w:eastAsiaTheme="minorHAnsi" w:cs="Arial"/>
          <w:sz w:val="22"/>
          <w:szCs w:val="22"/>
          <w:lang w:eastAsia="en-US"/>
        </w:rPr>
      </w:pPr>
    </w:p>
    <w:p w:rsidR="004F64C1" w:rsidRPr="00565172" w:rsidP="004F64C1">
      <w:pPr>
        <w:ind w:left="567"/>
        <w:rPr>
          <w:rFonts w:eastAsiaTheme="minorHAnsi" w:cs="Arial"/>
          <w:sz w:val="22"/>
          <w:szCs w:val="22"/>
          <w:lang w:eastAsia="en-US"/>
        </w:rPr>
      </w:pPr>
      <w:r>
        <w:rPr>
          <w:rFonts w:eastAsiaTheme="minorHAnsi" w:cs="Arial"/>
          <w:noProof/>
          <w:sz w:val="22"/>
          <w:szCs w:val="22"/>
          <w:lang w:eastAsia="en-US"/>
        </w:rPr>
        <w:drawing>
          <wp:inline distT="0" distB="0" distL="0" distR="0">
            <wp:extent cx="5852795" cy="4322445"/>
            <wp:effectExtent l="0" t="0" r="0" b="190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xmlns:r="http://schemas.openxmlformats.org/officeDocument/2006/relationships" r:embed="rId12">
                      <a:extLst>
                        <a:ext uri="{28A0092B-C50C-407E-A947-70E740481C1C}">
                          <a14:useLocalDpi xmlns:a14="http://schemas.microsoft.com/office/drawing/2010/main" val="0"/>
                        </a:ext>
                      </a:extLst>
                    </a:blip>
                    <a:srcRect/>
                    <a:stretch>
                      <a:fillRect/>
                    </a:stretch>
                  </pic:blipFill>
                  <pic:spPr bwMode="auto">
                    <a:xfrm>
                      <a:off x="0" y="0"/>
                      <a:ext cx="5852795" cy="4322445"/>
                    </a:xfrm>
                    <a:prstGeom prst="rect">
                      <a:avLst/>
                    </a:prstGeom>
                    <a:noFill/>
                  </pic:spPr>
                </pic:pic>
              </a:graphicData>
            </a:graphic>
          </wp:inline>
        </w:drawing>
      </w:r>
    </w:p>
    <w:p w:rsidR="004F64C1" w:rsidRPr="00565172" w:rsidP="004F64C1">
      <w:pPr>
        <w:ind w:left="720"/>
        <w:rPr>
          <w:rFonts w:eastAsiaTheme="minorHAnsi" w:cs="Arial"/>
          <w:sz w:val="22"/>
          <w:szCs w:val="22"/>
          <w:lang w:eastAsia="en-US"/>
        </w:rPr>
      </w:pPr>
    </w:p>
    <w:p w:rsidR="004F64C1" w:rsidRPr="00565172" w:rsidP="001F4DFB">
      <w:pPr>
        <w:numPr>
          <w:ilvl w:val="1"/>
          <w:numId w:val="4"/>
        </w:numPr>
        <w:spacing w:after="120" w:line="276" w:lineRule="auto"/>
        <w:ind w:left="567" w:hanging="567"/>
        <w:rPr>
          <w:rFonts w:eastAsia="Calibri" w:cs="Arial"/>
          <w:sz w:val="22"/>
          <w:szCs w:val="22"/>
        </w:rPr>
      </w:pPr>
      <w:r w:rsidRPr="00565172">
        <w:rPr>
          <w:rFonts w:eastAsia="Calibri" w:cs="Arial"/>
          <w:b/>
          <w:sz w:val="22"/>
          <w:szCs w:val="22"/>
        </w:rPr>
        <w:t>Comparison of Spending Totals Sought</w:t>
      </w:r>
    </w:p>
    <w:p w:rsidR="004F64C1" w:rsidP="004F64C1">
      <w:pPr>
        <w:ind w:left="567"/>
        <w:rPr>
          <w:rFonts w:eastAsiaTheme="minorHAnsi" w:cs="Arial"/>
          <w:sz w:val="22"/>
          <w:szCs w:val="22"/>
          <w:lang w:eastAsia="en-US"/>
        </w:rPr>
      </w:pPr>
      <w:r w:rsidRPr="00565172">
        <w:rPr>
          <w:rFonts w:eastAsiaTheme="minorHAnsi" w:cs="Arial"/>
          <w:sz w:val="22"/>
          <w:szCs w:val="22"/>
          <w:lang w:eastAsia="en-US"/>
        </w:rPr>
        <w:t>The table below shows how the 202</w:t>
      </w:r>
      <w:r w:rsidR="00B92912">
        <w:rPr>
          <w:rFonts w:eastAsiaTheme="minorHAnsi" w:cs="Arial"/>
          <w:sz w:val="22"/>
          <w:szCs w:val="22"/>
          <w:lang w:eastAsia="en-US"/>
        </w:rPr>
        <w:t>2-23</w:t>
      </w:r>
      <w:r w:rsidRPr="00565172">
        <w:rPr>
          <w:rFonts w:eastAsiaTheme="minorHAnsi" w:cs="Arial"/>
          <w:sz w:val="22"/>
          <w:szCs w:val="22"/>
          <w:lang w:eastAsia="en-US"/>
        </w:rPr>
        <w:t xml:space="preserve"> </w:t>
      </w:r>
      <w:r>
        <w:rPr>
          <w:rFonts w:eastAsiaTheme="minorHAnsi" w:cs="Arial"/>
          <w:sz w:val="22"/>
          <w:szCs w:val="22"/>
          <w:lang w:eastAsia="en-US"/>
        </w:rPr>
        <w:t xml:space="preserve">Main </w:t>
      </w:r>
      <w:r w:rsidRPr="00565172">
        <w:rPr>
          <w:rFonts w:eastAsiaTheme="minorHAnsi" w:cs="Arial"/>
          <w:sz w:val="22"/>
          <w:szCs w:val="22"/>
          <w:lang w:eastAsia="en-US"/>
        </w:rPr>
        <w:t xml:space="preserve">Supply Estimate spending plans compare with the </w:t>
      </w:r>
      <w:r>
        <w:rPr>
          <w:rFonts w:eastAsiaTheme="minorHAnsi" w:cs="Arial"/>
          <w:sz w:val="22"/>
          <w:szCs w:val="22"/>
          <w:lang w:eastAsia="en-US"/>
        </w:rPr>
        <w:t>202</w:t>
      </w:r>
      <w:r w:rsidR="003D167F">
        <w:rPr>
          <w:rFonts w:eastAsiaTheme="minorHAnsi" w:cs="Arial"/>
          <w:sz w:val="22"/>
          <w:szCs w:val="22"/>
          <w:lang w:eastAsia="en-US"/>
        </w:rPr>
        <w:t>1-22</w:t>
      </w:r>
      <w:r>
        <w:rPr>
          <w:rFonts w:eastAsiaTheme="minorHAnsi" w:cs="Arial"/>
          <w:sz w:val="22"/>
          <w:szCs w:val="22"/>
          <w:lang w:eastAsia="en-US"/>
        </w:rPr>
        <w:t xml:space="preserve"> Supplementary and </w:t>
      </w:r>
      <w:r w:rsidRPr="00565172">
        <w:rPr>
          <w:rFonts w:eastAsiaTheme="minorHAnsi" w:cs="Arial"/>
          <w:sz w:val="22"/>
          <w:szCs w:val="22"/>
          <w:lang w:eastAsia="en-US"/>
        </w:rPr>
        <w:t>Main Estimates.</w:t>
      </w:r>
      <w:r>
        <w:rPr>
          <w:rFonts w:eastAsiaTheme="minorHAnsi" w:cs="Arial"/>
          <w:sz w:val="22"/>
          <w:szCs w:val="22"/>
          <w:lang w:eastAsia="en-US"/>
        </w:rPr>
        <w:t xml:space="preserve"> </w:t>
      </w:r>
    </w:p>
    <w:p w:rsidR="004F64C1" w:rsidP="004F64C1">
      <w:pPr>
        <w:rPr>
          <w:rFonts w:eastAsiaTheme="minorHAnsi" w:cs="Arial"/>
          <w:b/>
          <w:sz w:val="22"/>
          <w:szCs w:val="22"/>
          <w:lang w:eastAsia="en-US"/>
        </w:rPr>
      </w:pPr>
    </w:p>
    <w:tbl>
      <w:tblPr>
        <w:tblW w:w="5000" w:type="pct"/>
        <w:tblLook w:val="04A0"/>
      </w:tblPr>
      <w:tblGrid>
        <w:gridCol w:w="1696"/>
        <w:gridCol w:w="1210"/>
        <w:gridCol w:w="1806"/>
        <w:gridCol w:w="1316"/>
        <w:gridCol w:w="1105"/>
        <w:gridCol w:w="1210"/>
        <w:gridCol w:w="1284"/>
        <w:gridCol w:w="1135"/>
      </w:tblGrid>
      <w:tr w:rsidTr="00B92912">
        <w:tblPrEx>
          <w:tblW w:w="5000" w:type="pct"/>
          <w:tblLook w:val="04A0"/>
        </w:tblPrEx>
        <w:trPr>
          <w:trHeight w:val="900"/>
        </w:trPr>
        <w:tc>
          <w:tcPr>
            <w:tcW w:w="619" w:type="pct"/>
            <w:vMerge w:val="restart"/>
            <w:tcBorders>
              <w:top w:val="single" w:sz="4" w:space="0" w:color="auto"/>
              <w:left w:val="single" w:sz="4" w:space="0" w:color="auto"/>
              <w:bottom w:val="single" w:sz="4" w:space="0" w:color="auto"/>
              <w:right w:val="single" w:sz="4" w:space="0" w:color="auto"/>
            </w:tcBorders>
            <w:shd w:val="clear" w:color="000000" w:fill="333F4F"/>
            <w:noWrap/>
            <w:vAlign w:val="center"/>
            <w:hideMark/>
          </w:tcPr>
          <w:p w:rsidR="00B92912" w:rsidRPr="00B92912" w:rsidP="00B92912">
            <w:pPr>
              <w:rPr>
                <w:rFonts w:cs="Arial"/>
                <w:b/>
                <w:bCs/>
                <w:color w:val="FFFFFF"/>
                <w:sz w:val="22"/>
                <w:szCs w:val="22"/>
              </w:rPr>
            </w:pPr>
            <w:r w:rsidRPr="00B92912">
              <w:rPr>
                <w:rFonts w:cs="Arial"/>
                <w:b/>
                <w:bCs/>
                <w:color w:val="FFFFFF"/>
                <w:sz w:val="22"/>
                <w:szCs w:val="22"/>
              </w:rPr>
              <w:t>DEL Type</w:t>
            </w:r>
          </w:p>
        </w:tc>
        <w:tc>
          <w:tcPr>
            <w:tcW w:w="626" w:type="pct"/>
            <w:tcBorders>
              <w:top w:val="single" w:sz="4" w:space="0" w:color="auto"/>
              <w:left w:val="nil"/>
              <w:bottom w:val="single" w:sz="4" w:space="0" w:color="auto"/>
              <w:right w:val="single" w:sz="4" w:space="0" w:color="auto"/>
            </w:tcBorders>
            <w:shd w:val="clear" w:color="000000" w:fill="333F4F"/>
            <w:vAlign w:val="center"/>
            <w:hideMark/>
          </w:tcPr>
          <w:p w:rsidR="00B92912" w:rsidRPr="00B92912" w:rsidP="00B92912">
            <w:pPr>
              <w:jc w:val="center"/>
              <w:rPr>
                <w:rFonts w:cs="Arial"/>
                <w:b/>
                <w:bCs/>
                <w:color w:val="FFFFFF"/>
                <w:sz w:val="22"/>
                <w:szCs w:val="22"/>
              </w:rPr>
            </w:pPr>
            <w:r w:rsidRPr="00B92912">
              <w:rPr>
                <w:rFonts w:cs="Arial"/>
                <w:b/>
                <w:bCs/>
                <w:color w:val="FFFFFF"/>
                <w:sz w:val="22"/>
                <w:szCs w:val="22"/>
              </w:rPr>
              <w:t xml:space="preserve">2022-23 Main Estimate </w:t>
            </w:r>
          </w:p>
        </w:tc>
        <w:tc>
          <w:tcPr>
            <w:tcW w:w="626" w:type="pct"/>
            <w:tcBorders>
              <w:top w:val="single" w:sz="4" w:space="0" w:color="auto"/>
              <w:left w:val="nil"/>
              <w:bottom w:val="single" w:sz="4" w:space="0" w:color="auto"/>
              <w:right w:val="single" w:sz="4" w:space="0" w:color="auto"/>
            </w:tcBorders>
            <w:shd w:val="clear" w:color="000000" w:fill="333F4F"/>
            <w:vAlign w:val="center"/>
            <w:hideMark/>
          </w:tcPr>
          <w:p w:rsidR="00B92912" w:rsidRPr="00B92912" w:rsidP="00B92912">
            <w:pPr>
              <w:jc w:val="center"/>
              <w:rPr>
                <w:rFonts w:cs="Arial"/>
                <w:b/>
                <w:bCs/>
                <w:color w:val="FFFFFF"/>
                <w:sz w:val="22"/>
                <w:szCs w:val="22"/>
              </w:rPr>
            </w:pPr>
            <w:r w:rsidRPr="00B92912">
              <w:rPr>
                <w:rFonts w:cs="Arial"/>
                <w:b/>
                <w:bCs/>
                <w:color w:val="FFFFFF"/>
                <w:sz w:val="22"/>
                <w:szCs w:val="22"/>
              </w:rPr>
              <w:t xml:space="preserve">2021-22 Supplementary Estimate </w:t>
            </w:r>
          </w:p>
        </w:tc>
        <w:tc>
          <w:tcPr>
            <w:tcW w:w="1252" w:type="pct"/>
            <w:gridSpan w:val="2"/>
            <w:tcBorders>
              <w:top w:val="single" w:sz="4" w:space="0" w:color="auto"/>
              <w:left w:val="nil"/>
              <w:bottom w:val="single" w:sz="4" w:space="0" w:color="auto"/>
              <w:right w:val="single" w:sz="4" w:space="0" w:color="auto"/>
            </w:tcBorders>
            <w:shd w:val="clear" w:color="000000" w:fill="333F4F"/>
            <w:vAlign w:val="center"/>
            <w:hideMark/>
          </w:tcPr>
          <w:p w:rsidR="00B92912" w:rsidRPr="00B92912" w:rsidP="00B92912">
            <w:pPr>
              <w:jc w:val="center"/>
              <w:rPr>
                <w:rFonts w:cs="Arial"/>
                <w:b/>
                <w:bCs/>
                <w:i/>
                <w:iCs/>
                <w:color w:val="FFFFFF"/>
                <w:sz w:val="22"/>
                <w:szCs w:val="22"/>
              </w:rPr>
            </w:pPr>
            <w:r w:rsidRPr="00B92912">
              <w:rPr>
                <w:rFonts w:cs="Arial"/>
                <w:b/>
                <w:bCs/>
                <w:i/>
                <w:iCs/>
                <w:color w:val="FFFFFF"/>
                <w:sz w:val="22"/>
                <w:szCs w:val="22"/>
              </w:rPr>
              <w:t xml:space="preserve">Variance to </w:t>
            </w:r>
            <w:r w:rsidRPr="00B92912">
              <w:rPr>
                <w:rFonts w:cs="Arial"/>
                <w:b/>
                <w:bCs/>
                <w:i/>
                <w:iCs/>
                <w:color w:val="FFFFFF"/>
                <w:sz w:val="22"/>
                <w:szCs w:val="22"/>
              </w:rPr>
              <w:br/>
              <w:t>2021-22 Supplementary Estimate</w:t>
            </w:r>
          </w:p>
        </w:tc>
        <w:tc>
          <w:tcPr>
            <w:tcW w:w="626" w:type="pct"/>
            <w:tcBorders>
              <w:top w:val="single" w:sz="4" w:space="0" w:color="auto"/>
              <w:left w:val="nil"/>
              <w:bottom w:val="single" w:sz="4" w:space="0" w:color="auto"/>
              <w:right w:val="single" w:sz="4" w:space="0" w:color="auto"/>
            </w:tcBorders>
            <w:shd w:val="clear" w:color="000000" w:fill="333F4F"/>
            <w:vAlign w:val="center"/>
            <w:hideMark/>
          </w:tcPr>
          <w:p w:rsidR="00B92912" w:rsidRPr="00B92912" w:rsidP="00B92912">
            <w:pPr>
              <w:jc w:val="center"/>
              <w:rPr>
                <w:rFonts w:cs="Arial"/>
                <w:b/>
                <w:bCs/>
                <w:color w:val="FFFFFF"/>
                <w:sz w:val="22"/>
                <w:szCs w:val="22"/>
              </w:rPr>
            </w:pPr>
            <w:r w:rsidRPr="00B92912">
              <w:rPr>
                <w:rFonts w:cs="Arial"/>
                <w:b/>
                <w:bCs/>
                <w:color w:val="FFFFFF"/>
                <w:sz w:val="22"/>
                <w:szCs w:val="22"/>
              </w:rPr>
              <w:t xml:space="preserve">2021-22 Main Estimate </w:t>
            </w:r>
          </w:p>
        </w:tc>
        <w:tc>
          <w:tcPr>
            <w:tcW w:w="1252" w:type="pct"/>
            <w:gridSpan w:val="2"/>
            <w:tcBorders>
              <w:top w:val="single" w:sz="4" w:space="0" w:color="auto"/>
              <w:left w:val="nil"/>
              <w:bottom w:val="single" w:sz="4" w:space="0" w:color="auto"/>
              <w:right w:val="single" w:sz="4" w:space="0" w:color="auto"/>
            </w:tcBorders>
            <w:shd w:val="clear" w:color="000000" w:fill="333F4F"/>
            <w:vAlign w:val="center"/>
            <w:hideMark/>
          </w:tcPr>
          <w:p w:rsidR="00B92912" w:rsidRPr="00B92912" w:rsidP="00B92912">
            <w:pPr>
              <w:jc w:val="center"/>
              <w:rPr>
                <w:rFonts w:cs="Arial"/>
                <w:b/>
                <w:bCs/>
                <w:i/>
                <w:iCs/>
                <w:color w:val="FFFFFF"/>
                <w:sz w:val="22"/>
                <w:szCs w:val="22"/>
              </w:rPr>
            </w:pPr>
            <w:r w:rsidRPr="00B92912">
              <w:rPr>
                <w:rFonts w:cs="Arial"/>
                <w:b/>
                <w:bCs/>
                <w:i/>
                <w:iCs/>
                <w:color w:val="FFFFFF"/>
                <w:sz w:val="22"/>
                <w:szCs w:val="22"/>
              </w:rPr>
              <w:t xml:space="preserve">Variance to </w:t>
            </w:r>
            <w:r w:rsidRPr="00B92912">
              <w:rPr>
                <w:rFonts w:cs="Arial"/>
                <w:b/>
                <w:bCs/>
                <w:i/>
                <w:iCs/>
                <w:color w:val="FFFFFF"/>
                <w:sz w:val="22"/>
                <w:szCs w:val="22"/>
              </w:rPr>
              <w:br/>
              <w:t>2021-22 Main Estimate</w:t>
            </w:r>
          </w:p>
        </w:tc>
      </w:tr>
      <w:tr w:rsidTr="00B92912">
        <w:tblPrEx>
          <w:tblW w:w="5000" w:type="pct"/>
          <w:tblLook w:val="04A0"/>
        </w:tblPrEx>
        <w:trPr>
          <w:trHeight w:val="300"/>
        </w:trPr>
        <w:tc>
          <w:tcPr>
            <w:tcW w:w="619" w:type="pct"/>
            <w:vMerge/>
            <w:tcBorders>
              <w:top w:val="single" w:sz="4" w:space="0" w:color="auto"/>
              <w:left w:val="single" w:sz="4" w:space="0" w:color="auto"/>
              <w:bottom w:val="single" w:sz="4" w:space="0" w:color="auto"/>
              <w:right w:val="single" w:sz="4" w:space="0" w:color="auto"/>
            </w:tcBorders>
            <w:vAlign w:val="center"/>
            <w:hideMark/>
          </w:tcPr>
          <w:p w:rsidR="00B92912" w:rsidRPr="00B92912" w:rsidP="00B92912">
            <w:pPr>
              <w:rPr>
                <w:rFonts w:cs="Arial"/>
                <w:b/>
                <w:bCs/>
                <w:color w:val="FFFFFF"/>
                <w:sz w:val="22"/>
                <w:szCs w:val="22"/>
              </w:rPr>
            </w:pPr>
          </w:p>
        </w:tc>
        <w:tc>
          <w:tcPr>
            <w:tcW w:w="626" w:type="pct"/>
            <w:tcBorders>
              <w:top w:val="nil"/>
              <w:left w:val="nil"/>
              <w:bottom w:val="single" w:sz="4" w:space="0" w:color="auto"/>
              <w:right w:val="single" w:sz="4" w:space="0" w:color="auto"/>
            </w:tcBorders>
            <w:shd w:val="clear" w:color="000000" w:fill="333F4F"/>
            <w:noWrap/>
            <w:vAlign w:val="bottom"/>
            <w:hideMark/>
          </w:tcPr>
          <w:p w:rsidR="00B92912" w:rsidRPr="00B92912" w:rsidP="00B92912">
            <w:pPr>
              <w:jc w:val="right"/>
              <w:rPr>
                <w:rFonts w:cs="Arial"/>
                <w:b/>
                <w:bCs/>
                <w:color w:val="FFFFFF"/>
                <w:sz w:val="22"/>
                <w:szCs w:val="22"/>
              </w:rPr>
            </w:pPr>
            <w:r w:rsidRPr="00B92912">
              <w:rPr>
                <w:rFonts w:cs="Arial"/>
                <w:b/>
                <w:bCs/>
                <w:color w:val="FFFFFF"/>
                <w:sz w:val="22"/>
                <w:szCs w:val="22"/>
              </w:rPr>
              <w:t>£m</w:t>
            </w:r>
          </w:p>
        </w:tc>
        <w:tc>
          <w:tcPr>
            <w:tcW w:w="626" w:type="pct"/>
            <w:tcBorders>
              <w:top w:val="nil"/>
              <w:left w:val="nil"/>
              <w:bottom w:val="single" w:sz="4" w:space="0" w:color="auto"/>
              <w:right w:val="single" w:sz="4" w:space="0" w:color="auto"/>
            </w:tcBorders>
            <w:shd w:val="clear" w:color="000000" w:fill="333F4F"/>
            <w:noWrap/>
            <w:vAlign w:val="bottom"/>
            <w:hideMark/>
          </w:tcPr>
          <w:p w:rsidR="00B92912" w:rsidRPr="00B92912" w:rsidP="00B92912">
            <w:pPr>
              <w:jc w:val="right"/>
              <w:rPr>
                <w:rFonts w:cs="Arial"/>
                <w:b/>
                <w:bCs/>
                <w:color w:val="FFFFFF"/>
                <w:sz w:val="22"/>
                <w:szCs w:val="22"/>
              </w:rPr>
            </w:pPr>
            <w:r w:rsidRPr="00B92912">
              <w:rPr>
                <w:rFonts w:cs="Arial"/>
                <w:b/>
                <w:bCs/>
                <w:color w:val="FFFFFF"/>
                <w:sz w:val="22"/>
                <w:szCs w:val="22"/>
              </w:rPr>
              <w:t>£m</w:t>
            </w:r>
          </w:p>
        </w:tc>
        <w:tc>
          <w:tcPr>
            <w:tcW w:w="675" w:type="pct"/>
            <w:tcBorders>
              <w:top w:val="nil"/>
              <w:left w:val="nil"/>
              <w:bottom w:val="single" w:sz="4" w:space="0" w:color="auto"/>
              <w:right w:val="single" w:sz="4" w:space="0" w:color="auto"/>
            </w:tcBorders>
            <w:shd w:val="clear" w:color="000000" w:fill="333F4F"/>
            <w:noWrap/>
            <w:vAlign w:val="bottom"/>
            <w:hideMark/>
          </w:tcPr>
          <w:p w:rsidR="00B92912" w:rsidRPr="00B92912" w:rsidP="00B92912">
            <w:pPr>
              <w:jc w:val="right"/>
              <w:rPr>
                <w:rFonts w:cs="Arial"/>
                <w:b/>
                <w:bCs/>
                <w:i/>
                <w:iCs/>
                <w:color w:val="FFFFFF"/>
                <w:sz w:val="22"/>
                <w:szCs w:val="22"/>
              </w:rPr>
            </w:pPr>
            <w:r w:rsidRPr="00B92912">
              <w:rPr>
                <w:rFonts w:cs="Arial"/>
                <w:b/>
                <w:bCs/>
                <w:i/>
                <w:iCs/>
                <w:color w:val="FFFFFF"/>
                <w:sz w:val="22"/>
                <w:szCs w:val="22"/>
              </w:rPr>
              <w:t>£m</w:t>
            </w:r>
          </w:p>
        </w:tc>
        <w:tc>
          <w:tcPr>
            <w:tcW w:w="577" w:type="pct"/>
            <w:tcBorders>
              <w:top w:val="nil"/>
              <w:left w:val="nil"/>
              <w:bottom w:val="single" w:sz="4" w:space="0" w:color="auto"/>
              <w:right w:val="single" w:sz="4" w:space="0" w:color="auto"/>
            </w:tcBorders>
            <w:shd w:val="clear" w:color="000000" w:fill="333F4F"/>
            <w:noWrap/>
            <w:vAlign w:val="bottom"/>
            <w:hideMark/>
          </w:tcPr>
          <w:p w:rsidR="00B92912" w:rsidRPr="00B92912" w:rsidP="00B92912">
            <w:pPr>
              <w:jc w:val="right"/>
              <w:rPr>
                <w:rFonts w:cs="Arial"/>
                <w:b/>
                <w:bCs/>
                <w:i/>
                <w:iCs/>
                <w:color w:val="FFFFFF"/>
                <w:sz w:val="22"/>
                <w:szCs w:val="22"/>
              </w:rPr>
            </w:pPr>
            <w:r w:rsidRPr="00B92912">
              <w:rPr>
                <w:rFonts w:cs="Arial"/>
                <w:b/>
                <w:bCs/>
                <w:i/>
                <w:iCs/>
                <w:color w:val="FFFFFF"/>
                <w:sz w:val="22"/>
                <w:szCs w:val="22"/>
              </w:rPr>
              <w:t>%</w:t>
            </w:r>
          </w:p>
        </w:tc>
        <w:tc>
          <w:tcPr>
            <w:tcW w:w="626" w:type="pct"/>
            <w:tcBorders>
              <w:top w:val="nil"/>
              <w:left w:val="nil"/>
              <w:bottom w:val="single" w:sz="4" w:space="0" w:color="auto"/>
              <w:right w:val="single" w:sz="4" w:space="0" w:color="auto"/>
            </w:tcBorders>
            <w:shd w:val="clear" w:color="000000" w:fill="333F4F"/>
            <w:noWrap/>
            <w:vAlign w:val="bottom"/>
            <w:hideMark/>
          </w:tcPr>
          <w:p w:rsidR="00B92912" w:rsidRPr="00B92912" w:rsidP="00B92912">
            <w:pPr>
              <w:jc w:val="right"/>
              <w:rPr>
                <w:rFonts w:cs="Arial"/>
                <w:b/>
                <w:bCs/>
                <w:color w:val="FFFFFF"/>
                <w:sz w:val="22"/>
                <w:szCs w:val="22"/>
              </w:rPr>
            </w:pPr>
            <w:r w:rsidRPr="00B92912">
              <w:rPr>
                <w:rFonts w:cs="Arial"/>
                <w:b/>
                <w:bCs/>
                <w:color w:val="FFFFFF"/>
                <w:sz w:val="22"/>
                <w:szCs w:val="22"/>
              </w:rPr>
              <w:t>£m</w:t>
            </w:r>
          </w:p>
        </w:tc>
        <w:tc>
          <w:tcPr>
            <w:tcW w:w="660" w:type="pct"/>
            <w:tcBorders>
              <w:top w:val="nil"/>
              <w:left w:val="nil"/>
              <w:bottom w:val="single" w:sz="4" w:space="0" w:color="auto"/>
              <w:right w:val="single" w:sz="4" w:space="0" w:color="auto"/>
            </w:tcBorders>
            <w:shd w:val="clear" w:color="000000" w:fill="333F4F"/>
            <w:noWrap/>
            <w:vAlign w:val="bottom"/>
            <w:hideMark/>
          </w:tcPr>
          <w:p w:rsidR="00B92912" w:rsidRPr="00B92912" w:rsidP="00B92912">
            <w:pPr>
              <w:jc w:val="right"/>
              <w:rPr>
                <w:rFonts w:cs="Arial"/>
                <w:b/>
                <w:bCs/>
                <w:i/>
                <w:iCs/>
                <w:color w:val="FFFFFF"/>
                <w:sz w:val="22"/>
                <w:szCs w:val="22"/>
              </w:rPr>
            </w:pPr>
            <w:r w:rsidRPr="00B92912">
              <w:rPr>
                <w:rFonts w:cs="Arial"/>
                <w:b/>
                <w:bCs/>
                <w:i/>
                <w:iCs/>
                <w:color w:val="FFFFFF"/>
                <w:sz w:val="22"/>
                <w:szCs w:val="22"/>
              </w:rPr>
              <w:t>£m</w:t>
            </w:r>
          </w:p>
        </w:tc>
        <w:tc>
          <w:tcPr>
            <w:tcW w:w="591" w:type="pct"/>
            <w:tcBorders>
              <w:top w:val="nil"/>
              <w:left w:val="nil"/>
              <w:bottom w:val="single" w:sz="4" w:space="0" w:color="auto"/>
              <w:right w:val="single" w:sz="4" w:space="0" w:color="auto"/>
            </w:tcBorders>
            <w:shd w:val="clear" w:color="000000" w:fill="333F4F"/>
            <w:noWrap/>
            <w:vAlign w:val="bottom"/>
            <w:hideMark/>
          </w:tcPr>
          <w:p w:rsidR="00B92912" w:rsidRPr="00B92912" w:rsidP="00B92912">
            <w:pPr>
              <w:jc w:val="right"/>
              <w:rPr>
                <w:rFonts w:cs="Arial"/>
                <w:b/>
                <w:bCs/>
                <w:i/>
                <w:iCs/>
                <w:color w:val="FFFFFF"/>
                <w:sz w:val="22"/>
                <w:szCs w:val="22"/>
              </w:rPr>
            </w:pPr>
            <w:r w:rsidRPr="00B92912">
              <w:rPr>
                <w:rFonts w:cs="Arial"/>
                <w:b/>
                <w:bCs/>
                <w:i/>
                <w:iCs/>
                <w:color w:val="FFFFFF"/>
                <w:sz w:val="22"/>
                <w:szCs w:val="22"/>
              </w:rPr>
              <w:t>%</w:t>
            </w:r>
          </w:p>
        </w:tc>
      </w:tr>
      <w:tr w:rsidTr="00B92912">
        <w:tblPrEx>
          <w:tblW w:w="5000" w:type="pct"/>
          <w:tblLook w:val="04A0"/>
        </w:tblPrEx>
        <w:trPr>
          <w:trHeight w:val="285"/>
        </w:trPr>
        <w:tc>
          <w:tcPr>
            <w:tcW w:w="619" w:type="pct"/>
            <w:tcBorders>
              <w:top w:val="nil"/>
              <w:left w:val="single" w:sz="4" w:space="0" w:color="auto"/>
              <w:bottom w:val="single" w:sz="4" w:space="0" w:color="auto"/>
              <w:right w:val="single" w:sz="4" w:space="0" w:color="auto"/>
            </w:tcBorders>
            <w:shd w:val="clear" w:color="auto" w:fill="auto"/>
            <w:noWrap/>
            <w:vAlign w:val="bottom"/>
            <w:hideMark/>
          </w:tcPr>
          <w:p w:rsidR="00B92912" w:rsidRPr="00B92912" w:rsidP="00B92912">
            <w:pPr>
              <w:rPr>
                <w:rFonts w:cs="Arial"/>
                <w:color w:val="000000"/>
                <w:sz w:val="22"/>
                <w:szCs w:val="22"/>
              </w:rPr>
            </w:pPr>
            <w:r w:rsidRPr="00B92912">
              <w:rPr>
                <w:rFonts w:cs="Arial"/>
                <w:color w:val="000000"/>
                <w:sz w:val="22"/>
                <w:szCs w:val="22"/>
              </w:rPr>
              <w:t>Resource DEL</w:t>
            </w:r>
          </w:p>
        </w:tc>
        <w:tc>
          <w:tcPr>
            <w:tcW w:w="626" w:type="pct"/>
            <w:tcBorders>
              <w:top w:val="nil"/>
              <w:left w:val="nil"/>
              <w:bottom w:val="single" w:sz="4" w:space="0" w:color="auto"/>
              <w:right w:val="single" w:sz="4" w:space="0" w:color="auto"/>
            </w:tcBorders>
            <w:shd w:val="clear" w:color="auto" w:fill="auto"/>
            <w:noWrap/>
            <w:vAlign w:val="bottom"/>
            <w:hideMark/>
          </w:tcPr>
          <w:p w:rsidR="00B92912" w:rsidRPr="00B92912" w:rsidP="00B92912">
            <w:pPr>
              <w:jc w:val="right"/>
              <w:rPr>
                <w:rFonts w:cs="Arial"/>
                <w:color w:val="000000"/>
                <w:sz w:val="22"/>
                <w:szCs w:val="22"/>
              </w:rPr>
            </w:pPr>
            <w:r w:rsidRPr="00B92912">
              <w:rPr>
                <w:rFonts w:cs="Arial"/>
                <w:color w:val="000000"/>
                <w:sz w:val="22"/>
                <w:szCs w:val="22"/>
              </w:rPr>
              <w:t>169,948</w:t>
            </w:r>
          </w:p>
        </w:tc>
        <w:tc>
          <w:tcPr>
            <w:tcW w:w="626" w:type="pct"/>
            <w:tcBorders>
              <w:top w:val="nil"/>
              <w:left w:val="nil"/>
              <w:bottom w:val="single" w:sz="4" w:space="0" w:color="auto"/>
              <w:right w:val="single" w:sz="4" w:space="0" w:color="auto"/>
            </w:tcBorders>
            <w:shd w:val="clear" w:color="auto" w:fill="auto"/>
            <w:noWrap/>
            <w:vAlign w:val="bottom"/>
            <w:hideMark/>
          </w:tcPr>
          <w:p w:rsidR="00B92912" w:rsidRPr="00B92912" w:rsidP="00B92912">
            <w:pPr>
              <w:jc w:val="right"/>
              <w:rPr>
                <w:rFonts w:cs="Arial"/>
                <w:color w:val="000000"/>
                <w:sz w:val="22"/>
                <w:szCs w:val="22"/>
              </w:rPr>
            </w:pPr>
            <w:r w:rsidRPr="00B92912">
              <w:rPr>
                <w:rFonts w:cs="Arial"/>
                <w:color w:val="000000"/>
                <w:sz w:val="22"/>
                <w:szCs w:val="22"/>
              </w:rPr>
              <w:t>186,895</w:t>
            </w:r>
          </w:p>
        </w:tc>
        <w:tc>
          <w:tcPr>
            <w:tcW w:w="675" w:type="pct"/>
            <w:tcBorders>
              <w:top w:val="nil"/>
              <w:left w:val="nil"/>
              <w:bottom w:val="single" w:sz="4" w:space="0" w:color="auto"/>
              <w:right w:val="single" w:sz="4" w:space="0" w:color="auto"/>
            </w:tcBorders>
            <w:shd w:val="clear" w:color="auto" w:fill="auto"/>
            <w:noWrap/>
            <w:vAlign w:val="bottom"/>
            <w:hideMark/>
          </w:tcPr>
          <w:p w:rsidR="00B92912" w:rsidRPr="00B92912" w:rsidP="00B92912">
            <w:pPr>
              <w:jc w:val="right"/>
              <w:rPr>
                <w:rFonts w:cs="Arial"/>
                <w:i/>
                <w:iCs/>
                <w:color w:val="000000"/>
                <w:sz w:val="22"/>
                <w:szCs w:val="22"/>
              </w:rPr>
            </w:pPr>
            <w:r w:rsidRPr="00B92912">
              <w:rPr>
                <w:rFonts w:cs="Arial"/>
                <w:i/>
                <w:iCs/>
                <w:color w:val="FF0000"/>
                <w:sz w:val="22"/>
                <w:szCs w:val="22"/>
              </w:rPr>
              <w:t>(16,948)</w:t>
            </w:r>
          </w:p>
        </w:tc>
        <w:tc>
          <w:tcPr>
            <w:tcW w:w="577" w:type="pct"/>
            <w:tcBorders>
              <w:top w:val="nil"/>
              <w:left w:val="nil"/>
              <w:bottom w:val="single" w:sz="4" w:space="0" w:color="auto"/>
              <w:right w:val="single" w:sz="4" w:space="0" w:color="auto"/>
            </w:tcBorders>
            <w:shd w:val="clear" w:color="auto" w:fill="auto"/>
            <w:noWrap/>
            <w:vAlign w:val="bottom"/>
            <w:hideMark/>
          </w:tcPr>
          <w:p w:rsidR="00B92912" w:rsidRPr="00B92912" w:rsidP="00B92912">
            <w:pPr>
              <w:jc w:val="right"/>
              <w:rPr>
                <w:rFonts w:cs="Arial"/>
                <w:i/>
                <w:iCs/>
                <w:color w:val="000000"/>
                <w:sz w:val="22"/>
                <w:szCs w:val="22"/>
              </w:rPr>
            </w:pPr>
            <w:r w:rsidRPr="00B92912">
              <w:rPr>
                <w:rFonts w:cs="Arial"/>
                <w:i/>
                <w:iCs/>
                <w:color w:val="000000"/>
                <w:sz w:val="22"/>
                <w:szCs w:val="22"/>
              </w:rPr>
              <w:t>-9.1%</w:t>
            </w:r>
          </w:p>
        </w:tc>
        <w:tc>
          <w:tcPr>
            <w:tcW w:w="626" w:type="pct"/>
            <w:tcBorders>
              <w:top w:val="nil"/>
              <w:left w:val="nil"/>
              <w:bottom w:val="single" w:sz="4" w:space="0" w:color="auto"/>
              <w:right w:val="single" w:sz="4" w:space="0" w:color="auto"/>
            </w:tcBorders>
            <w:shd w:val="clear" w:color="auto" w:fill="auto"/>
            <w:noWrap/>
            <w:vAlign w:val="bottom"/>
            <w:hideMark/>
          </w:tcPr>
          <w:p w:rsidR="00B92912" w:rsidRPr="00B92912" w:rsidP="00B92912">
            <w:pPr>
              <w:jc w:val="right"/>
              <w:rPr>
                <w:rFonts w:cs="Arial"/>
                <w:color w:val="000000"/>
                <w:sz w:val="22"/>
                <w:szCs w:val="22"/>
              </w:rPr>
            </w:pPr>
            <w:r w:rsidRPr="00B92912">
              <w:rPr>
                <w:rFonts w:cs="Arial"/>
                <w:color w:val="000000"/>
                <w:sz w:val="22"/>
                <w:szCs w:val="22"/>
              </w:rPr>
              <w:t>177,815</w:t>
            </w:r>
          </w:p>
        </w:tc>
        <w:tc>
          <w:tcPr>
            <w:tcW w:w="660" w:type="pct"/>
            <w:tcBorders>
              <w:top w:val="nil"/>
              <w:left w:val="nil"/>
              <w:bottom w:val="single" w:sz="4" w:space="0" w:color="auto"/>
              <w:right w:val="single" w:sz="4" w:space="0" w:color="auto"/>
            </w:tcBorders>
            <w:shd w:val="clear" w:color="auto" w:fill="auto"/>
            <w:noWrap/>
            <w:vAlign w:val="bottom"/>
            <w:hideMark/>
          </w:tcPr>
          <w:p w:rsidR="00B92912" w:rsidRPr="00B92912" w:rsidP="00B92912">
            <w:pPr>
              <w:jc w:val="right"/>
              <w:rPr>
                <w:rFonts w:cs="Arial"/>
                <w:i/>
                <w:iCs/>
                <w:color w:val="000000"/>
                <w:sz w:val="22"/>
                <w:szCs w:val="22"/>
              </w:rPr>
            </w:pPr>
            <w:r w:rsidRPr="00B92912">
              <w:rPr>
                <w:rFonts w:cs="Arial"/>
                <w:i/>
                <w:iCs/>
                <w:color w:val="FF0000"/>
                <w:sz w:val="22"/>
                <w:szCs w:val="22"/>
              </w:rPr>
              <w:t>(7,867)</w:t>
            </w:r>
          </w:p>
        </w:tc>
        <w:tc>
          <w:tcPr>
            <w:tcW w:w="591" w:type="pct"/>
            <w:tcBorders>
              <w:top w:val="nil"/>
              <w:left w:val="nil"/>
              <w:bottom w:val="single" w:sz="4" w:space="0" w:color="auto"/>
              <w:right w:val="single" w:sz="4" w:space="0" w:color="auto"/>
            </w:tcBorders>
            <w:shd w:val="clear" w:color="auto" w:fill="auto"/>
            <w:noWrap/>
            <w:vAlign w:val="bottom"/>
            <w:hideMark/>
          </w:tcPr>
          <w:p w:rsidR="00B92912" w:rsidRPr="00B92912" w:rsidP="00B92912">
            <w:pPr>
              <w:jc w:val="right"/>
              <w:rPr>
                <w:rFonts w:cs="Arial"/>
                <w:i/>
                <w:iCs/>
                <w:color w:val="000000"/>
                <w:sz w:val="22"/>
                <w:szCs w:val="22"/>
              </w:rPr>
            </w:pPr>
            <w:r w:rsidRPr="00B92912">
              <w:rPr>
                <w:rFonts w:cs="Arial"/>
                <w:i/>
                <w:iCs/>
                <w:color w:val="000000"/>
                <w:sz w:val="22"/>
                <w:szCs w:val="22"/>
              </w:rPr>
              <w:t>-4.4%</w:t>
            </w:r>
          </w:p>
        </w:tc>
      </w:tr>
      <w:tr w:rsidTr="00B92912">
        <w:tblPrEx>
          <w:tblW w:w="5000" w:type="pct"/>
          <w:tblLook w:val="04A0"/>
        </w:tblPrEx>
        <w:trPr>
          <w:trHeight w:val="285"/>
        </w:trPr>
        <w:tc>
          <w:tcPr>
            <w:tcW w:w="619" w:type="pct"/>
            <w:tcBorders>
              <w:top w:val="nil"/>
              <w:left w:val="single" w:sz="4" w:space="0" w:color="auto"/>
              <w:bottom w:val="single" w:sz="4" w:space="0" w:color="auto"/>
              <w:right w:val="single" w:sz="4" w:space="0" w:color="auto"/>
            </w:tcBorders>
            <w:shd w:val="clear" w:color="auto" w:fill="auto"/>
            <w:noWrap/>
            <w:vAlign w:val="bottom"/>
            <w:hideMark/>
          </w:tcPr>
          <w:p w:rsidR="00B92912" w:rsidRPr="00B92912" w:rsidP="00B92912">
            <w:pPr>
              <w:rPr>
                <w:rFonts w:cs="Arial"/>
                <w:color w:val="000000"/>
                <w:sz w:val="22"/>
                <w:szCs w:val="22"/>
              </w:rPr>
            </w:pPr>
            <w:r w:rsidRPr="00B92912">
              <w:rPr>
                <w:rFonts w:cs="Arial"/>
                <w:color w:val="000000"/>
                <w:sz w:val="22"/>
                <w:szCs w:val="22"/>
              </w:rPr>
              <w:t>Capital DEL</w:t>
            </w:r>
          </w:p>
        </w:tc>
        <w:tc>
          <w:tcPr>
            <w:tcW w:w="626" w:type="pct"/>
            <w:tcBorders>
              <w:top w:val="nil"/>
              <w:left w:val="nil"/>
              <w:bottom w:val="single" w:sz="4" w:space="0" w:color="auto"/>
              <w:right w:val="single" w:sz="4" w:space="0" w:color="auto"/>
            </w:tcBorders>
            <w:shd w:val="clear" w:color="auto" w:fill="auto"/>
            <w:noWrap/>
            <w:vAlign w:val="bottom"/>
            <w:hideMark/>
          </w:tcPr>
          <w:p w:rsidR="00B92912" w:rsidRPr="00B92912" w:rsidP="00B92912">
            <w:pPr>
              <w:jc w:val="right"/>
              <w:rPr>
                <w:rFonts w:cs="Arial"/>
                <w:color w:val="000000"/>
                <w:sz w:val="22"/>
                <w:szCs w:val="22"/>
              </w:rPr>
            </w:pPr>
            <w:r w:rsidRPr="00B92912">
              <w:rPr>
                <w:rFonts w:cs="Arial"/>
                <w:color w:val="000000"/>
                <w:sz w:val="22"/>
                <w:szCs w:val="22"/>
              </w:rPr>
              <w:t>12,048</w:t>
            </w:r>
          </w:p>
        </w:tc>
        <w:tc>
          <w:tcPr>
            <w:tcW w:w="626" w:type="pct"/>
            <w:tcBorders>
              <w:top w:val="nil"/>
              <w:left w:val="nil"/>
              <w:bottom w:val="single" w:sz="4" w:space="0" w:color="auto"/>
              <w:right w:val="single" w:sz="4" w:space="0" w:color="auto"/>
            </w:tcBorders>
            <w:shd w:val="clear" w:color="auto" w:fill="auto"/>
            <w:noWrap/>
            <w:vAlign w:val="bottom"/>
            <w:hideMark/>
          </w:tcPr>
          <w:p w:rsidR="00B92912" w:rsidRPr="00B92912" w:rsidP="00B92912">
            <w:pPr>
              <w:jc w:val="right"/>
              <w:rPr>
                <w:rFonts w:cs="Arial"/>
                <w:color w:val="000000"/>
                <w:sz w:val="22"/>
                <w:szCs w:val="22"/>
              </w:rPr>
            </w:pPr>
            <w:r w:rsidRPr="00B92912">
              <w:rPr>
                <w:rFonts w:cs="Arial"/>
                <w:color w:val="000000"/>
                <w:sz w:val="22"/>
                <w:szCs w:val="22"/>
              </w:rPr>
              <w:t>10,447</w:t>
            </w:r>
          </w:p>
        </w:tc>
        <w:tc>
          <w:tcPr>
            <w:tcW w:w="675" w:type="pct"/>
            <w:tcBorders>
              <w:top w:val="nil"/>
              <w:left w:val="nil"/>
              <w:bottom w:val="single" w:sz="4" w:space="0" w:color="auto"/>
              <w:right w:val="single" w:sz="4" w:space="0" w:color="auto"/>
            </w:tcBorders>
            <w:shd w:val="clear" w:color="auto" w:fill="auto"/>
            <w:noWrap/>
            <w:vAlign w:val="bottom"/>
            <w:hideMark/>
          </w:tcPr>
          <w:p w:rsidR="00B92912" w:rsidRPr="00B92912" w:rsidP="00B92912">
            <w:pPr>
              <w:jc w:val="right"/>
              <w:rPr>
                <w:rFonts w:cs="Arial"/>
                <w:i/>
                <w:iCs/>
                <w:color w:val="000000"/>
                <w:sz w:val="22"/>
                <w:szCs w:val="22"/>
              </w:rPr>
            </w:pPr>
            <w:r w:rsidRPr="00B92912">
              <w:rPr>
                <w:rFonts w:cs="Arial"/>
                <w:i/>
                <w:iCs/>
                <w:color w:val="000000"/>
                <w:sz w:val="22"/>
                <w:szCs w:val="22"/>
              </w:rPr>
              <w:t>1,601</w:t>
            </w:r>
          </w:p>
        </w:tc>
        <w:tc>
          <w:tcPr>
            <w:tcW w:w="577" w:type="pct"/>
            <w:tcBorders>
              <w:top w:val="nil"/>
              <w:left w:val="nil"/>
              <w:bottom w:val="single" w:sz="4" w:space="0" w:color="auto"/>
              <w:right w:val="single" w:sz="4" w:space="0" w:color="auto"/>
            </w:tcBorders>
            <w:shd w:val="clear" w:color="auto" w:fill="auto"/>
            <w:noWrap/>
            <w:vAlign w:val="bottom"/>
            <w:hideMark/>
          </w:tcPr>
          <w:p w:rsidR="00B92912" w:rsidRPr="00B92912" w:rsidP="00B92912">
            <w:pPr>
              <w:jc w:val="right"/>
              <w:rPr>
                <w:rFonts w:cs="Arial"/>
                <w:i/>
                <w:iCs/>
                <w:sz w:val="22"/>
                <w:szCs w:val="22"/>
              </w:rPr>
            </w:pPr>
            <w:r w:rsidRPr="00B92912">
              <w:rPr>
                <w:rFonts w:cs="Arial"/>
                <w:i/>
                <w:iCs/>
                <w:sz w:val="22"/>
                <w:szCs w:val="22"/>
              </w:rPr>
              <w:t>15.3%</w:t>
            </w:r>
          </w:p>
        </w:tc>
        <w:tc>
          <w:tcPr>
            <w:tcW w:w="626" w:type="pct"/>
            <w:tcBorders>
              <w:top w:val="nil"/>
              <w:left w:val="nil"/>
              <w:bottom w:val="single" w:sz="4" w:space="0" w:color="auto"/>
              <w:right w:val="single" w:sz="4" w:space="0" w:color="auto"/>
            </w:tcBorders>
            <w:shd w:val="clear" w:color="auto" w:fill="auto"/>
            <w:noWrap/>
            <w:vAlign w:val="bottom"/>
            <w:hideMark/>
          </w:tcPr>
          <w:p w:rsidR="00B92912" w:rsidRPr="00B92912" w:rsidP="00B92912">
            <w:pPr>
              <w:jc w:val="right"/>
              <w:rPr>
                <w:rFonts w:cs="Arial"/>
                <w:color w:val="000000"/>
                <w:sz w:val="22"/>
                <w:szCs w:val="22"/>
              </w:rPr>
            </w:pPr>
            <w:r w:rsidRPr="00B92912">
              <w:rPr>
                <w:rFonts w:cs="Arial"/>
                <w:color w:val="000000"/>
                <w:sz w:val="22"/>
                <w:szCs w:val="22"/>
              </w:rPr>
              <w:t>8,530</w:t>
            </w:r>
          </w:p>
        </w:tc>
        <w:tc>
          <w:tcPr>
            <w:tcW w:w="660" w:type="pct"/>
            <w:tcBorders>
              <w:top w:val="nil"/>
              <w:left w:val="nil"/>
              <w:bottom w:val="single" w:sz="4" w:space="0" w:color="auto"/>
              <w:right w:val="single" w:sz="4" w:space="0" w:color="auto"/>
            </w:tcBorders>
            <w:shd w:val="clear" w:color="auto" w:fill="auto"/>
            <w:noWrap/>
            <w:vAlign w:val="bottom"/>
            <w:hideMark/>
          </w:tcPr>
          <w:p w:rsidR="00B92912" w:rsidRPr="00B92912" w:rsidP="00B92912">
            <w:pPr>
              <w:jc w:val="right"/>
              <w:rPr>
                <w:rFonts w:cs="Arial"/>
                <w:i/>
                <w:iCs/>
                <w:color w:val="000000"/>
                <w:sz w:val="22"/>
                <w:szCs w:val="22"/>
              </w:rPr>
            </w:pPr>
            <w:r w:rsidRPr="00B92912">
              <w:rPr>
                <w:rFonts w:cs="Arial"/>
                <w:i/>
                <w:iCs/>
                <w:color w:val="000000"/>
                <w:sz w:val="22"/>
                <w:szCs w:val="22"/>
              </w:rPr>
              <w:t>3,518</w:t>
            </w:r>
          </w:p>
        </w:tc>
        <w:tc>
          <w:tcPr>
            <w:tcW w:w="591" w:type="pct"/>
            <w:tcBorders>
              <w:top w:val="nil"/>
              <w:left w:val="nil"/>
              <w:bottom w:val="single" w:sz="4" w:space="0" w:color="auto"/>
              <w:right w:val="single" w:sz="4" w:space="0" w:color="auto"/>
            </w:tcBorders>
            <w:shd w:val="clear" w:color="auto" w:fill="auto"/>
            <w:noWrap/>
            <w:vAlign w:val="bottom"/>
            <w:hideMark/>
          </w:tcPr>
          <w:p w:rsidR="00B92912" w:rsidRPr="00B92912" w:rsidP="00B92912">
            <w:pPr>
              <w:jc w:val="right"/>
              <w:rPr>
                <w:rFonts w:cs="Arial"/>
                <w:i/>
                <w:iCs/>
                <w:sz w:val="22"/>
                <w:szCs w:val="22"/>
              </w:rPr>
            </w:pPr>
            <w:r w:rsidRPr="00B92912">
              <w:rPr>
                <w:rFonts w:cs="Arial"/>
                <w:i/>
                <w:iCs/>
                <w:sz w:val="22"/>
                <w:szCs w:val="22"/>
              </w:rPr>
              <w:t>41.2%</w:t>
            </w:r>
          </w:p>
        </w:tc>
      </w:tr>
      <w:tr w:rsidTr="00B92912">
        <w:tblPrEx>
          <w:tblW w:w="5000" w:type="pct"/>
          <w:tblLook w:val="04A0"/>
        </w:tblPrEx>
        <w:trPr>
          <w:trHeight w:val="285"/>
        </w:trPr>
        <w:tc>
          <w:tcPr>
            <w:tcW w:w="619" w:type="pct"/>
            <w:tcBorders>
              <w:top w:val="nil"/>
              <w:left w:val="single" w:sz="4" w:space="0" w:color="auto"/>
              <w:bottom w:val="single" w:sz="4" w:space="0" w:color="auto"/>
              <w:right w:val="single" w:sz="4" w:space="0" w:color="auto"/>
            </w:tcBorders>
            <w:shd w:val="clear" w:color="auto" w:fill="auto"/>
            <w:noWrap/>
            <w:vAlign w:val="bottom"/>
            <w:hideMark/>
          </w:tcPr>
          <w:p w:rsidR="00B92912" w:rsidRPr="00B92912" w:rsidP="00B92912">
            <w:pPr>
              <w:rPr>
                <w:rFonts w:cs="Arial"/>
                <w:color w:val="000000"/>
                <w:sz w:val="22"/>
                <w:szCs w:val="22"/>
              </w:rPr>
            </w:pPr>
            <w:r w:rsidRPr="00B92912">
              <w:rPr>
                <w:rFonts w:cs="Arial"/>
                <w:color w:val="000000"/>
                <w:sz w:val="22"/>
                <w:szCs w:val="22"/>
              </w:rPr>
              <w:t>Resource AME</w:t>
            </w:r>
          </w:p>
        </w:tc>
        <w:tc>
          <w:tcPr>
            <w:tcW w:w="626" w:type="pct"/>
            <w:tcBorders>
              <w:top w:val="nil"/>
              <w:left w:val="nil"/>
              <w:bottom w:val="single" w:sz="4" w:space="0" w:color="auto"/>
              <w:right w:val="single" w:sz="4" w:space="0" w:color="auto"/>
            </w:tcBorders>
            <w:shd w:val="clear" w:color="auto" w:fill="auto"/>
            <w:noWrap/>
            <w:vAlign w:val="bottom"/>
            <w:hideMark/>
          </w:tcPr>
          <w:p w:rsidR="00B92912" w:rsidRPr="00B92912" w:rsidP="00B92912">
            <w:pPr>
              <w:jc w:val="right"/>
              <w:rPr>
                <w:rFonts w:cs="Arial"/>
                <w:color w:val="000000"/>
                <w:sz w:val="22"/>
                <w:szCs w:val="22"/>
              </w:rPr>
            </w:pPr>
            <w:r w:rsidRPr="00B92912">
              <w:rPr>
                <w:rFonts w:cs="Arial"/>
                <w:color w:val="000000"/>
                <w:sz w:val="22"/>
                <w:szCs w:val="22"/>
              </w:rPr>
              <w:t>10,880</w:t>
            </w:r>
          </w:p>
        </w:tc>
        <w:tc>
          <w:tcPr>
            <w:tcW w:w="626" w:type="pct"/>
            <w:tcBorders>
              <w:top w:val="nil"/>
              <w:left w:val="nil"/>
              <w:bottom w:val="single" w:sz="4" w:space="0" w:color="auto"/>
              <w:right w:val="single" w:sz="4" w:space="0" w:color="auto"/>
            </w:tcBorders>
            <w:shd w:val="clear" w:color="auto" w:fill="auto"/>
            <w:noWrap/>
            <w:vAlign w:val="bottom"/>
            <w:hideMark/>
          </w:tcPr>
          <w:p w:rsidR="00B92912" w:rsidRPr="00B92912" w:rsidP="00B92912">
            <w:pPr>
              <w:jc w:val="right"/>
              <w:rPr>
                <w:rFonts w:cs="Arial"/>
                <w:color w:val="000000"/>
                <w:sz w:val="22"/>
                <w:szCs w:val="22"/>
              </w:rPr>
            </w:pPr>
            <w:r w:rsidRPr="00B92912">
              <w:rPr>
                <w:rFonts w:cs="Arial"/>
                <w:color w:val="000000"/>
                <w:sz w:val="22"/>
                <w:szCs w:val="22"/>
              </w:rPr>
              <w:t>49,000</w:t>
            </w:r>
          </w:p>
        </w:tc>
        <w:tc>
          <w:tcPr>
            <w:tcW w:w="675" w:type="pct"/>
            <w:tcBorders>
              <w:top w:val="nil"/>
              <w:left w:val="nil"/>
              <w:bottom w:val="single" w:sz="4" w:space="0" w:color="auto"/>
              <w:right w:val="single" w:sz="4" w:space="0" w:color="auto"/>
            </w:tcBorders>
            <w:shd w:val="clear" w:color="auto" w:fill="auto"/>
            <w:noWrap/>
            <w:vAlign w:val="bottom"/>
            <w:hideMark/>
          </w:tcPr>
          <w:p w:rsidR="00B92912" w:rsidRPr="00B92912" w:rsidP="00B92912">
            <w:pPr>
              <w:jc w:val="right"/>
              <w:rPr>
                <w:rFonts w:cs="Arial"/>
                <w:i/>
                <w:iCs/>
                <w:color w:val="000000"/>
                <w:sz w:val="22"/>
                <w:szCs w:val="22"/>
              </w:rPr>
            </w:pPr>
            <w:r w:rsidRPr="00B92912">
              <w:rPr>
                <w:rFonts w:cs="Arial"/>
                <w:i/>
                <w:iCs/>
                <w:color w:val="FF0000"/>
                <w:sz w:val="22"/>
                <w:szCs w:val="22"/>
              </w:rPr>
              <w:t>(38,120)</w:t>
            </w:r>
          </w:p>
        </w:tc>
        <w:tc>
          <w:tcPr>
            <w:tcW w:w="577" w:type="pct"/>
            <w:tcBorders>
              <w:top w:val="nil"/>
              <w:left w:val="nil"/>
              <w:bottom w:val="single" w:sz="4" w:space="0" w:color="auto"/>
              <w:right w:val="single" w:sz="4" w:space="0" w:color="auto"/>
            </w:tcBorders>
            <w:shd w:val="clear" w:color="auto" w:fill="auto"/>
            <w:noWrap/>
            <w:vAlign w:val="bottom"/>
            <w:hideMark/>
          </w:tcPr>
          <w:p w:rsidR="00B92912" w:rsidRPr="00B92912" w:rsidP="00B92912">
            <w:pPr>
              <w:jc w:val="right"/>
              <w:rPr>
                <w:rFonts w:cs="Arial"/>
                <w:i/>
                <w:iCs/>
                <w:color w:val="FF0000"/>
                <w:sz w:val="22"/>
                <w:szCs w:val="22"/>
              </w:rPr>
            </w:pPr>
            <w:r w:rsidRPr="00B92912">
              <w:rPr>
                <w:rFonts w:cs="Arial"/>
                <w:i/>
                <w:iCs/>
                <w:color w:val="FF0000"/>
                <w:sz w:val="22"/>
                <w:szCs w:val="22"/>
              </w:rPr>
              <w:t>-77.8%</w:t>
            </w:r>
          </w:p>
        </w:tc>
        <w:tc>
          <w:tcPr>
            <w:tcW w:w="626" w:type="pct"/>
            <w:tcBorders>
              <w:top w:val="nil"/>
              <w:left w:val="nil"/>
              <w:bottom w:val="single" w:sz="4" w:space="0" w:color="auto"/>
              <w:right w:val="single" w:sz="4" w:space="0" w:color="auto"/>
            </w:tcBorders>
            <w:shd w:val="clear" w:color="auto" w:fill="auto"/>
            <w:noWrap/>
            <w:vAlign w:val="bottom"/>
            <w:hideMark/>
          </w:tcPr>
          <w:p w:rsidR="00B92912" w:rsidRPr="00B92912" w:rsidP="00B92912">
            <w:pPr>
              <w:jc w:val="right"/>
              <w:rPr>
                <w:rFonts w:cs="Arial"/>
                <w:color w:val="000000"/>
                <w:sz w:val="22"/>
                <w:szCs w:val="22"/>
              </w:rPr>
            </w:pPr>
            <w:r w:rsidRPr="00B92912">
              <w:rPr>
                <w:rFonts w:cs="Arial"/>
                <w:color w:val="000000"/>
                <w:sz w:val="22"/>
                <w:szCs w:val="22"/>
              </w:rPr>
              <w:t>10,002</w:t>
            </w:r>
          </w:p>
        </w:tc>
        <w:tc>
          <w:tcPr>
            <w:tcW w:w="660" w:type="pct"/>
            <w:tcBorders>
              <w:top w:val="nil"/>
              <w:left w:val="nil"/>
              <w:bottom w:val="single" w:sz="4" w:space="0" w:color="auto"/>
              <w:right w:val="single" w:sz="4" w:space="0" w:color="auto"/>
            </w:tcBorders>
            <w:shd w:val="clear" w:color="auto" w:fill="auto"/>
            <w:noWrap/>
            <w:vAlign w:val="bottom"/>
            <w:hideMark/>
          </w:tcPr>
          <w:p w:rsidR="00B92912" w:rsidRPr="00B92912" w:rsidP="00B92912">
            <w:pPr>
              <w:jc w:val="right"/>
              <w:rPr>
                <w:rFonts w:cs="Arial"/>
                <w:i/>
                <w:iCs/>
                <w:color w:val="000000"/>
                <w:sz w:val="22"/>
                <w:szCs w:val="22"/>
              </w:rPr>
            </w:pPr>
            <w:r w:rsidRPr="00B92912">
              <w:rPr>
                <w:rFonts w:cs="Arial"/>
                <w:i/>
                <w:iCs/>
                <w:color w:val="000000"/>
                <w:sz w:val="22"/>
                <w:szCs w:val="22"/>
              </w:rPr>
              <w:t>878</w:t>
            </w:r>
          </w:p>
        </w:tc>
        <w:tc>
          <w:tcPr>
            <w:tcW w:w="591" w:type="pct"/>
            <w:tcBorders>
              <w:top w:val="nil"/>
              <w:left w:val="nil"/>
              <w:bottom w:val="single" w:sz="4" w:space="0" w:color="auto"/>
              <w:right w:val="single" w:sz="4" w:space="0" w:color="auto"/>
            </w:tcBorders>
            <w:shd w:val="clear" w:color="auto" w:fill="auto"/>
            <w:noWrap/>
            <w:vAlign w:val="bottom"/>
            <w:hideMark/>
          </w:tcPr>
          <w:p w:rsidR="00B92912" w:rsidRPr="00B92912" w:rsidP="00B92912">
            <w:pPr>
              <w:jc w:val="right"/>
              <w:rPr>
                <w:rFonts w:cs="Arial"/>
                <w:i/>
                <w:iCs/>
                <w:color w:val="FF0000"/>
                <w:sz w:val="22"/>
                <w:szCs w:val="22"/>
              </w:rPr>
            </w:pPr>
            <w:r w:rsidRPr="00B92912">
              <w:rPr>
                <w:rFonts w:cs="Arial"/>
                <w:i/>
                <w:iCs/>
                <w:color w:val="FF0000"/>
                <w:sz w:val="22"/>
                <w:szCs w:val="22"/>
              </w:rPr>
              <w:t>8.8%</w:t>
            </w:r>
          </w:p>
        </w:tc>
      </w:tr>
    </w:tbl>
    <w:p w:rsidR="004F64C1" w:rsidP="004F64C1">
      <w:pPr>
        <w:ind w:left="567"/>
        <w:rPr>
          <w:rFonts w:eastAsiaTheme="minorHAnsi" w:cs="Arial"/>
          <w:b/>
          <w:sz w:val="22"/>
          <w:szCs w:val="22"/>
          <w:lang w:eastAsia="en-US"/>
        </w:rPr>
      </w:pPr>
    </w:p>
    <w:p w:rsidR="004F64C1" w:rsidRPr="00565172" w:rsidP="004F64C1">
      <w:pPr>
        <w:ind w:left="567"/>
        <w:rPr>
          <w:rFonts w:eastAsiaTheme="minorHAnsi" w:cs="Arial"/>
          <w:b/>
          <w:sz w:val="22"/>
          <w:szCs w:val="22"/>
          <w:lang w:eastAsia="en-US"/>
        </w:rPr>
      </w:pPr>
    </w:p>
    <w:p w:rsidR="004F64C1" w:rsidRPr="00565172" w:rsidP="001F4DFB">
      <w:pPr>
        <w:numPr>
          <w:ilvl w:val="1"/>
          <w:numId w:val="4"/>
        </w:numPr>
        <w:spacing w:after="120" w:line="276" w:lineRule="auto"/>
        <w:ind w:left="567" w:hanging="567"/>
        <w:rPr>
          <w:rFonts w:eastAsia="Calibri" w:cs="Arial"/>
          <w:b/>
          <w:sz w:val="22"/>
          <w:szCs w:val="22"/>
        </w:rPr>
      </w:pPr>
      <w:r w:rsidRPr="00565172">
        <w:rPr>
          <w:rFonts w:eastAsia="Calibri" w:cs="Arial"/>
          <w:b/>
          <w:sz w:val="22"/>
          <w:szCs w:val="22"/>
        </w:rPr>
        <w:t xml:space="preserve">Key Drivers of Spending Changes </w:t>
      </w:r>
      <w:r w:rsidR="00712253">
        <w:rPr>
          <w:rFonts w:eastAsia="Calibri" w:cs="Arial"/>
          <w:b/>
          <w:sz w:val="22"/>
          <w:szCs w:val="22"/>
        </w:rPr>
        <w:t>since last year</w:t>
      </w:r>
      <w:r w:rsidR="00A64903">
        <w:rPr>
          <w:rFonts w:eastAsia="Calibri" w:cs="Arial"/>
          <w:b/>
          <w:sz w:val="22"/>
          <w:szCs w:val="22"/>
        </w:rPr>
        <w:t>:</w:t>
      </w:r>
    </w:p>
    <w:p w:rsidR="004F64C1" w:rsidRPr="00565172" w:rsidP="004F64C1">
      <w:pPr>
        <w:ind w:left="567"/>
        <w:jc w:val="both"/>
        <w:rPr>
          <w:rFonts w:eastAsia="Calibri" w:cs="Arial"/>
          <w:sz w:val="22"/>
          <w:szCs w:val="22"/>
        </w:rPr>
      </w:pPr>
      <w:r w:rsidRPr="00334847">
        <w:rPr>
          <w:rFonts w:eastAsia="Calibri" w:cs="Arial"/>
          <w:sz w:val="22"/>
          <w:szCs w:val="22"/>
        </w:rPr>
        <w:t xml:space="preserve">This section identifies the key drivers of change since last year for Resource DEL, Capital DEL and Resource AME.  Further </w:t>
      </w:r>
      <w:r w:rsidR="0011286B">
        <w:rPr>
          <w:rFonts w:eastAsia="Calibri" w:cs="Arial"/>
          <w:sz w:val="22"/>
          <w:szCs w:val="22"/>
        </w:rPr>
        <w:t xml:space="preserve">detailed </w:t>
      </w:r>
      <w:r w:rsidRPr="00334847">
        <w:rPr>
          <w:rFonts w:eastAsia="Calibri" w:cs="Arial"/>
          <w:sz w:val="22"/>
          <w:szCs w:val="22"/>
        </w:rPr>
        <w:t xml:space="preserve">analysis of changes can </w:t>
      </w:r>
      <w:r w:rsidRPr="00B24D78">
        <w:rPr>
          <w:rFonts w:eastAsia="Calibri" w:cs="Arial"/>
          <w:sz w:val="22"/>
          <w:szCs w:val="22"/>
        </w:rPr>
        <w:t>be found in section 2.</w:t>
      </w:r>
    </w:p>
    <w:p w:rsidR="004F64C1" w:rsidP="004F64C1">
      <w:pPr>
        <w:ind w:left="927"/>
        <w:contextualSpacing/>
        <w:jc w:val="both"/>
        <w:rPr>
          <w:rFonts w:eastAsia="Calibri" w:cs="Arial"/>
          <w:sz w:val="22"/>
          <w:szCs w:val="22"/>
        </w:rPr>
      </w:pPr>
    </w:p>
    <w:p w:rsidR="004F64C1" w:rsidRPr="00DA0C96" w:rsidP="00C63C85">
      <w:pPr>
        <w:spacing w:after="200" w:line="276" w:lineRule="auto"/>
        <w:contextualSpacing/>
        <w:jc w:val="both"/>
        <w:rPr>
          <w:rFonts w:eastAsia="Calibri" w:cs="Arial"/>
          <w:b/>
          <w:bCs/>
          <w:sz w:val="22"/>
          <w:szCs w:val="22"/>
        </w:rPr>
      </w:pPr>
      <w:r w:rsidRPr="00DA0C96">
        <w:rPr>
          <w:rFonts w:cs="Arial"/>
          <w:b/>
          <w:bCs/>
          <w:sz w:val="22"/>
          <w:szCs w:val="22"/>
          <w:u w:val="single"/>
        </w:rPr>
        <w:t>Resource DEL</w:t>
      </w:r>
      <w:r w:rsidRPr="00DA0C96">
        <w:rPr>
          <w:rFonts w:cs="Arial"/>
          <w:b/>
          <w:bCs/>
          <w:sz w:val="22"/>
          <w:szCs w:val="22"/>
        </w:rPr>
        <w:t xml:space="preserve"> </w:t>
      </w:r>
      <w:r w:rsidRPr="00DA0C96" w:rsidR="7C790D71">
        <w:rPr>
          <w:rFonts w:cs="Arial"/>
          <w:b/>
          <w:bCs/>
          <w:sz w:val="22"/>
          <w:szCs w:val="22"/>
        </w:rPr>
        <w:t xml:space="preserve">- </w:t>
      </w:r>
      <w:r w:rsidRPr="00DA0C96" w:rsidR="2AD3C223">
        <w:rPr>
          <w:rFonts w:cs="Arial"/>
          <w:b/>
          <w:bCs/>
          <w:sz w:val="22"/>
          <w:szCs w:val="22"/>
        </w:rPr>
        <w:t xml:space="preserve"> </w:t>
      </w:r>
      <w:r w:rsidRPr="00DA0C96" w:rsidR="2AD3C223">
        <w:rPr>
          <w:rFonts w:eastAsia="Calibri" w:cs="Arial"/>
          <w:sz w:val="22"/>
          <w:szCs w:val="22"/>
        </w:rPr>
        <w:t xml:space="preserve">The </w:t>
      </w:r>
      <w:r w:rsidRPr="00DA0C96" w:rsidR="001C0FE9">
        <w:rPr>
          <w:rFonts w:eastAsia="Calibri" w:cs="Arial"/>
          <w:sz w:val="22"/>
          <w:szCs w:val="22"/>
        </w:rPr>
        <w:t xml:space="preserve">changes </w:t>
      </w:r>
      <w:r w:rsidRPr="00DA0C96" w:rsidR="00723483">
        <w:rPr>
          <w:rFonts w:eastAsia="Calibri" w:cs="Arial"/>
          <w:sz w:val="22"/>
          <w:szCs w:val="22"/>
        </w:rPr>
        <w:t xml:space="preserve">in </w:t>
      </w:r>
      <w:r w:rsidRPr="00DA0C96" w:rsidR="2AD3C223">
        <w:rPr>
          <w:rFonts w:eastAsia="Calibri" w:cs="Arial"/>
          <w:sz w:val="22"/>
          <w:szCs w:val="22"/>
        </w:rPr>
        <w:t xml:space="preserve">resource DEL in 2022-23 </w:t>
      </w:r>
      <w:r w:rsidRPr="00DA0C96" w:rsidR="00723483">
        <w:rPr>
          <w:rFonts w:eastAsia="Calibri" w:cs="Arial"/>
          <w:sz w:val="22"/>
          <w:szCs w:val="22"/>
        </w:rPr>
        <w:t xml:space="preserve">compared to </w:t>
      </w:r>
      <w:r w:rsidRPr="00DA0C96" w:rsidR="2AD3C223">
        <w:rPr>
          <w:rFonts w:eastAsia="Calibri" w:cs="Arial"/>
          <w:sz w:val="22"/>
          <w:szCs w:val="22"/>
        </w:rPr>
        <w:t>2021-22</w:t>
      </w:r>
      <w:r w:rsidRPr="00DA0C96" w:rsidR="0EBD6555">
        <w:rPr>
          <w:rFonts w:eastAsia="Calibri" w:cs="Arial"/>
          <w:sz w:val="22"/>
          <w:szCs w:val="22"/>
        </w:rPr>
        <w:t xml:space="preserve"> </w:t>
      </w:r>
      <w:r w:rsidRPr="00DA0C96" w:rsidR="00723483">
        <w:rPr>
          <w:rFonts w:eastAsia="Calibri" w:cs="Arial"/>
          <w:sz w:val="22"/>
          <w:szCs w:val="22"/>
        </w:rPr>
        <w:t>are</w:t>
      </w:r>
      <w:r w:rsidRPr="00DA0C96" w:rsidR="6CA0CC15">
        <w:rPr>
          <w:rFonts w:eastAsia="Calibri" w:cs="Arial"/>
          <w:sz w:val="22"/>
          <w:szCs w:val="22"/>
        </w:rPr>
        <w:t xml:space="preserve"> </w:t>
      </w:r>
      <w:r w:rsidRPr="00DA0C96" w:rsidR="0EBD6555">
        <w:rPr>
          <w:rFonts w:eastAsia="Calibri" w:cs="Arial"/>
          <w:sz w:val="22"/>
          <w:szCs w:val="22"/>
        </w:rPr>
        <w:t xml:space="preserve">detailed in the table </w:t>
      </w:r>
      <w:r w:rsidRPr="00DA0C96" w:rsidR="1A3B1E0A">
        <w:rPr>
          <w:rFonts w:eastAsia="Calibri" w:cs="Arial"/>
          <w:sz w:val="22"/>
          <w:szCs w:val="22"/>
        </w:rPr>
        <w:t>a</w:t>
      </w:r>
      <w:r w:rsidRPr="00DA0C96" w:rsidR="2F2FA585">
        <w:rPr>
          <w:rFonts w:eastAsia="Calibri" w:cs="Arial"/>
          <w:sz w:val="22"/>
          <w:szCs w:val="22"/>
        </w:rPr>
        <w:t>nd expl</w:t>
      </w:r>
      <w:r w:rsidRPr="00DA0C96" w:rsidR="5820191F">
        <w:rPr>
          <w:rFonts w:eastAsia="Calibri" w:cs="Arial"/>
          <w:sz w:val="22"/>
          <w:szCs w:val="22"/>
        </w:rPr>
        <w:t xml:space="preserve">anations </w:t>
      </w:r>
      <w:r w:rsidRPr="00DA0C96" w:rsidR="0EBD6555">
        <w:rPr>
          <w:rFonts w:eastAsia="Calibri" w:cs="Arial"/>
          <w:sz w:val="22"/>
          <w:szCs w:val="22"/>
        </w:rPr>
        <w:t>below:</w:t>
      </w:r>
    </w:p>
    <w:tbl>
      <w:tblPr>
        <w:tblW w:w="5000" w:type="pct"/>
        <w:tblLook w:val="04A0"/>
      </w:tblPr>
      <w:tblGrid>
        <w:gridCol w:w="4961"/>
        <w:gridCol w:w="1933"/>
        <w:gridCol w:w="1934"/>
        <w:gridCol w:w="1934"/>
      </w:tblGrid>
      <w:tr w:rsidTr="00842C19">
        <w:tblPrEx>
          <w:tblW w:w="5000" w:type="pct"/>
          <w:tblLook w:val="04A0"/>
        </w:tblPrEx>
        <w:trPr>
          <w:trHeight w:val="885"/>
        </w:trPr>
        <w:tc>
          <w:tcPr>
            <w:tcW w:w="2204" w:type="pct"/>
            <w:tcBorders>
              <w:top w:val="single" w:sz="4" w:space="0" w:color="auto"/>
              <w:left w:val="single" w:sz="4" w:space="0" w:color="auto"/>
              <w:bottom w:val="single" w:sz="4" w:space="0" w:color="auto"/>
              <w:right w:val="single" w:sz="4" w:space="0" w:color="auto"/>
            </w:tcBorders>
            <w:shd w:val="clear" w:color="000000" w:fill="333F4F"/>
            <w:noWrap/>
            <w:vAlign w:val="center"/>
            <w:hideMark/>
          </w:tcPr>
          <w:p w:rsidR="00741146" w:rsidRPr="00DA0C96" w:rsidP="00741146">
            <w:pPr>
              <w:rPr>
                <w:rFonts w:cs="Arial"/>
                <w:b/>
                <w:bCs/>
                <w:color w:val="FFFFFF"/>
                <w:sz w:val="22"/>
                <w:szCs w:val="22"/>
              </w:rPr>
            </w:pPr>
            <w:r w:rsidRPr="00DA0C96">
              <w:rPr>
                <w:rFonts w:cs="Arial"/>
                <w:b/>
                <w:bCs/>
                <w:color w:val="FFFFFF"/>
                <w:sz w:val="22"/>
                <w:szCs w:val="22"/>
              </w:rPr>
              <w:t>Explanation of changes - £bns</w:t>
            </w:r>
          </w:p>
        </w:tc>
        <w:tc>
          <w:tcPr>
            <w:tcW w:w="932" w:type="pct"/>
            <w:tcBorders>
              <w:top w:val="single" w:sz="4" w:space="0" w:color="auto"/>
              <w:left w:val="nil"/>
              <w:bottom w:val="single" w:sz="4" w:space="0" w:color="auto"/>
              <w:right w:val="single" w:sz="4" w:space="0" w:color="auto"/>
            </w:tcBorders>
            <w:shd w:val="clear" w:color="000000" w:fill="333F4F"/>
            <w:vAlign w:val="center"/>
            <w:hideMark/>
          </w:tcPr>
          <w:p w:rsidR="00741146" w:rsidRPr="00DA0C96" w:rsidP="00741146">
            <w:pPr>
              <w:jc w:val="center"/>
              <w:rPr>
                <w:rFonts w:cs="Arial"/>
                <w:b/>
                <w:bCs/>
                <w:color w:val="FFFFFF"/>
                <w:sz w:val="22"/>
                <w:szCs w:val="22"/>
              </w:rPr>
            </w:pPr>
            <w:r w:rsidRPr="00DA0C96">
              <w:rPr>
                <w:rFonts w:cs="Arial"/>
                <w:b/>
                <w:bCs/>
                <w:color w:val="FFFFFF"/>
                <w:sz w:val="22"/>
                <w:szCs w:val="22"/>
              </w:rPr>
              <w:t xml:space="preserve">2022-23 Main Estimate </w:t>
            </w:r>
          </w:p>
        </w:tc>
        <w:tc>
          <w:tcPr>
            <w:tcW w:w="932" w:type="pct"/>
            <w:tcBorders>
              <w:top w:val="single" w:sz="4" w:space="0" w:color="auto"/>
              <w:left w:val="nil"/>
              <w:bottom w:val="single" w:sz="4" w:space="0" w:color="auto"/>
              <w:right w:val="single" w:sz="4" w:space="0" w:color="auto"/>
            </w:tcBorders>
            <w:shd w:val="clear" w:color="000000" w:fill="333F4F"/>
            <w:vAlign w:val="center"/>
            <w:hideMark/>
          </w:tcPr>
          <w:p w:rsidR="00741146" w:rsidRPr="00DA0C96" w:rsidP="00741146">
            <w:pPr>
              <w:jc w:val="center"/>
              <w:rPr>
                <w:rFonts w:cs="Arial"/>
                <w:b/>
                <w:bCs/>
                <w:color w:val="FFFFFF"/>
                <w:sz w:val="22"/>
                <w:szCs w:val="22"/>
              </w:rPr>
            </w:pPr>
            <w:r w:rsidRPr="00DA0C96">
              <w:rPr>
                <w:rFonts w:cs="Arial"/>
                <w:b/>
                <w:bCs/>
                <w:color w:val="FFFFFF"/>
                <w:sz w:val="22"/>
                <w:szCs w:val="22"/>
              </w:rPr>
              <w:t xml:space="preserve">2021-22 Supplementary Estimate </w:t>
            </w:r>
          </w:p>
        </w:tc>
        <w:tc>
          <w:tcPr>
            <w:tcW w:w="932" w:type="pct"/>
            <w:tcBorders>
              <w:top w:val="single" w:sz="4" w:space="0" w:color="auto"/>
              <w:left w:val="nil"/>
              <w:bottom w:val="single" w:sz="4" w:space="0" w:color="auto"/>
              <w:right w:val="single" w:sz="4" w:space="0" w:color="auto"/>
            </w:tcBorders>
            <w:shd w:val="clear" w:color="000000" w:fill="333F4F"/>
            <w:vAlign w:val="center"/>
            <w:hideMark/>
          </w:tcPr>
          <w:p w:rsidR="00723483" w:rsidRPr="00DA0C96" w:rsidP="00723483">
            <w:pPr>
              <w:jc w:val="center"/>
              <w:rPr>
                <w:rFonts w:cs="Arial"/>
                <w:b/>
                <w:bCs/>
                <w:color w:val="FFFFFF"/>
                <w:sz w:val="22"/>
                <w:szCs w:val="22"/>
              </w:rPr>
            </w:pPr>
            <w:r w:rsidRPr="00DA0C96">
              <w:rPr>
                <w:rFonts w:cs="Arial"/>
                <w:b/>
                <w:bCs/>
                <w:color w:val="FFFFFF"/>
                <w:sz w:val="22"/>
                <w:szCs w:val="22"/>
              </w:rPr>
              <w:t xml:space="preserve">2022-23 </w:t>
            </w:r>
          </w:p>
          <w:p w:rsidR="00C91AD7" w:rsidRPr="00DA0C96" w:rsidP="00723483">
            <w:pPr>
              <w:jc w:val="center"/>
              <w:rPr>
                <w:rFonts w:cs="Arial"/>
                <w:b/>
                <w:bCs/>
                <w:color w:val="FFFFFF"/>
                <w:sz w:val="22"/>
                <w:szCs w:val="22"/>
              </w:rPr>
            </w:pPr>
            <w:r w:rsidRPr="00DA0C96">
              <w:rPr>
                <w:rFonts w:cs="Arial"/>
                <w:b/>
                <w:bCs/>
                <w:color w:val="FFFFFF"/>
                <w:sz w:val="22"/>
                <w:szCs w:val="22"/>
              </w:rPr>
              <w:t>change</w:t>
            </w:r>
          </w:p>
        </w:tc>
      </w:tr>
      <w:tr w:rsidTr="00842C19">
        <w:tblPrEx>
          <w:tblW w:w="5000" w:type="pct"/>
          <w:tblLook w:val="04A0"/>
        </w:tblPrEx>
        <w:trPr>
          <w:trHeight w:val="285"/>
        </w:trPr>
        <w:tc>
          <w:tcPr>
            <w:tcW w:w="2204" w:type="pct"/>
            <w:tcBorders>
              <w:top w:val="nil"/>
              <w:left w:val="single" w:sz="4" w:space="0" w:color="auto"/>
              <w:bottom w:val="single" w:sz="4" w:space="0" w:color="auto"/>
              <w:right w:val="single" w:sz="4" w:space="0" w:color="auto"/>
            </w:tcBorders>
            <w:shd w:val="clear" w:color="auto" w:fill="auto"/>
            <w:noWrap/>
            <w:vAlign w:val="bottom"/>
            <w:hideMark/>
          </w:tcPr>
          <w:p w:rsidR="00741146" w:rsidRPr="00DA0C96" w:rsidP="00741146">
            <w:pPr>
              <w:rPr>
                <w:rFonts w:cs="Arial"/>
                <w:color w:val="000000"/>
                <w:sz w:val="22"/>
                <w:szCs w:val="22"/>
              </w:rPr>
            </w:pPr>
            <w:r w:rsidRPr="00DA0C96">
              <w:rPr>
                <w:rFonts w:cs="Arial"/>
                <w:color w:val="000000"/>
                <w:sz w:val="22"/>
                <w:szCs w:val="22"/>
              </w:rPr>
              <w:t>Resource DEL</w:t>
            </w:r>
            <w:r w:rsidRPr="00DA0C96" w:rsidR="005E3CCA">
              <w:rPr>
                <w:rFonts w:cs="Arial"/>
                <w:color w:val="000000"/>
                <w:sz w:val="22"/>
                <w:szCs w:val="22"/>
              </w:rPr>
              <w:t xml:space="preserve"> (excl depreciation)</w:t>
            </w:r>
            <w:r w:rsidRPr="00DA0C96">
              <w:rPr>
                <w:rFonts w:cs="Arial"/>
                <w:color w:val="000000"/>
                <w:sz w:val="22"/>
                <w:szCs w:val="22"/>
              </w:rPr>
              <w:t xml:space="preserve"> - per SR21 (a)</w:t>
            </w:r>
          </w:p>
        </w:tc>
        <w:tc>
          <w:tcPr>
            <w:tcW w:w="932" w:type="pct"/>
            <w:tcBorders>
              <w:top w:val="nil"/>
              <w:left w:val="nil"/>
              <w:bottom w:val="single" w:sz="4" w:space="0" w:color="auto"/>
              <w:right w:val="single" w:sz="4" w:space="0" w:color="auto"/>
            </w:tcBorders>
            <w:shd w:val="clear" w:color="auto" w:fill="auto"/>
            <w:noWrap/>
            <w:vAlign w:val="bottom"/>
            <w:hideMark/>
          </w:tcPr>
          <w:p w:rsidR="00741146" w:rsidRPr="00DA0C96" w:rsidP="00741146">
            <w:pPr>
              <w:jc w:val="right"/>
              <w:rPr>
                <w:rFonts w:cs="Arial"/>
                <w:color w:val="000000"/>
                <w:sz w:val="22"/>
                <w:szCs w:val="22"/>
              </w:rPr>
            </w:pPr>
            <w:r w:rsidRPr="00DA0C96">
              <w:rPr>
                <w:rFonts w:cs="Arial"/>
                <w:color w:val="000000"/>
                <w:sz w:val="22"/>
                <w:szCs w:val="22"/>
              </w:rPr>
              <w:t>167.9</w:t>
            </w:r>
          </w:p>
        </w:tc>
        <w:tc>
          <w:tcPr>
            <w:tcW w:w="932" w:type="pct"/>
            <w:tcBorders>
              <w:top w:val="nil"/>
              <w:left w:val="nil"/>
              <w:bottom w:val="single" w:sz="4" w:space="0" w:color="auto"/>
              <w:right w:val="single" w:sz="4" w:space="0" w:color="auto"/>
            </w:tcBorders>
            <w:shd w:val="clear" w:color="auto" w:fill="auto"/>
            <w:noWrap/>
            <w:vAlign w:val="bottom"/>
            <w:hideMark/>
          </w:tcPr>
          <w:p w:rsidR="00741146" w:rsidRPr="00DA0C96" w:rsidP="00741146">
            <w:pPr>
              <w:jc w:val="right"/>
              <w:rPr>
                <w:rFonts w:cs="Arial"/>
                <w:color w:val="000000"/>
                <w:sz w:val="22"/>
                <w:szCs w:val="22"/>
              </w:rPr>
            </w:pPr>
            <w:r w:rsidRPr="00DA0C96">
              <w:rPr>
                <w:rFonts w:cs="Arial"/>
                <w:color w:val="000000"/>
                <w:sz w:val="22"/>
                <w:szCs w:val="22"/>
              </w:rPr>
              <w:t>147.1</w:t>
            </w:r>
          </w:p>
        </w:tc>
        <w:tc>
          <w:tcPr>
            <w:tcW w:w="932" w:type="pct"/>
            <w:tcBorders>
              <w:top w:val="nil"/>
              <w:left w:val="nil"/>
              <w:bottom w:val="single" w:sz="4" w:space="0" w:color="auto"/>
              <w:right w:val="single" w:sz="4" w:space="0" w:color="auto"/>
            </w:tcBorders>
            <w:shd w:val="clear" w:color="auto" w:fill="auto"/>
            <w:noWrap/>
            <w:vAlign w:val="bottom"/>
            <w:hideMark/>
          </w:tcPr>
          <w:p w:rsidR="00741146" w:rsidRPr="00DA0C96" w:rsidP="00741146">
            <w:pPr>
              <w:jc w:val="right"/>
              <w:rPr>
                <w:rFonts w:cs="Arial"/>
                <w:color w:val="000000"/>
                <w:sz w:val="22"/>
                <w:szCs w:val="22"/>
              </w:rPr>
            </w:pPr>
            <w:r w:rsidRPr="00DA0C96">
              <w:rPr>
                <w:rFonts w:cs="Arial"/>
                <w:color w:val="000000"/>
                <w:sz w:val="22"/>
                <w:szCs w:val="22"/>
              </w:rPr>
              <w:t>20.8</w:t>
            </w:r>
          </w:p>
        </w:tc>
      </w:tr>
      <w:tr w:rsidTr="00842C19">
        <w:tblPrEx>
          <w:tblW w:w="5000" w:type="pct"/>
          <w:tblLook w:val="04A0"/>
        </w:tblPrEx>
        <w:trPr>
          <w:trHeight w:val="285"/>
        </w:trPr>
        <w:tc>
          <w:tcPr>
            <w:tcW w:w="2204" w:type="pct"/>
            <w:tcBorders>
              <w:top w:val="nil"/>
              <w:left w:val="single" w:sz="4" w:space="0" w:color="auto"/>
              <w:bottom w:val="single" w:sz="4" w:space="0" w:color="auto"/>
              <w:right w:val="single" w:sz="4" w:space="0" w:color="auto"/>
            </w:tcBorders>
            <w:shd w:val="clear" w:color="auto" w:fill="auto"/>
            <w:noWrap/>
            <w:vAlign w:val="bottom"/>
            <w:hideMark/>
          </w:tcPr>
          <w:p w:rsidR="00741146" w:rsidRPr="00DA0C96" w:rsidP="00741146">
            <w:pPr>
              <w:rPr>
                <w:rFonts w:cs="Arial"/>
                <w:color w:val="000000"/>
                <w:sz w:val="22"/>
                <w:szCs w:val="22"/>
              </w:rPr>
            </w:pPr>
            <w:r w:rsidRPr="00DA0C96">
              <w:rPr>
                <w:rFonts w:cs="Arial"/>
                <w:color w:val="000000"/>
                <w:sz w:val="22"/>
                <w:szCs w:val="22"/>
              </w:rPr>
              <w:t>Covid funding (b)</w:t>
            </w:r>
          </w:p>
        </w:tc>
        <w:tc>
          <w:tcPr>
            <w:tcW w:w="932" w:type="pct"/>
            <w:tcBorders>
              <w:top w:val="nil"/>
              <w:left w:val="nil"/>
              <w:bottom w:val="single" w:sz="4" w:space="0" w:color="auto"/>
              <w:right w:val="single" w:sz="4" w:space="0" w:color="auto"/>
            </w:tcBorders>
            <w:shd w:val="clear" w:color="auto" w:fill="auto"/>
            <w:noWrap/>
            <w:vAlign w:val="bottom"/>
            <w:hideMark/>
          </w:tcPr>
          <w:p w:rsidR="00741146" w:rsidRPr="00DA0C96" w:rsidP="00741146">
            <w:pPr>
              <w:rPr>
                <w:rFonts w:cs="Arial"/>
                <w:color w:val="000000"/>
                <w:sz w:val="22"/>
                <w:szCs w:val="22"/>
              </w:rPr>
            </w:pPr>
            <w:r w:rsidRPr="00DA0C96">
              <w:rPr>
                <w:rFonts w:cs="Arial"/>
                <w:color w:val="000000"/>
                <w:sz w:val="22"/>
                <w:szCs w:val="22"/>
              </w:rPr>
              <w:t> </w:t>
            </w:r>
          </w:p>
        </w:tc>
        <w:tc>
          <w:tcPr>
            <w:tcW w:w="932" w:type="pct"/>
            <w:tcBorders>
              <w:top w:val="nil"/>
              <w:left w:val="nil"/>
              <w:bottom w:val="single" w:sz="4" w:space="0" w:color="auto"/>
              <w:right w:val="single" w:sz="4" w:space="0" w:color="auto"/>
            </w:tcBorders>
            <w:shd w:val="clear" w:color="auto" w:fill="auto"/>
            <w:noWrap/>
            <w:vAlign w:val="bottom"/>
            <w:hideMark/>
          </w:tcPr>
          <w:p w:rsidR="00741146" w:rsidRPr="00DA0C96" w:rsidP="00741146">
            <w:pPr>
              <w:jc w:val="right"/>
              <w:rPr>
                <w:rFonts w:cs="Arial"/>
                <w:color w:val="000000"/>
                <w:sz w:val="22"/>
                <w:szCs w:val="22"/>
              </w:rPr>
            </w:pPr>
            <w:r w:rsidRPr="00DA0C96">
              <w:rPr>
                <w:rFonts w:cs="Arial"/>
                <w:color w:val="000000"/>
                <w:sz w:val="22"/>
                <w:szCs w:val="22"/>
              </w:rPr>
              <w:t>39.2</w:t>
            </w:r>
          </w:p>
        </w:tc>
        <w:tc>
          <w:tcPr>
            <w:tcW w:w="932" w:type="pct"/>
            <w:tcBorders>
              <w:top w:val="nil"/>
              <w:left w:val="nil"/>
              <w:bottom w:val="single" w:sz="4" w:space="0" w:color="auto"/>
              <w:right w:val="single" w:sz="4" w:space="0" w:color="auto"/>
            </w:tcBorders>
            <w:shd w:val="clear" w:color="auto" w:fill="auto"/>
            <w:noWrap/>
            <w:vAlign w:val="bottom"/>
            <w:hideMark/>
          </w:tcPr>
          <w:p w:rsidR="00741146" w:rsidRPr="00DA0C96" w:rsidP="00741146">
            <w:pPr>
              <w:jc w:val="right"/>
              <w:rPr>
                <w:rFonts w:cs="Arial"/>
                <w:color w:val="000000"/>
                <w:sz w:val="22"/>
                <w:szCs w:val="22"/>
              </w:rPr>
            </w:pPr>
            <w:r w:rsidRPr="00DA0C96">
              <w:rPr>
                <w:rFonts w:cs="Arial"/>
                <w:color w:val="FF0000"/>
                <w:sz w:val="22"/>
                <w:szCs w:val="22"/>
              </w:rPr>
              <w:t>(39.2)</w:t>
            </w:r>
          </w:p>
        </w:tc>
      </w:tr>
      <w:tr w:rsidTr="00842C19">
        <w:tblPrEx>
          <w:tblW w:w="5000" w:type="pct"/>
          <w:tblLook w:val="04A0"/>
        </w:tblPrEx>
        <w:trPr>
          <w:trHeight w:val="285"/>
        </w:trPr>
        <w:tc>
          <w:tcPr>
            <w:tcW w:w="2204" w:type="pct"/>
            <w:tcBorders>
              <w:top w:val="nil"/>
              <w:left w:val="single" w:sz="4" w:space="0" w:color="auto"/>
              <w:bottom w:val="single" w:sz="4" w:space="0" w:color="auto"/>
              <w:right w:val="single" w:sz="4" w:space="0" w:color="auto"/>
            </w:tcBorders>
            <w:shd w:val="clear" w:color="auto" w:fill="auto"/>
            <w:noWrap/>
            <w:vAlign w:val="bottom"/>
            <w:hideMark/>
          </w:tcPr>
          <w:p w:rsidR="00741146" w:rsidRPr="00DA0C96" w:rsidP="00741146">
            <w:pPr>
              <w:rPr>
                <w:rFonts w:cs="Arial"/>
                <w:color w:val="000000"/>
                <w:sz w:val="22"/>
                <w:szCs w:val="22"/>
              </w:rPr>
            </w:pPr>
            <w:r w:rsidRPr="00DA0C96">
              <w:rPr>
                <w:rFonts w:cs="Arial"/>
                <w:color w:val="000000"/>
                <w:sz w:val="22"/>
                <w:szCs w:val="22"/>
              </w:rPr>
              <w:t>Other</w:t>
            </w:r>
            <w:r w:rsidRPr="00DA0C96" w:rsidR="00865AED">
              <w:rPr>
                <w:rFonts w:cs="Arial"/>
                <w:color w:val="000000"/>
                <w:sz w:val="22"/>
                <w:szCs w:val="22"/>
              </w:rPr>
              <w:t xml:space="preserve"> (c)</w:t>
            </w:r>
          </w:p>
        </w:tc>
        <w:tc>
          <w:tcPr>
            <w:tcW w:w="932" w:type="pct"/>
            <w:tcBorders>
              <w:top w:val="nil"/>
              <w:left w:val="nil"/>
              <w:bottom w:val="single" w:sz="4" w:space="0" w:color="auto"/>
              <w:right w:val="single" w:sz="4" w:space="0" w:color="auto"/>
            </w:tcBorders>
            <w:shd w:val="clear" w:color="auto" w:fill="auto"/>
            <w:noWrap/>
            <w:vAlign w:val="bottom"/>
            <w:hideMark/>
          </w:tcPr>
          <w:p w:rsidR="00741146" w:rsidRPr="00DA0C96" w:rsidP="00741146">
            <w:pPr>
              <w:jc w:val="right"/>
              <w:rPr>
                <w:rFonts w:cs="Arial"/>
                <w:color w:val="000000"/>
                <w:sz w:val="22"/>
                <w:szCs w:val="22"/>
              </w:rPr>
            </w:pPr>
            <w:r w:rsidRPr="00DA0C96">
              <w:rPr>
                <w:rFonts w:cs="Arial"/>
                <w:color w:val="000000"/>
                <w:sz w:val="22"/>
                <w:szCs w:val="22"/>
              </w:rPr>
              <w:t>2.0</w:t>
            </w:r>
          </w:p>
        </w:tc>
        <w:tc>
          <w:tcPr>
            <w:tcW w:w="932" w:type="pct"/>
            <w:tcBorders>
              <w:top w:val="nil"/>
              <w:left w:val="nil"/>
              <w:bottom w:val="single" w:sz="4" w:space="0" w:color="auto"/>
              <w:right w:val="single" w:sz="4" w:space="0" w:color="auto"/>
            </w:tcBorders>
            <w:shd w:val="clear" w:color="auto" w:fill="auto"/>
            <w:noWrap/>
            <w:vAlign w:val="bottom"/>
            <w:hideMark/>
          </w:tcPr>
          <w:p w:rsidR="00741146" w:rsidRPr="00DA0C96" w:rsidP="00741146">
            <w:pPr>
              <w:jc w:val="right"/>
              <w:rPr>
                <w:rFonts w:cs="Arial"/>
                <w:color w:val="000000"/>
                <w:sz w:val="22"/>
                <w:szCs w:val="22"/>
              </w:rPr>
            </w:pPr>
            <w:r w:rsidRPr="00DA0C96">
              <w:rPr>
                <w:rFonts w:cs="Arial"/>
                <w:color w:val="000000"/>
                <w:sz w:val="22"/>
                <w:szCs w:val="22"/>
              </w:rPr>
              <w:t>0.6</w:t>
            </w:r>
          </w:p>
        </w:tc>
        <w:tc>
          <w:tcPr>
            <w:tcW w:w="932" w:type="pct"/>
            <w:tcBorders>
              <w:top w:val="nil"/>
              <w:left w:val="nil"/>
              <w:bottom w:val="single" w:sz="4" w:space="0" w:color="auto"/>
              <w:right w:val="single" w:sz="4" w:space="0" w:color="auto"/>
            </w:tcBorders>
            <w:shd w:val="clear" w:color="auto" w:fill="auto"/>
            <w:noWrap/>
            <w:vAlign w:val="bottom"/>
            <w:hideMark/>
          </w:tcPr>
          <w:p w:rsidR="00741146" w:rsidRPr="00DA0C96" w:rsidP="00741146">
            <w:pPr>
              <w:jc w:val="right"/>
              <w:rPr>
                <w:rFonts w:cs="Arial"/>
                <w:color w:val="000000"/>
                <w:sz w:val="22"/>
                <w:szCs w:val="22"/>
              </w:rPr>
            </w:pPr>
            <w:r w:rsidRPr="00DA0C96">
              <w:rPr>
                <w:rFonts w:cs="Arial"/>
                <w:color w:val="000000"/>
                <w:sz w:val="22"/>
                <w:szCs w:val="22"/>
              </w:rPr>
              <w:t>1.4</w:t>
            </w:r>
          </w:p>
        </w:tc>
      </w:tr>
      <w:tr w:rsidTr="00842C19">
        <w:tblPrEx>
          <w:tblW w:w="5000" w:type="pct"/>
          <w:tblLook w:val="04A0"/>
        </w:tblPrEx>
        <w:trPr>
          <w:trHeight w:val="300"/>
        </w:trPr>
        <w:tc>
          <w:tcPr>
            <w:tcW w:w="2204" w:type="pct"/>
            <w:tcBorders>
              <w:top w:val="nil"/>
              <w:left w:val="single" w:sz="4" w:space="0" w:color="auto"/>
              <w:bottom w:val="single" w:sz="4" w:space="0" w:color="auto"/>
              <w:right w:val="single" w:sz="4" w:space="0" w:color="auto"/>
            </w:tcBorders>
            <w:shd w:val="clear" w:color="auto" w:fill="auto"/>
            <w:noWrap/>
            <w:vAlign w:val="bottom"/>
            <w:hideMark/>
          </w:tcPr>
          <w:p w:rsidR="00741146" w:rsidRPr="00DA0C96" w:rsidP="00741146">
            <w:pPr>
              <w:rPr>
                <w:rFonts w:cs="Arial"/>
                <w:b/>
                <w:bCs/>
                <w:color w:val="000000"/>
                <w:sz w:val="22"/>
                <w:szCs w:val="22"/>
              </w:rPr>
            </w:pPr>
            <w:r w:rsidRPr="00DA0C96">
              <w:rPr>
                <w:rFonts w:cs="Arial"/>
                <w:b/>
                <w:bCs/>
                <w:color w:val="000000"/>
                <w:sz w:val="22"/>
                <w:szCs w:val="22"/>
              </w:rPr>
              <w:t>Resource DEL - per Main Estimates</w:t>
            </w:r>
          </w:p>
        </w:tc>
        <w:tc>
          <w:tcPr>
            <w:tcW w:w="932" w:type="pct"/>
            <w:tcBorders>
              <w:top w:val="nil"/>
              <w:left w:val="nil"/>
              <w:bottom w:val="single" w:sz="4" w:space="0" w:color="auto"/>
              <w:right w:val="single" w:sz="4" w:space="0" w:color="auto"/>
            </w:tcBorders>
            <w:shd w:val="clear" w:color="auto" w:fill="auto"/>
            <w:noWrap/>
            <w:vAlign w:val="bottom"/>
            <w:hideMark/>
          </w:tcPr>
          <w:p w:rsidR="00741146" w:rsidRPr="00DA0C96" w:rsidP="00741146">
            <w:pPr>
              <w:jc w:val="right"/>
              <w:rPr>
                <w:rFonts w:cs="Arial"/>
                <w:b/>
                <w:bCs/>
                <w:color w:val="000000"/>
                <w:sz w:val="22"/>
                <w:szCs w:val="22"/>
              </w:rPr>
            </w:pPr>
            <w:r w:rsidRPr="00DA0C96">
              <w:rPr>
                <w:rFonts w:cs="Arial"/>
                <w:b/>
                <w:bCs/>
                <w:color w:val="000000"/>
                <w:sz w:val="22"/>
                <w:szCs w:val="22"/>
              </w:rPr>
              <w:t>169.9</w:t>
            </w:r>
          </w:p>
        </w:tc>
        <w:tc>
          <w:tcPr>
            <w:tcW w:w="932" w:type="pct"/>
            <w:tcBorders>
              <w:top w:val="nil"/>
              <w:left w:val="nil"/>
              <w:bottom w:val="single" w:sz="4" w:space="0" w:color="auto"/>
              <w:right w:val="single" w:sz="4" w:space="0" w:color="auto"/>
            </w:tcBorders>
            <w:shd w:val="clear" w:color="auto" w:fill="auto"/>
            <w:noWrap/>
            <w:vAlign w:val="bottom"/>
            <w:hideMark/>
          </w:tcPr>
          <w:p w:rsidR="00741146" w:rsidRPr="00DA0C96" w:rsidP="00741146">
            <w:pPr>
              <w:jc w:val="right"/>
              <w:rPr>
                <w:rFonts w:cs="Arial"/>
                <w:b/>
                <w:bCs/>
                <w:color w:val="000000"/>
                <w:sz w:val="22"/>
                <w:szCs w:val="22"/>
              </w:rPr>
            </w:pPr>
            <w:r w:rsidRPr="00DA0C96">
              <w:rPr>
                <w:rFonts w:cs="Arial"/>
                <w:b/>
                <w:bCs/>
                <w:color w:val="000000"/>
                <w:sz w:val="22"/>
                <w:szCs w:val="22"/>
              </w:rPr>
              <w:t>186.9</w:t>
            </w:r>
          </w:p>
        </w:tc>
        <w:tc>
          <w:tcPr>
            <w:tcW w:w="932" w:type="pct"/>
            <w:tcBorders>
              <w:top w:val="nil"/>
              <w:left w:val="nil"/>
              <w:bottom w:val="single" w:sz="4" w:space="0" w:color="auto"/>
              <w:right w:val="single" w:sz="4" w:space="0" w:color="auto"/>
            </w:tcBorders>
            <w:shd w:val="clear" w:color="auto" w:fill="auto"/>
            <w:noWrap/>
            <w:vAlign w:val="bottom"/>
            <w:hideMark/>
          </w:tcPr>
          <w:p w:rsidR="00741146" w:rsidRPr="00DA0C96" w:rsidP="00741146">
            <w:pPr>
              <w:jc w:val="right"/>
              <w:rPr>
                <w:rFonts w:cs="Arial"/>
                <w:b/>
                <w:bCs/>
                <w:color w:val="000000"/>
                <w:sz w:val="22"/>
                <w:szCs w:val="22"/>
              </w:rPr>
            </w:pPr>
            <w:r w:rsidRPr="00DA0C96">
              <w:rPr>
                <w:rFonts w:cs="Arial"/>
                <w:b/>
                <w:bCs/>
                <w:color w:val="FF0000"/>
                <w:sz w:val="22"/>
                <w:szCs w:val="22"/>
              </w:rPr>
              <w:t>(16.9)</w:t>
            </w:r>
          </w:p>
        </w:tc>
      </w:tr>
    </w:tbl>
    <w:p w:rsidR="00741146" w:rsidRPr="00DA0C96" w:rsidP="00741146">
      <w:pPr>
        <w:spacing w:after="200" w:line="276" w:lineRule="auto"/>
        <w:ind w:left="567"/>
        <w:contextualSpacing/>
        <w:jc w:val="both"/>
        <w:rPr>
          <w:rFonts w:eastAsia="Calibri" w:cs="Arial"/>
          <w:sz w:val="22"/>
          <w:szCs w:val="22"/>
        </w:rPr>
      </w:pPr>
    </w:p>
    <w:p w:rsidR="004C6A87" w:rsidRPr="00DA0C96" w:rsidP="004C6A87">
      <w:pPr>
        <w:pStyle w:val="ListParagraph"/>
        <w:numPr>
          <w:ilvl w:val="0"/>
          <w:numId w:val="13"/>
        </w:numPr>
        <w:spacing w:after="200" w:line="276" w:lineRule="auto"/>
        <w:contextualSpacing/>
        <w:jc w:val="both"/>
        <w:rPr>
          <w:rFonts w:ascii="Arial" w:hAnsi="Arial" w:cs="Arial"/>
        </w:rPr>
      </w:pPr>
      <w:r w:rsidRPr="00DA0C96">
        <w:rPr>
          <w:rFonts w:ascii="Arial" w:hAnsi="Arial" w:cs="Arial"/>
          <w:b/>
          <w:bCs/>
        </w:rPr>
        <w:t xml:space="preserve">Resource DEL </w:t>
      </w:r>
      <w:r w:rsidRPr="00DA0C96" w:rsidR="001665DC">
        <w:rPr>
          <w:rFonts w:ascii="Arial" w:hAnsi="Arial" w:cs="Arial"/>
          <w:b/>
          <w:bCs/>
        </w:rPr>
        <w:t>SR21:</w:t>
      </w:r>
      <w:r w:rsidRPr="00DA0C96" w:rsidR="001665DC">
        <w:rPr>
          <w:rFonts w:ascii="Arial" w:hAnsi="Arial" w:cs="Arial"/>
        </w:rPr>
        <w:t xml:space="preserve"> </w:t>
      </w:r>
      <w:r w:rsidRPr="00DA0C96" w:rsidR="004F64C1">
        <w:rPr>
          <w:rFonts w:ascii="Arial" w:hAnsi="Arial" w:cs="Arial"/>
        </w:rPr>
        <w:t xml:space="preserve">a </w:t>
      </w:r>
      <w:r w:rsidRPr="00DA0C96" w:rsidR="007077DF">
        <w:rPr>
          <w:rFonts w:ascii="Arial" w:hAnsi="Arial" w:cs="Arial"/>
        </w:rPr>
        <w:t xml:space="preserve">circa </w:t>
      </w:r>
      <w:r w:rsidRPr="00DA0C96" w:rsidR="00CF6422">
        <w:rPr>
          <w:rFonts w:ascii="Arial" w:hAnsi="Arial" w:cs="Arial"/>
        </w:rPr>
        <w:t>£</w:t>
      </w:r>
      <w:r w:rsidRPr="00DA0C96" w:rsidR="001B0A03">
        <w:rPr>
          <w:rFonts w:ascii="Arial" w:hAnsi="Arial" w:cs="Arial"/>
        </w:rPr>
        <w:t>21</w:t>
      </w:r>
      <w:r w:rsidRPr="00DA0C96" w:rsidR="004F64C1">
        <w:rPr>
          <w:rFonts w:ascii="Arial" w:hAnsi="Arial" w:cs="Arial"/>
        </w:rPr>
        <w:t xml:space="preserve"> billion increase </w:t>
      </w:r>
      <w:r w:rsidRPr="00DA0C96" w:rsidR="009F1F28">
        <w:rPr>
          <w:rFonts w:ascii="Arial" w:hAnsi="Arial" w:cs="Arial"/>
        </w:rPr>
        <w:t xml:space="preserve">in </w:t>
      </w:r>
      <w:r w:rsidRPr="00DA0C96" w:rsidR="001B0A03">
        <w:rPr>
          <w:rFonts w:ascii="Arial" w:hAnsi="Arial" w:cs="Arial"/>
        </w:rPr>
        <w:t xml:space="preserve">DHSC Group funding for 2022-23 as </w:t>
      </w:r>
      <w:r w:rsidRPr="00DA0C96" w:rsidR="00060970">
        <w:rPr>
          <w:rFonts w:ascii="Arial" w:hAnsi="Arial" w:cs="Arial"/>
        </w:rPr>
        <w:t xml:space="preserve">published in </w:t>
      </w:r>
      <w:r w:rsidRPr="00DA0C96" w:rsidR="00CF6422">
        <w:rPr>
          <w:rFonts w:ascii="Arial" w:hAnsi="Arial" w:cs="Arial"/>
        </w:rPr>
        <w:t xml:space="preserve">Spending Review </w:t>
      </w:r>
      <w:r w:rsidRPr="00DA0C96" w:rsidR="00025A5E">
        <w:rPr>
          <w:rFonts w:ascii="Arial" w:hAnsi="Arial" w:cs="Arial"/>
        </w:rPr>
        <w:t>2021</w:t>
      </w:r>
      <w:r w:rsidRPr="00DA0C96" w:rsidR="0096067A">
        <w:rPr>
          <w:rFonts w:ascii="Arial" w:hAnsi="Arial" w:cs="Arial"/>
        </w:rPr>
        <w:t xml:space="preserve">, </w:t>
      </w:r>
      <w:r w:rsidRPr="00DA0C96" w:rsidR="00AF6D53">
        <w:rPr>
          <w:rFonts w:ascii="Arial" w:hAnsi="Arial" w:cs="Arial"/>
        </w:rPr>
        <w:t xml:space="preserve">supported by revenue raised from the Health and Social Care Levy, to </w:t>
      </w:r>
      <w:r w:rsidRPr="00DA0C96" w:rsidR="0096067A">
        <w:rPr>
          <w:rFonts w:ascii="Arial" w:hAnsi="Arial" w:cs="Arial"/>
          <w:color w:val="000000"/>
        </w:rPr>
        <w:t>provid</w:t>
      </w:r>
      <w:r w:rsidRPr="00DA0C96" w:rsidR="00AF6D53">
        <w:rPr>
          <w:rFonts w:ascii="Arial" w:hAnsi="Arial" w:cs="Arial"/>
          <w:color w:val="000000"/>
        </w:rPr>
        <w:t>e</w:t>
      </w:r>
      <w:r w:rsidRPr="00DA0C96" w:rsidR="0096067A">
        <w:rPr>
          <w:rFonts w:ascii="Arial" w:hAnsi="Arial" w:cs="Arial"/>
          <w:color w:val="000000"/>
        </w:rPr>
        <w:t xml:space="preserve"> the NHS with resources needed to tackle COVID-19 and the elective backlog where patients need non-emergency tests or t</w:t>
      </w:r>
      <w:r w:rsidRPr="00DA0C96" w:rsidR="00267ACF">
        <w:rPr>
          <w:rFonts w:ascii="Arial" w:hAnsi="Arial" w:cs="Arial"/>
          <w:color w:val="000000"/>
        </w:rPr>
        <w:t>reat</w:t>
      </w:r>
      <w:r w:rsidRPr="00DA0C96" w:rsidR="0096067A">
        <w:rPr>
          <w:rFonts w:ascii="Arial" w:hAnsi="Arial" w:cs="Arial"/>
          <w:color w:val="000000"/>
        </w:rPr>
        <w:t>ment.</w:t>
      </w:r>
    </w:p>
    <w:p w:rsidR="004F64C1" w:rsidRPr="00DA0C96" w:rsidP="004578C4">
      <w:pPr>
        <w:pStyle w:val="ListParagraph"/>
        <w:numPr>
          <w:ilvl w:val="0"/>
          <w:numId w:val="13"/>
        </w:numPr>
        <w:spacing w:after="200" w:line="276" w:lineRule="auto"/>
        <w:contextualSpacing/>
        <w:jc w:val="both"/>
        <w:rPr>
          <w:rFonts w:ascii="Arial" w:hAnsi="Arial" w:cs="Arial"/>
        </w:rPr>
      </w:pPr>
      <w:r w:rsidRPr="00DA0C96">
        <w:rPr>
          <w:rFonts w:ascii="Arial" w:hAnsi="Arial" w:cs="Arial"/>
          <w:b/>
          <w:bCs/>
        </w:rPr>
        <w:t>Covid:</w:t>
      </w:r>
      <w:r w:rsidRPr="00DA0C96">
        <w:rPr>
          <w:rFonts w:ascii="Arial" w:hAnsi="Arial" w:cs="Arial"/>
        </w:rPr>
        <w:t xml:space="preserve"> </w:t>
      </w:r>
      <w:r w:rsidRPr="00DA0C96" w:rsidR="00546A48">
        <w:rPr>
          <w:rFonts w:ascii="Arial" w:hAnsi="Arial" w:cs="Arial"/>
        </w:rPr>
        <w:t xml:space="preserve">the </w:t>
      </w:r>
      <w:r w:rsidRPr="00DA0C96" w:rsidR="00C45A9A">
        <w:rPr>
          <w:rFonts w:ascii="Arial" w:hAnsi="Arial" w:cs="Arial"/>
        </w:rPr>
        <w:t xml:space="preserve">2021-22 </w:t>
      </w:r>
      <w:r w:rsidRPr="00DA0C96" w:rsidR="00546A48">
        <w:rPr>
          <w:rFonts w:ascii="Arial" w:hAnsi="Arial" w:cs="Arial"/>
        </w:rPr>
        <w:t xml:space="preserve">Supplementary Supply Estimate </w:t>
      </w:r>
      <w:r w:rsidRPr="00DA0C96" w:rsidR="00505A74">
        <w:rPr>
          <w:rFonts w:ascii="Arial" w:hAnsi="Arial" w:cs="Arial"/>
        </w:rPr>
        <w:t xml:space="preserve">included </w:t>
      </w:r>
      <w:r w:rsidRPr="00DA0C96" w:rsidR="000D517A">
        <w:rPr>
          <w:rFonts w:ascii="Arial" w:hAnsi="Arial" w:cs="Arial"/>
        </w:rPr>
        <w:t xml:space="preserve">reserve claim </w:t>
      </w:r>
      <w:r w:rsidRPr="00DA0C96" w:rsidR="004E427D">
        <w:rPr>
          <w:rFonts w:ascii="Arial" w:hAnsi="Arial" w:cs="Arial"/>
        </w:rPr>
        <w:t xml:space="preserve">funding of </w:t>
      </w:r>
      <w:r w:rsidRPr="00DA0C96" w:rsidR="001C605D">
        <w:rPr>
          <w:rFonts w:ascii="Arial" w:hAnsi="Arial" w:cs="Arial"/>
        </w:rPr>
        <w:t xml:space="preserve">£39.2 billion </w:t>
      </w:r>
      <w:r w:rsidRPr="00DA0C96" w:rsidR="00701D7F">
        <w:rPr>
          <w:rFonts w:ascii="Arial" w:hAnsi="Arial" w:cs="Arial"/>
        </w:rPr>
        <w:t xml:space="preserve">explicitly </w:t>
      </w:r>
      <w:r w:rsidRPr="00DA0C96" w:rsidR="004E427D">
        <w:rPr>
          <w:rFonts w:ascii="Arial" w:hAnsi="Arial" w:cs="Arial"/>
        </w:rPr>
        <w:t xml:space="preserve">for Covid-19. </w:t>
      </w:r>
      <w:r w:rsidRPr="00DA0C96" w:rsidR="00701D7F">
        <w:rPr>
          <w:rFonts w:ascii="Arial" w:hAnsi="Arial" w:cs="Arial"/>
        </w:rPr>
        <w:t xml:space="preserve">As detailed above, SR21 </w:t>
      </w:r>
      <w:r w:rsidRPr="00DA0C96" w:rsidR="00450981">
        <w:rPr>
          <w:rFonts w:ascii="Arial" w:hAnsi="Arial" w:cs="Arial"/>
        </w:rPr>
        <w:t xml:space="preserve">has </w:t>
      </w:r>
      <w:r w:rsidRPr="00DA0C96" w:rsidR="00701D7F">
        <w:rPr>
          <w:rFonts w:ascii="Arial" w:hAnsi="Arial" w:cs="Arial"/>
        </w:rPr>
        <w:t>made provision for Covid-19</w:t>
      </w:r>
      <w:r w:rsidRPr="00DA0C96" w:rsidR="009E7379">
        <w:rPr>
          <w:rFonts w:ascii="Arial" w:hAnsi="Arial" w:cs="Arial"/>
        </w:rPr>
        <w:t xml:space="preserve"> over the spending review period.</w:t>
      </w:r>
      <w:r w:rsidRPr="00DA0C96" w:rsidR="004A376B">
        <w:rPr>
          <w:rFonts w:ascii="Arial" w:hAnsi="Arial" w:cs="Arial"/>
        </w:rPr>
        <w:t xml:space="preserve"> </w:t>
      </w:r>
    </w:p>
    <w:p w:rsidR="00865AED" w:rsidRPr="00DA0C96" w:rsidP="004578C4">
      <w:pPr>
        <w:pStyle w:val="ListParagraph"/>
        <w:numPr>
          <w:ilvl w:val="0"/>
          <w:numId w:val="13"/>
        </w:numPr>
        <w:spacing w:after="200" w:line="276" w:lineRule="auto"/>
        <w:contextualSpacing/>
        <w:jc w:val="both"/>
        <w:rPr>
          <w:rFonts w:ascii="Arial" w:hAnsi="Arial" w:cs="Arial"/>
        </w:rPr>
      </w:pPr>
      <w:r w:rsidRPr="00DA0C96">
        <w:rPr>
          <w:rFonts w:ascii="Arial" w:hAnsi="Arial" w:cs="Arial"/>
          <w:b/>
          <w:bCs/>
        </w:rPr>
        <w:t>Other:</w:t>
      </w:r>
      <w:r w:rsidRPr="00DA0C96">
        <w:rPr>
          <w:rFonts w:ascii="Arial" w:hAnsi="Arial" w:cs="Arial"/>
        </w:rPr>
        <w:t xml:space="preserve"> </w:t>
      </w:r>
      <w:r w:rsidRPr="00DA0C96" w:rsidR="000C7867">
        <w:rPr>
          <w:rFonts w:ascii="Arial" w:hAnsi="Arial" w:cs="Arial"/>
        </w:rPr>
        <w:t xml:space="preserve">includes </w:t>
      </w:r>
      <w:r w:rsidRPr="00DA0C96" w:rsidR="00693FE2">
        <w:rPr>
          <w:rFonts w:ascii="Arial" w:hAnsi="Arial" w:cs="Arial"/>
        </w:rPr>
        <w:t xml:space="preserve">funding for </w:t>
      </w:r>
      <w:r w:rsidRPr="00DA0C96" w:rsidR="00D056BE">
        <w:rPr>
          <w:rFonts w:ascii="Arial" w:hAnsi="Arial" w:cs="Arial"/>
        </w:rPr>
        <w:t>depreciation and transfers to/from other government departments.</w:t>
      </w:r>
    </w:p>
    <w:p w:rsidR="00371C6E" w:rsidRPr="00DA0C96" w:rsidP="00371C6E">
      <w:pPr>
        <w:spacing w:after="200" w:line="276" w:lineRule="auto"/>
        <w:contextualSpacing/>
        <w:jc w:val="both"/>
        <w:rPr>
          <w:rFonts w:eastAsia="Calibri" w:cs="Arial"/>
          <w:b/>
          <w:bCs/>
          <w:sz w:val="22"/>
          <w:szCs w:val="22"/>
          <w:u w:val="single"/>
        </w:rPr>
      </w:pPr>
    </w:p>
    <w:p w:rsidR="004F64C1" w:rsidRPr="00DA0C96" w:rsidP="00371C6E">
      <w:pPr>
        <w:spacing w:after="200" w:line="276" w:lineRule="auto"/>
        <w:contextualSpacing/>
        <w:jc w:val="both"/>
        <w:rPr>
          <w:rFonts w:eastAsia="Calibri" w:cs="Arial"/>
          <w:sz w:val="22"/>
          <w:szCs w:val="22"/>
        </w:rPr>
      </w:pPr>
      <w:r w:rsidRPr="00DA0C96">
        <w:rPr>
          <w:rFonts w:eastAsia="Calibri" w:cs="Arial"/>
          <w:b/>
          <w:bCs/>
          <w:sz w:val="22"/>
          <w:szCs w:val="22"/>
          <w:u w:val="single"/>
        </w:rPr>
        <w:t>Capital DEL</w:t>
      </w:r>
      <w:r w:rsidRPr="00DA0C96">
        <w:rPr>
          <w:rFonts w:eastAsia="Calibri" w:cs="Arial"/>
          <w:sz w:val="22"/>
          <w:szCs w:val="22"/>
          <w:u w:val="single"/>
        </w:rPr>
        <w:t xml:space="preserve"> </w:t>
      </w:r>
      <w:r w:rsidRPr="00DA0C96" w:rsidR="00723483">
        <w:rPr>
          <w:rFonts w:eastAsia="Calibri" w:cs="Arial"/>
          <w:sz w:val="22"/>
          <w:szCs w:val="22"/>
        </w:rPr>
        <w:t>The changes in resource DEL in 2022-23 compared to  2021-22 are detailed in the table and explanations below:</w:t>
      </w:r>
    </w:p>
    <w:tbl>
      <w:tblPr>
        <w:tblW w:w="5000" w:type="pct"/>
        <w:tblLook w:val="04A0"/>
      </w:tblPr>
      <w:tblGrid>
        <w:gridCol w:w="4744"/>
        <w:gridCol w:w="2006"/>
        <w:gridCol w:w="2006"/>
        <w:gridCol w:w="2006"/>
      </w:tblGrid>
      <w:tr w:rsidTr="00CC2F4B">
        <w:tblPrEx>
          <w:tblW w:w="5000" w:type="pct"/>
          <w:tblLook w:val="04A0"/>
        </w:tblPrEx>
        <w:trPr>
          <w:trHeight w:val="900"/>
        </w:trPr>
        <w:tc>
          <w:tcPr>
            <w:tcW w:w="2204" w:type="pct"/>
            <w:tcBorders>
              <w:top w:val="single" w:sz="4" w:space="0" w:color="auto"/>
              <w:left w:val="single" w:sz="4" w:space="0" w:color="auto"/>
              <w:bottom w:val="single" w:sz="4" w:space="0" w:color="auto"/>
              <w:right w:val="single" w:sz="4" w:space="0" w:color="auto"/>
            </w:tcBorders>
            <w:shd w:val="clear" w:color="000000" w:fill="333F4F"/>
            <w:noWrap/>
            <w:vAlign w:val="center"/>
            <w:hideMark/>
          </w:tcPr>
          <w:p w:rsidR="00CC2F4B" w:rsidRPr="00DA0C96" w:rsidP="00CC2F4B">
            <w:pPr>
              <w:rPr>
                <w:rFonts w:cs="Arial"/>
                <w:b/>
                <w:bCs/>
                <w:color w:val="FFFFFF"/>
                <w:sz w:val="22"/>
                <w:szCs w:val="22"/>
              </w:rPr>
            </w:pPr>
            <w:r w:rsidRPr="00DA0C96">
              <w:rPr>
                <w:rFonts w:cs="Arial"/>
                <w:b/>
                <w:bCs/>
                <w:color w:val="FFFFFF"/>
                <w:sz w:val="22"/>
                <w:szCs w:val="22"/>
              </w:rPr>
              <w:t>Explanation of changes - £bns</w:t>
            </w:r>
          </w:p>
        </w:tc>
        <w:tc>
          <w:tcPr>
            <w:tcW w:w="932" w:type="pct"/>
            <w:tcBorders>
              <w:top w:val="single" w:sz="4" w:space="0" w:color="auto"/>
              <w:left w:val="nil"/>
              <w:bottom w:val="single" w:sz="4" w:space="0" w:color="auto"/>
              <w:right w:val="single" w:sz="4" w:space="0" w:color="auto"/>
            </w:tcBorders>
            <w:shd w:val="clear" w:color="000000" w:fill="333F4F"/>
            <w:vAlign w:val="center"/>
            <w:hideMark/>
          </w:tcPr>
          <w:p w:rsidR="00CC2F4B" w:rsidRPr="00DA0C96" w:rsidP="00CC2F4B">
            <w:pPr>
              <w:jc w:val="center"/>
              <w:rPr>
                <w:rFonts w:cs="Arial"/>
                <w:b/>
                <w:bCs/>
                <w:color w:val="FFFFFF"/>
                <w:sz w:val="22"/>
                <w:szCs w:val="22"/>
              </w:rPr>
            </w:pPr>
            <w:r w:rsidRPr="00DA0C96">
              <w:rPr>
                <w:rFonts w:cs="Arial"/>
                <w:b/>
                <w:bCs/>
                <w:color w:val="FFFFFF"/>
                <w:sz w:val="22"/>
                <w:szCs w:val="22"/>
              </w:rPr>
              <w:t xml:space="preserve">2022-23 Main Estimate </w:t>
            </w:r>
          </w:p>
        </w:tc>
        <w:tc>
          <w:tcPr>
            <w:tcW w:w="932" w:type="pct"/>
            <w:tcBorders>
              <w:top w:val="single" w:sz="4" w:space="0" w:color="auto"/>
              <w:left w:val="nil"/>
              <w:bottom w:val="single" w:sz="4" w:space="0" w:color="auto"/>
              <w:right w:val="single" w:sz="4" w:space="0" w:color="auto"/>
            </w:tcBorders>
            <w:shd w:val="clear" w:color="000000" w:fill="333F4F"/>
            <w:vAlign w:val="center"/>
            <w:hideMark/>
          </w:tcPr>
          <w:p w:rsidR="00CC2F4B" w:rsidRPr="00DA0C96" w:rsidP="00CC2F4B">
            <w:pPr>
              <w:jc w:val="center"/>
              <w:rPr>
                <w:rFonts w:cs="Arial"/>
                <w:b/>
                <w:bCs/>
                <w:color w:val="FFFFFF"/>
                <w:sz w:val="22"/>
                <w:szCs w:val="22"/>
              </w:rPr>
            </w:pPr>
            <w:r w:rsidRPr="00DA0C96">
              <w:rPr>
                <w:rFonts w:cs="Arial"/>
                <w:b/>
                <w:bCs/>
                <w:color w:val="FFFFFF"/>
                <w:sz w:val="22"/>
                <w:szCs w:val="22"/>
              </w:rPr>
              <w:t xml:space="preserve">2021-22 Supplementary Estimate </w:t>
            </w:r>
          </w:p>
        </w:tc>
        <w:tc>
          <w:tcPr>
            <w:tcW w:w="932" w:type="pct"/>
            <w:tcBorders>
              <w:top w:val="single" w:sz="4" w:space="0" w:color="auto"/>
              <w:left w:val="nil"/>
              <w:bottom w:val="single" w:sz="4" w:space="0" w:color="auto"/>
              <w:right w:val="single" w:sz="4" w:space="0" w:color="auto"/>
            </w:tcBorders>
            <w:shd w:val="clear" w:color="000000" w:fill="333F4F"/>
            <w:vAlign w:val="center"/>
            <w:hideMark/>
          </w:tcPr>
          <w:p w:rsidR="00DA0C96" w:rsidRPr="00DA0C96" w:rsidP="00CC2F4B">
            <w:pPr>
              <w:jc w:val="center"/>
              <w:rPr>
                <w:rFonts w:cs="Arial"/>
                <w:b/>
                <w:bCs/>
                <w:color w:val="FFFFFF"/>
                <w:sz w:val="22"/>
                <w:szCs w:val="22"/>
              </w:rPr>
            </w:pPr>
            <w:r w:rsidRPr="00DA0C96">
              <w:rPr>
                <w:rFonts w:cs="Arial"/>
                <w:b/>
                <w:bCs/>
                <w:color w:val="FFFFFF"/>
                <w:sz w:val="22"/>
                <w:szCs w:val="22"/>
              </w:rPr>
              <w:t xml:space="preserve">2022-23 </w:t>
            </w:r>
          </w:p>
          <w:p w:rsidR="00CC2F4B" w:rsidRPr="00DA0C96" w:rsidP="00CC2F4B">
            <w:pPr>
              <w:jc w:val="center"/>
              <w:rPr>
                <w:rFonts w:cs="Arial"/>
                <w:b/>
                <w:bCs/>
                <w:color w:val="FFFFFF"/>
                <w:sz w:val="22"/>
                <w:szCs w:val="22"/>
              </w:rPr>
            </w:pPr>
            <w:r w:rsidRPr="00DA0C96">
              <w:rPr>
                <w:rFonts w:cs="Arial"/>
                <w:b/>
                <w:bCs/>
                <w:color w:val="FFFFFF"/>
                <w:sz w:val="22"/>
                <w:szCs w:val="22"/>
              </w:rPr>
              <w:t>change</w:t>
            </w:r>
          </w:p>
        </w:tc>
      </w:tr>
      <w:tr w:rsidTr="00CC2F4B">
        <w:tblPrEx>
          <w:tblW w:w="5000" w:type="pct"/>
          <w:tblLook w:val="04A0"/>
        </w:tblPrEx>
        <w:trPr>
          <w:trHeight w:val="300"/>
        </w:trPr>
        <w:tc>
          <w:tcPr>
            <w:tcW w:w="2204" w:type="pct"/>
            <w:tcBorders>
              <w:top w:val="nil"/>
              <w:left w:val="single" w:sz="4" w:space="0" w:color="auto"/>
              <w:bottom w:val="single" w:sz="4" w:space="0" w:color="auto"/>
              <w:right w:val="single" w:sz="4" w:space="0" w:color="auto"/>
            </w:tcBorders>
            <w:shd w:val="clear" w:color="auto" w:fill="auto"/>
            <w:noWrap/>
            <w:vAlign w:val="bottom"/>
            <w:hideMark/>
          </w:tcPr>
          <w:p w:rsidR="00CC2F4B" w:rsidRPr="00DA0C96" w:rsidP="00CC2F4B">
            <w:pPr>
              <w:rPr>
                <w:rFonts w:cs="Arial"/>
                <w:color w:val="000000"/>
                <w:sz w:val="22"/>
                <w:szCs w:val="22"/>
              </w:rPr>
            </w:pPr>
            <w:r w:rsidRPr="00DA0C96">
              <w:rPr>
                <w:rFonts w:cs="Arial"/>
                <w:color w:val="000000"/>
                <w:sz w:val="22"/>
                <w:szCs w:val="22"/>
              </w:rPr>
              <w:t>Capital  DEL - per SR21 (a)</w:t>
            </w:r>
          </w:p>
        </w:tc>
        <w:tc>
          <w:tcPr>
            <w:tcW w:w="932" w:type="pct"/>
            <w:tcBorders>
              <w:top w:val="nil"/>
              <w:left w:val="nil"/>
              <w:bottom w:val="single" w:sz="4" w:space="0" w:color="auto"/>
              <w:right w:val="single" w:sz="4" w:space="0" w:color="auto"/>
            </w:tcBorders>
            <w:shd w:val="clear" w:color="auto" w:fill="auto"/>
            <w:noWrap/>
            <w:vAlign w:val="bottom"/>
            <w:hideMark/>
          </w:tcPr>
          <w:p w:rsidR="00CC2F4B" w:rsidRPr="00DA0C96" w:rsidP="00CC2F4B">
            <w:pPr>
              <w:jc w:val="right"/>
              <w:rPr>
                <w:rFonts w:cs="Arial"/>
                <w:color w:val="000000"/>
                <w:sz w:val="22"/>
                <w:szCs w:val="22"/>
              </w:rPr>
            </w:pPr>
            <w:r w:rsidRPr="00DA0C96">
              <w:rPr>
                <w:rFonts w:cs="Arial"/>
                <w:color w:val="000000"/>
                <w:sz w:val="22"/>
                <w:szCs w:val="22"/>
              </w:rPr>
              <w:t>10.4</w:t>
            </w:r>
          </w:p>
        </w:tc>
        <w:tc>
          <w:tcPr>
            <w:tcW w:w="932" w:type="pct"/>
            <w:tcBorders>
              <w:top w:val="nil"/>
              <w:left w:val="nil"/>
              <w:bottom w:val="single" w:sz="4" w:space="0" w:color="auto"/>
              <w:right w:val="single" w:sz="4" w:space="0" w:color="auto"/>
            </w:tcBorders>
            <w:shd w:val="clear" w:color="auto" w:fill="auto"/>
            <w:noWrap/>
            <w:vAlign w:val="bottom"/>
            <w:hideMark/>
          </w:tcPr>
          <w:p w:rsidR="00CC2F4B" w:rsidRPr="00DA0C96" w:rsidP="00CC2F4B">
            <w:pPr>
              <w:jc w:val="right"/>
              <w:rPr>
                <w:rFonts w:cs="Arial"/>
                <w:color w:val="000000"/>
                <w:sz w:val="22"/>
                <w:szCs w:val="22"/>
              </w:rPr>
            </w:pPr>
            <w:r w:rsidRPr="00DA0C96">
              <w:rPr>
                <w:rFonts w:cs="Arial"/>
                <w:color w:val="000000"/>
                <w:sz w:val="22"/>
                <w:szCs w:val="22"/>
              </w:rPr>
              <w:t>9.4</w:t>
            </w:r>
          </w:p>
        </w:tc>
        <w:tc>
          <w:tcPr>
            <w:tcW w:w="932" w:type="pct"/>
            <w:tcBorders>
              <w:top w:val="nil"/>
              <w:left w:val="nil"/>
              <w:bottom w:val="single" w:sz="4" w:space="0" w:color="auto"/>
              <w:right w:val="single" w:sz="4" w:space="0" w:color="auto"/>
            </w:tcBorders>
            <w:shd w:val="clear" w:color="auto" w:fill="auto"/>
            <w:noWrap/>
            <w:vAlign w:val="bottom"/>
            <w:hideMark/>
          </w:tcPr>
          <w:p w:rsidR="00CC2F4B" w:rsidRPr="00DA0C96" w:rsidP="00CC2F4B">
            <w:pPr>
              <w:jc w:val="right"/>
              <w:rPr>
                <w:rFonts w:cs="Arial"/>
                <w:color w:val="000000"/>
                <w:sz w:val="22"/>
                <w:szCs w:val="22"/>
              </w:rPr>
            </w:pPr>
            <w:r w:rsidRPr="00DA0C96">
              <w:rPr>
                <w:rFonts w:cs="Arial"/>
                <w:color w:val="000000"/>
                <w:sz w:val="22"/>
                <w:szCs w:val="22"/>
              </w:rPr>
              <w:t>1.0</w:t>
            </w:r>
          </w:p>
        </w:tc>
      </w:tr>
      <w:tr w:rsidTr="00CC2F4B">
        <w:tblPrEx>
          <w:tblW w:w="5000" w:type="pct"/>
          <w:tblLook w:val="04A0"/>
        </w:tblPrEx>
        <w:trPr>
          <w:trHeight w:val="300"/>
        </w:trPr>
        <w:tc>
          <w:tcPr>
            <w:tcW w:w="2204" w:type="pct"/>
            <w:tcBorders>
              <w:top w:val="nil"/>
              <w:left w:val="single" w:sz="4" w:space="0" w:color="auto"/>
              <w:bottom w:val="single" w:sz="4" w:space="0" w:color="auto"/>
              <w:right w:val="single" w:sz="4" w:space="0" w:color="auto"/>
            </w:tcBorders>
            <w:shd w:val="clear" w:color="auto" w:fill="auto"/>
            <w:noWrap/>
            <w:vAlign w:val="bottom"/>
            <w:hideMark/>
          </w:tcPr>
          <w:p w:rsidR="00CC2F4B" w:rsidRPr="00DA0C96" w:rsidP="00CC2F4B">
            <w:pPr>
              <w:rPr>
                <w:rFonts w:cs="Arial"/>
                <w:color w:val="000000"/>
                <w:sz w:val="22"/>
                <w:szCs w:val="22"/>
              </w:rPr>
            </w:pPr>
            <w:r w:rsidRPr="00DA0C96">
              <w:rPr>
                <w:rFonts w:cs="Arial"/>
                <w:color w:val="000000"/>
                <w:sz w:val="22"/>
                <w:szCs w:val="22"/>
              </w:rPr>
              <w:t>Covid funding (b)</w:t>
            </w:r>
          </w:p>
        </w:tc>
        <w:tc>
          <w:tcPr>
            <w:tcW w:w="932" w:type="pct"/>
            <w:tcBorders>
              <w:top w:val="nil"/>
              <w:left w:val="nil"/>
              <w:bottom w:val="single" w:sz="4" w:space="0" w:color="auto"/>
              <w:right w:val="single" w:sz="4" w:space="0" w:color="auto"/>
            </w:tcBorders>
            <w:shd w:val="clear" w:color="auto" w:fill="auto"/>
            <w:noWrap/>
            <w:vAlign w:val="bottom"/>
            <w:hideMark/>
          </w:tcPr>
          <w:p w:rsidR="00CC2F4B" w:rsidRPr="00DA0C96" w:rsidP="00CC2F4B">
            <w:pPr>
              <w:rPr>
                <w:rFonts w:cs="Arial"/>
                <w:color w:val="000000"/>
                <w:sz w:val="22"/>
                <w:szCs w:val="22"/>
              </w:rPr>
            </w:pPr>
            <w:r w:rsidRPr="00DA0C96">
              <w:rPr>
                <w:rFonts w:cs="Arial"/>
                <w:color w:val="000000"/>
                <w:sz w:val="22"/>
                <w:szCs w:val="22"/>
              </w:rPr>
              <w:t> </w:t>
            </w:r>
          </w:p>
        </w:tc>
        <w:tc>
          <w:tcPr>
            <w:tcW w:w="932" w:type="pct"/>
            <w:tcBorders>
              <w:top w:val="nil"/>
              <w:left w:val="nil"/>
              <w:bottom w:val="single" w:sz="4" w:space="0" w:color="auto"/>
              <w:right w:val="single" w:sz="4" w:space="0" w:color="auto"/>
            </w:tcBorders>
            <w:shd w:val="clear" w:color="auto" w:fill="auto"/>
            <w:noWrap/>
            <w:vAlign w:val="bottom"/>
            <w:hideMark/>
          </w:tcPr>
          <w:p w:rsidR="00CC2F4B" w:rsidRPr="00DA0C96" w:rsidP="00CC2F4B">
            <w:pPr>
              <w:jc w:val="right"/>
              <w:rPr>
                <w:rFonts w:cs="Arial"/>
                <w:color w:val="000000"/>
                <w:sz w:val="22"/>
                <w:szCs w:val="22"/>
              </w:rPr>
            </w:pPr>
            <w:r w:rsidRPr="00DA0C96">
              <w:rPr>
                <w:rFonts w:cs="Arial"/>
                <w:color w:val="000000"/>
                <w:sz w:val="22"/>
                <w:szCs w:val="22"/>
              </w:rPr>
              <w:t>1.2</w:t>
            </w:r>
          </w:p>
        </w:tc>
        <w:tc>
          <w:tcPr>
            <w:tcW w:w="932" w:type="pct"/>
            <w:tcBorders>
              <w:top w:val="nil"/>
              <w:left w:val="nil"/>
              <w:bottom w:val="single" w:sz="4" w:space="0" w:color="auto"/>
              <w:right w:val="single" w:sz="4" w:space="0" w:color="auto"/>
            </w:tcBorders>
            <w:shd w:val="clear" w:color="auto" w:fill="auto"/>
            <w:noWrap/>
            <w:vAlign w:val="bottom"/>
            <w:hideMark/>
          </w:tcPr>
          <w:p w:rsidR="00CC2F4B" w:rsidRPr="00DA0C96" w:rsidP="00CC2F4B">
            <w:pPr>
              <w:jc w:val="right"/>
              <w:rPr>
                <w:rFonts w:cs="Arial"/>
                <w:color w:val="000000"/>
                <w:sz w:val="22"/>
                <w:szCs w:val="22"/>
              </w:rPr>
            </w:pPr>
            <w:r w:rsidRPr="00DA0C96">
              <w:rPr>
                <w:rFonts w:cs="Arial"/>
                <w:color w:val="FF0000"/>
                <w:sz w:val="22"/>
                <w:szCs w:val="22"/>
              </w:rPr>
              <w:t>(1.2)</w:t>
            </w:r>
          </w:p>
        </w:tc>
      </w:tr>
      <w:tr w:rsidTr="00CC2F4B">
        <w:tblPrEx>
          <w:tblW w:w="5000" w:type="pct"/>
          <w:tblLook w:val="04A0"/>
        </w:tblPrEx>
        <w:trPr>
          <w:trHeight w:val="300"/>
        </w:trPr>
        <w:tc>
          <w:tcPr>
            <w:tcW w:w="2204" w:type="pct"/>
            <w:tcBorders>
              <w:top w:val="nil"/>
              <w:left w:val="single" w:sz="4" w:space="0" w:color="auto"/>
              <w:bottom w:val="single" w:sz="4" w:space="0" w:color="auto"/>
              <w:right w:val="single" w:sz="4" w:space="0" w:color="auto"/>
            </w:tcBorders>
            <w:shd w:val="clear" w:color="auto" w:fill="auto"/>
            <w:noWrap/>
            <w:vAlign w:val="bottom"/>
            <w:hideMark/>
          </w:tcPr>
          <w:p w:rsidR="00CC2F4B" w:rsidRPr="00DA0C96" w:rsidP="00CC2F4B">
            <w:pPr>
              <w:rPr>
                <w:rFonts w:cs="Arial"/>
                <w:color w:val="000000"/>
                <w:sz w:val="22"/>
                <w:szCs w:val="22"/>
              </w:rPr>
            </w:pPr>
            <w:r w:rsidRPr="00DA0C96">
              <w:rPr>
                <w:rFonts w:cs="Arial"/>
                <w:color w:val="000000"/>
                <w:sz w:val="22"/>
                <w:szCs w:val="22"/>
              </w:rPr>
              <w:t>Other (c)</w:t>
            </w:r>
          </w:p>
        </w:tc>
        <w:tc>
          <w:tcPr>
            <w:tcW w:w="932" w:type="pct"/>
            <w:tcBorders>
              <w:top w:val="nil"/>
              <w:left w:val="nil"/>
              <w:bottom w:val="single" w:sz="4" w:space="0" w:color="auto"/>
              <w:right w:val="single" w:sz="4" w:space="0" w:color="auto"/>
            </w:tcBorders>
            <w:shd w:val="clear" w:color="auto" w:fill="auto"/>
            <w:noWrap/>
            <w:vAlign w:val="bottom"/>
            <w:hideMark/>
          </w:tcPr>
          <w:p w:rsidR="00CC2F4B" w:rsidRPr="00DA0C96" w:rsidP="00CC2F4B">
            <w:pPr>
              <w:jc w:val="right"/>
              <w:rPr>
                <w:rFonts w:cs="Arial"/>
                <w:color w:val="000000"/>
                <w:sz w:val="22"/>
                <w:szCs w:val="22"/>
              </w:rPr>
            </w:pPr>
            <w:r w:rsidRPr="00DA0C96">
              <w:rPr>
                <w:rFonts w:cs="Arial"/>
                <w:color w:val="000000"/>
                <w:sz w:val="22"/>
                <w:szCs w:val="22"/>
              </w:rPr>
              <w:t>1.6</w:t>
            </w:r>
          </w:p>
        </w:tc>
        <w:tc>
          <w:tcPr>
            <w:tcW w:w="932" w:type="pct"/>
            <w:tcBorders>
              <w:top w:val="nil"/>
              <w:left w:val="nil"/>
              <w:bottom w:val="single" w:sz="4" w:space="0" w:color="auto"/>
              <w:right w:val="single" w:sz="4" w:space="0" w:color="auto"/>
            </w:tcBorders>
            <w:shd w:val="clear" w:color="auto" w:fill="auto"/>
            <w:noWrap/>
            <w:vAlign w:val="bottom"/>
            <w:hideMark/>
          </w:tcPr>
          <w:p w:rsidR="00CC2F4B" w:rsidRPr="00DA0C96" w:rsidP="00CC2F4B">
            <w:pPr>
              <w:jc w:val="right"/>
              <w:rPr>
                <w:rFonts w:cs="Arial"/>
                <w:color w:val="000000"/>
                <w:sz w:val="22"/>
                <w:szCs w:val="22"/>
              </w:rPr>
            </w:pPr>
            <w:r w:rsidRPr="00DA0C96">
              <w:rPr>
                <w:rFonts w:cs="Arial"/>
                <w:color w:val="FF0000"/>
                <w:sz w:val="22"/>
                <w:szCs w:val="22"/>
              </w:rPr>
              <w:t>(0.2)</w:t>
            </w:r>
          </w:p>
        </w:tc>
        <w:tc>
          <w:tcPr>
            <w:tcW w:w="932" w:type="pct"/>
            <w:tcBorders>
              <w:top w:val="nil"/>
              <w:left w:val="nil"/>
              <w:bottom w:val="single" w:sz="4" w:space="0" w:color="auto"/>
              <w:right w:val="single" w:sz="4" w:space="0" w:color="auto"/>
            </w:tcBorders>
            <w:shd w:val="clear" w:color="auto" w:fill="auto"/>
            <w:noWrap/>
            <w:vAlign w:val="bottom"/>
            <w:hideMark/>
          </w:tcPr>
          <w:p w:rsidR="00CC2F4B" w:rsidRPr="00DA0C96" w:rsidP="00CC2F4B">
            <w:pPr>
              <w:jc w:val="right"/>
              <w:rPr>
                <w:rFonts w:cs="Arial"/>
                <w:color w:val="000000"/>
                <w:sz w:val="22"/>
                <w:szCs w:val="22"/>
              </w:rPr>
            </w:pPr>
            <w:r w:rsidRPr="00DA0C96">
              <w:rPr>
                <w:rFonts w:cs="Arial"/>
                <w:color w:val="000000"/>
                <w:sz w:val="22"/>
                <w:szCs w:val="22"/>
              </w:rPr>
              <w:t>1.8</w:t>
            </w:r>
          </w:p>
        </w:tc>
      </w:tr>
      <w:tr w:rsidTr="00CC2F4B">
        <w:tblPrEx>
          <w:tblW w:w="5000" w:type="pct"/>
          <w:tblLook w:val="04A0"/>
        </w:tblPrEx>
        <w:trPr>
          <w:trHeight w:val="300"/>
        </w:trPr>
        <w:tc>
          <w:tcPr>
            <w:tcW w:w="2204" w:type="pct"/>
            <w:tcBorders>
              <w:top w:val="nil"/>
              <w:left w:val="single" w:sz="4" w:space="0" w:color="auto"/>
              <w:bottom w:val="single" w:sz="4" w:space="0" w:color="auto"/>
              <w:right w:val="single" w:sz="4" w:space="0" w:color="auto"/>
            </w:tcBorders>
            <w:shd w:val="clear" w:color="auto" w:fill="auto"/>
            <w:noWrap/>
            <w:vAlign w:val="bottom"/>
            <w:hideMark/>
          </w:tcPr>
          <w:p w:rsidR="00CC2F4B" w:rsidRPr="00DA0C96" w:rsidP="00CC2F4B">
            <w:pPr>
              <w:rPr>
                <w:rFonts w:cs="Arial"/>
                <w:b/>
                <w:bCs/>
                <w:color w:val="000000"/>
                <w:sz w:val="22"/>
                <w:szCs w:val="22"/>
              </w:rPr>
            </w:pPr>
            <w:r w:rsidRPr="00DA0C96">
              <w:rPr>
                <w:rFonts w:cs="Arial"/>
                <w:b/>
                <w:bCs/>
                <w:color w:val="000000"/>
                <w:sz w:val="22"/>
                <w:szCs w:val="22"/>
              </w:rPr>
              <w:t>Capital DEL - per Main Estimates</w:t>
            </w:r>
          </w:p>
        </w:tc>
        <w:tc>
          <w:tcPr>
            <w:tcW w:w="932" w:type="pct"/>
            <w:tcBorders>
              <w:top w:val="nil"/>
              <w:left w:val="nil"/>
              <w:bottom w:val="single" w:sz="4" w:space="0" w:color="auto"/>
              <w:right w:val="single" w:sz="4" w:space="0" w:color="auto"/>
            </w:tcBorders>
            <w:shd w:val="clear" w:color="auto" w:fill="auto"/>
            <w:noWrap/>
            <w:vAlign w:val="bottom"/>
            <w:hideMark/>
          </w:tcPr>
          <w:p w:rsidR="00CC2F4B" w:rsidRPr="00DA0C96" w:rsidP="00CC2F4B">
            <w:pPr>
              <w:jc w:val="right"/>
              <w:rPr>
                <w:rFonts w:cs="Arial"/>
                <w:b/>
                <w:bCs/>
                <w:color w:val="000000"/>
                <w:sz w:val="22"/>
                <w:szCs w:val="22"/>
              </w:rPr>
            </w:pPr>
            <w:r w:rsidRPr="00DA0C96">
              <w:rPr>
                <w:rFonts w:cs="Arial"/>
                <w:b/>
                <w:bCs/>
                <w:color w:val="000000"/>
                <w:sz w:val="22"/>
                <w:szCs w:val="22"/>
              </w:rPr>
              <w:t>12.0</w:t>
            </w:r>
          </w:p>
        </w:tc>
        <w:tc>
          <w:tcPr>
            <w:tcW w:w="932" w:type="pct"/>
            <w:tcBorders>
              <w:top w:val="nil"/>
              <w:left w:val="nil"/>
              <w:bottom w:val="single" w:sz="4" w:space="0" w:color="auto"/>
              <w:right w:val="single" w:sz="4" w:space="0" w:color="auto"/>
            </w:tcBorders>
            <w:shd w:val="clear" w:color="auto" w:fill="auto"/>
            <w:noWrap/>
            <w:vAlign w:val="bottom"/>
            <w:hideMark/>
          </w:tcPr>
          <w:p w:rsidR="00CC2F4B" w:rsidRPr="00DA0C96" w:rsidP="00CC2F4B">
            <w:pPr>
              <w:jc w:val="right"/>
              <w:rPr>
                <w:rFonts w:cs="Arial"/>
                <w:b/>
                <w:bCs/>
                <w:color w:val="000000"/>
                <w:sz w:val="22"/>
                <w:szCs w:val="22"/>
              </w:rPr>
            </w:pPr>
            <w:r w:rsidRPr="00DA0C96">
              <w:rPr>
                <w:rFonts w:cs="Arial"/>
                <w:b/>
                <w:bCs/>
                <w:color w:val="000000"/>
                <w:sz w:val="22"/>
                <w:szCs w:val="22"/>
              </w:rPr>
              <w:t>10.4</w:t>
            </w:r>
          </w:p>
        </w:tc>
        <w:tc>
          <w:tcPr>
            <w:tcW w:w="932" w:type="pct"/>
            <w:tcBorders>
              <w:top w:val="nil"/>
              <w:left w:val="nil"/>
              <w:bottom w:val="single" w:sz="4" w:space="0" w:color="auto"/>
              <w:right w:val="single" w:sz="4" w:space="0" w:color="auto"/>
            </w:tcBorders>
            <w:shd w:val="clear" w:color="auto" w:fill="auto"/>
            <w:noWrap/>
            <w:vAlign w:val="bottom"/>
            <w:hideMark/>
          </w:tcPr>
          <w:p w:rsidR="00CC2F4B" w:rsidRPr="00DA0C96" w:rsidP="00CC2F4B">
            <w:pPr>
              <w:jc w:val="right"/>
              <w:rPr>
                <w:rFonts w:cs="Arial"/>
                <w:b/>
                <w:bCs/>
                <w:color w:val="000000"/>
                <w:sz w:val="22"/>
                <w:szCs w:val="22"/>
              </w:rPr>
            </w:pPr>
            <w:r w:rsidRPr="00DA0C96">
              <w:rPr>
                <w:rFonts w:cs="Arial"/>
                <w:b/>
                <w:bCs/>
                <w:color w:val="000000"/>
                <w:sz w:val="22"/>
                <w:szCs w:val="22"/>
              </w:rPr>
              <w:t>1.6</w:t>
            </w:r>
          </w:p>
        </w:tc>
      </w:tr>
    </w:tbl>
    <w:p w:rsidR="00C63C85" w:rsidRPr="00DA0C96" w:rsidP="004F64C1">
      <w:pPr>
        <w:ind w:left="927"/>
        <w:rPr>
          <w:rFonts w:eastAsia="Calibri" w:cs="Arial"/>
          <w:sz w:val="22"/>
          <w:szCs w:val="22"/>
        </w:rPr>
      </w:pPr>
    </w:p>
    <w:p w:rsidR="009F7F0E" w:rsidRPr="00DA0C96" w:rsidP="009F7F0E">
      <w:pPr>
        <w:pStyle w:val="ListParagraph"/>
        <w:numPr>
          <w:ilvl w:val="0"/>
          <w:numId w:val="7"/>
        </w:numPr>
        <w:spacing w:after="200" w:line="276" w:lineRule="auto"/>
        <w:contextualSpacing/>
        <w:jc w:val="both"/>
        <w:rPr>
          <w:rFonts w:ascii="Arial" w:hAnsi="Arial" w:cs="Arial"/>
        </w:rPr>
      </w:pPr>
      <w:r w:rsidRPr="00DA0C96">
        <w:rPr>
          <w:rFonts w:ascii="Arial" w:hAnsi="Arial" w:cs="Arial"/>
          <w:b/>
          <w:bCs/>
        </w:rPr>
        <w:t>Capital DEL SR21:</w:t>
      </w:r>
      <w:r w:rsidRPr="00DA0C96">
        <w:rPr>
          <w:rFonts w:ascii="Arial" w:hAnsi="Arial" w:cs="Arial"/>
        </w:rPr>
        <w:t xml:space="preserve"> a circa £1 billion increase in DHSC Group funding for 2022-23 as published in Spending Review 2021. </w:t>
      </w:r>
    </w:p>
    <w:p w:rsidR="009F7F0E" w:rsidRPr="00DA0C96" w:rsidP="009F7F0E">
      <w:pPr>
        <w:pStyle w:val="ListParagraph"/>
        <w:numPr>
          <w:ilvl w:val="0"/>
          <w:numId w:val="7"/>
        </w:numPr>
        <w:spacing w:after="200" w:line="276" w:lineRule="auto"/>
        <w:contextualSpacing/>
        <w:jc w:val="both"/>
        <w:rPr>
          <w:rFonts w:ascii="Arial" w:hAnsi="Arial" w:cs="Arial"/>
        </w:rPr>
      </w:pPr>
      <w:r w:rsidRPr="00DA0C96">
        <w:rPr>
          <w:rFonts w:ascii="Arial" w:hAnsi="Arial" w:cs="Arial"/>
          <w:b/>
          <w:bCs/>
        </w:rPr>
        <w:t>Covid:</w:t>
      </w:r>
      <w:r w:rsidRPr="00DA0C96">
        <w:rPr>
          <w:rFonts w:ascii="Arial" w:hAnsi="Arial" w:cs="Arial"/>
        </w:rPr>
        <w:t xml:space="preserve"> the 2021-22 Supplementary Supply Estimate included reserve claim funding of £1.2 billion explicitly for Covid-19. </w:t>
      </w:r>
    </w:p>
    <w:p w:rsidR="009F7F0E" w:rsidRPr="00DA0C96" w:rsidP="009F7F0E">
      <w:pPr>
        <w:pStyle w:val="ListParagraph"/>
        <w:numPr>
          <w:ilvl w:val="0"/>
          <w:numId w:val="7"/>
        </w:numPr>
        <w:spacing w:after="200" w:line="276" w:lineRule="auto"/>
        <w:contextualSpacing/>
        <w:jc w:val="both"/>
        <w:rPr>
          <w:rFonts w:ascii="Arial" w:hAnsi="Arial" w:cs="Arial"/>
        </w:rPr>
      </w:pPr>
      <w:r w:rsidRPr="00DA0C96">
        <w:rPr>
          <w:rFonts w:ascii="Arial" w:hAnsi="Arial" w:cs="Arial"/>
          <w:b/>
          <w:bCs/>
        </w:rPr>
        <w:t>Other:</w:t>
      </w:r>
      <w:r w:rsidRPr="00DA0C96">
        <w:rPr>
          <w:rFonts w:ascii="Arial" w:hAnsi="Arial" w:cs="Arial"/>
        </w:rPr>
        <w:t xml:space="preserve"> mainly includes funding for IFRS16 – detailed further at paragraph</w:t>
      </w:r>
      <w:r w:rsidR="00792745">
        <w:rPr>
          <w:rFonts w:ascii="Arial" w:hAnsi="Arial" w:cs="Arial"/>
        </w:rPr>
        <w:t xml:space="preserve"> 1.8</w:t>
      </w:r>
      <w:r w:rsidRPr="00DA0C96">
        <w:rPr>
          <w:rFonts w:ascii="Arial" w:hAnsi="Arial" w:cs="Arial"/>
        </w:rPr>
        <w:t xml:space="preserve"> </w:t>
      </w:r>
    </w:p>
    <w:p w:rsidR="004F64C1" w:rsidRPr="00A77F08" w:rsidP="00A55641">
      <w:pPr>
        <w:spacing w:after="200" w:line="276" w:lineRule="auto"/>
        <w:ind w:left="360"/>
        <w:contextualSpacing/>
        <w:jc w:val="both"/>
        <w:rPr>
          <w:rFonts w:eastAsiaTheme="minorEastAsia" w:cs="Arial"/>
          <w:sz w:val="22"/>
          <w:szCs w:val="22"/>
          <w:lang w:eastAsia="en-US"/>
        </w:rPr>
      </w:pPr>
      <w:r w:rsidRPr="00A55641">
        <w:rPr>
          <w:rFonts w:eastAsia="Calibri" w:cs="Arial"/>
          <w:b/>
          <w:bCs/>
          <w:sz w:val="22"/>
          <w:szCs w:val="22"/>
          <w:u w:val="single"/>
        </w:rPr>
        <w:t>Resource AME</w:t>
      </w:r>
      <w:r w:rsidR="00A55641">
        <w:rPr>
          <w:rFonts w:eastAsia="Calibri" w:cs="Arial"/>
          <w:b/>
          <w:bCs/>
          <w:sz w:val="22"/>
          <w:szCs w:val="22"/>
          <w:u w:val="single"/>
        </w:rPr>
        <w:t xml:space="preserve"> </w:t>
      </w:r>
      <w:r w:rsidRPr="00A55641" w:rsidR="00A55641">
        <w:rPr>
          <w:rFonts w:eastAsia="Calibri" w:cs="Arial"/>
          <w:sz w:val="22"/>
          <w:szCs w:val="22"/>
        </w:rPr>
        <w:t xml:space="preserve">  i</w:t>
      </w:r>
      <w:r w:rsidRPr="00A55641" w:rsidR="00537625">
        <w:rPr>
          <w:rFonts w:eastAsia="Calibri" w:cs="Arial"/>
          <w:sz w:val="22"/>
          <w:szCs w:val="22"/>
        </w:rPr>
        <w:t>s</w:t>
      </w:r>
      <w:r w:rsidR="00537625">
        <w:rPr>
          <w:rFonts w:eastAsia="Calibri" w:cs="Arial"/>
          <w:sz w:val="22"/>
          <w:szCs w:val="22"/>
        </w:rPr>
        <w:t xml:space="preserve"> </w:t>
      </w:r>
      <w:r w:rsidR="00266FE9">
        <w:rPr>
          <w:rFonts w:eastAsia="Calibri" w:cs="Arial"/>
          <w:sz w:val="22"/>
          <w:szCs w:val="22"/>
        </w:rPr>
        <w:t xml:space="preserve">around £38 billion lower in 2022-23 as 2021-22 included funding for the change in the </w:t>
      </w:r>
      <w:r w:rsidRPr="002E1216" w:rsidR="00266FE9">
        <w:rPr>
          <w:rFonts w:eastAsia="Calibri" w:cs="Arial"/>
          <w:sz w:val="22"/>
          <w:szCs w:val="22"/>
        </w:rPr>
        <w:t>discount rate</w:t>
      </w:r>
      <w:r w:rsidRPr="00D30EAA" w:rsidR="00266FE9">
        <w:rPr>
          <w:rFonts w:eastAsia="Calibri"/>
        </w:rPr>
        <w:t xml:space="preserve"> </w:t>
      </w:r>
      <w:r w:rsidRPr="00D30EAA" w:rsidR="00266FE9">
        <w:rPr>
          <w:rFonts w:eastAsia="Calibri" w:cs="Arial"/>
          <w:sz w:val="22"/>
          <w:szCs w:val="22"/>
        </w:rPr>
        <w:t>prescribed by HM Treasury</w:t>
      </w:r>
      <w:r w:rsidR="00266FE9">
        <w:rPr>
          <w:rFonts w:eastAsia="Calibri" w:cs="Arial"/>
          <w:sz w:val="22"/>
          <w:szCs w:val="22"/>
        </w:rPr>
        <w:t xml:space="preserve"> in 2020-21 </w:t>
      </w:r>
      <w:r w:rsidRPr="002E1216" w:rsidR="00266FE9">
        <w:rPr>
          <w:rFonts w:eastAsia="Calibri" w:cs="Arial"/>
          <w:sz w:val="22"/>
          <w:szCs w:val="22"/>
        </w:rPr>
        <w:t>to measure the value of long-term provisions liabilities</w:t>
      </w:r>
      <w:r w:rsidR="00D85DCD">
        <w:rPr>
          <w:rFonts w:eastAsia="Calibri" w:cs="Arial"/>
          <w:sz w:val="22"/>
          <w:szCs w:val="22"/>
        </w:rPr>
        <w:t>.</w:t>
      </w:r>
    </w:p>
    <w:p w:rsidR="004F64C1" w:rsidP="004F64C1">
      <w:pPr>
        <w:ind w:left="927"/>
        <w:jc w:val="both"/>
        <w:rPr>
          <w:rFonts w:eastAsia="Calibri" w:cs="Arial"/>
          <w:sz w:val="22"/>
          <w:szCs w:val="22"/>
        </w:rPr>
      </w:pPr>
    </w:p>
    <w:p w:rsidR="004F64C1" w:rsidP="004F64C1">
      <w:pPr>
        <w:ind w:left="927"/>
        <w:jc w:val="both"/>
        <w:rPr>
          <w:rFonts w:eastAsia="Calibri" w:cs="Arial"/>
          <w:sz w:val="22"/>
          <w:szCs w:val="22"/>
        </w:rPr>
      </w:pPr>
    </w:p>
    <w:p w:rsidR="004F64C1" w:rsidRPr="00565172" w:rsidP="001F4DFB">
      <w:pPr>
        <w:numPr>
          <w:ilvl w:val="1"/>
          <w:numId w:val="4"/>
        </w:numPr>
        <w:spacing w:after="120" w:line="276" w:lineRule="auto"/>
        <w:ind w:left="567" w:hanging="567"/>
        <w:rPr>
          <w:rFonts w:eastAsia="Calibri" w:cs="Arial"/>
          <w:b/>
          <w:sz w:val="22"/>
          <w:szCs w:val="22"/>
        </w:rPr>
      </w:pPr>
      <w:r w:rsidRPr="00565172">
        <w:rPr>
          <w:rFonts w:eastAsia="Calibri" w:cs="Arial"/>
          <w:b/>
          <w:sz w:val="22"/>
          <w:szCs w:val="22"/>
        </w:rPr>
        <w:t>New Policies and Programmes</w:t>
      </w:r>
    </w:p>
    <w:p w:rsidR="004F64C1" w:rsidP="004F64C1">
      <w:pPr>
        <w:ind w:left="567"/>
        <w:jc w:val="both"/>
        <w:rPr>
          <w:rFonts w:eastAsiaTheme="minorHAnsi" w:cs="Arial"/>
          <w:sz w:val="22"/>
          <w:szCs w:val="22"/>
          <w:lang w:eastAsia="en-US"/>
        </w:rPr>
      </w:pPr>
      <w:r w:rsidRPr="00565172">
        <w:rPr>
          <w:rFonts w:eastAsia="Calibri" w:cs="Arial"/>
          <w:sz w:val="22"/>
          <w:szCs w:val="22"/>
        </w:rPr>
        <w:t xml:space="preserve">The DHSC makes all announcements on new policies and programmes during the year on the government website, details can be found at </w:t>
      </w:r>
      <w:r>
        <w:fldChar w:fldCharType="begin"/>
      </w:r>
      <w:r>
        <w:instrText xml:space="preserve"> HYPERLINK "https://www.gov.uk/government/organisations/department-of-health-and-social-care" </w:instrText>
      </w:r>
      <w:r>
        <w:fldChar w:fldCharType="separate"/>
      </w:r>
      <w:r w:rsidRPr="00565172">
        <w:rPr>
          <w:rFonts w:eastAsiaTheme="minorHAnsi" w:cs="Arial"/>
          <w:color w:val="0000FF" w:themeColor="hyperlink"/>
          <w:sz w:val="22"/>
          <w:szCs w:val="22"/>
          <w:u w:val="single"/>
          <w:lang w:eastAsia="en-US"/>
        </w:rPr>
        <w:t>DHSC announcements</w:t>
      </w:r>
      <w:r>
        <w:fldChar w:fldCharType="end"/>
      </w:r>
      <w:r w:rsidRPr="00565172">
        <w:rPr>
          <w:rFonts w:eastAsiaTheme="minorHAnsi" w:cs="Arial"/>
          <w:sz w:val="22"/>
          <w:szCs w:val="22"/>
          <w:lang w:eastAsia="en-US"/>
        </w:rPr>
        <w:t>.</w:t>
      </w:r>
    </w:p>
    <w:p w:rsidR="00A367D7" w:rsidP="004F64C1">
      <w:pPr>
        <w:ind w:left="567"/>
        <w:jc w:val="both"/>
        <w:rPr>
          <w:rFonts w:eastAsiaTheme="minorHAnsi" w:cs="Arial"/>
          <w:sz w:val="22"/>
          <w:szCs w:val="22"/>
          <w:lang w:eastAsia="en-US"/>
        </w:rPr>
      </w:pPr>
    </w:p>
    <w:p w:rsidR="004F64C1" w:rsidRPr="00565172" w:rsidP="004F64C1">
      <w:pPr>
        <w:ind w:left="567"/>
        <w:jc w:val="both"/>
        <w:rPr>
          <w:rFonts w:eastAsiaTheme="minorHAnsi" w:cs="Arial"/>
          <w:sz w:val="22"/>
          <w:szCs w:val="22"/>
          <w:lang w:eastAsia="en-US"/>
        </w:rPr>
      </w:pPr>
    </w:p>
    <w:p w:rsidR="004F64C1" w:rsidRPr="00B24D78" w:rsidP="001F4DFB">
      <w:pPr>
        <w:numPr>
          <w:ilvl w:val="1"/>
          <w:numId w:val="4"/>
        </w:numPr>
        <w:spacing w:after="120" w:line="276" w:lineRule="auto"/>
        <w:ind w:left="567" w:hanging="567"/>
        <w:rPr>
          <w:rFonts w:eastAsia="Calibri" w:cs="Arial"/>
          <w:b/>
          <w:sz w:val="22"/>
          <w:szCs w:val="22"/>
        </w:rPr>
      </w:pPr>
      <w:r w:rsidRPr="00B24D78">
        <w:rPr>
          <w:rFonts w:eastAsia="Calibri" w:cs="Arial"/>
          <w:b/>
          <w:sz w:val="22"/>
          <w:szCs w:val="22"/>
        </w:rPr>
        <w:t>Spending Trends</w:t>
      </w:r>
    </w:p>
    <w:p w:rsidR="004F64C1" w:rsidRPr="00565172" w:rsidP="004F64C1">
      <w:pPr>
        <w:ind w:left="567"/>
        <w:jc w:val="both"/>
        <w:rPr>
          <w:rFonts w:eastAsia="Calibri" w:cs="Arial"/>
          <w:sz w:val="22"/>
          <w:szCs w:val="22"/>
          <w:u w:val="single"/>
        </w:rPr>
      </w:pPr>
      <w:r w:rsidRPr="00565172">
        <w:rPr>
          <w:rFonts w:eastAsiaTheme="minorHAnsi" w:cs="Arial"/>
          <w:sz w:val="22"/>
          <w:szCs w:val="22"/>
          <w:lang w:eastAsia="en-US"/>
        </w:rPr>
        <w:t>The graphs show the outturn for the last 3 years (</w:t>
      </w:r>
      <w:r>
        <w:rPr>
          <w:rFonts w:eastAsiaTheme="minorHAnsi" w:cs="Arial"/>
          <w:sz w:val="22"/>
          <w:szCs w:val="22"/>
          <w:lang w:eastAsia="en-US"/>
        </w:rPr>
        <w:t>201</w:t>
      </w:r>
      <w:r w:rsidR="00D53C38">
        <w:rPr>
          <w:rFonts w:eastAsiaTheme="minorHAnsi" w:cs="Arial"/>
          <w:sz w:val="22"/>
          <w:szCs w:val="22"/>
          <w:lang w:eastAsia="en-US"/>
        </w:rPr>
        <w:t>8-19</w:t>
      </w:r>
      <w:r>
        <w:rPr>
          <w:rFonts w:eastAsiaTheme="minorHAnsi" w:cs="Arial"/>
          <w:sz w:val="22"/>
          <w:szCs w:val="22"/>
          <w:lang w:eastAsia="en-US"/>
        </w:rPr>
        <w:t xml:space="preserve"> to </w:t>
      </w:r>
      <w:r w:rsidR="00D53C38">
        <w:rPr>
          <w:rFonts w:eastAsiaTheme="minorHAnsi" w:cs="Arial"/>
          <w:sz w:val="22"/>
          <w:szCs w:val="22"/>
          <w:lang w:eastAsia="en-US"/>
        </w:rPr>
        <w:t>2020-21</w:t>
      </w:r>
      <w:r w:rsidRPr="00565172">
        <w:rPr>
          <w:rFonts w:eastAsiaTheme="minorHAnsi" w:cs="Arial"/>
          <w:sz w:val="22"/>
          <w:szCs w:val="22"/>
          <w:lang w:eastAsia="en-US"/>
        </w:rPr>
        <w:t xml:space="preserve">), plans presented in </w:t>
      </w:r>
      <w:r>
        <w:rPr>
          <w:rFonts w:eastAsiaTheme="minorHAnsi" w:cs="Arial"/>
          <w:sz w:val="22"/>
          <w:szCs w:val="22"/>
          <w:lang w:eastAsia="en-US"/>
        </w:rPr>
        <w:t xml:space="preserve">Supplementary </w:t>
      </w:r>
      <w:r w:rsidRPr="00565172">
        <w:rPr>
          <w:rFonts w:eastAsiaTheme="minorHAnsi" w:cs="Arial"/>
          <w:sz w:val="22"/>
          <w:szCs w:val="22"/>
          <w:lang w:eastAsia="en-US"/>
        </w:rPr>
        <w:t xml:space="preserve">Estimates for </w:t>
      </w:r>
      <w:r>
        <w:rPr>
          <w:rFonts w:eastAsiaTheme="minorHAnsi" w:cs="Arial"/>
          <w:sz w:val="22"/>
          <w:szCs w:val="22"/>
          <w:lang w:eastAsia="en-US"/>
        </w:rPr>
        <w:t>202</w:t>
      </w:r>
      <w:r w:rsidR="00D53C38">
        <w:rPr>
          <w:rFonts w:eastAsiaTheme="minorHAnsi" w:cs="Arial"/>
          <w:sz w:val="22"/>
          <w:szCs w:val="22"/>
          <w:lang w:eastAsia="en-US"/>
        </w:rPr>
        <w:t>1-22</w:t>
      </w:r>
      <w:r w:rsidRPr="00565172">
        <w:rPr>
          <w:rFonts w:eastAsiaTheme="minorHAnsi" w:cs="Arial"/>
          <w:sz w:val="22"/>
          <w:szCs w:val="22"/>
          <w:lang w:eastAsia="en-US"/>
        </w:rPr>
        <w:t xml:space="preserve">, and future spending plans for </w:t>
      </w:r>
      <w:r w:rsidR="00234366">
        <w:rPr>
          <w:rFonts w:eastAsiaTheme="minorHAnsi" w:cs="Arial"/>
          <w:sz w:val="22"/>
          <w:szCs w:val="22"/>
          <w:lang w:eastAsia="en-US"/>
        </w:rPr>
        <w:t>the Spending Review 21 period</w:t>
      </w:r>
      <w:r w:rsidR="00404ED9">
        <w:rPr>
          <w:rFonts w:eastAsiaTheme="minorHAnsi" w:cs="Arial"/>
          <w:sz w:val="22"/>
          <w:szCs w:val="22"/>
          <w:lang w:eastAsia="en-US"/>
        </w:rPr>
        <w:t xml:space="preserve"> </w:t>
      </w:r>
      <w:r w:rsidRPr="00565172">
        <w:rPr>
          <w:rFonts w:eastAsiaTheme="minorHAnsi" w:cs="Arial"/>
          <w:sz w:val="22"/>
          <w:szCs w:val="22"/>
          <w:lang w:eastAsia="en-US"/>
        </w:rPr>
        <w:t>for Resource DE</w:t>
      </w:r>
      <w:r>
        <w:rPr>
          <w:rFonts w:eastAsiaTheme="minorHAnsi" w:cs="Arial"/>
          <w:sz w:val="22"/>
          <w:szCs w:val="22"/>
          <w:lang w:eastAsia="en-US"/>
        </w:rPr>
        <w:t>L,</w:t>
      </w:r>
      <w:r w:rsidRPr="00565172">
        <w:rPr>
          <w:rFonts w:eastAsiaTheme="minorHAnsi" w:cs="Arial"/>
          <w:sz w:val="22"/>
          <w:szCs w:val="22"/>
          <w:lang w:eastAsia="en-US"/>
        </w:rPr>
        <w:t xml:space="preserve"> Capital DEL</w:t>
      </w:r>
      <w:r>
        <w:rPr>
          <w:rFonts w:eastAsiaTheme="minorHAnsi" w:cs="Arial"/>
          <w:sz w:val="22"/>
          <w:szCs w:val="22"/>
          <w:lang w:eastAsia="en-US"/>
        </w:rPr>
        <w:t xml:space="preserve"> and</w:t>
      </w:r>
      <w:r w:rsidRPr="00565172">
        <w:rPr>
          <w:rFonts w:eastAsiaTheme="minorHAnsi" w:cs="Arial"/>
          <w:sz w:val="22"/>
          <w:szCs w:val="22"/>
          <w:lang w:eastAsia="en-US"/>
        </w:rPr>
        <w:t xml:space="preserve"> Resource AME</w:t>
      </w:r>
      <w:r>
        <w:rPr>
          <w:rFonts w:eastAsiaTheme="minorHAnsi" w:cs="Arial"/>
          <w:sz w:val="22"/>
          <w:szCs w:val="22"/>
          <w:lang w:eastAsia="en-US"/>
        </w:rPr>
        <w:t xml:space="preserve">. </w:t>
      </w:r>
    </w:p>
    <w:p w:rsidR="004F64C1" w:rsidRPr="00565172" w:rsidP="004F64C1">
      <w:pPr>
        <w:ind w:left="567"/>
        <w:rPr>
          <w:rFonts w:eastAsia="Calibri" w:cs="Arial"/>
          <w:sz w:val="22"/>
          <w:szCs w:val="22"/>
          <w:u w:val="single"/>
        </w:rPr>
      </w:pPr>
    </w:p>
    <w:p w:rsidR="004F64C1" w:rsidP="001F4DFB">
      <w:pPr>
        <w:numPr>
          <w:ilvl w:val="0"/>
          <w:numId w:val="7"/>
        </w:numPr>
        <w:spacing w:after="120" w:line="276" w:lineRule="auto"/>
        <w:ind w:left="924" w:hanging="357"/>
        <w:rPr>
          <w:rFonts w:eastAsia="Calibri" w:cs="Arial"/>
          <w:sz w:val="22"/>
          <w:szCs w:val="22"/>
          <w:u w:val="single"/>
        </w:rPr>
      </w:pPr>
      <w:r w:rsidRPr="00565172">
        <w:rPr>
          <w:rFonts w:eastAsia="Calibri" w:cs="Arial"/>
          <w:sz w:val="22"/>
          <w:szCs w:val="22"/>
          <w:u w:val="single"/>
        </w:rPr>
        <w:t xml:space="preserve">Resource DEL </w:t>
      </w:r>
    </w:p>
    <w:p w:rsidR="004F64C1" w:rsidRPr="00565172" w:rsidP="004F64C1">
      <w:pPr>
        <w:spacing w:after="120" w:line="276" w:lineRule="auto"/>
        <w:ind w:left="567"/>
        <w:rPr>
          <w:rFonts w:eastAsia="Calibri" w:cs="Arial"/>
          <w:sz w:val="22"/>
          <w:szCs w:val="22"/>
          <w:u w:val="single"/>
        </w:rPr>
      </w:pPr>
      <w:r>
        <w:rPr>
          <w:noProof/>
        </w:rPr>
        <w:drawing>
          <wp:inline distT="0" distB="0" distL="0" distR="0">
            <wp:extent cx="6272490" cy="2335531"/>
            <wp:effectExtent l="0" t="0" r="14605" b="7620"/>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4F64C1" w:rsidP="004F64C1">
      <w:pPr>
        <w:ind w:left="924"/>
        <w:contextualSpacing/>
        <w:rPr>
          <w:rFonts w:eastAsiaTheme="minorHAnsi" w:cs="Arial"/>
          <w:sz w:val="22"/>
          <w:szCs w:val="22"/>
          <w:lang w:eastAsia="en-US"/>
        </w:rPr>
      </w:pPr>
    </w:p>
    <w:p w:rsidR="00672441" w:rsidRPr="00672441" w:rsidP="00893FAD">
      <w:pPr>
        <w:ind w:left="924"/>
        <w:jc w:val="both"/>
        <w:rPr>
          <w:rFonts w:cs="Arial"/>
          <w:b/>
          <w:bCs/>
          <w:sz w:val="22"/>
          <w:szCs w:val="22"/>
        </w:rPr>
      </w:pPr>
      <w:r w:rsidRPr="00672441">
        <w:rPr>
          <w:rFonts w:cs="Arial"/>
          <w:b/>
          <w:bCs/>
          <w:sz w:val="22"/>
          <w:szCs w:val="22"/>
        </w:rPr>
        <w:t>NHS Long Term P</w:t>
      </w:r>
      <w:r w:rsidR="00595BF9">
        <w:rPr>
          <w:rFonts w:cs="Arial"/>
          <w:b/>
          <w:bCs/>
          <w:sz w:val="22"/>
          <w:szCs w:val="22"/>
        </w:rPr>
        <w:t>l</w:t>
      </w:r>
      <w:r w:rsidRPr="00672441">
        <w:rPr>
          <w:rFonts w:cs="Arial"/>
          <w:b/>
          <w:bCs/>
          <w:sz w:val="22"/>
          <w:szCs w:val="22"/>
        </w:rPr>
        <w:t>an</w:t>
      </w:r>
    </w:p>
    <w:p w:rsidR="00893FAD" w:rsidRPr="008101E9" w:rsidP="00893FAD">
      <w:pPr>
        <w:ind w:left="924"/>
        <w:jc w:val="both"/>
        <w:rPr>
          <w:rFonts w:eastAsiaTheme="minorHAnsi" w:cs="Arial"/>
          <w:sz w:val="22"/>
          <w:szCs w:val="22"/>
          <w:highlight w:val="yellow"/>
          <w:u w:val="single"/>
          <w:lang w:eastAsia="en-US"/>
        </w:rPr>
      </w:pPr>
      <w:r w:rsidRPr="008101E9">
        <w:rPr>
          <w:rFonts w:cs="Arial"/>
          <w:sz w:val="22"/>
          <w:szCs w:val="22"/>
        </w:rPr>
        <w:t xml:space="preserve">Increases from 2019-20 </w:t>
      </w:r>
      <w:r>
        <w:rPr>
          <w:rFonts w:cs="Arial"/>
          <w:sz w:val="22"/>
          <w:szCs w:val="22"/>
        </w:rPr>
        <w:t>include</w:t>
      </w:r>
      <w:r w:rsidRPr="008101E9">
        <w:rPr>
          <w:rFonts w:cs="Arial"/>
          <w:sz w:val="22"/>
          <w:szCs w:val="22"/>
        </w:rPr>
        <w:t xml:space="preserve"> the multi-year funding commitment announced by the Prime Minister in June 2018 and the NHS Long Term plan, published in January 2019.  </w:t>
      </w:r>
      <w:r w:rsidRPr="008101E9">
        <w:rPr>
          <w:rFonts w:eastAsiaTheme="minorHAnsi" w:cs="Arial"/>
          <w:sz w:val="22"/>
          <w:szCs w:val="22"/>
          <w:lang w:eastAsia="en-US"/>
        </w:rPr>
        <w:t xml:space="preserve">More details can be found </w:t>
      </w:r>
      <w:r w:rsidRPr="008101E9">
        <w:rPr>
          <w:rFonts w:cs="Arial"/>
          <w:sz w:val="22"/>
          <w:szCs w:val="22"/>
        </w:rPr>
        <w:t>at</w:t>
      </w:r>
      <w:r w:rsidRPr="008101E9">
        <w:rPr>
          <w:sz w:val="22"/>
          <w:szCs w:val="22"/>
        </w:rPr>
        <w:t xml:space="preserve"> </w:t>
      </w:r>
      <w:r>
        <w:fldChar w:fldCharType="begin"/>
      </w:r>
      <w:r>
        <w:instrText xml:space="preserve"> HYPERLINK "https://www.longtermplan.nhs.uk/implementation-framework/" </w:instrText>
      </w:r>
      <w:r>
        <w:fldChar w:fldCharType="separate"/>
      </w:r>
      <w:r w:rsidRPr="008101E9">
        <w:rPr>
          <w:sz w:val="22"/>
          <w:szCs w:val="22"/>
          <w:u w:val="single"/>
        </w:rPr>
        <w:t>NHS Long Term Plan implementation</w:t>
      </w:r>
      <w:r>
        <w:fldChar w:fldCharType="end"/>
      </w:r>
      <w:r w:rsidRPr="008101E9">
        <w:rPr>
          <w:sz w:val="22"/>
          <w:szCs w:val="22"/>
        </w:rPr>
        <w:t>.</w:t>
      </w:r>
    </w:p>
    <w:p w:rsidR="00893FAD" w:rsidRPr="008101E9" w:rsidP="00893FAD">
      <w:pPr>
        <w:contextualSpacing/>
        <w:rPr>
          <w:rFonts w:eastAsiaTheme="minorHAnsi" w:cs="Arial"/>
          <w:sz w:val="22"/>
          <w:szCs w:val="22"/>
          <w:lang w:eastAsia="en-US"/>
        </w:rPr>
      </w:pPr>
    </w:p>
    <w:p w:rsidR="00672441" w:rsidRPr="00672441" w:rsidP="00893FAD">
      <w:pPr>
        <w:ind w:left="924"/>
        <w:contextualSpacing/>
        <w:rPr>
          <w:rFonts w:eastAsiaTheme="minorHAnsi" w:cs="Arial"/>
          <w:b/>
          <w:bCs/>
          <w:sz w:val="22"/>
          <w:szCs w:val="22"/>
          <w:lang w:eastAsia="en-US"/>
        </w:rPr>
      </w:pPr>
      <w:r w:rsidRPr="00672441">
        <w:rPr>
          <w:rFonts w:eastAsiaTheme="minorHAnsi" w:cs="Arial"/>
          <w:b/>
          <w:bCs/>
          <w:sz w:val="22"/>
          <w:szCs w:val="22"/>
          <w:lang w:eastAsia="en-US"/>
        </w:rPr>
        <w:t>2020-21</w:t>
      </w:r>
    </w:p>
    <w:p w:rsidR="00893FAD" w:rsidP="00893FAD">
      <w:pPr>
        <w:ind w:left="924"/>
        <w:contextualSpacing/>
        <w:rPr>
          <w:rFonts w:eastAsiaTheme="minorHAnsi" w:cs="Arial"/>
          <w:sz w:val="22"/>
          <w:szCs w:val="22"/>
          <w:lang w:eastAsia="en-US"/>
        </w:rPr>
      </w:pPr>
      <w:r w:rsidRPr="008101E9">
        <w:rPr>
          <w:rFonts w:eastAsiaTheme="minorHAnsi" w:cs="Arial"/>
          <w:sz w:val="22"/>
          <w:szCs w:val="22"/>
          <w:lang w:eastAsia="en-US"/>
        </w:rPr>
        <w:t xml:space="preserve">In 2020-21, DHSC </w:t>
      </w:r>
      <w:r w:rsidR="009A2D44">
        <w:rPr>
          <w:rFonts w:eastAsiaTheme="minorHAnsi" w:cs="Arial"/>
          <w:sz w:val="22"/>
          <w:szCs w:val="22"/>
          <w:lang w:eastAsia="en-US"/>
        </w:rPr>
        <w:t>incurred</w:t>
      </w:r>
      <w:r w:rsidRPr="008101E9" w:rsidR="009A2D44">
        <w:rPr>
          <w:rFonts w:eastAsiaTheme="minorHAnsi" w:cs="Arial"/>
          <w:sz w:val="22"/>
          <w:szCs w:val="22"/>
          <w:lang w:eastAsia="en-US"/>
        </w:rPr>
        <w:t xml:space="preserve"> </w:t>
      </w:r>
      <w:r w:rsidRPr="008101E9">
        <w:rPr>
          <w:rFonts w:eastAsiaTheme="minorHAnsi" w:cs="Arial"/>
          <w:sz w:val="22"/>
          <w:szCs w:val="22"/>
          <w:lang w:eastAsia="en-US"/>
        </w:rPr>
        <w:t>£</w:t>
      </w:r>
      <w:r w:rsidR="00696622">
        <w:rPr>
          <w:rFonts w:eastAsiaTheme="minorHAnsi" w:cs="Arial"/>
          <w:sz w:val="22"/>
          <w:szCs w:val="22"/>
          <w:lang w:eastAsia="en-US"/>
        </w:rPr>
        <w:t>42.9</w:t>
      </w:r>
      <w:r w:rsidRPr="008101E9">
        <w:rPr>
          <w:rFonts w:eastAsiaTheme="minorHAnsi" w:cs="Arial"/>
          <w:sz w:val="22"/>
          <w:szCs w:val="22"/>
          <w:lang w:eastAsia="en-US"/>
        </w:rPr>
        <w:t xml:space="preserve"> billion </w:t>
      </w:r>
      <w:r w:rsidR="009D418E">
        <w:rPr>
          <w:rFonts w:eastAsiaTheme="minorHAnsi" w:cs="Arial"/>
          <w:sz w:val="22"/>
          <w:szCs w:val="22"/>
          <w:lang w:eastAsia="en-US"/>
        </w:rPr>
        <w:t>resource</w:t>
      </w:r>
      <w:r>
        <w:rPr>
          <w:rFonts w:eastAsiaTheme="minorHAnsi" w:cs="Arial"/>
          <w:sz w:val="22"/>
          <w:szCs w:val="22"/>
          <w:lang w:eastAsia="en-US"/>
        </w:rPr>
        <w:t xml:space="preserve"> </w:t>
      </w:r>
      <w:r w:rsidR="00696622">
        <w:rPr>
          <w:rFonts w:eastAsiaTheme="minorHAnsi" w:cs="Arial"/>
          <w:sz w:val="22"/>
          <w:szCs w:val="22"/>
          <w:lang w:eastAsia="en-US"/>
        </w:rPr>
        <w:t>expenditure on</w:t>
      </w:r>
      <w:r w:rsidRPr="008101E9">
        <w:rPr>
          <w:rFonts w:eastAsiaTheme="minorHAnsi" w:cs="Arial"/>
          <w:sz w:val="22"/>
          <w:szCs w:val="22"/>
          <w:lang w:eastAsia="en-US"/>
        </w:rPr>
        <w:t xml:space="preserve"> the emergency response to Covid-19.</w:t>
      </w:r>
      <w:r>
        <w:rPr>
          <w:rFonts w:eastAsiaTheme="minorHAnsi" w:cs="Arial"/>
          <w:sz w:val="22"/>
          <w:szCs w:val="22"/>
          <w:lang w:eastAsia="en-US"/>
        </w:rPr>
        <w:t xml:space="preserve"> Details of the</w:t>
      </w:r>
      <w:r w:rsidR="007C145E">
        <w:rPr>
          <w:rFonts w:eastAsiaTheme="minorHAnsi" w:cs="Arial"/>
          <w:sz w:val="22"/>
          <w:szCs w:val="22"/>
          <w:lang w:eastAsia="en-US"/>
        </w:rPr>
        <w:t xml:space="preserve"> Covid-19 programmes this was incurred on are detailed </w:t>
      </w:r>
      <w:r>
        <w:rPr>
          <w:rFonts w:eastAsiaTheme="minorHAnsi" w:cs="Arial"/>
          <w:sz w:val="22"/>
          <w:szCs w:val="22"/>
          <w:lang w:eastAsia="en-US"/>
        </w:rPr>
        <w:t xml:space="preserve"> in the </w:t>
      </w:r>
      <w:r>
        <w:fldChar w:fldCharType="begin"/>
      </w:r>
      <w:r>
        <w:instrText xml:space="preserve"> HYPERLINK "https://www.gov.uk/government/publications/dhsc-annual-report-and-accounts-2020-to-2021" </w:instrText>
      </w:r>
      <w:r>
        <w:fldChar w:fldCharType="separate"/>
      </w:r>
      <w:r w:rsidRPr="00996775">
        <w:rPr>
          <w:rStyle w:val="Hyperlink"/>
          <w:rFonts w:eastAsiaTheme="minorHAnsi" w:cs="Arial"/>
          <w:sz w:val="22"/>
          <w:szCs w:val="22"/>
          <w:lang w:eastAsia="en-US"/>
        </w:rPr>
        <w:t>2020-21 Annual Report and Account</w:t>
      </w:r>
      <w:r>
        <w:fldChar w:fldCharType="end"/>
      </w:r>
      <w:r>
        <w:rPr>
          <w:rFonts w:eastAsiaTheme="minorHAnsi" w:cs="Arial"/>
          <w:sz w:val="22"/>
          <w:szCs w:val="22"/>
          <w:lang w:eastAsia="en-US"/>
        </w:rPr>
        <w:t>.</w:t>
      </w:r>
      <w:r w:rsidRPr="008101E9">
        <w:rPr>
          <w:rFonts w:eastAsiaTheme="minorHAnsi" w:cs="Arial"/>
          <w:sz w:val="22"/>
          <w:szCs w:val="22"/>
          <w:lang w:eastAsia="en-US"/>
        </w:rPr>
        <w:t xml:space="preserve"> </w:t>
      </w:r>
    </w:p>
    <w:p w:rsidR="00893FAD" w:rsidP="00893FAD">
      <w:pPr>
        <w:contextualSpacing/>
        <w:rPr>
          <w:rFonts w:eastAsiaTheme="minorHAnsi" w:cs="Arial"/>
          <w:sz w:val="22"/>
          <w:szCs w:val="22"/>
          <w:lang w:eastAsia="en-US"/>
        </w:rPr>
      </w:pPr>
    </w:p>
    <w:p w:rsidR="00C43D6B" w:rsidP="00893FAD">
      <w:pPr>
        <w:ind w:left="924"/>
        <w:contextualSpacing/>
        <w:rPr>
          <w:rFonts w:eastAsiaTheme="minorHAnsi" w:cs="Arial"/>
          <w:b/>
          <w:bCs/>
          <w:sz w:val="22"/>
          <w:szCs w:val="22"/>
          <w:lang w:eastAsia="en-US"/>
        </w:rPr>
      </w:pPr>
    </w:p>
    <w:p w:rsidR="00C43D6B" w:rsidP="00893FAD">
      <w:pPr>
        <w:ind w:left="924"/>
        <w:contextualSpacing/>
        <w:rPr>
          <w:rFonts w:eastAsiaTheme="minorHAnsi" w:cs="Arial"/>
          <w:b/>
          <w:bCs/>
          <w:sz w:val="22"/>
          <w:szCs w:val="22"/>
          <w:lang w:eastAsia="en-US"/>
        </w:rPr>
      </w:pPr>
    </w:p>
    <w:p w:rsidR="00C43D6B" w:rsidP="00893FAD">
      <w:pPr>
        <w:ind w:left="924"/>
        <w:contextualSpacing/>
        <w:rPr>
          <w:rFonts w:eastAsiaTheme="minorHAnsi" w:cs="Arial"/>
          <w:b/>
          <w:bCs/>
          <w:sz w:val="22"/>
          <w:szCs w:val="22"/>
          <w:lang w:eastAsia="en-US"/>
        </w:rPr>
      </w:pPr>
    </w:p>
    <w:p w:rsidR="00534091" w:rsidP="00893FAD">
      <w:pPr>
        <w:ind w:left="924"/>
        <w:contextualSpacing/>
        <w:rPr>
          <w:rFonts w:eastAsiaTheme="minorHAnsi" w:cs="Arial"/>
          <w:b/>
          <w:bCs/>
          <w:sz w:val="22"/>
          <w:szCs w:val="22"/>
          <w:lang w:eastAsia="en-US"/>
        </w:rPr>
      </w:pPr>
    </w:p>
    <w:p w:rsidR="00A55641" w:rsidP="00893FAD">
      <w:pPr>
        <w:ind w:left="924"/>
        <w:contextualSpacing/>
        <w:rPr>
          <w:rFonts w:eastAsiaTheme="minorHAnsi" w:cs="Arial"/>
          <w:b/>
          <w:bCs/>
          <w:sz w:val="22"/>
          <w:szCs w:val="22"/>
          <w:lang w:eastAsia="en-US"/>
        </w:rPr>
      </w:pPr>
    </w:p>
    <w:p w:rsidR="00534091" w:rsidP="00893FAD">
      <w:pPr>
        <w:ind w:left="924"/>
        <w:contextualSpacing/>
        <w:rPr>
          <w:rFonts w:eastAsiaTheme="minorHAnsi" w:cs="Arial"/>
          <w:b/>
          <w:bCs/>
          <w:sz w:val="22"/>
          <w:szCs w:val="22"/>
          <w:lang w:eastAsia="en-US"/>
        </w:rPr>
      </w:pPr>
    </w:p>
    <w:p w:rsidR="00534091" w:rsidP="00893FAD">
      <w:pPr>
        <w:ind w:left="924"/>
        <w:contextualSpacing/>
        <w:rPr>
          <w:rFonts w:eastAsiaTheme="minorHAnsi" w:cs="Arial"/>
          <w:b/>
          <w:bCs/>
          <w:sz w:val="22"/>
          <w:szCs w:val="22"/>
          <w:lang w:eastAsia="en-US"/>
        </w:rPr>
      </w:pPr>
    </w:p>
    <w:p w:rsidR="00672441" w:rsidRPr="00672441" w:rsidP="00893FAD">
      <w:pPr>
        <w:ind w:left="924"/>
        <w:contextualSpacing/>
        <w:rPr>
          <w:rFonts w:eastAsiaTheme="minorHAnsi" w:cs="Arial"/>
          <w:b/>
          <w:bCs/>
          <w:sz w:val="22"/>
          <w:szCs w:val="22"/>
          <w:lang w:eastAsia="en-US"/>
        </w:rPr>
      </w:pPr>
      <w:r w:rsidRPr="00672441">
        <w:rPr>
          <w:rFonts w:eastAsiaTheme="minorHAnsi" w:cs="Arial"/>
          <w:b/>
          <w:bCs/>
          <w:sz w:val="22"/>
          <w:szCs w:val="22"/>
          <w:lang w:eastAsia="en-US"/>
        </w:rPr>
        <w:t>2021-22</w:t>
      </w:r>
    </w:p>
    <w:p w:rsidR="00893FAD" w:rsidP="00893FAD">
      <w:pPr>
        <w:ind w:left="924"/>
        <w:contextualSpacing/>
        <w:rPr>
          <w:rFonts w:eastAsiaTheme="minorHAnsi" w:cs="Arial"/>
          <w:sz w:val="22"/>
          <w:szCs w:val="22"/>
          <w:lang w:eastAsia="en-US"/>
        </w:rPr>
      </w:pPr>
      <w:r>
        <w:rPr>
          <w:rFonts w:eastAsiaTheme="minorHAnsi" w:cs="Arial"/>
          <w:sz w:val="22"/>
          <w:szCs w:val="22"/>
          <w:lang w:eastAsia="en-US"/>
        </w:rPr>
        <w:t xml:space="preserve">The 2021-22 </w:t>
      </w:r>
      <w:r w:rsidR="001E20CE">
        <w:rPr>
          <w:rFonts w:eastAsiaTheme="minorHAnsi" w:cs="Arial"/>
          <w:sz w:val="22"/>
          <w:szCs w:val="22"/>
          <w:lang w:eastAsia="en-US"/>
        </w:rPr>
        <w:t xml:space="preserve">Supplementary Supply Estimate (SSE) </w:t>
      </w:r>
      <w:r>
        <w:rPr>
          <w:rFonts w:eastAsiaTheme="minorHAnsi" w:cs="Arial"/>
          <w:sz w:val="22"/>
          <w:szCs w:val="22"/>
          <w:lang w:eastAsia="en-US"/>
        </w:rPr>
        <w:t>budget was based on funding announced in the 2020 Spending Round</w:t>
      </w:r>
      <w:r w:rsidR="001E20CE">
        <w:rPr>
          <w:rFonts w:eastAsiaTheme="minorHAnsi" w:cs="Arial"/>
          <w:sz w:val="22"/>
          <w:szCs w:val="22"/>
          <w:lang w:eastAsia="en-US"/>
        </w:rPr>
        <w:t xml:space="preserve">, </w:t>
      </w:r>
      <w:r>
        <w:rPr>
          <w:rFonts w:eastAsiaTheme="minorHAnsi" w:cs="Arial"/>
          <w:sz w:val="22"/>
          <w:szCs w:val="22"/>
          <w:lang w:eastAsia="en-US"/>
        </w:rPr>
        <w:t>the additional funding announced in the 2021 Spring Budget</w:t>
      </w:r>
      <w:r w:rsidR="001E20CE">
        <w:rPr>
          <w:rFonts w:eastAsiaTheme="minorHAnsi" w:cs="Arial"/>
          <w:sz w:val="22"/>
          <w:szCs w:val="22"/>
          <w:lang w:eastAsia="en-US"/>
        </w:rPr>
        <w:t xml:space="preserve"> and</w:t>
      </w:r>
      <w:r w:rsidR="00EE37AE">
        <w:rPr>
          <w:rFonts w:eastAsiaTheme="minorHAnsi" w:cs="Arial"/>
          <w:sz w:val="22"/>
          <w:szCs w:val="22"/>
          <w:lang w:eastAsia="en-US"/>
        </w:rPr>
        <w:t xml:space="preserve"> the additional funding agreed in the SSE</w:t>
      </w:r>
      <w:r>
        <w:rPr>
          <w:rFonts w:eastAsiaTheme="minorHAnsi" w:cs="Arial"/>
          <w:sz w:val="22"/>
          <w:szCs w:val="22"/>
          <w:lang w:eastAsia="en-US"/>
        </w:rPr>
        <w:t>. This included</w:t>
      </w:r>
      <w:r w:rsidRPr="00641AA9">
        <w:rPr>
          <w:rFonts w:eastAsiaTheme="minorHAnsi" w:cs="Arial"/>
          <w:sz w:val="22"/>
          <w:szCs w:val="22"/>
          <w:lang w:eastAsia="en-US"/>
        </w:rPr>
        <w:t xml:space="preserve"> </w:t>
      </w:r>
      <w:r w:rsidRPr="00892E14">
        <w:rPr>
          <w:rFonts w:eastAsiaTheme="minorHAnsi" w:cs="Arial"/>
          <w:b/>
          <w:bCs/>
          <w:sz w:val="22"/>
          <w:szCs w:val="22"/>
          <w:lang w:eastAsia="en-US"/>
        </w:rPr>
        <w:t>Covid-19 funding of</w:t>
      </w:r>
      <w:r w:rsidRPr="00892E14" w:rsidR="00F56B28">
        <w:rPr>
          <w:rFonts w:eastAsiaTheme="minorHAnsi" w:cs="Arial"/>
          <w:b/>
          <w:bCs/>
          <w:sz w:val="22"/>
          <w:szCs w:val="22"/>
          <w:lang w:eastAsia="en-US"/>
        </w:rPr>
        <w:t xml:space="preserve"> £39</w:t>
      </w:r>
      <w:r w:rsidRPr="00892E14" w:rsidR="00FC6FF4">
        <w:rPr>
          <w:rFonts w:eastAsiaTheme="minorHAnsi" w:cs="Arial"/>
          <w:b/>
          <w:bCs/>
          <w:sz w:val="22"/>
          <w:szCs w:val="22"/>
          <w:lang w:eastAsia="en-US"/>
        </w:rPr>
        <w:t>.</w:t>
      </w:r>
      <w:r w:rsidRPr="00892E14" w:rsidR="00F56B28">
        <w:rPr>
          <w:rFonts w:eastAsiaTheme="minorHAnsi" w:cs="Arial"/>
          <w:b/>
          <w:bCs/>
          <w:sz w:val="22"/>
          <w:szCs w:val="22"/>
          <w:lang w:eastAsia="en-US"/>
        </w:rPr>
        <w:t>2 billion comprising</w:t>
      </w:r>
      <w:r w:rsidRPr="00892E14">
        <w:rPr>
          <w:rFonts w:eastAsiaTheme="minorHAnsi" w:cs="Arial"/>
          <w:b/>
          <w:bCs/>
          <w:sz w:val="22"/>
          <w:szCs w:val="22"/>
          <w:lang w:eastAsia="en-US"/>
        </w:rPr>
        <w:t>:</w:t>
      </w:r>
    </w:p>
    <w:p w:rsidR="00893FAD" w:rsidRPr="00892E14" w:rsidP="00C43D6B">
      <w:pPr>
        <w:pStyle w:val="ListParagraph"/>
        <w:numPr>
          <w:ilvl w:val="0"/>
          <w:numId w:val="11"/>
        </w:numPr>
        <w:contextualSpacing/>
        <w:jc w:val="both"/>
        <w:rPr>
          <w:rFonts w:ascii="Arial" w:hAnsi="Arial" w:eastAsiaTheme="minorHAnsi" w:cs="Arial"/>
          <w:lang w:eastAsia="en-US"/>
        </w:rPr>
      </w:pPr>
      <w:r w:rsidRPr="00892E14">
        <w:rPr>
          <w:rFonts w:ascii="Arial" w:hAnsi="Arial" w:eastAsiaTheme="minorHAnsi" w:cs="Arial"/>
          <w:lang w:eastAsia="en-US"/>
        </w:rPr>
        <w:t>£1</w:t>
      </w:r>
      <w:r w:rsidRPr="00892E14" w:rsidR="00797A19">
        <w:rPr>
          <w:rFonts w:ascii="Arial" w:hAnsi="Arial" w:eastAsiaTheme="minorHAnsi" w:cs="Arial"/>
          <w:lang w:eastAsia="en-US"/>
        </w:rPr>
        <w:t>6</w:t>
      </w:r>
      <w:r w:rsidRPr="00892E14">
        <w:rPr>
          <w:rFonts w:ascii="Arial" w:hAnsi="Arial" w:eastAsiaTheme="minorHAnsi" w:cs="Arial"/>
          <w:lang w:eastAsia="en-US"/>
        </w:rPr>
        <w:t xml:space="preserve"> billion for </w:t>
      </w:r>
      <w:r w:rsidR="00863981">
        <w:rPr>
          <w:rFonts w:ascii="Arial" w:hAnsi="Arial" w:eastAsiaTheme="minorHAnsi" w:cs="Arial"/>
          <w:lang w:eastAsia="en-US"/>
        </w:rPr>
        <w:t xml:space="preserve">NHS </w:t>
      </w:r>
      <w:r w:rsidRPr="00892E14">
        <w:rPr>
          <w:rFonts w:ascii="Arial" w:hAnsi="Arial" w:eastAsiaTheme="minorHAnsi" w:cs="Arial"/>
          <w:lang w:eastAsia="en-US"/>
        </w:rPr>
        <w:t xml:space="preserve">Test and Trace; </w:t>
      </w:r>
    </w:p>
    <w:p w:rsidR="0017503C" w:rsidRPr="00892E14" w:rsidP="001F4DFB">
      <w:pPr>
        <w:pStyle w:val="ListParagraph"/>
        <w:numPr>
          <w:ilvl w:val="0"/>
          <w:numId w:val="11"/>
        </w:numPr>
        <w:contextualSpacing/>
        <w:jc w:val="both"/>
        <w:rPr>
          <w:rStyle w:val="normaltextrun1"/>
          <w:rFonts w:ascii="Arial" w:hAnsi="Arial" w:eastAsiaTheme="minorHAnsi" w:cs="Arial"/>
          <w:b/>
          <w:lang w:eastAsia="en-US"/>
        </w:rPr>
      </w:pPr>
      <w:r w:rsidRPr="00892E14">
        <w:rPr>
          <w:rFonts w:ascii="Arial" w:hAnsi="Arial" w:eastAsiaTheme="minorHAnsi" w:cs="Arial"/>
          <w:lang w:eastAsia="en-US"/>
        </w:rPr>
        <w:t>£</w:t>
      </w:r>
      <w:r w:rsidRPr="00892E14" w:rsidR="00EB39AE">
        <w:rPr>
          <w:rFonts w:ascii="Arial" w:hAnsi="Arial" w:eastAsiaTheme="minorHAnsi" w:cs="Arial"/>
          <w:lang w:eastAsia="en-US"/>
        </w:rPr>
        <w:t>13.7</w:t>
      </w:r>
      <w:r w:rsidR="008D6035">
        <w:rPr>
          <w:rFonts w:ascii="Arial" w:hAnsi="Arial" w:eastAsiaTheme="minorHAnsi" w:cs="Arial"/>
          <w:lang w:eastAsia="en-US"/>
        </w:rPr>
        <w:t xml:space="preserve"> </w:t>
      </w:r>
      <w:r w:rsidRPr="00892E14" w:rsidR="00EB39AE">
        <w:rPr>
          <w:rFonts w:ascii="Arial" w:hAnsi="Arial" w:eastAsiaTheme="minorHAnsi" w:cs="Arial"/>
          <w:lang w:eastAsia="en-US"/>
        </w:rPr>
        <w:t xml:space="preserve">billion </w:t>
      </w:r>
      <w:r w:rsidRPr="00892E14">
        <w:rPr>
          <w:rFonts w:ascii="Arial" w:hAnsi="Arial" w:eastAsiaTheme="minorHAnsi" w:cs="Arial"/>
          <w:lang w:eastAsia="en-US"/>
        </w:rPr>
        <w:t>to fund the NHS’s recovery from the impact of Covid-19</w:t>
      </w:r>
      <w:r w:rsidRPr="00892E14">
        <w:rPr>
          <w:rFonts w:ascii="Arial" w:hAnsi="Arial" w:eastAsiaTheme="minorHAnsi" w:cs="Arial"/>
          <w:lang w:eastAsia="en-US"/>
        </w:rPr>
        <w:t xml:space="preserve">, to deal with both the continuing COVID-19 pressures and recover routine services affected by the pandemic. </w:t>
      </w:r>
    </w:p>
    <w:p w:rsidR="00892E14" w:rsidRPr="00892E14" w:rsidP="001F4DFB">
      <w:pPr>
        <w:pStyle w:val="ListParagraph"/>
        <w:numPr>
          <w:ilvl w:val="0"/>
          <w:numId w:val="11"/>
        </w:numPr>
        <w:contextualSpacing/>
        <w:jc w:val="both"/>
        <w:rPr>
          <w:rFonts w:ascii="Arial" w:hAnsi="Arial" w:eastAsiaTheme="minorHAnsi" w:cs="Arial"/>
          <w:lang w:eastAsia="en-US"/>
        </w:rPr>
      </w:pPr>
      <w:r w:rsidRPr="00892E14">
        <w:rPr>
          <w:rFonts w:ascii="Arial" w:hAnsi="Arial" w:eastAsiaTheme="minorHAnsi" w:cs="Arial"/>
          <w:lang w:eastAsia="en-US"/>
        </w:rPr>
        <w:t xml:space="preserve">£2.7 billion for Covid-19 Vaccine deployment including Covid certification; </w:t>
      </w:r>
    </w:p>
    <w:p w:rsidR="00892E14" w:rsidRPr="00892E14" w:rsidP="001F4DFB">
      <w:pPr>
        <w:pStyle w:val="ListParagraph"/>
        <w:numPr>
          <w:ilvl w:val="0"/>
          <w:numId w:val="11"/>
        </w:numPr>
        <w:contextualSpacing/>
        <w:jc w:val="both"/>
        <w:rPr>
          <w:rFonts w:ascii="Arial" w:hAnsi="Arial" w:eastAsiaTheme="minorHAnsi" w:cs="Arial"/>
          <w:lang w:eastAsia="en-US"/>
        </w:rPr>
      </w:pPr>
      <w:r w:rsidRPr="00892E14">
        <w:rPr>
          <w:rFonts w:ascii="Arial" w:hAnsi="Arial" w:eastAsiaTheme="minorHAnsi" w:cs="Arial"/>
          <w:lang w:eastAsia="en-US"/>
        </w:rPr>
        <w:t>£2.3 billion for the Covid-19 Vaccines Taskforce (VTF) to mainly cover the purchase of vaccines including booster doses, these score to the R</w:t>
      </w:r>
      <w:r w:rsidR="00E1478B">
        <w:rPr>
          <w:rFonts w:ascii="Arial" w:hAnsi="Arial" w:eastAsiaTheme="minorHAnsi" w:cs="Arial"/>
          <w:lang w:eastAsia="en-US"/>
        </w:rPr>
        <w:t>esource</w:t>
      </w:r>
      <w:r w:rsidRPr="00892E14">
        <w:rPr>
          <w:rFonts w:ascii="Arial" w:hAnsi="Arial" w:eastAsiaTheme="minorHAnsi" w:cs="Arial"/>
          <w:lang w:eastAsia="en-US"/>
        </w:rPr>
        <w:t xml:space="preserve"> DEL budget on consumption. The VTF funding includes a £695 million MOG transfer from BEIS</w:t>
      </w:r>
      <w:r w:rsidR="002B20CD">
        <w:rPr>
          <w:rFonts w:ascii="Arial" w:hAnsi="Arial" w:eastAsiaTheme="minorHAnsi" w:cs="Arial"/>
          <w:lang w:eastAsia="en-US"/>
        </w:rPr>
        <w:t>;</w:t>
      </w:r>
    </w:p>
    <w:p w:rsidR="00892E14" w:rsidRPr="00892E14" w:rsidP="001F4DFB">
      <w:pPr>
        <w:pStyle w:val="ListParagraph"/>
        <w:numPr>
          <w:ilvl w:val="0"/>
          <w:numId w:val="11"/>
        </w:numPr>
        <w:contextualSpacing/>
        <w:jc w:val="both"/>
        <w:rPr>
          <w:rFonts w:ascii="Arial" w:hAnsi="Arial" w:eastAsiaTheme="minorHAnsi" w:cs="Arial"/>
          <w:lang w:eastAsia="en-US"/>
        </w:rPr>
      </w:pPr>
      <w:r w:rsidRPr="00892E14">
        <w:rPr>
          <w:rFonts w:ascii="Arial" w:hAnsi="Arial" w:eastAsiaTheme="minorHAnsi" w:cs="Arial"/>
          <w:lang w:eastAsia="en-US"/>
        </w:rPr>
        <w:t>£2.4 billion for Personal Protective Equipment</w:t>
      </w:r>
      <w:r w:rsidR="002B20CD">
        <w:rPr>
          <w:rFonts w:ascii="Arial" w:hAnsi="Arial" w:eastAsiaTheme="minorHAnsi" w:cs="Arial"/>
          <w:lang w:eastAsia="en-US"/>
        </w:rPr>
        <w:t>;</w:t>
      </w:r>
      <w:r w:rsidRPr="00892E14">
        <w:rPr>
          <w:rFonts w:ascii="Arial" w:hAnsi="Arial" w:eastAsiaTheme="minorHAnsi" w:cs="Arial"/>
          <w:lang w:eastAsia="en-US"/>
        </w:rPr>
        <w:t xml:space="preserve"> </w:t>
      </w:r>
    </w:p>
    <w:p w:rsidR="00892E14" w:rsidRPr="00892E14" w:rsidP="001F4DFB">
      <w:pPr>
        <w:pStyle w:val="ListParagraph"/>
        <w:numPr>
          <w:ilvl w:val="0"/>
          <w:numId w:val="11"/>
        </w:numPr>
        <w:contextualSpacing/>
        <w:jc w:val="both"/>
        <w:rPr>
          <w:rFonts w:ascii="Arial" w:hAnsi="Arial" w:eastAsiaTheme="minorHAnsi" w:cs="Arial"/>
          <w:lang w:eastAsia="en-US"/>
        </w:rPr>
      </w:pPr>
      <w:r w:rsidRPr="00892E14">
        <w:rPr>
          <w:rFonts w:ascii="Arial" w:hAnsi="Arial" w:eastAsiaTheme="minorHAnsi" w:cs="Arial"/>
          <w:lang w:eastAsia="en-US"/>
        </w:rPr>
        <w:t>£1.1 billion for Covid grants</w:t>
      </w:r>
      <w:r w:rsidR="002B20CD">
        <w:rPr>
          <w:rFonts w:ascii="Arial" w:hAnsi="Arial" w:eastAsiaTheme="minorHAnsi" w:cs="Arial"/>
          <w:lang w:eastAsia="en-US"/>
        </w:rPr>
        <w:t>;</w:t>
      </w:r>
      <w:r w:rsidRPr="00892E14">
        <w:rPr>
          <w:rFonts w:ascii="Arial" w:hAnsi="Arial" w:eastAsiaTheme="minorHAnsi" w:cs="Arial"/>
          <w:lang w:eastAsia="en-US"/>
        </w:rPr>
        <w:t xml:space="preserve"> </w:t>
      </w:r>
    </w:p>
    <w:p w:rsidR="00892E14" w:rsidRPr="00892E14" w:rsidP="001F4DFB">
      <w:pPr>
        <w:pStyle w:val="ListParagraph"/>
        <w:numPr>
          <w:ilvl w:val="0"/>
          <w:numId w:val="11"/>
        </w:numPr>
        <w:contextualSpacing/>
        <w:jc w:val="both"/>
        <w:rPr>
          <w:rFonts w:ascii="Arial" w:hAnsi="Arial" w:eastAsiaTheme="minorHAnsi" w:cs="Arial"/>
          <w:lang w:eastAsia="en-US"/>
        </w:rPr>
      </w:pPr>
      <w:r w:rsidRPr="00892E14">
        <w:rPr>
          <w:rFonts w:ascii="Arial" w:hAnsi="Arial" w:eastAsiaTheme="minorHAnsi" w:cs="Arial"/>
          <w:lang w:eastAsia="en-US"/>
        </w:rPr>
        <w:t xml:space="preserve">£440 million for Covid-19 therapeutic treatments £440 </w:t>
      </w:r>
      <w:r w:rsidRPr="00892E14" w:rsidR="006B76F1">
        <w:rPr>
          <w:rFonts w:ascii="Arial" w:hAnsi="Arial" w:eastAsiaTheme="minorHAnsi" w:cs="Arial"/>
          <w:lang w:eastAsia="en-US"/>
        </w:rPr>
        <w:t>million</w:t>
      </w:r>
      <w:r w:rsidR="006B76F1">
        <w:rPr>
          <w:rFonts w:ascii="Arial" w:hAnsi="Arial" w:eastAsiaTheme="minorHAnsi" w:cs="Arial"/>
          <w:lang w:eastAsia="en-US"/>
        </w:rPr>
        <w:t>.</w:t>
      </w:r>
      <w:r w:rsidRPr="00892E14" w:rsidR="006B76F1">
        <w:rPr>
          <w:rFonts w:ascii="Arial" w:hAnsi="Arial" w:eastAsiaTheme="minorHAnsi" w:cs="Arial"/>
          <w:lang w:eastAsia="en-US"/>
        </w:rPr>
        <w:t xml:space="preserve"> This</w:t>
      </w:r>
      <w:r w:rsidRPr="00892E14">
        <w:rPr>
          <w:rFonts w:ascii="Arial" w:hAnsi="Arial" w:eastAsiaTheme="minorHAnsi" w:cs="Arial"/>
          <w:lang w:eastAsia="en-US"/>
        </w:rPr>
        <w:t xml:space="preserve"> funding covers costs related to the use of Covid-19 treatments such as antivirals. These treatments score to R</w:t>
      </w:r>
      <w:r w:rsidR="002B20CD">
        <w:rPr>
          <w:rFonts w:ascii="Arial" w:hAnsi="Arial" w:eastAsiaTheme="minorHAnsi" w:cs="Arial"/>
          <w:lang w:eastAsia="en-US"/>
        </w:rPr>
        <w:t xml:space="preserve">esource </w:t>
      </w:r>
      <w:r w:rsidRPr="00892E14">
        <w:rPr>
          <w:rFonts w:ascii="Arial" w:hAnsi="Arial" w:eastAsiaTheme="minorHAnsi" w:cs="Arial"/>
          <w:lang w:eastAsia="en-US"/>
        </w:rPr>
        <w:t xml:space="preserve">DEL on consumption. </w:t>
      </w:r>
    </w:p>
    <w:p w:rsidR="00892E14" w:rsidP="001F4DFB">
      <w:pPr>
        <w:pStyle w:val="ListParagraph"/>
        <w:numPr>
          <w:ilvl w:val="0"/>
          <w:numId w:val="11"/>
        </w:numPr>
        <w:contextualSpacing/>
        <w:jc w:val="both"/>
        <w:rPr>
          <w:rFonts w:ascii="Arial" w:hAnsi="Arial" w:eastAsiaTheme="minorHAnsi" w:cs="Arial"/>
          <w:lang w:eastAsia="en-US"/>
        </w:rPr>
      </w:pPr>
      <w:r w:rsidRPr="00892E14">
        <w:rPr>
          <w:rFonts w:ascii="Arial" w:hAnsi="Arial" w:eastAsiaTheme="minorHAnsi" w:cs="Arial"/>
          <w:lang w:eastAsia="en-US"/>
        </w:rPr>
        <w:t xml:space="preserve">£329 million for </w:t>
      </w:r>
      <w:r w:rsidR="002B20CD">
        <w:rPr>
          <w:rFonts w:ascii="Arial" w:hAnsi="Arial" w:eastAsiaTheme="minorHAnsi" w:cs="Arial"/>
          <w:lang w:eastAsia="en-US"/>
        </w:rPr>
        <w:t xml:space="preserve">the </w:t>
      </w:r>
      <w:r w:rsidRPr="00892E14">
        <w:rPr>
          <w:rFonts w:ascii="Arial" w:hAnsi="Arial" w:eastAsiaTheme="minorHAnsi" w:cs="Arial"/>
          <w:lang w:eastAsia="en-US"/>
        </w:rPr>
        <w:t>Managed Quarantine Service</w:t>
      </w:r>
      <w:r>
        <w:rPr>
          <w:rFonts w:ascii="Arial" w:hAnsi="Arial" w:eastAsiaTheme="minorHAnsi" w:cs="Arial"/>
          <w:lang w:eastAsia="en-US"/>
        </w:rPr>
        <w:t>; and</w:t>
      </w:r>
    </w:p>
    <w:p w:rsidR="00893FAD" w:rsidRPr="00892E14" w:rsidP="001F4DFB">
      <w:pPr>
        <w:pStyle w:val="ListParagraph"/>
        <w:numPr>
          <w:ilvl w:val="0"/>
          <w:numId w:val="11"/>
        </w:numPr>
        <w:contextualSpacing/>
        <w:jc w:val="both"/>
        <w:rPr>
          <w:rFonts w:ascii="Arial" w:hAnsi="Arial" w:eastAsiaTheme="minorHAnsi" w:cs="Arial"/>
          <w:lang w:eastAsia="en-US"/>
        </w:rPr>
      </w:pPr>
      <w:r w:rsidRPr="00892E14">
        <w:rPr>
          <w:rStyle w:val="normaltextrun1"/>
          <w:rFonts w:ascii="Arial" w:eastAsia="Times New Roman" w:hAnsi="Arial" w:cs="Arial"/>
          <w:bCs/>
          <w:lang w:val="en-US"/>
        </w:rPr>
        <w:t>£150 million other Covid-19 £150m, for ventilators</w:t>
      </w:r>
      <w:r w:rsidRPr="00892E14">
        <w:rPr>
          <w:rStyle w:val="normaltextrun1"/>
          <w:rFonts w:ascii="Arial" w:eastAsia="Times New Roman" w:hAnsi="Arial" w:cs="Arial"/>
          <w:lang w:val="en-US"/>
        </w:rPr>
        <w:t xml:space="preserve"> and critical care items. </w:t>
      </w:r>
      <w:r w:rsidRPr="00892E14">
        <w:rPr>
          <w:rStyle w:val="normaltextrun1"/>
          <w:rFonts w:ascii="Arial" w:eastAsia="Times New Roman" w:hAnsi="Arial" w:cs="Arial"/>
          <w:b/>
          <w:lang w:val="en-US"/>
        </w:rPr>
        <w:t xml:space="preserve"> </w:t>
      </w:r>
      <w:r w:rsidRPr="00892E14">
        <w:rPr>
          <w:rFonts w:ascii="Arial" w:hAnsi="Arial" w:eastAsiaTheme="minorHAnsi" w:cs="Arial"/>
          <w:lang w:eastAsia="en-US"/>
        </w:rPr>
        <w:t xml:space="preserve"> </w:t>
      </w:r>
    </w:p>
    <w:p w:rsidR="00892E14" w:rsidP="00893FAD">
      <w:pPr>
        <w:ind w:left="924"/>
        <w:contextualSpacing/>
        <w:rPr>
          <w:rFonts w:eastAsiaTheme="minorHAnsi" w:cs="Arial"/>
          <w:sz w:val="22"/>
          <w:szCs w:val="22"/>
          <w:lang w:eastAsia="en-US"/>
        </w:rPr>
      </w:pPr>
    </w:p>
    <w:p w:rsidR="00DB44A4" w:rsidP="00893FAD">
      <w:pPr>
        <w:ind w:left="924"/>
        <w:contextualSpacing/>
        <w:rPr>
          <w:rFonts w:eastAsiaTheme="minorHAnsi" w:cs="Arial"/>
          <w:sz w:val="22"/>
          <w:szCs w:val="22"/>
          <w:lang w:eastAsia="en-US"/>
        </w:rPr>
      </w:pPr>
    </w:p>
    <w:p w:rsidR="00672441" w:rsidRPr="00DB44A4" w:rsidP="00893FAD">
      <w:pPr>
        <w:ind w:left="924"/>
        <w:contextualSpacing/>
        <w:rPr>
          <w:rFonts w:eastAsiaTheme="minorHAnsi" w:cs="Arial"/>
          <w:color w:val="FF0000"/>
          <w:sz w:val="22"/>
          <w:szCs w:val="22"/>
          <w:lang w:eastAsia="en-US"/>
        </w:rPr>
      </w:pPr>
      <w:r w:rsidRPr="00DB44A4">
        <w:rPr>
          <w:rFonts w:eastAsiaTheme="minorHAnsi" w:cs="Arial"/>
          <w:b/>
          <w:bCs/>
          <w:sz w:val="22"/>
          <w:szCs w:val="22"/>
          <w:lang w:eastAsia="en-US"/>
        </w:rPr>
        <w:t>Spending Review 2021</w:t>
      </w:r>
    </w:p>
    <w:p w:rsidR="00893FAD" w:rsidRPr="00DB44A4" w:rsidP="00893FAD">
      <w:pPr>
        <w:ind w:left="924"/>
        <w:contextualSpacing/>
        <w:rPr>
          <w:rFonts w:eastAsiaTheme="minorHAnsi" w:cs="Arial"/>
          <w:sz w:val="22"/>
          <w:szCs w:val="22"/>
          <w:lang w:eastAsia="en-US"/>
        </w:rPr>
      </w:pPr>
      <w:r w:rsidRPr="00DB44A4">
        <w:rPr>
          <w:rFonts w:eastAsiaTheme="minorHAnsi" w:cs="Arial"/>
          <w:sz w:val="22"/>
          <w:szCs w:val="22"/>
          <w:lang w:eastAsia="en-US"/>
        </w:rPr>
        <w:t>The DHSC Spending Review 2021 settlement include</w:t>
      </w:r>
      <w:r w:rsidRPr="00DB44A4" w:rsidR="00892E14">
        <w:rPr>
          <w:rFonts w:eastAsiaTheme="minorHAnsi" w:cs="Arial"/>
          <w:sz w:val="22"/>
          <w:szCs w:val="22"/>
          <w:lang w:eastAsia="en-US"/>
        </w:rPr>
        <w:t>d</w:t>
      </w:r>
      <w:r w:rsidRPr="00DB44A4">
        <w:rPr>
          <w:rFonts w:eastAsiaTheme="minorHAnsi" w:cs="Arial"/>
          <w:sz w:val="22"/>
          <w:szCs w:val="22"/>
          <w:lang w:eastAsia="en-US"/>
        </w:rPr>
        <w:t xml:space="preserve"> £167.9 billion re</w:t>
      </w:r>
      <w:r w:rsidR="003B4A62">
        <w:rPr>
          <w:rFonts w:eastAsiaTheme="minorHAnsi" w:cs="Arial"/>
          <w:sz w:val="22"/>
          <w:szCs w:val="22"/>
          <w:lang w:eastAsia="en-US"/>
        </w:rPr>
        <w:t>source</w:t>
      </w:r>
      <w:r w:rsidRPr="00DB44A4">
        <w:rPr>
          <w:rFonts w:eastAsiaTheme="minorHAnsi" w:cs="Arial"/>
          <w:sz w:val="22"/>
          <w:szCs w:val="22"/>
          <w:lang w:eastAsia="en-US"/>
        </w:rPr>
        <w:t xml:space="preserve"> funding for 2022-23, £173.4 billion in 2023-24 and £177.4 billion in 2024-25. This provide</w:t>
      </w:r>
      <w:r w:rsidRPr="00DB44A4" w:rsidR="00E94352">
        <w:rPr>
          <w:rFonts w:eastAsiaTheme="minorHAnsi" w:cs="Arial"/>
          <w:sz w:val="22"/>
          <w:szCs w:val="22"/>
          <w:lang w:eastAsia="en-US"/>
        </w:rPr>
        <w:t>d</w:t>
      </w:r>
      <w:r w:rsidRPr="00DB44A4">
        <w:rPr>
          <w:rFonts w:eastAsiaTheme="minorHAnsi" w:cs="Arial"/>
          <w:sz w:val="22"/>
          <w:szCs w:val="22"/>
          <w:lang w:eastAsia="en-US"/>
        </w:rPr>
        <w:t xml:space="preserve"> a £43.9 billion cash increase in resource spending from </w:t>
      </w:r>
      <w:r w:rsidR="00D62D71">
        <w:rPr>
          <w:rFonts w:eastAsiaTheme="minorHAnsi" w:cs="Arial"/>
          <w:sz w:val="22"/>
          <w:szCs w:val="22"/>
          <w:lang w:eastAsia="en-US"/>
        </w:rPr>
        <w:t>20</w:t>
      </w:r>
      <w:r w:rsidR="00926622">
        <w:rPr>
          <w:rFonts w:eastAsiaTheme="minorHAnsi" w:cs="Arial"/>
          <w:sz w:val="22"/>
          <w:szCs w:val="22"/>
          <w:lang w:eastAsia="en-US"/>
        </w:rPr>
        <w:t>1</w:t>
      </w:r>
      <w:r w:rsidR="00D62D71">
        <w:rPr>
          <w:rFonts w:eastAsiaTheme="minorHAnsi" w:cs="Arial"/>
          <w:sz w:val="22"/>
          <w:szCs w:val="22"/>
          <w:lang w:eastAsia="en-US"/>
        </w:rPr>
        <w:t>9-</w:t>
      </w:r>
      <w:r w:rsidRPr="00DB44A4">
        <w:rPr>
          <w:rFonts w:eastAsiaTheme="minorHAnsi" w:cs="Arial"/>
          <w:sz w:val="22"/>
          <w:szCs w:val="22"/>
          <w:lang w:eastAsia="en-US"/>
        </w:rPr>
        <w:t>2</w:t>
      </w:r>
      <w:r w:rsidR="00D62D71">
        <w:rPr>
          <w:rFonts w:eastAsiaTheme="minorHAnsi" w:cs="Arial"/>
          <w:sz w:val="22"/>
          <w:szCs w:val="22"/>
          <w:lang w:eastAsia="en-US"/>
        </w:rPr>
        <w:t>0</w:t>
      </w:r>
      <w:r w:rsidRPr="00DB44A4">
        <w:rPr>
          <w:rFonts w:eastAsiaTheme="minorHAnsi" w:cs="Arial"/>
          <w:sz w:val="22"/>
          <w:szCs w:val="22"/>
          <w:lang w:eastAsia="en-US"/>
        </w:rPr>
        <w:t>.</w:t>
      </w:r>
    </w:p>
    <w:p w:rsidR="00893FAD" w:rsidRPr="00DB44A4" w:rsidP="00893FAD">
      <w:pPr>
        <w:ind w:left="924"/>
        <w:contextualSpacing/>
        <w:rPr>
          <w:rFonts w:eastAsiaTheme="minorHAnsi" w:cs="Arial"/>
          <w:sz w:val="22"/>
          <w:szCs w:val="22"/>
          <w:lang w:eastAsia="en-US"/>
        </w:rPr>
      </w:pPr>
    </w:p>
    <w:p w:rsidR="004F64C1" w:rsidP="004F64C1">
      <w:pPr>
        <w:ind w:left="924"/>
        <w:contextualSpacing/>
        <w:rPr>
          <w:rFonts w:eastAsiaTheme="minorHAnsi" w:cs="Arial"/>
          <w:sz w:val="22"/>
          <w:szCs w:val="22"/>
          <w:lang w:eastAsia="en-US"/>
        </w:rPr>
      </w:pPr>
      <w:r w:rsidRPr="00DB44A4">
        <w:rPr>
          <w:rFonts w:eastAsiaTheme="minorHAnsi" w:cs="Arial"/>
          <w:sz w:val="22"/>
          <w:szCs w:val="22"/>
          <w:lang w:eastAsia="en-US"/>
        </w:rPr>
        <w:t xml:space="preserve">The government remains committed to providing our health and care services with the future resources they need to tackle Covid-19 and the elective backlog. </w:t>
      </w:r>
      <w:r w:rsidRPr="00DB44A4" w:rsidR="00672441">
        <w:rPr>
          <w:rFonts w:eastAsiaTheme="minorHAnsi" w:cs="Arial"/>
          <w:sz w:val="22"/>
          <w:szCs w:val="22"/>
          <w:lang w:eastAsia="en-US"/>
        </w:rPr>
        <w:t xml:space="preserve">SR21 provided </w:t>
      </w:r>
      <w:r w:rsidRPr="00DB44A4">
        <w:rPr>
          <w:rFonts w:eastAsiaTheme="minorHAnsi" w:cs="Arial"/>
          <w:sz w:val="22"/>
          <w:szCs w:val="22"/>
          <w:lang w:eastAsia="en-US"/>
        </w:rPr>
        <w:t>£9.6 billion over the period</w:t>
      </w:r>
      <w:r w:rsidRPr="00DB44A4" w:rsidR="00BA3F59">
        <w:rPr>
          <w:rFonts w:eastAsiaTheme="minorHAnsi" w:cs="Arial"/>
          <w:sz w:val="22"/>
          <w:szCs w:val="22"/>
          <w:lang w:eastAsia="en-US"/>
        </w:rPr>
        <w:t xml:space="preserve"> 2022-23 to 2024-25 </w:t>
      </w:r>
      <w:r w:rsidRPr="00DB44A4">
        <w:rPr>
          <w:rFonts w:eastAsiaTheme="minorHAnsi" w:cs="Arial"/>
          <w:sz w:val="22"/>
          <w:szCs w:val="22"/>
          <w:lang w:eastAsia="en-US"/>
        </w:rPr>
        <w:t xml:space="preserve">for key Covid-19 programmes and related health spending, £5.4 billion for social care outcomes through an affordable, high-quality and sustainable adult social care system and set out plans to spend over £8 billion </w:t>
      </w:r>
      <w:r w:rsidRPr="00DB44A4" w:rsidR="0021115C">
        <w:rPr>
          <w:rFonts w:eastAsiaTheme="minorHAnsi" w:cs="Arial"/>
          <w:sz w:val="22"/>
          <w:szCs w:val="22"/>
          <w:lang w:eastAsia="en-US"/>
        </w:rPr>
        <w:t xml:space="preserve">during </w:t>
      </w:r>
      <w:r w:rsidRPr="00DB44A4">
        <w:rPr>
          <w:rFonts w:eastAsiaTheme="minorHAnsi" w:cs="Arial"/>
          <w:sz w:val="22"/>
          <w:szCs w:val="22"/>
          <w:lang w:eastAsia="en-US"/>
        </w:rPr>
        <w:t xml:space="preserve">the same period for the elective backlog. This will be </w:t>
      </w:r>
      <w:r w:rsidRPr="00DB44A4" w:rsidR="001B4CC9">
        <w:rPr>
          <w:rFonts w:eastAsiaTheme="minorHAnsi" w:cs="Arial"/>
          <w:sz w:val="22"/>
          <w:szCs w:val="22"/>
          <w:lang w:eastAsia="en-US"/>
        </w:rPr>
        <w:t>backed</w:t>
      </w:r>
      <w:r w:rsidRPr="00DB44A4">
        <w:rPr>
          <w:rFonts w:eastAsiaTheme="minorHAnsi" w:cs="Arial"/>
          <w:sz w:val="22"/>
          <w:szCs w:val="22"/>
          <w:lang w:eastAsia="en-US"/>
        </w:rPr>
        <w:t xml:space="preserve"> by the new Health and Social Care Levy.</w:t>
      </w:r>
    </w:p>
    <w:p w:rsidR="00B72690" w:rsidP="004F64C1">
      <w:pPr>
        <w:ind w:left="924"/>
        <w:contextualSpacing/>
        <w:rPr>
          <w:rFonts w:eastAsiaTheme="minorHAnsi" w:cs="Arial"/>
          <w:sz w:val="22"/>
          <w:szCs w:val="22"/>
          <w:lang w:eastAsia="en-US"/>
        </w:rPr>
      </w:pPr>
    </w:p>
    <w:p w:rsidR="00B72690" w:rsidP="004F64C1">
      <w:pPr>
        <w:ind w:left="924"/>
        <w:contextualSpacing/>
        <w:rPr>
          <w:rFonts w:eastAsiaTheme="minorHAnsi" w:cs="Arial"/>
          <w:sz w:val="22"/>
          <w:szCs w:val="22"/>
          <w:lang w:eastAsia="en-US"/>
        </w:rPr>
      </w:pPr>
    </w:p>
    <w:p w:rsidR="004F64C1" w:rsidP="004F64C1">
      <w:pPr>
        <w:ind w:left="924"/>
        <w:contextualSpacing/>
        <w:rPr>
          <w:rFonts w:eastAsiaTheme="minorHAnsi" w:cs="Arial"/>
          <w:sz w:val="22"/>
          <w:szCs w:val="22"/>
          <w:lang w:eastAsia="en-US"/>
        </w:rPr>
      </w:pPr>
    </w:p>
    <w:p w:rsidR="004F64C1" w:rsidRPr="00565172" w:rsidP="001F4DFB">
      <w:pPr>
        <w:numPr>
          <w:ilvl w:val="0"/>
          <w:numId w:val="7"/>
        </w:numPr>
        <w:spacing w:after="120" w:line="276" w:lineRule="auto"/>
        <w:ind w:left="924" w:hanging="357"/>
        <w:rPr>
          <w:rFonts w:eastAsia="Calibri" w:cs="Arial"/>
          <w:sz w:val="22"/>
          <w:szCs w:val="22"/>
          <w:u w:val="single"/>
        </w:rPr>
      </w:pPr>
      <w:r w:rsidRPr="00565172">
        <w:rPr>
          <w:rFonts w:eastAsia="Calibri" w:cs="Arial"/>
          <w:sz w:val="22"/>
          <w:szCs w:val="22"/>
          <w:u w:val="single"/>
        </w:rPr>
        <w:t>Capital DEL</w:t>
      </w:r>
      <w:r>
        <w:rPr>
          <w:rFonts w:eastAsia="Calibri" w:cs="Arial"/>
          <w:sz w:val="22"/>
          <w:szCs w:val="22"/>
          <w:u w:val="single"/>
        </w:rPr>
        <w:t xml:space="preserve"> </w:t>
      </w:r>
    </w:p>
    <w:p w:rsidR="004F64C1" w:rsidRPr="00565172" w:rsidP="004F64C1">
      <w:pPr>
        <w:spacing w:after="120" w:line="276" w:lineRule="auto"/>
        <w:ind w:left="924"/>
        <w:rPr>
          <w:rFonts w:eastAsia="Calibri" w:cs="Arial"/>
          <w:sz w:val="22"/>
          <w:szCs w:val="22"/>
          <w:u w:val="single"/>
        </w:rPr>
      </w:pPr>
      <w:r>
        <w:rPr>
          <w:rFonts w:eastAsia="Calibri" w:cs="Arial"/>
          <w:noProof/>
          <w:sz w:val="22"/>
          <w:szCs w:val="22"/>
          <w:u w:val="single"/>
        </w:rPr>
        <w:drawing>
          <wp:inline distT="0" distB="0" distL="0" distR="0">
            <wp:extent cx="6285230" cy="2529840"/>
            <wp:effectExtent l="0" t="0" r="1270" b="381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xmlns:r="http://schemas.openxmlformats.org/officeDocument/2006/relationships" r:embed="rId14">
                      <a:extLst>
                        <a:ext uri="{28A0092B-C50C-407E-A947-70E740481C1C}">
                          <a14:useLocalDpi xmlns:a14="http://schemas.microsoft.com/office/drawing/2010/main" val="0"/>
                        </a:ext>
                      </a:extLst>
                    </a:blip>
                    <a:srcRect/>
                    <a:stretch>
                      <a:fillRect/>
                    </a:stretch>
                  </pic:blipFill>
                  <pic:spPr bwMode="auto">
                    <a:xfrm>
                      <a:off x="0" y="0"/>
                      <a:ext cx="6285230" cy="2529840"/>
                    </a:xfrm>
                    <a:prstGeom prst="rect">
                      <a:avLst/>
                    </a:prstGeom>
                    <a:noFill/>
                  </pic:spPr>
                </pic:pic>
              </a:graphicData>
            </a:graphic>
          </wp:inline>
        </w:drawing>
      </w:r>
    </w:p>
    <w:p w:rsidR="004F64C1" w:rsidRPr="00F5258B" w:rsidP="004F64C1">
      <w:pPr>
        <w:ind w:left="924"/>
        <w:contextualSpacing/>
        <w:jc w:val="both"/>
        <w:rPr>
          <w:rFonts w:eastAsia="Calibri" w:cs="Arial"/>
          <w:i/>
          <w:iCs/>
          <w:sz w:val="20"/>
          <w:szCs w:val="20"/>
        </w:rPr>
      </w:pPr>
      <w:r w:rsidRPr="00F5258B">
        <w:rPr>
          <w:rFonts w:eastAsia="Calibri" w:cs="Arial"/>
          <w:i/>
          <w:iCs/>
          <w:sz w:val="20"/>
          <w:szCs w:val="20"/>
        </w:rPr>
        <w:t xml:space="preserve">Please note, </w:t>
      </w:r>
      <w:r w:rsidRPr="00F5258B" w:rsidR="00A85FD2">
        <w:rPr>
          <w:rFonts w:eastAsia="Calibri" w:cs="Arial"/>
          <w:i/>
          <w:iCs/>
          <w:sz w:val="20"/>
          <w:szCs w:val="20"/>
        </w:rPr>
        <w:t xml:space="preserve">funding for IFRS16 (see paragraph </w:t>
      </w:r>
      <w:r w:rsidRPr="00F5258B" w:rsidR="0013186E">
        <w:rPr>
          <w:rFonts w:eastAsia="Calibri" w:cs="Arial"/>
          <w:i/>
          <w:iCs/>
          <w:sz w:val="20"/>
          <w:szCs w:val="20"/>
        </w:rPr>
        <w:t>1.8</w:t>
      </w:r>
      <w:r w:rsidRPr="00F5258B" w:rsidR="00A85FD2">
        <w:rPr>
          <w:rFonts w:eastAsia="Calibri" w:cs="Arial"/>
          <w:i/>
          <w:iCs/>
          <w:sz w:val="20"/>
          <w:szCs w:val="20"/>
        </w:rPr>
        <w:t xml:space="preserve">) has not been included in </w:t>
      </w:r>
      <w:r w:rsidRPr="00F5258B" w:rsidR="0013186E">
        <w:rPr>
          <w:rFonts w:eastAsia="Calibri" w:cs="Arial"/>
          <w:i/>
          <w:iCs/>
          <w:sz w:val="20"/>
          <w:szCs w:val="20"/>
        </w:rPr>
        <w:t>2023-24 and 2024-25</w:t>
      </w:r>
    </w:p>
    <w:p w:rsidR="007E1F36" w:rsidP="004F64C1">
      <w:pPr>
        <w:ind w:left="924"/>
        <w:contextualSpacing/>
        <w:jc w:val="both"/>
        <w:rPr>
          <w:rFonts w:eastAsia="Calibri" w:cs="Arial"/>
          <w:sz w:val="22"/>
          <w:szCs w:val="22"/>
        </w:rPr>
      </w:pPr>
    </w:p>
    <w:p w:rsidR="00AB4C1D" w:rsidRPr="00AB4C1D" w:rsidP="00AB4C1D">
      <w:pPr>
        <w:ind w:left="924"/>
        <w:contextualSpacing/>
        <w:jc w:val="both"/>
        <w:rPr>
          <w:rFonts w:eastAsia="Calibri" w:cs="Arial"/>
          <w:b/>
          <w:bCs/>
          <w:sz w:val="22"/>
          <w:szCs w:val="22"/>
        </w:rPr>
      </w:pPr>
      <w:r w:rsidRPr="00AB4C1D">
        <w:rPr>
          <w:rFonts w:eastAsia="Calibri" w:cs="Arial"/>
          <w:b/>
          <w:bCs/>
          <w:sz w:val="22"/>
          <w:szCs w:val="22"/>
        </w:rPr>
        <w:t>Spending R</w:t>
      </w:r>
      <w:r w:rsidR="00AB17FE">
        <w:rPr>
          <w:rFonts w:eastAsia="Calibri" w:cs="Arial"/>
          <w:b/>
          <w:bCs/>
          <w:sz w:val="22"/>
          <w:szCs w:val="22"/>
        </w:rPr>
        <w:t>eview</w:t>
      </w:r>
      <w:r w:rsidRPr="00AB4C1D">
        <w:rPr>
          <w:rFonts w:eastAsia="Calibri" w:cs="Arial"/>
          <w:b/>
          <w:bCs/>
          <w:sz w:val="22"/>
          <w:szCs w:val="22"/>
        </w:rPr>
        <w:t xml:space="preserve"> 2020</w:t>
      </w:r>
    </w:p>
    <w:p w:rsidR="00AB4C1D" w:rsidRPr="0056486E" w:rsidP="00AB4C1D">
      <w:pPr>
        <w:ind w:left="924"/>
        <w:contextualSpacing/>
        <w:jc w:val="both"/>
        <w:rPr>
          <w:rFonts w:eastAsia="Calibri" w:cs="Arial"/>
          <w:sz w:val="22"/>
          <w:szCs w:val="22"/>
        </w:rPr>
      </w:pPr>
      <w:r w:rsidRPr="0056486E">
        <w:rPr>
          <w:rFonts w:eastAsia="Calibri" w:cs="Arial"/>
          <w:sz w:val="22"/>
          <w:szCs w:val="22"/>
        </w:rPr>
        <w:t>Spending Review 2020 provided multi-year ring-fenced capital investment funding commitments of £3.7 billion until 2024-25 to make progress on building 40 new hospitals by 2030 and £1.7 billion until 2024-25 for over 70 hospital upgrades to improve health infrastructure across the country over the long term. These projects will span the length and breadth of England, supporting the government’s levelling up agenda.</w:t>
      </w:r>
    </w:p>
    <w:p w:rsidR="00AB4C1D" w:rsidRPr="00F85104" w:rsidP="00AB4C1D">
      <w:pPr>
        <w:contextualSpacing/>
        <w:jc w:val="both"/>
        <w:rPr>
          <w:rFonts w:eastAsia="Calibri" w:cs="Arial"/>
          <w:sz w:val="22"/>
          <w:szCs w:val="22"/>
        </w:rPr>
      </w:pPr>
    </w:p>
    <w:p w:rsidR="00AB4C1D" w:rsidRPr="00AB4C1D" w:rsidP="00AB4C1D">
      <w:pPr>
        <w:ind w:left="924"/>
        <w:contextualSpacing/>
        <w:rPr>
          <w:rFonts w:eastAsiaTheme="minorHAnsi" w:cs="Arial"/>
          <w:b/>
          <w:bCs/>
          <w:sz w:val="22"/>
          <w:szCs w:val="22"/>
          <w:lang w:eastAsia="en-US"/>
        </w:rPr>
      </w:pPr>
      <w:r w:rsidRPr="00AB4C1D">
        <w:rPr>
          <w:rFonts w:eastAsiaTheme="minorHAnsi" w:cs="Arial"/>
          <w:b/>
          <w:bCs/>
          <w:sz w:val="22"/>
          <w:szCs w:val="22"/>
          <w:lang w:eastAsia="en-US"/>
        </w:rPr>
        <w:t>2020-21</w:t>
      </w:r>
    </w:p>
    <w:p w:rsidR="00AB4C1D" w:rsidP="00AB4C1D">
      <w:pPr>
        <w:ind w:left="924"/>
        <w:contextualSpacing/>
        <w:rPr>
          <w:rFonts w:eastAsiaTheme="minorHAnsi" w:cs="Arial"/>
          <w:sz w:val="22"/>
          <w:szCs w:val="22"/>
          <w:lang w:eastAsia="en-US"/>
        </w:rPr>
      </w:pPr>
      <w:r w:rsidRPr="008101E9">
        <w:rPr>
          <w:rFonts w:eastAsiaTheme="minorHAnsi" w:cs="Arial"/>
          <w:sz w:val="22"/>
          <w:szCs w:val="22"/>
          <w:lang w:eastAsia="en-US"/>
        </w:rPr>
        <w:t xml:space="preserve">In 2020-21, DHSC </w:t>
      </w:r>
      <w:r w:rsidR="00696622">
        <w:rPr>
          <w:rFonts w:eastAsiaTheme="minorHAnsi" w:cs="Arial"/>
          <w:sz w:val="22"/>
          <w:szCs w:val="22"/>
          <w:lang w:eastAsia="en-US"/>
        </w:rPr>
        <w:t xml:space="preserve">incurred </w:t>
      </w:r>
      <w:r w:rsidRPr="008101E9">
        <w:rPr>
          <w:rFonts w:eastAsiaTheme="minorHAnsi" w:cs="Arial"/>
          <w:sz w:val="22"/>
          <w:szCs w:val="22"/>
          <w:lang w:eastAsia="en-US"/>
        </w:rPr>
        <w:t>£</w:t>
      </w:r>
      <w:r w:rsidR="00092691">
        <w:rPr>
          <w:rFonts w:eastAsiaTheme="minorHAnsi" w:cs="Arial"/>
          <w:sz w:val="22"/>
          <w:szCs w:val="22"/>
          <w:lang w:eastAsia="en-US"/>
        </w:rPr>
        <w:t>3.6</w:t>
      </w:r>
      <w:r w:rsidRPr="008101E9">
        <w:rPr>
          <w:rFonts w:eastAsiaTheme="minorHAnsi" w:cs="Arial"/>
          <w:sz w:val="22"/>
          <w:szCs w:val="22"/>
          <w:lang w:eastAsia="en-US"/>
        </w:rPr>
        <w:t xml:space="preserve"> billion </w:t>
      </w:r>
      <w:r>
        <w:rPr>
          <w:rFonts w:eastAsiaTheme="minorHAnsi" w:cs="Arial"/>
          <w:sz w:val="22"/>
          <w:szCs w:val="22"/>
          <w:lang w:eastAsia="en-US"/>
        </w:rPr>
        <w:t xml:space="preserve">capital </w:t>
      </w:r>
      <w:r w:rsidR="00696622">
        <w:rPr>
          <w:rFonts w:eastAsiaTheme="minorHAnsi" w:cs="Arial"/>
          <w:sz w:val="22"/>
          <w:szCs w:val="22"/>
          <w:lang w:eastAsia="en-US"/>
        </w:rPr>
        <w:t>expenditure on</w:t>
      </w:r>
      <w:r w:rsidRPr="008101E9">
        <w:rPr>
          <w:rFonts w:eastAsiaTheme="minorHAnsi" w:cs="Arial"/>
          <w:sz w:val="22"/>
          <w:szCs w:val="22"/>
          <w:lang w:eastAsia="en-US"/>
        </w:rPr>
        <w:t xml:space="preserve"> the emergency response to Covid-19</w:t>
      </w:r>
      <w:r>
        <w:rPr>
          <w:rFonts w:eastAsiaTheme="minorHAnsi" w:cs="Arial"/>
          <w:sz w:val="22"/>
          <w:szCs w:val="22"/>
          <w:lang w:eastAsia="en-US"/>
        </w:rPr>
        <w:t xml:space="preserve">. Details of the </w:t>
      </w:r>
      <w:r w:rsidR="00696622">
        <w:rPr>
          <w:rFonts w:eastAsiaTheme="minorHAnsi" w:cs="Arial"/>
          <w:sz w:val="22"/>
          <w:szCs w:val="22"/>
          <w:lang w:eastAsia="en-US"/>
        </w:rPr>
        <w:t>Covid-19 programme this was incurred on are</w:t>
      </w:r>
      <w:r>
        <w:rPr>
          <w:rFonts w:eastAsiaTheme="minorHAnsi" w:cs="Arial"/>
          <w:sz w:val="22"/>
          <w:szCs w:val="22"/>
          <w:lang w:eastAsia="en-US"/>
        </w:rPr>
        <w:t xml:space="preserve"> detailed in the </w:t>
      </w:r>
      <w:r>
        <w:fldChar w:fldCharType="begin"/>
      </w:r>
      <w:r>
        <w:instrText xml:space="preserve"> HYPERLINK "https://assets.publishing.service.gov.uk/government/uploads/system/uploads/attachment_data/file/1052421/dhsc-annual-report-and-accounts-2020-2021-web-accessible..pdf" </w:instrText>
      </w:r>
      <w:r>
        <w:fldChar w:fldCharType="separate"/>
      </w:r>
      <w:r w:rsidRPr="00861391">
        <w:rPr>
          <w:rStyle w:val="Hyperlink"/>
          <w:rFonts w:eastAsiaTheme="minorHAnsi" w:cs="Arial"/>
          <w:sz w:val="22"/>
          <w:szCs w:val="22"/>
          <w:lang w:eastAsia="en-US"/>
        </w:rPr>
        <w:t>2020-21 Annual Report and Account.</w:t>
      </w:r>
      <w:r>
        <w:fldChar w:fldCharType="end"/>
      </w:r>
      <w:r w:rsidRPr="008101E9">
        <w:rPr>
          <w:rFonts w:eastAsiaTheme="minorHAnsi" w:cs="Arial"/>
          <w:sz w:val="22"/>
          <w:szCs w:val="22"/>
          <w:lang w:eastAsia="en-US"/>
        </w:rPr>
        <w:t xml:space="preserve"> </w:t>
      </w:r>
    </w:p>
    <w:p w:rsidR="00AB4C1D" w:rsidP="00AB4C1D">
      <w:pPr>
        <w:ind w:left="924"/>
        <w:contextualSpacing/>
        <w:jc w:val="both"/>
        <w:rPr>
          <w:rFonts w:eastAsia="Calibri" w:cs="Arial"/>
          <w:sz w:val="22"/>
          <w:szCs w:val="22"/>
        </w:rPr>
      </w:pPr>
    </w:p>
    <w:p w:rsidR="00AB4C1D" w:rsidRPr="00AB4C1D" w:rsidP="00AB4C1D">
      <w:pPr>
        <w:ind w:left="924"/>
        <w:contextualSpacing/>
        <w:jc w:val="both"/>
        <w:rPr>
          <w:rFonts w:eastAsia="Calibri" w:cs="Arial"/>
          <w:b/>
          <w:bCs/>
          <w:sz w:val="22"/>
          <w:szCs w:val="22"/>
        </w:rPr>
      </w:pPr>
      <w:r w:rsidRPr="00AB4C1D">
        <w:rPr>
          <w:rFonts w:eastAsia="Calibri" w:cs="Arial"/>
          <w:b/>
          <w:bCs/>
          <w:sz w:val="22"/>
          <w:szCs w:val="22"/>
        </w:rPr>
        <w:t>2021-22</w:t>
      </w:r>
    </w:p>
    <w:p w:rsidR="00E97157" w:rsidP="00E97157">
      <w:pPr>
        <w:ind w:left="924"/>
        <w:contextualSpacing/>
        <w:rPr>
          <w:rFonts w:eastAsiaTheme="minorHAnsi" w:cs="Arial"/>
          <w:sz w:val="22"/>
          <w:szCs w:val="22"/>
          <w:lang w:eastAsia="en-US"/>
        </w:rPr>
      </w:pPr>
      <w:r>
        <w:rPr>
          <w:rFonts w:eastAsiaTheme="minorHAnsi" w:cs="Arial"/>
          <w:sz w:val="22"/>
          <w:szCs w:val="22"/>
          <w:lang w:eastAsia="en-US"/>
        </w:rPr>
        <w:t>The 2021-22 Supplementary Supply Estimate (SSE) budget was based on funding announced in the 2020 Spending R</w:t>
      </w:r>
      <w:r w:rsidR="00AB17FE">
        <w:rPr>
          <w:rFonts w:eastAsiaTheme="minorHAnsi" w:cs="Arial"/>
          <w:sz w:val="22"/>
          <w:szCs w:val="22"/>
          <w:lang w:eastAsia="en-US"/>
        </w:rPr>
        <w:t>eview</w:t>
      </w:r>
      <w:r>
        <w:rPr>
          <w:rFonts w:eastAsiaTheme="minorHAnsi" w:cs="Arial"/>
          <w:sz w:val="22"/>
          <w:szCs w:val="22"/>
          <w:lang w:eastAsia="en-US"/>
        </w:rPr>
        <w:t>, the additional funding announced in the 2021 Spring Budget and the additional funding agreed in the SSE. This included</w:t>
      </w:r>
      <w:r w:rsidRPr="00641AA9">
        <w:rPr>
          <w:rFonts w:eastAsiaTheme="minorHAnsi" w:cs="Arial"/>
          <w:sz w:val="22"/>
          <w:szCs w:val="22"/>
          <w:lang w:eastAsia="en-US"/>
        </w:rPr>
        <w:t xml:space="preserve"> </w:t>
      </w:r>
      <w:r w:rsidRPr="00892E14">
        <w:rPr>
          <w:rFonts w:eastAsiaTheme="minorHAnsi" w:cs="Arial"/>
          <w:b/>
          <w:bCs/>
          <w:sz w:val="22"/>
          <w:szCs w:val="22"/>
          <w:lang w:eastAsia="en-US"/>
        </w:rPr>
        <w:t>Covid-19 funding of £</w:t>
      </w:r>
      <w:r w:rsidR="008B2C7E">
        <w:rPr>
          <w:rFonts w:eastAsiaTheme="minorHAnsi" w:cs="Arial"/>
          <w:b/>
          <w:bCs/>
          <w:sz w:val="22"/>
          <w:szCs w:val="22"/>
          <w:lang w:eastAsia="en-US"/>
        </w:rPr>
        <w:t>1.2</w:t>
      </w:r>
      <w:r w:rsidRPr="00892E14">
        <w:rPr>
          <w:rFonts w:eastAsiaTheme="minorHAnsi" w:cs="Arial"/>
          <w:b/>
          <w:bCs/>
          <w:sz w:val="22"/>
          <w:szCs w:val="22"/>
          <w:lang w:eastAsia="en-US"/>
        </w:rPr>
        <w:t xml:space="preserve"> billion comprising:</w:t>
      </w:r>
    </w:p>
    <w:p w:rsidR="00E97157" w:rsidP="00AB4C1D">
      <w:pPr>
        <w:ind w:left="924"/>
        <w:contextualSpacing/>
        <w:jc w:val="both"/>
        <w:rPr>
          <w:rFonts w:eastAsia="Calibri" w:cs="Arial"/>
          <w:sz w:val="22"/>
          <w:szCs w:val="22"/>
        </w:rPr>
      </w:pPr>
    </w:p>
    <w:p w:rsidR="008B2C7E" w:rsidRPr="00BB4E9F" w:rsidP="001F4DFB">
      <w:pPr>
        <w:pStyle w:val="ListParagraph"/>
        <w:numPr>
          <w:ilvl w:val="0"/>
          <w:numId w:val="14"/>
        </w:numPr>
        <w:spacing w:after="120"/>
        <w:contextualSpacing/>
        <w:textAlignment w:val="baseline"/>
        <w:rPr>
          <w:rFonts w:ascii="Arial" w:hAnsi="Arial" w:eastAsiaTheme="minorHAnsi" w:cs="Arial"/>
          <w:bCs/>
          <w:u w:val="single"/>
          <w:lang w:eastAsia="en-US"/>
        </w:rPr>
      </w:pPr>
      <w:r w:rsidRPr="00BB4E9F">
        <w:rPr>
          <w:rStyle w:val="normaltextrun1"/>
          <w:rFonts w:ascii="Arial" w:eastAsia="Times New Roman" w:hAnsi="Arial" w:cs="Arial"/>
          <w:bCs/>
          <w:lang w:val="en-US"/>
        </w:rPr>
        <w:t>(£240</w:t>
      </w:r>
      <w:r w:rsidRPr="00BB4E9F" w:rsidR="00863981">
        <w:rPr>
          <w:rStyle w:val="normaltextrun1"/>
          <w:rFonts w:ascii="Arial" w:eastAsia="Times New Roman" w:hAnsi="Arial" w:cs="Arial"/>
          <w:bCs/>
          <w:lang w:val="en-US"/>
        </w:rPr>
        <w:t xml:space="preserve">) million for NHS </w:t>
      </w:r>
      <w:r w:rsidRPr="00BB4E9F">
        <w:rPr>
          <w:rStyle w:val="normaltextrun1"/>
          <w:rFonts w:ascii="Arial" w:eastAsia="Times New Roman" w:hAnsi="Arial" w:cs="Arial"/>
          <w:bCs/>
          <w:lang w:val="en-US"/>
        </w:rPr>
        <w:t>Test and Trace</w:t>
      </w:r>
      <w:r w:rsidRPr="00BB4E9F" w:rsidR="00863981">
        <w:rPr>
          <w:rStyle w:val="normaltextrun1"/>
          <w:rFonts w:ascii="Arial" w:eastAsia="Times New Roman" w:hAnsi="Arial" w:cs="Arial"/>
          <w:bCs/>
          <w:lang w:val="en-US"/>
        </w:rPr>
        <w:t xml:space="preserve"> (NHSTT)</w:t>
      </w:r>
      <w:r w:rsidRPr="00BB4E9F">
        <w:rPr>
          <w:rStyle w:val="normaltextrun1"/>
          <w:rFonts w:ascii="Arial" w:eastAsia="Times New Roman" w:hAnsi="Arial" w:cs="Arial"/>
          <w:bCs/>
          <w:lang w:val="en-US"/>
        </w:rPr>
        <w:t xml:space="preserve"> </w:t>
      </w:r>
      <w:r w:rsidRPr="00BB4E9F">
        <w:rPr>
          <w:rFonts w:ascii="Arial" w:eastAsia="Times New Roman" w:hAnsi="Arial" w:cs="Arial"/>
          <w:bCs/>
          <w:lang w:val="en-US"/>
        </w:rPr>
        <w:t xml:space="preserve">to cover the purchase of capital assets and net </w:t>
      </w:r>
      <w:r w:rsidR="00FC27FF">
        <w:rPr>
          <w:rFonts w:ascii="Arial" w:eastAsia="Times New Roman" w:hAnsi="Arial" w:cs="Arial"/>
          <w:bCs/>
          <w:lang w:val="en-US"/>
        </w:rPr>
        <w:t>de</w:t>
      </w:r>
      <w:r w:rsidRPr="00BB4E9F">
        <w:rPr>
          <w:rFonts w:ascii="Arial" w:eastAsia="Times New Roman" w:hAnsi="Arial" w:cs="Arial"/>
          <w:bCs/>
          <w:lang w:val="en-US"/>
        </w:rPr>
        <w:t xml:space="preserve">creases in inventory. NHSTT’s inventory expenditure, in line with HM Treasury’s budgeting classification of large inventory purchases, incurs a charge to capital DEL on purchase and a charge to </w:t>
      </w:r>
      <w:r w:rsidR="00AB17FE">
        <w:rPr>
          <w:rFonts w:ascii="Arial" w:eastAsia="Times New Roman" w:hAnsi="Arial" w:cs="Arial"/>
          <w:bCs/>
          <w:lang w:val="en-US"/>
        </w:rPr>
        <w:t>resource</w:t>
      </w:r>
      <w:r w:rsidRPr="00BB4E9F">
        <w:rPr>
          <w:rFonts w:ascii="Arial" w:eastAsia="Times New Roman" w:hAnsi="Arial" w:cs="Arial"/>
          <w:bCs/>
          <w:lang w:val="en-US"/>
        </w:rPr>
        <w:t xml:space="preserve"> DEL with an equivalent credit to capital DEL on consumption.</w:t>
      </w:r>
      <w:r w:rsidRPr="00BB4E9F">
        <w:rPr>
          <w:rFonts w:ascii="Arial" w:eastAsia="Times New Roman" w:hAnsi="Arial" w:cs="Arial"/>
          <w:bCs/>
          <w:lang w:val="en-US"/>
        </w:rPr>
        <w:br/>
      </w:r>
      <w:r w:rsidRPr="00BB4E9F" w:rsidR="006229A4">
        <w:rPr>
          <w:rStyle w:val="normaltextrun1"/>
          <w:rFonts w:ascii="Arial" w:hAnsi="Arial" w:cs="Arial"/>
          <w:bCs/>
          <w:lang w:val="en-US"/>
        </w:rPr>
        <w:t xml:space="preserve">£580 million for the NHS </w:t>
      </w:r>
      <w:r w:rsidRPr="00BB4E9F">
        <w:rPr>
          <w:rFonts w:ascii="Arial" w:hAnsi="Arial" w:cs="Arial"/>
          <w:bCs/>
          <w:lang w:val="en-US"/>
        </w:rPr>
        <w:t>to tackle the elective backlog, to be used for extra theatre capacity and productivity-boosting technology, to increase the number of surgeries able to take place.</w:t>
      </w:r>
    </w:p>
    <w:p w:rsidR="008B2C7E" w:rsidRPr="00961006" w:rsidP="00961006">
      <w:pPr>
        <w:pStyle w:val="ListParagraph"/>
        <w:numPr>
          <w:ilvl w:val="0"/>
          <w:numId w:val="14"/>
        </w:numPr>
        <w:rPr>
          <w:rFonts w:ascii="Arial" w:eastAsia="Times New Roman" w:hAnsi="Arial" w:cs="Arial"/>
          <w:bCs/>
          <w:lang w:val="en-US"/>
        </w:rPr>
      </w:pPr>
      <w:r w:rsidRPr="00135A16">
        <w:rPr>
          <w:rStyle w:val="normaltextrun1"/>
          <w:rFonts w:ascii="Arial" w:eastAsia="Times New Roman" w:hAnsi="Arial" w:cs="Arial"/>
          <w:bCs/>
          <w:lang w:val="en-US"/>
        </w:rPr>
        <w:t xml:space="preserve">£12 million for </w:t>
      </w:r>
      <w:r w:rsidRPr="00135A16">
        <w:rPr>
          <w:rStyle w:val="normaltextrun1"/>
          <w:rFonts w:ascii="Arial" w:eastAsia="Times New Roman" w:hAnsi="Arial" w:cs="Arial"/>
          <w:bCs/>
          <w:lang w:val="en-US"/>
        </w:rPr>
        <w:t>Covid-19 Vaccine deployment.</w:t>
      </w:r>
    </w:p>
    <w:p w:rsidR="008B2C7E" w:rsidRPr="00BB4E9F" w:rsidP="001F4DFB">
      <w:pPr>
        <w:pStyle w:val="ListParagraph"/>
        <w:numPr>
          <w:ilvl w:val="0"/>
          <w:numId w:val="14"/>
        </w:numPr>
        <w:rPr>
          <w:rStyle w:val="normaltextrun1"/>
          <w:rFonts w:ascii="Arial" w:eastAsia="Times New Roman" w:hAnsi="Arial" w:cs="Arial"/>
          <w:bCs/>
          <w:lang w:val="en-US"/>
        </w:rPr>
      </w:pPr>
      <w:r w:rsidRPr="00BB4E9F">
        <w:rPr>
          <w:rStyle w:val="normaltextrun1"/>
          <w:rFonts w:ascii="Arial" w:eastAsia="Times New Roman" w:hAnsi="Arial" w:cs="Arial"/>
          <w:bCs/>
          <w:lang w:val="en-US"/>
        </w:rPr>
        <w:t>£858 million fo</w:t>
      </w:r>
      <w:r w:rsidRPr="00BB4E9F" w:rsidR="00BB4E9F">
        <w:rPr>
          <w:rStyle w:val="normaltextrun1"/>
          <w:rFonts w:ascii="Arial" w:eastAsia="Times New Roman" w:hAnsi="Arial" w:cs="Arial"/>
          <w:bCs/>
          <w:lang w:val="en-US"/>
        </w:rPr>
        <w:t xml:space="preserve">r the </w:t>
      </w:r>
      <w:r w:rsidRPr="00BB4E9F">
        <w:rPr>
          <w:rStyle w:val="normaltextrun1"/>
          <w:rFonts w:ascii="Arial" w:eastAsia="Times New Roman" w:hAnsi="Arial" w:cs="Arial"/>
          <w:bCs/>
          <w:lang w:val="en-US"/>
        </w:rPr>
        <w:t xml:space="preserve">Covid-19 Vaccines Task Force (VTF) to cover the costs of VTF that score to the capital budget following HM Treasury budgeting classification convention. </w:t>
      </w:r>
    </w:p>
    <w:p w:rsidR="008B2C7E" w:rsidRPr="00BB4E9F" w:rsidP="001F4DFB">
      <w:pPr>
        <w:pStyle w:val="ListParagraph"/>
        <w:numPr>
          <w:ilvl w:val="0"/>
          <w:numId w:val="14"/>
        </w:numPr>
        <w:rPr>
          <w:rStyle w:val="normaltextrun1"/>
          <w:rFonts w:eastAsia="Times New Roman" w:cs="Arial"/>
          <w:bCs/>
          <w:lang w:val="en-US"/>
        </w:rPr>
      </w:pPr>
      <w:r w:rsidRPr="00BB4E9F">
        <w:rPr>
          <w:rStyle w:val="normaltextrun1"/>
          <w:rFonts w:ascii="Arial" w:eastAsia="Times New Roman" w:hAnsi="Arial" w:cs="Arial"/>
          <w:bCs/>
          <w:lang w:val="en-US"/>
        </w:rPr>
        <w:t xml:space="preserve">£5 million for </w:t>
      </w:r>
      <w:r w:rsidRPr="00BB4E9F">
        <w:rPr>
          <w:rStyle w:val="normaltextrun1"/>
          <w:rFonts w:ascii="Arial" w:eastAsia="Times New Roman" w:hAnsi="Arial" w:cs="Arial"/>
          <w:bCs/>
          <w:lang w:val="en-US"/>
        </w:rPr>
        <w:t xml:space="preserve">Personal Protective Equipment </w:t>
      </w:r>
      <w:r w:rsidRPr="00BB4E9F">
        <w:rPr>
          <w:rStyle w:val="normaltextrun1"/>
          <w:rFonts w:ascii="Arial" w:eastAsia="Times New Roman" w:hAnsi="Arial" w:cs="Arial"/>
          <w:bCs/>
          <w:lang w:val="en-US"/>
        </w:rPr>
        <w:t>; and</w:t>
      </w:r>
    </w:p>
    <w:p w:rsidR="008B2C7E" w:rsidRPr="00BB4E9F" w:rsidP="001F4DFB">
      <w:pPr>
        <w:pStyle w:val="ListParagraph"/>
        <w:numPr>
          <w:ilvl w:val="0"/>
          <w:numId w:val="14"/>
        </w:numPr>
        <w:rPr>
          <w:rStyle w:val="normaltextrun1"/>
          <w:rFonts w:ascii="Arial" w:eastAsia="Times New Roman" w:hAnsi="Arial"/>
          <w:bCs/>
          <w:lang w:val="en-US"/>
        </w:rPr>
      </w:pPr>
      <w:r>
        <w:rPr>
          <w:rStyle w:val="normaltextrun1"/>
          <w:rFonts w:ascii="Arial" w:eastAsia="Times New Roman" w:hAnsi="Arial" w:cs="Arial"/>
          <w:bCs/>
          <w:lang w:val="en-US"/>
        </w:rPr>
        <w:t xml:space="preserve">£6 million </w:t>
      </w:r>
      <w:r w:rsidR="00CF5FCF">
        <w:rPr>
          <w:rStyle w:val="normaltextrun1"/>
          <w:rFonts w:ascii="Arial" w:eastAsia="Times New Roman" w:hAnsi="Arial" w:cs="Arial"/>
          <w:bCs/>
          <w:lang w:val="en-US"/>
        </w:rPr>
        <w:t xml:space="preserve">for </w:t>
      </w:r>
      <w:r w:rsidRPr="00BB4E9F">
        <w:rPr>
          <w:rStyle w:val="normaltextrun1"/>
          <w:rFonts w:ascii="Arial" w:eastAsia="Times New Roman" w:hAnsi="Arial" w:cs="Arial"/>
          <w:bCs/>
          <w:lang w:val="en-US"/>
        </w:rPr>
        <w:t>Covid-19 therapeutic treatments</w:t>
      </w:r>
      <w:r w:rsidR="00AB17FE">
        <w:rPr>
          <w:rStyle w:val="normaltextrun1"/>
          <w:rFonts w:ascii="Arial" w:eastAsia="Times New Roman" w:hAnsi="Arial" w:cs="Arial"/>
          <w:bCs/>
          <w:lang w:val="en-US"/>
        </w:rPr>
        <w:t>.</w:t>
      </w:r>
      <w:r w:rsidRPr="00BB4E9F">
        <w:rPr>
          <w:rStyle w:val="normaltextrun1"/>
          <w:rFonts w:ascii="Arial" w:eastAsia="Times New Roman" w:hAnsi="Arial" w:cs="Arial"/>
          <w:bCs/>
          <w:lang w:val="en-US"/>
        </w:rPr>
        <w:t xml:space="preserve"> </w:t>
      </w:r>
    </w:p>
    <w:p w:rsidR="008B2C7E" w:rsidP="00AB4C1D">
      <w:pPr>
        <w:ind w:left="924"/>
        <w:contextualSpacing/>
        <w:jc w:val="both"/>
        <w:rPr>
          <w:rFonts w:eastAsia="Calibri" w:cs="Arial"/>
          <w:bCs/>
          <w:sz w:val="22"/>
          <w:szCs w:val="22"/>
        </w:rPr>
      </w:pPr>
    </w:p>
    <w:p w:rsidR="00CF5FCF" w:rsidRPr="00672441" w:rsidP="00CF5FCF">
      <w:pPr>
        <w:ind w:left="924"/>
        <w:contextualSpacing/>
        <w:rPr>
          <w:rFonts w:eastAsiaTheme="minorHAnsi" w:cs="Arial"/>
          <w:b/>
          <w:bCs/>
          <w:sz w:val="22"/>
          <w:szCs w:val="22"/>
          <w:lang w:eastAsia="en-US"/>
        </w:rPr>
      </w:pPr>
      <w:bookmarkStart w:id="3" w:name="_Hlk101515415"/>
      <w:r>
        <w:rPr>
          <w:rFonts w:eastAsiaTheme="minorHAnsi" w:cs="Arial"/>
          <w:b/>
          <w:bCs/>
          <w:sz w:val="22"/>
          <w:szCs w:val="22"/>
          <w:lang w:eastAsia="en-US"/>
        </w:rPr>
        <w:t>Spending Review 2021</w:t>
      </w:r>
    </w:p>
    <w:p w:rsidR="00AB4C1D" w:rsidRPr="00D568B2" w:rsidP="00AB4C1D">
      <w:pPr>
        <w:ind w:left="924"/>
        <w:contextualSpacing/>
        <w:jc w:val="both"/>
        <w:rPr>
          <w:rFonts w:eastAsia="Calibri" w:cs="Arial"/>
          <w:sz w:val="22"/>
          <w:szCs w:val="22"/>
        </w:rPr>
      </w:pPr>
      <w:r w:rsidRPr="008101E9">
        <w:rPr>
          <w:rFonts w:eastAsia="Calibri" w:cs="Arial"/>
          <w:sz w:val="22"/>
          <w:szCs w:val="22"/>
        </w:rPr>
        <w:t>The DHSC Spending Review 2021 settlement includes £10.6 billion Capital funding for 2022-23, £10.4 billion</w:t>
      </w:r>
      <w:r>
        <w:rPr>
          <w:rFonts w:eastAsia="Calibri" w:cs="Arial"/>
          <w:sz w:val="22"/>
          <w:szCs w:val="22"/>
        </w:rPr>
        <w:t>,</w:t>
      </w:r>
      <w:r w:rsidRPr="008101E9">
        <w:rPr>
          <w:rFonts w:eastAsia="Calibri" w:cs="Arial"/>
          <w:sz w:val="22"/>
          <w:szCs w:val="22"/>
        </w:rPr>
        <w:t xml:space="preserve"> for 2023-24 and £11.2 billion for 2024-25. </w:t>
      </w:r>
      <w:r>
        <w:rPr>
          <w:rFonts w:eastAsia="Calibri" w:cs="Arial"/>
          <w:sz w:val="22"/>
          <w:szCs w:val="22"/>
        </w:rPr>
        <w:t xml:space="preserve">This settlement includes capital </w:t>
      </w:r>
      <w:r w:rsidRPr="00D568B2">
        <w:rPr>
          <w:rFonts w:eastAsia="Calibri" w:cs="Arial"/>
          <w:sz w:val="22"/>
          <w:szCs w:val="22"/>
        </w:rPr>
        <w:t>investment to continue to improve the NHS infrastructure over the next three years, including:</w:t>
      </w:r>
    </w:p>
    <w:p w:rsidR="00AB4C1D" w:rsidRPr="00484376" w:rsidP="001F4DFB">
      <w:pPr>
        <w:numPr>
          <w:ilvl w:val="0"/>
          <w:numId w:val="10"/>
        </w:numPr>
        <w:contextualSpacing/>
        <w:jc w:val="both"/>
        <w:rPr>
          <w:sz w:val="22"/>
          <w:szCs w:val="22"/>
        </w:rPr>
      </w:pPr>
      <w:r w:rsidRPr="00484376">
        <w:rPr>
          <w:sz w:val="22"/>
          <w:szCs w:val="22"/>
        </w:rPr>
        <w:t xml:space="preserve">£2.3 billion to transform diagnostic services, taking us to a total of at least </w:t>
      </w:r>
      <w:r w:rsidRPr="008F2B93">
        <w:rPr>
          <w:sz w:val="22"/>
          <w:szCs w:val="22"/>
        </w:rPr>
        <w:t>100 community</w:t>
      </w:r>
      <w:r w:rsidRPr="00484376">
        <w:rPr>
          <w:sz w:val="22"/>
          <w:szCs w:val="22"/>
        </w:rPr>
        <w:t xml:space="preserve"> diagnostic centres (CDCs) across England to permanently increase diagnostic capacity and help patients receive lifesaving checks close to their homes;</w:t>
      </w:r>
    </w:p>
    <w:p w:rsidR="00AB4C1D" w:rsidRPr="00484376" w:rsidP="001F4DFB">
      <w:pPr>
        <w:numPr>
          <w:ilvl w:val="0"/>
          <w:numId w:val="10"/>
        </w:numPr>
        <w:contextualSpacing/>
        <w:jc w:val="both"/>
        <w:rPr>
          <w:rFonts w:eastAsiaTheme="minorEastAsia"/>
          <w:sz w:val="22"/>
          <w:szCs w:val="22"/>
        </w:rPr>
      </w:pPr>
      <w:r w:rsidRPr="00484376">
        <w:rPr>
          <w:rFonts w:eastAsia="Calibri" w:cs="Arial"/>
          <w:sz w:val="22"/>
          <w:szCs w:val="22"/>
        </w:rPr>
        <w:t>£2.1 billion for improving NHS technology and digital assets;</w:t>
      </w:r>
    </w:p>
    <w:p w:rsidR="00AB4C1D" w:rsidRPr="00484376" w:rsidP="001F4DFB">
      <w:pPr>
        <w:numPr>
          <w:ilvl w:val="0"/>
          <w:numId w:val="10"/>
        </w:numPr>
        <w:contextualSpacing/>
        <w:jc w:val="both"/>
        <w:rPr>
          <w:rFonts w:eastAsiaTheme="minorEastAsia"/>
          <w:sz w:val="22"/>
          <w:szCs w:val="22"/>
        </w:rPr>
      </w:pPr>
      <w:r w:rsidRPr="00484376">
        <w:rPr>
          <w:rFonts w:eastAsia="Calibri" w:cs="Arial"/>
          <w:sz w:val="22"/>
          <w:szCs w:val="22"/>
        </w:rPr>
        <w:t xml:space="preserve">£1.5 billion for new surgical hubs, increased bed capacity and equipment to help elective services recover, including surgeries and other medical procedures; </w:t>
      </w:r>
    </w:p>
    <w:p w:rsidR="00AB4C1D" w:rsidRPr="00484376" w:rsidP="001F4DFB">
      <w:pPr>
        <w:numPr>
          <w:ilvl w:val="0"/>
          <w:numId w:val="10"/>
        </w:numPr>
        <w:contextualSpacing/>
        <w:jc w:val="both"/>
        <w:rPr>
          <w:sz w:val="22"/>
          <w:szCs w:val="22"/>
        </w:rPr>
      </w:pPr>
      <w:r w:rsidRPr="00484376">
        <w:rPr>
          <w:rFonts w:eastAsia="Calibri" w:cs="Arial"/>
          <w:sz w:val="22"/>
          <w:szCs w:val="22"/>
        </w:rPr>
        <w:t>£300million to replace outdated mental health dormitories with single rooms and an additional £150 million for investment in the wider mental health estate.</w:t>
      </w:r>
    </w:p>
    <w:p w:rsidR="004F64C1" w:rsidP="004F64C1">
      <w:pPr>
        <w:ind w:left="924"/>
        <w:contextualSpacing/>
        <w:jc w:val="both"/>
        <w:rPr>
          <w:rFonts w:eastAsiaTheme="minorHAnsi" w:cs="Arial"/>
          <w:sz w:val="22"/>
          <w:szCs w:val="22"/>
          <w:lang w:eastAsia="en-US"/>
        </w:rPr>
      </w:pPr>
      <w:bookmarkEnd w:id="3"/>
    </w:p>
    <w:p w:rsidR="00A55641">
      <w:pPr>
        <w:rPr>
          <w:rFonts w:eastAsiaTheme="minorHAnsi" w:cs="Arial"/>
          <w:sz w:val="22"/>
          <w:szCs w:val="22"/>
          <w:lang w:eastAsia="en-US"/>
        </w:rPr>
      </w:pPr>
      <w:r>
        <w:rPr>
          <w:rFonts w:eastAsiaTheme="minorHAnsi" w:cs="Arial"/>
          <w:sz w:val="22"/>
          <w:szCs w:val="22"/>
          <w:lang w:eastAsia="en-US"/>
        </w:rPr>
        <w:br w:type="page"/>
      </w:r>
    </w:p>
    <w:p w:rsidR="004F64C1" w:rsidP="001F4DFB">
      <w:pPr>
        <w:numPr>
          <w:ilvl w:val="0"/>
          <w:numId w:val="7"/>
        </w:numPr>
        <w:spacing w:after="120"/>
        <w:ind w:left="924" w:hanging="357"/>
        <w:rPr>
          <w:rFonts w:eastAsia="Calibri" w:cs="Arial"/>
          <w:sz w:val="22"/>
          <w:szCs w:val="22"/>
          <w:u w:val="single"/>
        </w:rPr>
      </w:pPr>
      <w:r w:rsidRPr="00565172">
        <w:rPr>
          <w:rFonts w:eastAsia="Calibri" w:cs="Arial"/>
          <w:sz w:val="22"/>
          <w:szCs w:val="22"/>
          <w:u w:val="single"/>
        </w:rPr>
        <w:t>Resource AME</w:t>
      </w:r>
    </w:p>
    <w:p w:rsidR="004F64C1" w:rsidRPr="00565172" w:rsidP="004F64C1">
      <w:pPr>
        <w:spacing w:after="120"/>
        <w:ind w:left="924"/>
        <w:rPr>
          <w:rFonts w:eastAsia="Calibri" w:cs="Arial"/>
          <w:sz w:val="22"/>
          <w:szCs w:val="22"/>
          <w:u w:val="single"/>
        </w:rPr>
      </w:pPr>
      <w:r w:rsidRPr="001457B7">
        <w:rPr>
          <w:noProof/>
        </w:rPr>
        <w:drawing>
          <wp:inline distT="0" distB="0" distL="0" distR="0">
            <wp:extent cx="6286500" cy="281940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xmlns:r="http://schemas.openxmlformats.org/officeDocument/2006/relationships" r:embed="rId15"/>
                    <a:stretch>
                      <a:fillRect/>
                    </a:stretch>
                  </pic:blipFill>
                  <pic:spPr>
                    <a:xfrm>
                      <a:off x="0" y="0"/>
                      <a:ext cx="6286500" cy="2819400"/>
                    </a:xfrm>
                    <a:prstGeom prst="rect">
                      <a:avLst/>
                    </a:prstGeom>
                  </pic:spPr>
                </pic:pic>
              </a:graphicData>
            </a:graphic>
          </wp:inline>
        </w:drawing>
      </w:r>
    </w:p>
    <w:p w:rsidR="001071D8" w:rsidRPr="008101E9" w:rsidP="001071D8">
      <w:pPr>
        <w:ind w:left="924"/>
        <w:jc w:val="both"/>
        <w:rPr>
          <w:rFonts w:eastAsiaTheme="minorHAnsi" w:cs="Arial"/>
          <w:sz w:val="22"/>
          <w:szCs w:val="22"/>
          <w:lang w:eastAsia="en-US"/>
        </w:rPr>
      </w:pPr>
      <w:bookmarkStart w:id="4" w:name="_Hlk63413450"/>
      <w:bookmarkStart w:id="5" w:name="_Hlk93694921"/>
      <w:r w:rsidRPr="008101E9">
        <w:rPr>
          <w:rFonts w:eastAsiaTheme="minorHAnsi" w:cs="Arial"/>
          <w:sz w:val="22"/>
          <w:szCs w:val="22"/>
          <w:lang w:eastAsia="en-US"/>
        </w:rPr>
        <w:t>The Department’s AME doesn’t have an immediate impact on the fiscal framework</w:t>
      </w:r>
      <w:r w:rsidR="008A1A88">
        <w:rPr>
          <w:rFonts w:eastAsiaTheme="minorHAnsi" w:cs="Arial"/>
          <w:sz w:val="22"/>
          <w:szCs w:val="22"/>
          <w:lang w:eastAsia="en-US"/>
        </w:rPr>
        <w:t>.</w:t>
      </w:r>
      <w:r w:rsidRPr="008101E9">
        <w:rPr>
          <w:rFonts w:eastAsiaTheme="minorHAnsi" w:cs="Arial"/>
          <w:sz w:val="22"/>
          <w:szCs w:val="22"/>
          <w:lang w:eastAsia="en-US"/>
        </w:rPr>
        <w:t xml:space="preserve"> It relates to provisions and impairments that are demand-led</w:t>
      </w:r>
      <w:r>
        <w:rPr>
          <w:rFonts w:eastAsiaTheme="minorHAnsi" w:cs="Arial"/>
          <w:sz w:val="22"/>
          <w:szCs w:val="22"/>
          <w:lang w:eastAsia="en-US"/>
        </w:rPr>
        <w:t xml:space="preserve">, </w:t>
      </w:r>
      <w:r w:rsidRPr="008101E9">
        <w:rPr>
          <w:rFonts w:eastAsiaTheme="minorHAnsi" w:cs="Arial"/>
          <w:sz w:val="22"/>
          <w:szCs w:val="22"/>
          <w:lang w:eastAsia="en-US"/>
        </w:rPr>
        <w:t>volatile</w:t>
      </w:r>
      <w:r>
        <w:rPr>
          <w:rFonts w:eastAsiaTheme="minorHAnsi" w:cs="Arial"/>
          <w:sz w:val="22"/>
          <w:szCs w:val="22"/>
          <w:lang w:eastAsia="en-US"/>
        </w:rPr>
        <w:t xml:space="preserve"> and</w:t>
      </w:r>
      <w:r w:rsidRPr="008101E9">
        <w:rPr>
          <w:rFonts w:eastAsiaTheme="minorHAnsi" w:cs="Arial"/>
          <w:sz w:val="22"/>
          <w:szCs w:val="22"/>
          <w:lang w:eastAsia="en-US"/>
        </w:rPr>
        <w:t xml:space="preserve"> </w:t>
      </w:r>
      <w:r w:rsidRPr="008101E9">
        <w:rPr>
          <w:rFonts w:eastAsiaTheme="minorHAnsi" w:cs="Arial"/>
          <w:sz w:val="22"/>
          <w:szCs w:val="22"/>
          <w:lang w:eastAsia="en-US"/>
        </w:rPr>
        <w:t>subject to many variables outside the Department’s direct control, such as changes to the discount rates to measure the value of long-term provisions liabilities</w:t>
      </w:r>
      <w:bookmarkEnd w:id="4"/>
      <w:r w:rsidRPr="008101E9">
        <w:rPr>
          <w:rFonts w:eastAsiaTheme="minorHAnsi" w:cs="Arial"/>
          <w:sz w:val="22"/>
          <w:szCs w:val="22"/>
          <w:lang w:eastAsia="en-US"/>
        </w:rPr>
        <w:t xml:space="preserve">. The £39 billion increase </w:t>
      </w:r>
      <w:r>
        <w:rPr>
          <w:rFonts w:eastAsiaTheme="minorHAnsi" w:cs="Arial"/>
          <w:sz w:val="22"/>
          <w:szCs w:val="22"/>
          <w:lang w:eastAsia="en-US"/>
        </w:rPr>
        <w:t xml:space="preserve">in the 2021-22 </w:t>
      </w:r>
      <w:r w:rsidRPr="008101E9">
        <w:rPr>
          <w:rFonts w:eastAsiaTheme="minorHAnsi" w:cs="Arial"/>
          <w:sz w:val="22"/>
          <w:szCs w:val="22"/>
          <w:lang w:eastAsia="en-US"/>
        </w:rPr>
        <w:t xml:space="preserve">Supplementary </w:t>
      </w:r>
      <w:r>
        <w:rPr>
          <w:rFonts w:eastAsiaTheme="minorHAnsi" w:cs="Arial"/>
          <w:sz w:val="22"/>
          <w:szCs w:val="22"/>
          <w:lang w:eastAsia="en-US"/>
        </w:rPr>
        <w:t xml:space="preserve">Supply </w:t>
      </w:r>
      <w:r w:rsidRPr="008101E9">
        <w:rPr>
          <w:rFonts w:eastAsiaTheme="minorHAnsi" w:cs="Arial"/>
          <w:sz w:val="22"/>
          <w:szCs w:val="22"/>
          <w:lang w:eastAsia="en-US"/>
        </w:rPr>
        <w:t xml:space="preserve">Estimate </w:t>
      </w:r>
      <w:bookmarkEnd w:id="5"/>
      <w:r>
        <w:rPr>
          <w:rFonts w:eastAsiaTheme="minorHAnsi" w:cs="Arial"/>
          <w:sz w:val="22"/>
          <w:szCs w:val="22"/>
          <w:lang w:eastAsia="en-US"/>
        </w:rPr>
        <w:t>mainly relates to the estimated increase in the</w:t>
      </w:r>
      <w:r w:rsidRPr="008101E9">
        <w:rPr>
          <w:rFonts w:eastAsiaTheme="minorHAnsi" w:cs="Arial"/>
          <w:sz w:val="22"/>
          <w:szCs w:val="22"/>
          <w:lang w:eastAsia="en-US"/>
        </w:rPr>
        <w:t xml:space="preserve"> </w:t>
      </w:r>
      <w:r w:rsidRPr="008101E9">
        <w:rPr>
          <w:rFonts w:eastAsiaTheme="minorHAnsi" w:cs="Arial"/>
          <w:sz w:val="22"/>
          <w:szCs w:val="22"/>
          <w:lang w:eastAsia="en-US"/>
        </w:rPr>
        <w:t>provision for clinical negligence claims</w:t>
      </w:r>
      <w:r>
        <w:rPr>
          <w:rFonts w:eastAsiaTheme="minorHAnsi" w:cs="Arial"/>
          <w:sz w:val="22"/>
          <w:szCs w:val="22"/>
          <w:lang w:eastAsia="en-US"/>
        </w:rPr>
        <w:t>, mainly due to the impact of the discount rate change</w:t>
      </w:r>
      <w:r w:rsidRPr="008101E9">
        <w:rPr>
          <w:rFonts w:eastAsiaTheme="minorHAnsi" w:cs="Arial"/>
          <w:sz w:val="22"/>
          <w:szCs w:val="22"/>
          <w:lang w:eastAsia="en-US"/>
        </w:rPr>
        <w:t>.</w:t>
      </w:r>
    </w:p>
    <w:p w:rsidR="001071D8">
      <w:pPr>
        <w:rPr>
          <w:rFonts w:eastAsiaTheme="minorHAnsi" w:cs="Arial"/>
          <w:sz w:val="22"/>
          <w:szCs w:val="22"/>
          <w:lang w:eastAsia="en-US"/>
        </w:rPr>
      </w:pPr>
    </w:p>
    <w:p w:rsidR="004F64C1" w:rsidRPr="00565172" w:rsidP="001F4DFB">
      <w:pPr>
        <w:numPr>
          <w:ilvl w:val="1"/>
          <w:numId w:val="4"/>
        </w:numPr>
        <w:spacing w:after="120" w:line="276" w:lineRule="auto"/>
        <w:ind w:left="567" w:hanging="567"/>
        <w:rPr>
          <w:rFonts w:eastAsia="Calibri" w:cs="Arial"/>
          <w:b/>
          <w:sz w:val="22"/>
          <w:szCs w:val="22"/>
        </w:rPr>
      </w:pPr>
      <w:r>
        <w:rPr>
          <w:rFonts w:eastAsia="Calibri" w:cs="Arial"/>
          <w:b/>
          <w:sz w:val="22"/>
          <w:szCs w:val="22"/>
        </w:rPr>
        <w:t>Changes to 202</w:t>
      </w:r>
      <w:r w:rsidR="001457B7">
        <w:rPr>
          <w:rFonts w:eastAsia="Calibri" w:cs="Arial"/>
          <w:b/>
          <w:sz w:val="22"/>
          <w:szCs w:val="22"/>
        </w:rPr>
        <w:t>2-23</w:t>
      </w:r>
      <w:r>
        <w:rPr>
          <w:rFonts w:eastAsia="Calibri" w:cs="Arial"/>
          <w:b/>
          <w:sz w:val="22"/>
          <w:szCs w:val="22"/>
        </w:rPr>
        <w:t xml:space="preserve"> </w:t>
      </w:r>
      <w:r w:rsidRPr="00565172">
        <w:rPr>
          <w:rFonts w:eastAsia="Calibri" w:cs="Arial"/>
          <w:b/>
          <w:sz w:val="22"/>
          <w:szCs w:val="22"/>
        </w:rPr>
        <w:t>Funding:</w:t>
      </w:r>
      <w:r>
        <w:rPr>
          <w:rFonts w:eastAsia="Calibri" w:cs="Arial"/>
          <w:b/>
          <w:sz w:val="22"/>
          <w:szCs w:val="22"/>
        </w:rPr>
        <w:t xml:space="preserve"> </w:t>
      </w:r>
      <w:r w:rsidRPr="00565172">
        <w:rPr>
          <w:rFonts w:eastAsia="Calibri" w:cs="Arial"/>
          <w:b/>
          <w:sz w:val="22"/>
          <w:szCs w:val="22"/>
        </w:rPr>
        <w:t>Spending Review</w:t>
      </w:r>
      <w:r>
        <w:rPr>
          <w:rFonts w:eastAsia="Calibri" w:cs="Arial"/>
          <w:b/>
          <w:sz w:val="22"/>
          <w:szCs w:val="22"/>
        </w:rPr>
        <w:t xml:space="preserve"> and </w:t>
      </w:r>
      <w:r w:rsidRPr="00565172">
        <w:rPr>
          <w:rFonts w:eastAsia="Calibri" w:cs="Arial"/>
          <w:b/>
          <w:sz w:val="22"/>
          <w:szCs w:val="22"/>
        </w:rPr>
        <w:t>Fiscal Events and other Spending Announcements</w:t>
      </w:r>
    </w:p>
    <w:p w:rsidR="004F64C1" w:rsidRPr="00565172" w:rsidP="004F64C1">
      <w:pPr>
        <w:ind w:left="567"/>
        <w:jc w:val="both"/>
        <w:rPr>
          <w:sz w:val="22"/>
          <w:szCs w:val="22"/>
        </w:rPr>
      </w:pPr>
      <w:r w:rsidRPr="00565172">
        <w:rPr>
          <w:rFonts w:eastAsiaTheme="minorHAnsi" w:cs="Arial"/>
          <w:sz w:val="22"/>
          <w:szCs w:val="22"/>
          <w:lang w:eastAsia="en-US"/>
        </w:rPr>
        <w:t xml:space="preserve">The Department’s </w:t>
      </w:r>
      <w:r>
        <w:rPr>
          <w:rFonts w:eastAsiaTheme="minorHAnsi" w:cs="Arial"/>
          <w:sz w:val="22"/>
          <w:szCs w:val="22"/>
          <w:lang w:eastAsia="en-US"/>
        </w:rPr>
        <w:t>202</w:t>
      </w:r>
      <w:r w:rsidR="000519B9">
        <w:rPr>
          <w:rFonts w:eastAsiaTheme="minorHAnsi" w:cs="Arial"/>
          <w:sz w:val="22"/>
          <w:szCs w:val="22"/>
          <w:lang w:eastAsia="en-US"/>
        </w:rPr>
        <w:t>2-23</w:t>
      </w:r>
      <w:r w:rsidRPr="00565172">
        <w:rPr>
          <w:rFonts w:eastAsiaTheme="minorHAnsi" w:cs="Arial"/>
          <w:sz w:val="22"/>
          <w:szCs w:val="22"/>
          <w:lang w:eastAsia="en-US"/>
        </w:rPr>
        <w:t xml:space="preserve"> spending plans were announced in the 20</w:t>
      </w:r>
      <w:r>
        <w:rPr>
          <w:rFonts w:eastAsiaTheme="minorHAnsi" w:cs="Arial"/>
          <w:sz w:val="22"/>
          <w:szCs w:val="22"/>
          <w:lang w:eastAsia="en-US"/>
        </w:rPr>
        <w:t>2</w:t>
      </w:r>
      <w:r w:rsidR="000519B9">
        <w:rPr>
          <w:rFonts w:eastAsiaTheme="minorHAnsi" w:cs="Arial"/>
          <w:sz w:val="22"/>
          <w:szCs w:val="22"/>
          <w:lang w:eastAsia="en-US"/>
        </w:rPr>
        <w:t>1</w:t>
      </w:r>
      <w:r w:rsidRPr="00565172">
        <w:rPr>
          <w:rFonts w:eastAsiaTheme="minorHAnsi" w:cs="Arial"/>
          <w:sz w:val="22"/>
          <w:szCs w:val="22"/>
          <w:lang w:eastAsia="en-US"/>
        </w:rPr>
        <w:t xml:space="preserve"> Spending R</w:t>
      </w:r>
      <w:r w:rsidR="000519B9">
        <w:rPr>
          <w:rFonts w:eastAsiaTheme="minorHAnsi" w:cs="Arial"/>
          <w:sz w:val="22"/>
          <w:szCs w:val="22"/>
          <w:lang w:eastAsia="en-US"/>
        </w:rPr>
        <w:t>eview</w:t>
      </w:r>
      <w:r w:rsidRPr="00565172">
        <w:rPr>
          <w:rFonts w:eastAsiaTheme="minorHAnsi" w:cs="Arial"/>
          <w:sz w:val="22"/>
          <w:szCs w:val="22"/>
          <w:lang w:eastAsia="en-US"/>
        </w:rPr>
        <w:t xml:space="preserve">, see </w:t>
      </w:r>
      <w:r w:rsidRPr="00EC6007">
        <w:rPr>
          <w:rFonts w:eastAsiaTheme="minorHAnsi" w:cs="Arial"/>
          <w:sz w:val="22"/>
          <w:szCs w:val="22"/>
          <w:lang w:eastAsia="en-US"/>
        </w:rPr>
        <w:t xml:space="preserve">paragraph 7.1 of the </w:t>
      </w:r>
      <w:r>
        <w:fldChar w:fldCharType="begin"/>
      </w:r>
      <w:r>
        <w:instrText xml:space="preserve"> HYPERLINK "https://www.gov.uk/government/publications/autumn-budget-and-spending-review-2021-documents" </w:instrText>
      </w:r>
      <w:r>
        <w:fldChar w:fldCharType="separate"/>
      </w:r>
      <w:r w:rsidRPr="006B7947">
        <w:rPr>
          <w:rStyle w:val="Hyperlink"/>
          <w:sz w:val="22"/>
          <w:szCs w:val="22"/>
        </w:rPr>
        <w:t>Government announcement</w:t>
      </w:r>
      <w:r>
        <w:fldChar w:fldCharType="end"/>
      </w:r>
      <w:r w:rsidRPr="00EC6007">
        <w:rPr>
          <w:sz w:val="22"/>
          <w:szCs w:val="22"/>
        </w:rPr>
        <w:t xml:space="preserve"> in </w:t>
      </w:r>
      <w:r w:rsidR="006B76F1">
        <w:rPr>
          <w:sz w:val="22"/>
          <w:szCs w:val="22"/>
        </w:rPr>
        <w:t>October</w:t>
      </w:r>
      <w:r w:rsidR="006B7947">
        <w:rPr>
          <w:sz w:val="22"/>
          <w:szCs w:val="22"/>
        </w:rPr>
        <w:t xml:space="preserve"> 2021</w:t>
      </w:r>
      <w:r w:rsidRPr="00EC6007">
        <w:rPr>
          <w:sz w:val="22"/>
          <w:szCs w:val="22"/>
        </w:rPr>
        <w:t>.  Since</w:t>
      </w:r>
      <w:r w:rsidRPr="00565172">
        <w:rPr>
          <w:sz w:val="22"/>
          <w:szCs w:val="22"/>
        </w:rPr>
        <w:t xml:space="preserve"> that time, changes to 202</w:t>
      </w:r>
      <w:r w:rsidR="006F002A">
        <w:rPr>
          <w:sz w:val="22"/>
          <w:szCs w:val="22"/>
        </w:rPr>
        <w:t>2-23</w:t>
      </w:r>
      <w:r w:rsidRPr="00565172">
        <w:rPr>
          <w:sz w:val="22"/>
          <w:szCs w:val="22"/>
        </w:rPr>
        <w:t xml:space="preserve"> spending plans includ</w:t>
      </w:r>
      <w:r>
        <w:rPr>
          <w:sz w:val="22"/>
          <w:szCs w:val="22"/>
        </w:rPr>
        <w:t>e</w:t>
      </w:r>
      <w:r w:rsidRPr="00565172">
        <w:rPr>
          <w:sz w:val="22"/>
          <w:szCs w:val="22"/>
        </w:rPr>
        <w:t xml:space="preserve"> </w:t>
      </w:r>
      <w:r w:rsidR="006F002A">
        <w:rPr>
          <w:sz w:val="22"/>
          <w:szCs w:val="22"/>
        </w:rPr>
        <w:t xml:space="preserve">funding for IFRS16 implementation and budget cover transfers between DHSC and other government </w:t>
      </w:r>
      <w:r w:rsidR="006B76F1">
        <w:rPr>
          <w:sz w:val="22"/>
          <w:szCs w:val="22"/>
        </w:rPr>
        <w:t>departments</w:t>
      </w:r>
      <w:r w:rsidR="006F002A">
        <w:rPr>
          <w:sz w:val="22"/>
          <w:szCs w:val="22"/>
        </w:rPr>
        <w:t>.</w:t>
      </w:r>
      <w:r w:rsidRPr="00565172">
        <w:rPr>
          <w:sz w:val="22"/>
          <w:szCs w:val="22"/>
        </w:rPr>
        <w:t xml:space="preserve">  A summary of the changes can be found below</w:t>
      </w:r>
      <w:r>
        <w:rPr>
          <w:sz w:val="22"/>
          <w:szCs w:val="22"/>
        </w:rPr>
        <w:t>:</w:t>
      </w:r>
    </w:p>
    <w:p w:rsidR="007C1E20" w:rsidRPr="00565172" w:rsidP="004F64C1">
      <w:pPr>
        <w:ind w:left="567"/>
        <w:contextualSpacing/>
        <w:jc w:val="both"/>
        <w:rPr>
          <w:rFonts w:eastAsiaTheme="minorHAnsi" w:cs="Arial"/>
          <w:b/>
          <w:sz w:val="22"/>
          <w:szCs w:val="22"/>
          <w:u w:val="single"/>
          <w:lang w:eastAsia="en-US"/>
        </w:rPr>
      </w:pPr>
    </w:p>
    <w:tbl>
      <w:tblPr>
        <w:tblW w:w="5000" w:type="pct"/>
        <w:tblLook w:val="04A0"/>
      </w:tblPr>
      <w:tblGrid>
        <w:gridCol w:w="7340"/>
        <w:gridCol w:w="1711"/>
        <w:gridCol w:w="1711"/>
      </w:tblGrid>
      <w:tr w:rsidTr="00DE1036">
        <w:tblPrEx>
          <w:tblW w:w="5000" w:type="pct"/>
          <w:tblLook w:val="04A0"/>
        </w:tblPrEx>
        <w:trPr>
          <w:trHeight w:val="570"/>
        </w:trPr>
        <w:tc>
          <w:tcPr>
            <w:tcW w:w="3409" w:type="pct"/>
            <w:tcBorders>
              <w:top w:val="single" w:sz="4" w:space="0" w:color="auto"/>
              <w:left w:val="single" w:sz="4" w:space="0" w:color="auto"/>
              <w:bottom w:val="single" w:sz="4" w:space="0" w:color="auto"/>
              <w:right w:val="single" w:sz="4" w:space="0" w:color="auto"/>
            </w:tcBorders>
            <w:shd w:val="clear" w:color="000000" w:fill="333F4F"/>
            <w:vAlign w:val="center"/>
            <w:hideMark/>
          </w:tcPr>
          <w:p w:rsidR="00DE1036" w:rsidRPr="00DE1036" w:rsidP="00DE1036">
            <w:pPr>
              <w:rPr>
                <w:rFonts w:cs="Arial"/>
                <w:b/>
                <w:bCs/>
                <w:color w:val="FFFFFF"/>
                <w:sz w:val="21"/>
                <w:szCs w:val="21"/>
              </w:rPr>
            </w:pPr>
            <w:r w:rsidRPr="00DE1036">
              <w:rPr>
                <w:rFonts w:cs="Arial"/>
                <w:b/>
                <w:bCs/>
                <w:color w:val="FFFFFF"/>
                <w:sz w:val="21"/>
                <w:szCs w:val="21"/>
              </w:rPr>
              <w:t>Main changes since 2021 Spending Review</w:t>
            </w:r>
          </w:p>
        </w:tc>
        <w:tc>
          <w:tcPr>
            <w:tcW w:w="795" w:type="pct"/>
            <w:tcBorders>
              <w:top w:val="single" w:sz="4" w:space="0" w:color="auto"/>
              <w:left w:val="nil"/>
              <w:bottom w:val="single" w:sz="4" w:space="0" w:color="auto"/>
              <w:right w:val="single" w:sz="4" w:space="0" w:color="auto"/>
            </w:tcBorders>
            <w:shd w:val="clear" w:color="000000" w:fill="333F4F"/>
            <w:vAlign w:val="center"/>
            <w:hideMark/>
          </w:tcPr>
          <w:p w:rsidR="00DE1036" w:rsidRPr="00DE1036" w:rsidP="00DE1036">
            <w:pPr>
              <w:jc w:val="center"/>
              <w:rPr>
                <w:rFonts w:cs="Arial"/>
                <w:b/>
                <w:bCs/>
                <w:color w:val="FFFFFF"/>
                <w:sz w:val="21"/>
                <w:szCs w:val="21"/>
              </w:rPr>
            </w:pPr>
            <w:r w:rsidRPr="00DE1036">
              <w:rPr>
                <w:rFonts w:cs="Arial"/>
                <w:b/>
                <w:bCs/>
                <w:color w:val="FFFFFF"/>
                <w:sz w:val="21"/>
                <w:szCs w:val="21"/>
              </w:rPr>
              <w:t>RDEL</w:t>
            </w:r>
            <w:r w:rsidRPr="00DE1036">
              <w:rPr>
                <w:rFonts w:cs="Arial"/>
                <w:b/>
                <w:bCs/>
                <w:color w:val="FFFFFF"/>
                <w:sz w:val="21"/>
                <w:szCs w:val="21"/>
              </w:rPr>
              <w:br/>
              <w:t>£m</w:t>
            </w:r>
          </w:p>
        </w:tc>
        <w:tc>
          <w:tcPr>
            <w:tcW w:w="795" w:type="pct"/>
            <w:tcBorders>
              <w:top w:val="single" w:sz="4" w:space="0" w:color="auto"/>
              <w:left w:val="nil"/>
              <w:bottom w:val="single" w:sz="4" w:space="0" w:color="auto"/>
              <w:right w:val="single" w:sz="4" w:space="0" w:color="auto"/>
            </w:tcBorders>
            <w:shd w:val="clear" w:color="000000" w:fill="333F4F"/>
            <w:vAlign w:val="center"/>
            <w:hideMark/>
          </w:tcPr>
          <w:p w:rsidR="00DE1036" w:rsidRPr="00DE1036" w:rsidP="00DE1036">
            <w:pPr>
              <w:jc w:val="center"/>
              <w:rPr>
                <w:rFonts w:cs="Arial"/>
                <w:b/>
                <w:bCs/>
                <w:color w:val="FFFFFF"/>
                <w:sz w:val="21"/>
                <w:szCs w:val="21"/>
              </w:rPr>
            </w:pPr>
            <w:r w:rsidRPr="00DE1036">
              <w:rPr>
                <w:rFonts w:cs="Arial"/>
                <w:b/>
                <w:bCs/>
                <w:color w:val="FFFFFF"/>
                <w:sz w:val="21"/>
                <w:szCs w:val="21"/>
              </w:rPr>
              <w:t>CDEL</w:t>
            </w:r>
            <w:r w:rsidRPr="00DE1036">
              <w:rPr>
                <w:rFonts w:cs="Arial"/>
                <w:b/>
                <w:bCs/>
                <w:color w:val="FFFFFF"/>
                <w:sz w:val="21"/>
                <w:szCs w:val="21"/>
              </w:rPr>
              <w:br/>
              <w:t>£m</w:t>
            </w:r>
          </w:p>
        </w:tc>
      </w:tr>
      <w:tr w:rsidTr="00DE1036">
        <w:tblPrEx>
          <w:tblW w:w="5000" w:type="pct"/>
          <w:tblLook w:val="04A0"/>
        </w:tblPrEx>
        <w:trPr>
          <w:trHeight w:val="285"/>
        </w:trPr>
        <w:tc>
          <w:tcPr>
            <w:tcW w:w="3409" w:type="pct"/>
            <w:tcBorders>
              <w:top w:val="nil"/>
              <w:left w:val="single" w:sz="4" w:space="0" w:color="auto"/>
              <w:bottom w:val="single" w:sz="4" w:space="0" w:color="auto"/>
              <w:right w:val="single" w:sz="4" w:space="0" w:color="auto"/>
            </w:tcBorders>
            <w:shd w:val="clear" w:color="auto" w:fill="auto"/>
            <w:vAlign w:val="center"/>
            <w:hideMark/>
          </w:tcPr>
          <w:p w:rsidR="00DE1036" w:rsidRPr="00DE1036" w:rsidP="00DE1036">
            <w:pPr>
              <w:rPr>
                <w:rFonts w:cs="Arial"/>
                <w:color w:val="000000"/>
                <w:sz w:val="21"/>
                <w:szCs w:val="21"/>
              </w:rPr>
            </w:pPr>
            <w:r w:rsidRPr="00DE1036">
              <w:rPr>
                <w:rFonts w:cs="Arial"/>
                <w:color w:val="000000"/>
                <w:sz w:val="21"/>
                <w:szCs w:val="21"/>
              </w:rPr>
              <w:t>2021 Spending Review (R</w:t>
            </w:r>
            <w:r w:rsidR="00D31AC8">
              <w:rPr>
                <w:rFonts w:cs="Arial"/>
                <w:color w:val="000000"/>
                <w:sz w:val="21"/>
                <w:szCs w:val="21"/>
              </w:rPr>
              <w:t xml:space="preserve">esource </w:t>
            </w:r>
            <w:r w:rsidRPr="00DE1036">
              <w:rPr>
                <w:rFonts w:cs="Arial"/>
                <w:color w:val="000000"/>
                <w:sz w:val="21"/>
                <w:szCs w:val="21"/>
              </w:rPr>
              <w:t xml:space="preserve">DEL </w:t>
            </w:r>
            <w:r w:rsidRPr="00DE1036" w:rsidR="006B76F1">
              <w:rPr>
                <w:rFonts w:cs="Arial"/>
                <w:color w:val="000000"/>
                <w:sz w:val="21"/>
                <w:szCs w:val="21"/>
              </w:rPr>
              <w:t>includes</w:t>
            </w:r>
            <w:r w:rsidRPr="00DE1036">
              <w:rPr>
                <w:rFonts w:cs="Arial"/>
                <w:color w:val="000000"/>
                <w:sz w:val="21"/>
                <w:szCs w:val="21"/>
              </w:rPr>
              <w:t xml:space="preserve"> ring-fenced funding of </w:t>
            </w:r>
            <w:r w:rsidRPr="00DE1036">
              <w:rPr>
                <w:rFonts w:cs="Arial"/>
                <w:sz w:val="21"/>
                <w:szCs w:val="21"/>
              </w:rPr>
              <w:t>£1.580bn</w:t>
            </w:r>
            <w:r w:rsidRPr="00DE1036">
              <w:rPr>
                <w:rFonts w:cs="Arial"/>
                <w:color w:val="000000"/>
                <w:sz w:val="21"/>
                <w:szCs w:val="21"/>
              </w:rPr>
              <w:t>)</w:t>
            </w:r>
          </w:p>
        </w:tc>
        <w:tc>
          <w:tcPr>
            <w:tcW w:w="795" w:type="pct"/>
            <w:tcBorders>
              <w:top w:val="nil"/>
              <w:left w:val="nil"/>
              <w:bottom w:val="single" w:sz="4" w:space="0" w:color="auto"/>
              <w:right w:val="single" w:sz="4" w:space="0" w:color="auto"/>
            </w:tcBorders>
            <w:shd w:val="clear" w:color="auto" w:fill="auto"/>
            <w:noWrap/>
            <w:vAlign w:val="center"/>
            <w:hideMark/>
          </w:tcPr>
          <w:p w:rsidR="00DE1036" w:rsidRPr="00DE1036" w:rsidP="00DE1036">
            <w:pPr>
              <w:jc w:val="right"/>
              <w:rPr>
                <w:rFonts w:cs="Arial"/>
                <w:color w:val="000000"/>
                <w:sz w:val="22"/>
                <w:szCs w:val="22"/>
              </w:rPr>
            </w:pPr>
            <w:r w:rsidRPr="00DE1036">
              <w:rPr>
                <w:rFonts w:cs="Arial"/>
                <w:color w:val="000000"/>
                <w:sz w:val="22"/>
                <w:szCs w:val="22"/>
              </w:rPr>
              <w:t>169,486</w:t>
            </w:r>
          </w:p>
        </w:tc>
        <w:tc>
          <w:tcPr>
            <w:tcW w:w="795" w:type="pct"/>
            <w:tcBorders>
              <w:top w:val="nil"/>
              <w:left w:val="nil"/>
              <w:bottom w:val="single" w:sz="4" w:space="0" w:color="auto"/>
              <w:right w:val="single" w:sz="4" w:space="0" w:color="auto"/>
            </w:tcBorders>
            <w:shd w:val="clear" w:color="auto" w:fill="auto"/>
            <w:noWrap/>
            <w:vAlign w:val="center"/>
            <w:hideMark/>
          </w:tcPr>
          <w:p w:rsidR="00DE1036" w:rsidRPr="00DE1036" w:rsidP="00DE1036">
            <w:pPr>
              <w:jc w:val="right"/>
              <w:rPr>
                <w:rFonts w:cs="Arial"/>
                <w:color w:val="000000"/>
                <w:sz w:val="22"/>
                <w:szCs w:val="22"/>
              </w:rPr>
            </w:pPr>
            <w:r w:rsidRPr="00DE1036">
              <w:rPr>
                <w:rFonts w:cs="Arial"/>
                <w:color w:val="000000"/>
                <w:sz w:val="22"/>
                <w:szCs w:val="22"/>
              </w:rPr>
              <w:t>10,607</w:t>
            </w:r>
          </w:p>
        </w:tc>
      </w:tr>
      <w:tr w:rsidTr="00DE1036">
        <w:tblPrEx>
          <w:tblW w:w="5000" w:type="pct"/>
          <w:tblLook w:val="04A0"/>
        </w:tblPrEx>
        <w:trPr>
          <w:trHeight w:val="285"/>
        </w:trPr>
        <w:tc>
          <w:tcPr>
            <w:tcW w:w="3409" w:type="pct"/>
            <w:tcBorders>
              <w:top w:val="nil"/>
              <w:left w:val="single" w:sz="4" w:space="0" w:color="auto"/>
              <w:bottom w:val="single" w:sz="4" w:space="0" w:color="auto"/>
              <w:right w:val="single" w:sz="4" w:space="0" w:color="auto"/>
            </w:tcBorders>
            <w:shd w:val="clear" w:color="auto" w:fill="auto"/>
            <w:noWrap/>
            <w:vAlign w:val="center"/>
            <w:hideMark/>
          </w:tcPr>
          <w:p w:rsidR="00DE1036" w:rsidRPr="00DE1036" w:rsidP="00DE1036">
            <w:pPr>
              <w:rPr>
                <w:rFonts w:cs="Arial"/>
                <w:color w:val="000000"/>
                <w:sz w:val="21"/>
                <w:szCs w:val="21"/>
              </w:rPr>
            </w:pPr>
            <w:r w:rsidRPr="00DE1036">
              <w:rPr>
                <w:rFonts w:cs="Arial"/>
                <w:color w:val="000000"/>
                <w:sz w:val="21"/>
                <w:szCs w:val="21"/>
              </w:rPr>
              <w:t xml:space="preserve">2022-23 Main Estimate (a) </w:t>
            </w:r>
          </w:p>
        </w:tc>
        <w:tc>
          <w:tcPr>
            <w:tcW w:w="795" w:type="pct"/>
            <w:tcBorders>
              <w:top w:val="nil"/>
              <w:left w:val="nil"/>
              <w:bottom w:val="single" w:sz="4" w:space="0" w:color="auto"/>
              <w:right w:val="single" w:sz="4" w:space="0" w:color="auto"/>
            </w:tcBorders>
            <w:shd w:val="clear" w:color="auto" w:fill="auto"/>
            <w:vAlign w:val="bottom"/>
            <w:hideMark/>
          </w:tcPr>
          <w:p w:rsidR="00DE1036" w:rsidRPr="00DE1036" w:rsidP="00DE1036">
            <w:pPr>
              <w:jc w:val="right"/>
              <w:rPr>
                <w:rFonts w:cs="Arial"/>
                <w:color w:val="000000"/>
                <w:sz w:val="21"/>
                <w:szCs w:val="21"/>
              </w:rPr>
            </w:pPr>
            <w:r w:rsidRPr="00DE1036">
              <w:rPr>
                <w:rFonts w:cs="Arial"/>
                <w:color w:val="000000"/>
                <w:sz w:val="21"/>
                <w:szCs w:val="21"/>
              </w:rPr>
              <w:t>-55</w:t>
            </w:r>
          </w:p>
        </w:tc>
        <w:tc>
          <w:tcPr>
            <w:tcW w:w="795" w:type="pct"/>
            <w:tcBorders>
              <w:top w:val="nil"/>
              <w:left w:val="nil"/>
              <w:bottom w:val="single" w:sz="4" w:space="0" w:color="auto"/>
              <w:right w:val="single" w:sz="4" w:space="0" w:color="auto"/>
            </w:tcBorders>
            <w:shd w:val="clear" w:color="auto" w:fill="auto"/>
            <w:noWrap/>
            <w:vAlign w:val="center"/>
            <w:hideMark/>
          </w:tcPr>
          <w:p w:rsidR="00DE1036" w:rsidRPr="00DE1036" w:rsidP="00DE1036">
            <w:pPr>
              <w:jc w:val="right"/>
              <w:rPr>
                <w:rFonts w:cs="Arial"/>
                <w:color w:val="000000"/>
                <w:sz w:val="22"/>
                <w:szCs w:val="22"/>
              </w:rPr>
            </w:pPr>
            <w:r w:rsidRPr="00DE1036">
              <w:rPr>
                <w:rFonts w:cs="Arial"/>
                <w:color w:val="000000"/>
                <w:sz w:val="22"/>
                <w:szCs w:val="22"/>
              </w:rPr>
              <w:t>1,435</w:t>
            </w:r>
          </w:p>
        </w:tc>
      </w:tr>
      <w:tr w:rsidTr="00DE1036">
        <w:tblPrEx>
          <w:tblW w:w="5000" w:type="pct"/>
          <w:tblLook w:val="04A0"/>
        </w:tblPrEx>
        <w:trPr>
          <w:trHeight w:val="285"/>
        </w:trPr>
        <w:tc>
          <w:tcPr>
            <w:tcW w:w="3409" w:type="pct"/>
            <w:tcBorders>
              <w:top w:val="nil"/>
              <w:left w:val="single" w:sz="4" w:space="0" w:color="auto"/>
              <w:bottom w:val="single" w:sz="4" w:space="0" w:color="auto"/>
              <w:right w:val="single" w:sz="4" w:space="0" w:color="auto"/>
            </w:tcBorders>
            <w:shd w:val="clear" w:color="auto" w:fill="auto"/>
            <w:vAlign w:val="bottom"/>
            <w:hideMark/>
          </w:tcPr>
          <w:p w:rsidR="00DE1036" w:rsidRPr="00DE1036" w:rsidP="00DE1036">
            <w:pPr>
              <w:rPr>
                <w:rFonts w:cs="Arial"/>
                <w:color w:val="000000"/>
                <w:sz w:val="21"/>
                <w:szCs w:val="21"/>
              </w:rPr>
            </w:pPr>
            <w:r w:rsidRPr="00DE1036">
              <w:rPr>
                <w:rFonts w:cs="Arial"/>
                <w:color w:val="000000"/>
                <w:sz w:val="21"/>
                <w:szCs w:val="21"/>
              </w:rPr>
              <w:t xml:space="preserve">2022-23 Routine transfers of funding from other Government Departments (b) </w:t>
            </w:r>
          </w:p>
        </w:tc>
        <w:tc>
          <w:tcPr>
            <w:tcW w:w="795" w:type="pct"/>
            <w:tcBorders>
              <w:top w:val="nil"/>
              <w:left w:val="nil"/>
              <w:bottom w:val="single" w:sz="4" w:space="0" w:color="auto"/>
              <w:right w:val="single" w:sz="4" w:space="0" w:color="auto"/>
            </w:tcBorders>
            <w:shd w:val="clear" w:color="auto" w:fill="auto"/>
            <w:noWrap/>
            <w:vAlign w:val="center"/>
            <w:hideMark/>
          </w:tcPr>
          <w:p w:rsidR="00DE1036" w:rsidRPr="00DE1036" w:rsidP="00DE1036">
            <w:pPr>
              <w:jc w:val="right"/>
              <w:rPr>
                <w:rFonts w:cs="Arial"/>
                <w:color w:val="000000"/>
                <w:sz w:val="22"/>
                <w:szCs w:val="22"/>
              </w:rPr>
            </w:pPr>
            <w:r w:rsidRPr="00DE1036">
              <w:rPr>
                <w:rFonts w:cs="Arial"/>
                <w:color w:val="000000"/>
                <w:sz w:val="22"/>
                <w:szCs w:val="22"/>
              </w:rPr>
              <w:t>516</w:t>
            </w:r>
          </w:p>
        </w:tc>
        <w:tc>
          <w:tcPr>
            <w:tcW w:w="795" w:type="pct"/>
            <w:tcBorders>
              <w:top w:val="nil"/>
              <w:left w:val="nil"/>
              <w:bottom w:val="single" w:sz="4" w:space="0" w:color="auto"/>
              <w:right w:val="single" w:sz="4" w:space="0" w:color="auto"/>
            </w:tcBorders>
            <w:shd w:val="clear" w:color="auto" w:fill="auto"/>
            <w:noWrap/>
            <w:vAlign w:val="center"/>
            <w:hideMark/>
          </w:tcPr>
          <w:p w:rsidR="00DE1036" w:rsidRPr="00DE1036" w:rsidP="00DE1036">
            <w:pPr>
              <w:jc w:val="right"/>
              <w:rPr>
                <w:rFonts w:cs="Arial"/>
                <w:color w:val="000000"/>
                <w:sz w:val="22"/>
                <w:szCs w:val="22"/>
              </w:rPr>
            </w:pPr>
            <w:r w:rsidRPr="00DE1036">
              <w:rPr>
                <w:rFonts w:cs="Arial"/>
                <w:color w:val="000000"/>
                <w:sz w:val="22"/>
                <w:szCs w:val="22"/>
              </w:rPr>
              <w:t>6</w:t>
            </w:r>
          </w:p>
        </w:tc>
      </w:tr>
      <w:tr w:rsidTr="00DE1036">
        <w:tblPrEx>
          <w:tblW w:w="5000" w:type="pct"/>
          <w:tblLook w:val="04A0"/>
        </w:tblPrEx>
        <w:trPr>
          <w:trHeight w:val="300"/>
        </w:trPr>
        <w:tc>
          <w:tcPr>
            <w:tcW w:w="3409" w:type="pct"/>
            <w:tcBorders>
              <w:top w:val="nil"/>
              <w:left w:val="single" w:sz="4" w:space="0" w:color="auto"/>
              <w:bottom w:val="single" w:sz="4" w:space="0" w:color="auto"/>
              <w:right w:val="single" w:sz="4" w:space="0" w:color="auto"/>
            </w:tcBorders>
            <w:shd w:val="clear" w:color="auto" w:fill="auto"/>
            <w:noWrap/>
            <w:vAlign w:val="bottom"/>
            <w:hideMark/>
          </w:tcPr>
          <w:p w:rsidR="00DE1036" w:rsidRPr="00DE1036" w:rsidP="00DE1036">
            <w:pPr>
              <w:rPr>
                <w:rFonts w:cs="Arial"/>
                <w:b/>
                <w:bCs/>
                <w:color w:val="000000"/>
                <w:sz w:val="21"/>
                <w:szCs w:val="21"/>
              </w:rPr>
            </w:pPr>
            <w:r w:rsidRPr="00DE1036">
              <w:rPr>
                <w:rFonts w:cs="Arial"/>
                <w:b/>
                <w:bCs/>
                <w:color w:val="000000"/>
                <w:sz w:val="21"/>
                <w:szCs w:val="21"/>
              </w:rPr>
              <w:t>TOTAL</w:t>
            </w:r>
          </w:p>
        </w:tc>
        <w:tc>
          <w:tcPr>
            <w:tcW w:w="795" w:type="pct"/>
            <w:tcBorders>
              <w:top w:val="nil"/>
              <w:left w:val="nil"/>
              <w:bottom w:val="single" w:sz="4" w:space="0" w:color="auto"/>
              <w:right w:val="single" w:sz="4" w:space="0" w:color="auto"/>
            </w:tcBorders>
            <w:shd w:val="clear" w:color="auto" w:fill="auto"/>
            <w:noWrap/>
            <w:vAlign w:val="center"/>
            <w:hideMark/>
          </w:tcPr>
          <w:p w:rsidR="00DE1036" w:rsidRPr="00DE1036" w:rsidP="00DE1036">
            <w:pPr>
              <w:jc w:val="right"/>
              <w:rPr>
                <w:rFonts w:cs="Arial"/>
                <w:b/>
                <w:bCs/>
                <w:color w:val="000000"/>
                <w:sz w:val="22"/>
                <w:szCs w:val="22"/>
              </w:rPr>
            </w:pPr>
            <w:r w:rsidRPr="00DE1036">
              <w:rPr>
                <w:rFonts w:cs="Arial"/>
                <w:b/>
                <w:bCs/>
                <w:color w:val="000000"/>
                <w:sz w:val="22"/>
                <w:szCs w:val="22"/>
              </w:rPr>
              <w:t>169,948</w:t>
            </w:r>
          </w:p>
        </w:tc>
        <w:tc>
          <w:tcPr>
            <w:tcW w:w="795" w:type="pct"/>
            <w:tcBorders>
              <w:top w:val="nil"/>
              <w:left w:val="nil"/>
              <w:bottom w:val="single" w:sz="4" w:space="0" w:color="auto"/>
              <w:right w:val="single" w:sz="4" w:space="0" w:color="auto"/>
            </w:tcBorders>
            <w:shd w:val="clear" w:color="auto" w:fill="auto"/>
            <w:noWrap/>
            <w:vAlign w:val="center"/>
            <w:hideMark/>
          </w:tcPr>
          <w:p w:rsidR="00DE1036" w:rsidRPr="00DE1036" w:rsidP="00DE1036">
            <w:pPr>
              <w:jc w:val="right"/>
              <w:rPr>
                <w:rFonts w:cs="Arial"/>
                <w:b/>
                <w:bCs/>
                <w:color w:val="000000"/>
                <w:sz w:val="22"/>
                <w:szCs w:val="22"/>
              </w:rPr>
            </w:pPr>
            <w:r w:rsidRPr="00DE1036">
              <w:rPr>
                <w:rFonts w:cs="Arial"/>
                <w:b/>
                <w:bCs/>
                <w:color w:val="000000"/>
                <w:sz w:val="22"/>
                <w:szCs w:val="22"/>
              </w:rPr>
              <w:t>12,048</w:t>
            </w:r>
          </w:p>
        </w:tc>
      </w:tr>
    </w:tbl>
    <w:p w:rsidR="008359FD" w:rsidRPr="007A786D" w:rsidP="008359FD">
      <w:pPr>
        <w:numPr>
          <w:ilvl w:val="0"/>
          <w:numId w:val="15"/>
        </w:numPr>
        <w:spacing w:before="240" w:after="120"/>
        <w:jc w:val="both"/>
        <w:rPr>
          <w:rFonts w:eastAsiaTheme="minorHAnsi" w:cs="Arial"/>
          <w:sz w:val="22"/>
          <w:szCs w:val="22"/>
          <w:lang w:eastAsia="en-US"/>
        </w:rPr>
      </w:pPr>
      <w:r w:rsidRPr="007A786D">
        <w:rPr>
          <w:rFonts w:eastAsiaTheme="minorHAnsi" w:cs="Arial"/>
          <w:b/>
          <w:bCs/>
          <w:sz w:val="22"/>
          <w:szCs w:val="22"/>
          <w:lang w:eastAsia="en-US"/>
        </w:rPr>
        <w:t>Budget adjustments for IFRS16 implementation</w:t>
      </w:r>
      <w:r w:rsidRPr="007A786D" w:rsidR="007A786D">
        <w:rPr>
          <w:rFonts w:eastAsiaTheme="minorHAnsi" w:cs="Arial"/>
          <w:b/>
          <w:bCs/>
          <w:sz w:val="22"/>
          <w:szCs w:val="22"/>
          <w:lang w:eastAsia="en-US"/>
        </w:rPr>
        <w:t>:</w:t>
      </w:r>
      <w:r w:rsidRPr="007A786D">
        <w:rPr>
          <w:rFonts w:eastAsiaTheme="minorHAnsi" w:cs="Arial"/>
          <w:b/>
          <w:bCs/>
          <w:sz w:val="22"/>
          <w:szCs w:val="22"/>
          <w:lang w:eastAsia="en-US"/>
        </w:rPr>
        <w:t xml:space="preserve"> </w:t>
      </w:r>
      <w:r w:rsidRPr="007A786D">
        <w:rPr>
          <w:rFonts w:eastAsiaTheme="minorHAnsi" w:cs="Arial"/>
          <w:sz w:val="22"/>
          <w:szCs w:val="22"/>
          <w:lang w:eastAsia="en-US"/>
        </w:rPr>
        <w:t xml:space="preserve">Government departments are required to implement the accounting standard for leases - International Financial Reporting Standard 16 (IFRS16). Full details were </w:t>
      </w:r>
      <w:r>
        <w:fldChar w:fldCharType="begin"/>
      </w:r>
      <w:r>
        <w:instrText xml:space="preserve"> HYPERLINK "https://assets.publishing.service.gov.uk/government/uploads/system/uploads/attachment_data/file/956108/IFRS_16_Application_Guidance_December_2020.pdf" </w:instrText>
      </w:r>
      <w:r>
        <w:fldChar w:fldCharType="separate"/>
      </w:r>
      <w:r w:rsidRPr="007A786D">
        <w:rPr>
          <w:rStyle w:val="Hyperlink"/>
          <w:rFonts w:eastAsiaTheme="minorHAnsi" w:cs="Arial"/>
          <w:sz w:val="22"/>
          <w:szCs w:val="22"/>
          <w:lang w:eastAsia="en-US"/>
        </w:rPr>
        <w:t>published</w:t>
      </w:r>
      <w:r>
        <w:fldChar w:fldCharType="end"/>
      </w:r>
      <w:r w:rsidRPr="007A786D">
        <w:rPr>
          <w:rFonts w:eastAsiaTheme="minorHAnsi" w:cs="Arial"/>
          <w:sz w:val="22"/>
          <w:szCs w:val="22"/>
          <w:lang w:eastAsia="en-US"/>
        </w:rPr>
        <w:t xml:space="preserve"> by HM Treasury in December 2020. In simple terms there is no longer the distinction between operating leases (scored to </w:t>
      </w:r>
      <w:r w:rsidRPr="007A786D" w:rsidR="006B76F1">
        <w:rPr>
          <w:rFonts w:eastAsiaTheme="minorHAnsi" w:cs="Arial"/>
          <w:sz w:val="22"/>
          <w:szCs w:val="22"/>
          <w:lang w:eastAsia="en-US"/>
        </w:rPr>
        <w:t>re</w:t>
      </w:r>
      <w:r w:rsidR="00D31AC8">
        <w:rPr>
          <w:rFonts w:eastAsiaTheme="minorHAnsi" w:cs="Arial"/>
          <w:sz w:val="22"/>
          <w:szCs w:val="22"/>
          <w:lang w:eastAsia="en-US"/>
        </w:rPr>
        <w:t>source</w:t>
      </w:r>
      <w:r w:rsidRPr="007A786D">
        <w:rPr>
          <w:rFonts w:eastAsiaTheme="minorHAnsi" w:cs="Arial"/>
          <w:sz w:val="22"/>
          <w:szCs w:val="22"/>
          <w:lang w:eastAsia="en-US"/>
        </w:rPr>
        <w:t>) and finance leases (scored to capital), meaning that departmental budgets will change as follows:</w:t>
      </w:r>
    </w:p>
    <w:p w:rsidR="008359FD" w:rsidRPr="007A786D" w:rsidP="008359FD">
      <w:pPr>
        <w:ind w:left="924"/>
        <w:contextualSpacing/>
        <w:jc w:val="both"/>
        <w:rPr>
          <w:rFonts w:eastAsiaTheme="minorHAnsi" w:cs="Arial"/>
          <w:sz w:val="22"/>
          <w:szCs w:val="22"/>
          <w:lang w:eastAsia="en-US"/>
        </w:rPr>
      </w:pPr>
    </w:p>
    <w:p w:rsidR="008359FD" w:rsidRPr="007A786D" w:rsidP="008359FD">
      <w:pPr>
        <w:pStyle w:val="ListParagraph"/>
        <w:numPr>
          <w:ilvl w:val="0"/>
          <w:numId w:val="17"/>
        </w:numPr>
        <w:contextualSpacing/>
        <w:jc w:val="both"/>
        <w:rPr>
          <w:rFonts w:ascii="Arial" w:hAnsi="Arial" w:eastAsiaTheme="minorHAnsi" w:cs="Arial"/>
          <w:lang w:eastAsia="en-US"/>
        </w:rPr>
      </w:pPr>
      <w:r w:rsidRPr="007A786D">
        <w:rPr>
          <w:rFonts w:ascii="Arial" w:hAnsi="Arial" w:eastAsiaTheme="minorHAnsi" w:cs="Arial"/>
          <w:b/>
          <w:bCs/>
          <w:lang w:eastAsia="en-US"/>
        </w:rPr>
        <w:t>Capital:</w:t>
      </w:r>
      <w:r w:rsidRPr="007A786D">
        <w:rPr>
          <w:rFonts w:ascii="Arial" w:hAnsi="Arial" w:eastAsiaTheme="minorHAnsi" w:cs="Arial"/>
          <w:lang w:eastAsia="en-US"/>
        </w:rPr>
        <w:t xml:space="preserve"> to include the costs of new leases and changes to existing leases. In 2022-23</w:t>
      </w:r>
      <w:r w:rsidRPr="007A786D" w:rsidR="008F0723">
        <w:rPr>
          <w:rFonts w:ascii="Arial" w:hAnsi="Arial" w:eastAsiaTheme="minorHAnsi" w:cs="Arial"/>
          <w:lang w:eastAsia="en-US"/>
        </w:rPr>
        <w:t>,</w:t>
      </w:r>
      <w:r w:rsidRPr="007A786D">
        <w:rPr>
          <w:rFonts w:ascii="Arial" w:hAnsi="Arial" w:eastAsiaTheme="minorHAnsi" w:cs="Arial"/>
          <w:lang w:eastAsia="en-US"/>
        </w:rPr>
        <w:t xml:space="preserve"> DHSC’s IFRS16 capital funding is £1.4 billion.</w:t>
      </w:r>
    </w:p>
    <w:p w:rsidR="007A786D" w:rsidRPr="007A786D" w:rsidP="007A786D">
      <w:pPr>
        <w:numPr>
          <w:ilvl w:val="0"/>
          <w:numId w:val="17"/>
        </w:numPr>
        <w:shd w:val="clear" w:color="auto" w:fill="FFFFFF"/>
        <w:spacing w:before="100" w:beforeAutospacing="1" w:after="100" w:afterAutospacing="1"/>
        <w:rPr>
          <w:rFonts w:eastAsiaTheme="minorHAnsi" w:cs="Arial"/>
          <w:sz w:val="22"/>
          <w:szCs w:val="22"/>
          <w:lang w:eastAsia="en-US"/>
        </w:rPr>
      </w:pPr>
      <w:r w:rsidRPr="007A786D">
        <w:rPr>
          <w:rFonts w:eastAsiaTheme="minorHAnsi" w:cs="Arial"/>
          <w:b/>
          <w:bCs/>
          <w:sz w:val="22"/>
          <w:szCs w:val="22"/>
          <w:lang w:eastAsia="en-US"/>
        </w:rPr>
        <w:t>R</w:t>
      </w:r>
      <w:r w:rsidR="00D31AC8">
        <w:rPr>
          <w:rFonts w:eastAsiaTheme="minorHAnsi" w:cs="Arial"/>
          <w:b/>
          <w:bCs/>
          <w:sz w:val="22"/>
          <w:szCs w:val="22"/>
          <w:lang w:eastAsia="en-US"/>
        </w:rPr>
        <w:t>esource</w:t>
      </w:r>
      <w:r w:rsidRPr="007A786D">
        <w:rPr>
          <w:rFonts w:eastAsiaTheme="minorHAnsi" w:cs="Arial"/>
          <w:b/>
          <w:bCs/>
          <w:sz w:val="22"/>
          <w:szCs w:val="22"/>
          <w:lang w:eastAsia="en-US"/>
        </w:rPr>
        <w:t>: </w:t>
      </w:r>
      <w:r w:rsidRPr="007A786D">
        <w:rPr>
          <w:rFonts w:eastAsiaTheme="minorHAnsi" w:cs="Arial"/>
          <w:sz w:val="22"/>
          <w:szCs w:val="22"/>
          <w:lang w:eastAsia="en-US"/>
        </w:rPr>
        <w:t>to include the depreciation costs and interest costs of leasing offset by the expense that would have been incurred under the previous leasing standard for operating leases. In 2022-23 DHSC’s IFRS16 re</w:t>
      </w:r>
      <w:r w:rsidR="000E33A9">
        <w:rPr>
          <w:rFonts w:eastAsiaTheme="minorHAnsi" w:cs="Arial"/>
          <w:sz w:val="22"/>
          <w:szCs w:val="22"/>
          <w:lang w:eastAsia="en-US"/>
        </w:rPr>
        <w:t xml:space="preserve">source </w:t>
      </w:r>
      <w:r w:rsidRPr="007A786D">
        <w:rPr>
          <w:rFonts w:eastAsiaTheme="minorHAnsi" w:cs="Arial"/>
          <w:sz w:val="22"/>
          <w:szCs w:val="22"/>
          <w:lang w:eastAsia="en-US"/>
        </w:rPr>
        <w:t>funding is a reduction of £55 million</w:t>
      </w:r>
    </w:p>
    <w:p w:rsidR="00920742" w:rsidRPr="00D9502D" w:rsidP="001F4DFB">
      <w:pPr>
        <w:numPr>
          <w:ilvl w:val="0"/>
          <w:numId w:val="15"/>
        </w:numPr>
        <w:spacing w:before="240" w:after="120"/>
        <w:jc w:val="both"/>
        <w:rPr>
          <w:rFonts w:cs="Arial"/>
          <w:sz w:val="22"/>
          <w:szCs w:val="22"/>
        </w:rPr>
      </w:pPr>
      <w:r w:rsidRPr="008359FD">
        <w:rPr>
          <w:rFonts w:cs="Arial"/>
          <w:b/>
          <w:bCs/>
          <w:sz w:val="22"/>
          <w:szCs w:val="22"/>
        </w:rPr>
        <w:t>routine transfers from other Government departments</w:t>
      </w:r>
      <w:r w:rsidR="00DE1036">
        <w:rPr>
          <w:rFonts w:cs="Arial"/>
          <w:sz w:val="22"/>
          <w:szCs w:val="22"/>
        </w:rPr>
        <w:t xml:space="preserve"> – RDEL £516 million and CDEL £6 million</w:t>
      </w:r>
      <w:r w:rsidRPr="00D9502D">
        <w:rPr>
          <w:rFonts w:cs="Arial"/>
          <w:sz w:val="22"/>
          <w:szCs w:val="22"/>
        </w:rPr>
        <w:t xml:space="preserve">; </w:t>
      </w:r>
    </w:p>
    <w:p w:rsidR="004F64C1" w:rsidRPr="00565172" w:rsidP="001F4DFB">
      <w:pPr>
        <w:numPr>
          <w:ilvl w:val="0"/>
          <w:numId w:val="4"/>
        </w:numPr>
        <w:spacing w:after="200"/>
        <w:ind w:left="567" w:hanging="567"/>
        <w:contextualSpacing/>
        <w:rPr>
          <w:rFonts w:eastAsiaTheme="minorHAnsi" w:cs="Arial"/>
          <w:b/>
          <w:sz w:val="22"/>
          <w:szCs w:val="22"/>
          <w:lang w:eastAsia="en-US"/>
        </w:rPr>
      </w:pPr>
      <w:r w:rsidRPr="00565172">
        <w:rPr>
          <w:rFonts w:eastAsiaTheme="minorHAnsi" w:cs="Arial"/>
          <w:b/>
          <w:sz w:val="22"/>
          <w:szCs w:val="22"/>
          <w:lang w:eastAsia="en-US"/>
        </w:rPr>
        <w:t>SPENDING DETAIL</w:t>
      </w:r>
    </w:p>
    <w:p w:rsidR="004F64C1" w:rsidRPr="00565172" w:rsidP="004F64C1">
      <w:pPr>
        <w:ind w:left="567"/>
        <w:contextualSpacing/>
        <w:rPr>
          <w:rFonts w:eastAsiaTheme="minorHAnsi" w:cs="Arial"/>
          <w:b/>
          <w:sz w:val="22"/>
          <w:szCs w:val="22"/>
          <w:lang w:eastAsia="en-US"/>
        </w:rPr>
      </w:pPr>
    </w:p>
    <w:p w:rsidR="004F64C1" w:rsidRPr="00565172" w:rsidP="004F64C1">
      <w:pPr>
        <w:ind w:left="567"/>
        <w:contextualSpacing/>
        <w:jc w:val="both"/>
        <w:rPr>
          <w:rFonts w:eastAsiaTheme="minorHAnsi" w:cs="Arial"/>
          <w:sz w:val="22"/>
          <w:szCs w:val="22"/>
          <w:lang w:eastAsia="en-US"/>
        </w:rPr>
      </w:pPr>
      <w:r w:rsidRPr="00565172">
        <w:rPr>
          <w:rFonts w:eastAsiaTheme="minorHAnsi" w:cs="Arial"/>
          <w:sz w:val="22"/>
          <w:szCs w:val="22"/>
          <w:lang w:eastAsia="en-US"/>
        </w:rPr>
        <w:t xml:space="preserve">The tables below detail the changes in the </w:t>
      </w:r>
      <w:r>
        <w:rPr>
          <w:rFonts w:eastAsiaTheme="minorHAnsi" w:cs="Arial"/>
          <w:sz w:val="22"/>
          <w:szCs w:val="22"/>
          <w:lang w:eastAsia="en-US"/>
        </w:rPr>
        <w:t>202</w:t>
      </w:r>
      <w:r w:rsidR="006C6209">
        <w:rPr>
          <w:rFonts w:eastAsiaTheme="minorHAnsi" w:cs="Arial"/>
          <w:sz w:val="22"/>
          <w:szCs w:val="22"/>
          <w:lang w:eastAsia="en-US"/>
        </w:rPr>
        <w:t>2-23</w:t>
      </w:r>
      <w:r>
        <w:rPr>
          <w:rFonts w:eastAsiaTheme="minorHAnsi" w:cs="Arial"/>
          <w:sz w:val="22"/>
          <w:szCs w:val="22"/>
          <w:lang w:eastAsia="en-US"/>
        </w:rPr>
        <w:t xml:space="preserve"> Main </w:t>
      </w:r>
      <w:r w:rsidRPr="00565172">
        <w:rPr>
          <w:rFonts w:eastAsiaTheme="minorHAnsi" w:cs="Arial"/>
          <w:sz w:val="22"/>
          <w:szCs w:val="22"/>
          <w:lang w:eastAsia="en-US"/>
        </w:rPr>
        <w:t xml:space="preserve">Estimate compared to the </w:t>
      </w:r>
      <w:r>
        <w:rPr>
          <w:rFonts w:eastAsiaTheme="minorHAnsi" w:cs="Arial"/>
          <w:sz w:val="22"/>
          <w:szCs w:val="22"/>
          <w:lang w:eastAsia="en-US"/>
        </w:rPr>
        <w:t>202</w:t>
      </w:r>
      <w:r w:rsidR="006C6209">
        <w:rPr>
          <w:rFonts w:eastAsiaTheme="minorHAnsi" w:cs="Arial"/>
          <w:sz w:val="22"/>
          <w:szCs w:val="22"/>
          <w:lang w:eastAsia="en-US"/>
        </w:rPr>
        <w:t>1-22</w:t>
      </w:r>
      <w:r>
        <w:rPr>
          <w:rFonts w:eastAsiaTheme="minorHAnsi" w:cs="Arial"/>
          <w:sz w:val="22"/>
          <w:szCs w:val="22"/>
          <w:lang w:eastAsia="en-US"/>
        </w:rPr>
        <w:t xml:space="preserve"> </w:t>
      </w:r>
      <w:r w:rsidRPr="00941E97">
        <w:rPr>
          <w:rFonts w:eastAsiaTheme="minorHAnsi" w:cs="Arial"/>
          <w:sz w:val="22"/>
          <w:szCs w:val="22"/>
          <w:lang w:eastAsia="en-US"/>
        </w:rPr>
        <w:t>Supplementary</w:t>
      </w:r>
      <w:r w:rsidRPr="00565172">
        <w:rPr>
          <w:rFonts w:eastAsiaTheme="minorHAnsi" w:cs="Arial"/>
          <w:sz w:val="22"/>
          <w:szCs w:val="22"/>
          <w:lang w:eastAsia="en-US"/>
        </w:rPr>
        <w:t xml:space="preserve"> </w:t>
      </w:r>
      <w:r w:rsidR="006C6209">
        <w:rPr>
          <w:rFonts w:eastAsiaTheme="minorHAnsi" w:cs="Arial"/>
          <w:sz w:val="22"/>
          <w:szCs w:val="22"/>
          <w:lang w:eastAsia="en-US"/>
        </w:rPr>
        <w:t xml:space="preserve">Supply </w:t>
      </w:r>
      <w:r w:rsidRPr="00565172">
        <w:rPr>
          <w:rFonts w:eastAsiaTheme="minorHAnsi" w:cs="Arial"/>
          <w:sz w:val="22"/>
          <w:szCs w:val="22"/>
          <w:lang w:eastAsia="en-US"/>
        </w:rPr>
        <w:t xml:space="preserve">Estimate.  As per Estimates Memorandum convention, explanations for any changes, which are over both £10 million and 10% or over £200 million and 5% are provided in a referenced note under each table.  </w:t>
      </w:r>
    </w:p>
    <w:p w:rsidR="004F64C1" w:rsidRPr="00565172" w:rsidP="004F64C1">
      <w:pPr>
        <w:ind w:left="567"/>
        <w:contextualSpacing/>
        <w:jc w:val="both"/>
        <w:rPr>
          <w:rFonts w:eastAsiaTheme="minorHAnsi" w:cs="Arial"/>
          <w:sz w:val="22"/>
          <w:szCs w:val="22"/>
          <w:lang w:eastAsia="en-US"/>
        </w:rPr>
      </w:pPr>
    </w:p>
    <w:p w:rsidR="004F64C1" w:rsidRPr="00565172" w:rsidP="001F4DFB">
      <w:pPr>
        <w:numPr>
          <w:ilvl w:val="1"/>
          <w:numId w:val="4"/>
        </w:numPr>
        <w:spacing w:after="120" w:line="276" w:lineRule="auto"/>
        <w:ind w:left="567" w:hanging="567"/>
        <w:jc w:val="both"/>
        <w:rPr>
          <w:rFonts w:eastAsia="Calibri" w:cs="Arial"/>
          <w:b/>
          <w:sz w:val="22"/>
          <w:szCs w:val="22"/>
        </w:rPr>
      </w:pPr>
      <w:r w:rsidRPr="00565172">
        <w:rPr>
          <w:rFonts w:eastAsia="Calibri" w:cs="Arial"/>
          <w:b/>
          <w:sz w:val="22"/>
          <w:szCs w:val="22"/>
        </w:rPr>
        <w:t xml:space="preserve">Resource </w:t>
      </w:r>
      <w:r w:rsidRPr="00642D8D">
        <w:rPr>
          <w:rFonts w:eastAsia="Calibri" w:cs="Arial"/>
          <w:b/>
          <w:sz w:val="22"/>
          <w:szCs w:val="22"/>
        </w:rPr>
        <w:t xml:space="preserve">DEL </w:t>
      </w:r>
    </w:p>
    <w:p w:rsidR="00E8692B" w:rsidP="004F64C1">
      <w:pPr>
        <w:ind w:left="567"/>
        <w:jc w:val="both"/>
        <w:rPr>
          <w:rFonts w:eastAsia="Calibri" w:cs="Arial"/>
          <w:sz w:val="22"/>
          <w:szCs w:val="22"/>
        </w:rPr>
      </w:pPr>
    </w:p>
    <w:p w:rsidR="004F64C1" w:rsidP="004F64C1">
      <w:pPr>
        <w:ind w:left="567"/>
        <w:jc w:val="both"/>
        <w:rPr>
          <w:rFonts w:eastAsia="Calibri" w:cs="Arial"/>
          <w:sz w:val="22"/>
          <w:szCs w:val="22"/>
        </w:rPr>
      </w:pPr>
      <w:r w:rsidRPr="00565172">
        <w:rPr>
          <w:rFonts w:eastAsia="Calibri" w:cs="Arial"/>
          <w:sz w:val="22"/>
          <w:szCs w:val="22"/>
        </w:rPr>
        <w:t xml:space="preserve">The table below shows how DHSC’s </w:t>
      </w:r>
      <w:r>
        <w:rPr>
          <w:rFonts w:eastAsia="Calibri" w:cs="Arial"/>
          <w:sz w:val="22"/>
          <w:szCs w:val="22"/>
        </w:rPr>
        <w:t>202</w:t>
      </w:r>
      <w:r w:rsidR="00E30C01">
        <w:rPr>
          <w:rFonts w:eastAsia="Calibri" w:cs="Arial"/>
          <w:sz w:val="22"/>
          <w:szCs w:val="22"/>
        </w:rPr>
        <w:t>1-22</w:t>
      </w:r>
      <w:r>
        <w:rPr>
          <w:rFonts w:eastAsia="Calibri" w:cs="Arial"/>
          <w:sz w:val="22"/>
          <w:szCs w:val="22"/>
        </w:rPr>
        <w:t xml:space="preserve"> </w:t>
      </w:r>
      <w:r w:rsidRPr="00565172">
        <w:rPr>
          <w:rFonts w:eastAsia="Calibri" w:cs="Arial"/>
          <w:sz w:val="22"/>
          <w:szCs w:val="22"/>
        </w:rPr>
        <w:t xml:space="preserve">Supplementary </w:t>
      </w:r>
      <w:r w:rsidR="00E30C01">
        <w:rPr>
          <w:rFonts w:eastAsia="Calibri" w:cs="Arial"/>
          <w:sz w:val="22"/>
          <w:szCs w:val="22"/>
        </w:rPr>
        <w:t xml:space="preserve">Supply </w:t>
      </w:r>
      <w:r w:rsidRPr="00565172">
        <w:rPr>
          <w:rFonts w:eastAsia="Calibri" w:cs="Arial"/>
          <w:sz w:val="22"/>
          <w:szCs w:val="22"/>
        </w:rPr>
        <w:t xml:space="preserve">Estimate spending plans for Resource DEL compare with the </w:t>
      </w:r>
      <w:r>
        <w:rPr>
          <w:rFonts w:eastAsia="Calibri" w:cs="Arial"/>
          <w:sz w:val="22"/>
          <w:szCs w:val="22"/>
        </w:rPr>
        <w:t>202</w:t>
      </w:r>
      <w:r w:rsidR="00E30C01">
        <w:rPr>
          <w:rFonts w:eastAsia="Calibri" w:cs="Arial"/>
          <w:sz w:val="22"/>
          <w:szCs w:val="22"/>
        </w:rPr>
        <w:t>2-23</w:t>
      </w:r>
      <w:r>
        <w:rPr>
          <w:rFonts w:eastAsia="Calibri" w:cs="Arial"/>
          <w:sz w:val="22"/>
          <w:szCs w:val="22"/>
        </w:rPr>
        <w:t xml:space="preserve"> </w:t>
      </w:r>
      <w:r w:rsidRPr="00565172">
        <w:rPr>
          <w:rFonts w:eastAsia="Calibri" w:cs="Arial"/>
          <w:sz w:val="22"/>
          <w:szCs w:val="22"/>
        </w:rPr>
        <w:t xml:space="preserve">Main Estimate. </w:t>
      </w:r>
    </w:p>
    <w:p w:rsidR="001274B1" w:rsidRPr="00565172" w:rsidP="004F64C1">
      <w:pPr>
        <w:ind w:left="567"/>
        <w:jc w:val="both"/>
        <w:rPr>
          <w:rFonts w:eastAsia="Calibri" w:cs="Arial"/>
          <w:color w:val="FF0000"/>
          <w:sz w:val="22"/>
          <w:szCs w:val="22"/>
        </w:rPr>
      </w:pPr>
    </w:p>
    <w:tbl>
      <w:tblPr>
        <w:tblW w:w="5000" w:type="pct"/>
        <w:tblLook w:val="04A0"/>
      </w:tblPr>
      <w:tblGrid>
        <w:gridCol w:w="1145"/>
        <w:gridCol w:w="4591"/>
        <w:gridCol w:w="1212"/>
        <w:gridCol w:w="1212"/>
        <w:gridCol w:w="1053"/>
        <w:gridCol w:w="844"/>
        <w:gridCol w:w="705"/>
      </w:tblGrid>
      <w:tr w:rsidTr="006C79BA">
        <w:tblPrEx>
          <w:tblW w:w="5000" w:type="pct"/>
          <w:tblLook w:val="04A0"/>
        </w:tblPrEx>
        <w:trPr>
          <w:trHeight w:val="300"/>
        </w:trPr>
        <w:tc>
          <w:tcPr>
            <w:tcW w:w="470" w:type="pct"/>
            <w:vMerge w:val="restart"/>
            <w:tcBorders>
              <w:top w:val="single" w:sz="4" w:space="0" w:color="auto"/>
              <w:left w:val="single" w:sz="4" w:space="0" w:color="auto"/>
              <w:bottom w:val="single" w:sz="4" w:space="0" w:color="auto"/>
              <w:right w:val="single" w:sz="4" w:space="0" w:color="auto"/>
            </w:tcBorders>
            <w:shd w:val="clear" w:color="000000" w:fill="333F4F"/>
            <w:noWrap/>
            <w:vAlign w:val="center"/>
            <w:hideMark/>
          </w:tcPr>
          <w:p w:rsidR="006C79BA" w:rsidRPr="006C79BA" w:rsidP="006C79BA">
            <w:pPr>
              <w:rPr>
                <w:rFonts w:cs="Arial"/>
                <w:b/>
                <w:bCs/>
                <w:color w:val="FFFFFF"/>
                <w:sz w:val="22"/>
                <w:szCs w:val="22"/>
              </w:rPr>
            </w:pPr>
            <w:r w:rsidRPr="006C79BA">
              <w:rPr>
                <w:rFonts w:cs="Arial"/>
                <w:b/>
                <w:bCs/>
                <w:color w:val="FFFFFF"/>
                <w:sz w:val="22"/>
                <w:szCs w:val="22"/>
              </w:rPr>
              <w:t>Subhead</w:t>
            </w:r>
          </w:p>
        </w:tc>
        <w:tc>
          <w:tcPr>
            <w:tcW w:w="2153" w:type="pct"/>
            <w:vMerge w:val="restart"/>
            <w:tcBorders>
              <w:top w:val="single" w:sz="4" w:space="0" w:color="auto"/>
              <w:left w:val="single" w:sz="4" w:space="0" w:color="auto"/>
              <w:bottom w:val="single" w:sz="4" w:space="0" w:color="auto"/>
              <w:right w:val="single" w:sz="4" w:space="0" w:color="auto"/>
            </w:tcBorders>
            <w:shd w:val="clear" w:color="000000" w:fill="333F4F"/>
            <w:noWrap/>
            <w:vAlign w:val="center"/>
            <w:hideMark/>
          </w:tcPr>
          <w:p w:rsidR="006C79BA" w:rsidRPr="006C79BA" w:rsidP="006C79BA">
            <w:pPr>
              <w:rPr>
                <w:rFonts w:cs="Arial"/>
                <w:b/>
                <w:bCs/>
                <w:color w:val="FFFFFF"/>
                <w:sz w:val="22"/>
                <w:szCs w:val="22"/>
              </w:rPr>
            </w:pPr>
            <w:r w:rsidRPr="006C79BA">
              <w:rPr>
                <w:rFonts w:cs="Arial"/>
                <w:b/>
                <w:bCs/>
                <w:color w:val="FFFFFF"/>
                <w:sz w:val="22"/>
                <w:szCs w:val="22"/>
              </w:rPr>
              <w:t>Description</w:t>
            </w:r>
          </w:p>
        </w:tc>
        <w:tc>
          <w:tcPr>
            <w:tcW w:w="2087" w:type="pct"/>
            <w:gridSpan w:val="4"/>
            <w:tcBorders>
              <w:top w:val="single" w:sz="4" w:space="0" w:color="auto"/>
              <w:left w:val="nil"/>
              <w:bottom w:val="single" w:sz="4" w:space="0" w:color="auto"/>
              <w:right w:val="single" w:sz="4" w:space="0" w:color="auto"/>
            </w:tcBorders>
            <w:shd w:val="clear" w:color="000000" w:fill="333F4F"/>
            <w:noWrap/>
            <w:vAlign w:val="bottom"/>
            <w:hideMark/>
          </w:tcPr>
          <w:p w:rsidR="006C79BA" w:rsidRPr="006C79BA" w:rsidP="006C79BA">
            <w:pPr>
              <w:jc w:val="center"/>
              <w:rPr>
                <w:rFonts w:cs="Arial"/>
                <w:b/>
                <w:bCs/>
                <w:color w:val="FFFFFF"/>
                <w:sz w:val="22"/>
                <w:szCs w:val="22"/>
              </w:rPr>
            </w:pPr>
            <w:r w:rsidRPr="006C79BA">
              <w:rPr>
                <w:rFonts w:cs="Arial"/>
                <w:b/>
                <w:bCs/>
                <w:color w:val="FFFFFF"/>
                <w:sz w:val="22"/>
                <w:szCs w:val="22"/>
              </w:rPr>
              <w:t>Resource</w:t>
            </w:r>
          </w:p>
        </w:tc>
        <w:tc>
          <w:tcPr>
            <w:tcW w:w="290" w:type="pct"/>
            <w:tcBorders>
              <w:top w:val="single" w:sz="4" w:space="0" w:color="auto"/>
              <w:left w:val="nil"/>
              <w:bottom w:val="single" w:sz="4" w:space="0" w:color="auto"/>
              <w:right w:val="single" w:sz="4" w:space="0" w:color="auto"/>
            </w:tcBorders>
            <w:shd w:val="clear" w:color="000000" w:fill="333F4F"/>
            <w:noWrap/>
            <w:vAlign w:val="bottom"/>
            <w:hideMark/>
          </w:tcPr>
          <w:p w:rsidR="006C79BA" w:rsidRPr="006C79BA" w:rsidP="006C79BA">
            <w:pPr>
              <w:jc w:val="center"/>
              <w:rPr>
                <w:rFonts w:cs="Arial"/>
                <w:b/>
                <w:bCs/>
                <w:color w:val="FFFFFF"/>
                <w:sz w:val="22"/>
                <w:szCs w:val="22"/>
              </w:rPr>
            </w:pPr>
            <w:r w:rsidRPr="006C79BA">
              <w:rPr>
                <w:rFonts w:cs="Arial"/>
                <w:b/>
                <w:bCs/>
                <w:color w:val="FFFFFF"/>
                <w:sz w:val="22"/>
                <w:szCs w:val="22"/>
              </w:rPr>
              <w:t> </w:t>
            </w:r>
          </w:p>
        </w:tc>
      </w:tr>
      <w:tr w:rsidTr="006C79BA">
        <w:tblPrEx>
          <w:tblW w:w="5000" w:type="pct"/>
          <w:tblLook w:val="04A0"/>
        </w:tblPrEx>
        <w:trPr>
          <w:trHeight w:val="900"/>
        </w:trPr>
        <w:tc>
          <w:tcPr>
            <w:tcW w:w="470" w:type="pct"/>
            <w:vMerge/>
            <w:tcBorders>
              <w:top w:val="single" w:sz="4" w:space="0" w:color="auto"/>
              <w:left w:val="single" w:sz="4" w:space="0" w:color="auto"/>
              <w:bottom w:val="single" w:sz="4" w:space="0" w:color="auto"/>
              <w:right w:val="single" w:sz="4" w:space="0" w:color="auto"/>
            </w:tcBorders>
            <w:vAlign w:val="center"/>
            <w:hideMark/>
          </w:tcPr>
          <w:p w:rsidR="006C79BA" w:rsidRPr="006C79BA" w:rsidP="006C79BA">
            <w:pPr>
              <w:rPr>
                <w:rFonts w:cs="Arial"/>
                <w:b/>
                <w:bCs/>
                <w:color w:val="FFFFFF"/>
                <w:sz w:val="22"/>
                <w:szCs w:val="22"/>
              </w:rPr>
            </w:pPr>
          </w:p>
        </w:tc>
        <w:tc>
          <w:tcPr>
            <w:tcW w:w="2153" w:type="pct"/>
            <w:vMerge/>
            <w:tcBorders>
              <w:top w:val="single" w:sz="4" w:space="0" w:color="auto"/>
              <w:left w:val="single" w:sz="4" w:space="0" w:color="auto"/>
              <w:bottom w:val="single" w:sz="4" w:space="0" w:color="auto"/>
              <w:right w:val="single" w:sz="4" w:space="0" w:color="auto"/>
            </w:tcBorders>
            <w:vAlign w:val="center"/>
            <w:hideMark/>
          </w:tcPr>
          <w:p w:rsidR="006C79BA" w:rsidRPr="006C79BA" w:rsidP="006C79BA">
            <w:pPr>
              <w:rPr>
                <w:rFonts w:cs="Arial"/>
                <w:b/>
                <w:bCs/>
                <w:color w:val="FFFFFF"/>
                <w:sz w:val="22"/>
                <w:szCs w:val="22"/>
              </w:rPr>
            </w:pPr>
          </w:p>
        </w:tc>
        <w:tc>
          <w:tcPr>
            <w:tcW w:w="583" w:type="pct"/>
            <w:tcBorders>
              <w:top w:val="nil"/>
              <w:left w:val="nil"/>
              <w:bottom w:val="single" w:sz="4" w:space="0" w:color="auto"/>
              <w:right w:val="single" w:sz="4" w:space="0" w:color="auto"/>
            </w:tcBorders>
            <w:shd w:val="clear" w:color="000000" w:fill="333F4F"/>
            <w:vAlign w:val="center"/>
            <w:hideMark/>
          </w:tcPr>
          <w:p w:rsidR="006C79BA" w:rsidRPr="006C79BA" w:rsidP="006C79BA">
            <w:pPr>
              <w:jc w:val="right"/>
              <w:rPr>
                <w:rFonts w:cs="Arial"/>
                <w:b/>
                <w:bCs/>
                <w:color w:val="FFFFFF"/>
                <w:sz w:val="22"/>
                <w:szCs w:val="22"/>
              </w:rPr>
            </w:pPr>
            <w:r w:rsidRPr="006C79BA">
              <w:rPr>
                <w:rFonts w:cs="Arial"/>
                <w:b/>
                <w:bCs/>
                <w:color w:val="FFFFFF"/>
                <w:sz w:val="22"/>
                <w:szCs w:val="22"/>
              </w:rPr>
              <w:t>2022-23 Main Estimate</w:t>
            </w:r>
          </w:p>
        </w:tc>
        <w:tc>
          <w:tcPr>
            <w:tcW w:w="583" w:type="pct"/>
            <w:tcBorders>
              <w:top w:val="nil"/>
              <w:left w:val="nil"/>
              <w:bottom w:val="single" w:sz="4" w:space="0" w:color="auto"/>
              <w:right w:val="single" w:sz="4" w:space="0" w:color="auto"/>
            </w:tcBorders>
            <w:shd w:val="clear" w:color="000000" w:fill="333F4F"/>
            <w:vAlign w:val="center"/>
            <w:hideMark/>
          </w:tcPr>
          <w:p w:rsidR="006C79BA" w:rsidRPr="006C79BA" w:rsidP="006C79BA">
            <w:pPr>
              <w:jc w:val="right"/>
              <w:rPr>
                <w:rFonts w:cs="Arial"/>
                <w:b/>
                <w:bCs/>
                <w:color w:val="FFFFFF"/>
                <w:sz w:val="22"/>
                <w:szCs w:val="22"/>
              </w:rPr>
            </w:pPr>
            <w:r w:rsidRPr="006C79BA">
              <w:rPr>
                <w:rFonts w:cs="Arial"/>
                <w:b/>
                <w:bCs/>
                <w:color w:val="FFFFFF"/>
                <w:sz w:val="22"/>
                <w:szCs w:val="22"/>
              </w:rPr>
              <w:t>2021-22 SSE</w:t>
            </w:r>
          </w:p>
        </w:tc>
        <w:tc>
          <w:tcPr>
            <w:tcW w:w="920" w:type="pct"/>
            <w:gridSpan w:val="2"/>
            <w:tcBorders>
              <w:top w:val="single" w:sz="4" w:space="0" w:color="auto"/>
              <w:left w:val="nil"/>
              <w:bottom w:val="single" w:sz="4" w:space="0" w:color="auto"/>
              <w:right w:val="single" w:sz="4" w:space="0" w:color="auto"/>
            </w:tcBorders>
            <w:shd w:val="clear" w:color="000000" w:fill="333F4F"/>
            <w:vAlign w:val="center"/>
            <w:hideMark/>
          </w:tcPr>
          <w:p w:rsidR="006C79BA" w:rsidRPr="006C79BA" w:rsidP="006C79BA">
            <w:pPr>
              <w:jc w:val="center"/>
              <w:rPr>
                <w:rFonts w:cs="Arial"/>
                <w:b/>
                <w:bCs/>
                <w:color w:val="FFFFFF"/>
                <w:sz w:val="22"/>
                <w:szCs w:val="22"/>
              </w:rPr>
            </w:pPr>
            <w:r w:rsidRPr="006C79BA">
              <w:rPr>
                <w:rFonts w:cs="Arial"/>
                <w:b/>
                <w:bCs/>
                <w:color w:val="FFFFFF"/>
                <w:sz w:val="22"/>
                <w:szCs w:val="22"/>
              </w:rPr>
              <w:t>Change from</w:t>
            </w:r>
            <w:r w:rsidRPr="006C79BA">
              <w:rPr>
                <w:rFonts w:cs="Arial"/>
                <w:b/>
                <w:bCs/>
                <w:color w:val="FFFFFF"/>
                <w:sz w:val="22"/>
                <w:szCs w:val="22"/>
              </w:rPr>
              <w:br/>
              <w:t>2021-22 SSE</w:t>
            </w:r>
          </w:p>
        </w:tc>
        <w:tc>
          <w:tcPr>
            <w:tcW w:w="290" w:type="pct"/>
            <w:tcBorders>
              <w:top w:val="nil"/>
              <w:left w:val="nil"/>
              <w:bottom w:val="single" w:sz="4" w:space="0" w:color="auto"/>
              <w:right w:val="single" w:sz="4" w:space="0" w:color="auto"/>
            </w:tcBorders>
            <w:shd w:val="clear" w:color="000000" w:fill="333F4F"/>
            <w:vAlign w:val="center"/>
            <w:hideMark/>
          </w:tcPr>
          <w:p w:rsidR="006C79BA" w:rsidRPr="006C79BA" w:rsidP="006C79BA">
            <w:pPr>
              <w:jc w:val="center"/>
              <w:rPr>
                <w:rFonts w:cs="Arial"/>
                <w:b/>
                <w:bCs/>
                <w:color w:val="FFFFFF"/>
                <w:sz w:val="22"/>
                <w:szCs w:val="22"/>
              </w:rPr>
            </w:pPr>
            <w:r w:rsidRPr="006C79BA">
              <w:rPr>
                <w:rFonts w:cs="Arial"/>
                <w:b/>
                <w:bCs/>
                <w:color w:val="FFFFFF"/>
                <w:sz w:val="22"/>
                <w:szCs w:val="22"/>
              </w:rPr>
              <w:t>See Note 2.1</w:t>
            </w:r>
          </w:p>
        </w:tc>
      </w:tr>
      <w:tr w:rsidTr="006C79BA">
        <w:tblPrEx>
          <w:tblW w:w="5000" w:type="pct"/>
          <w:tblLook w:val="04A0"/>
        </w:tblPrEx>
        <w:trPr>
          <w:trHeight w:val="300"/>
        </w:trPr>
        <w:tc>
          <w:tcPr>
            <w:tcW w:w="470" w:type="pct"/>
            <w:vMerge/>
            <w:tcBorders>
              <w:top w:val="single" w:sz="4" w:space="0" w:color="auto"/>
              <w:left w:val="single" w:sz="4" w:space="0" w:color="auto"/>
              <w:bottom w:val="single" w:sz="4" w:space="0" w:color="auto"/>
              <w:right w:val="single" w:sz="4" w:space="0" w:color="auto"/>
            </w:tcBorders>
            <w:vAlign w:val="center"/>
            <w:hideMark/>
          </w:tcPr>
          <w:p w:rsidR="006C79BA" w:rsidRPr="006C79BA" w:rsidP="006C79BA">
            <w:pPr>
              <w:rPr>
                <w:rFonts w:cs="Arial"/>
                <w:b/>
                <w:bCs/>
                <w:color w:val="FFFFFF"/>
                <w:sz w:val="22"/>
                <w:szCs w:val="22"/>
              </w:rPr>
            </w:pPr>
          </w:p>
        </w:tc>
        <w:tc>
          <w:tcPr>
            <w:tcW w:w="2153" w:type="pct"/>
            <w:vMerge/>
            <w:tcBorders>
              <w:top w:val="single" w:sz="4" w:space="0" w:color="auto"/>
              <w:left w:val="single" w:sz="4" w:space="0" w:color="auto"/>
              <w:bottom w:val="single" w:sz="4" w:space="0" w:color="auto"/>
              <w:right w:val="single" w:sz="4" w:space="0" w:color="auto"/>
            </w:tcBorders>
            <w:vAlign w:val="center"/>
            <w:hideMark/>
          </w:tcPr>
          <w:p w:rsidR="006C79BA" w:rsidRPr="006C79BA" w:rsidP="006C79BA">
            <w:pPr>
              <w:rPr>
                <w:rFonts w:cs="Arial"/>
                <w:b/>
                <w:bCs/>
                <w:color w:val="FFFFFF"/>
                <w:sz w:val="22"/>
                <w:szCs w:val="22"/>
              </w:rPr>
            </w:pPr>
          </w:p>
        </w:tc>
        <w:tc>
          <w:tcPr>
            <w:tcW w:w="583" w:type="pct"/>
            <w:tcBorders>
              <w:top w:val="nil"/>
              <w:left w:val="nil"/>
              <w:bottom w:val="single" w:sz="4" w:space="0" w:color="auto"/>
              <w:right w:val="single" w:sz="4" w:space="0" w:color="auto"/>
            </w:tcBorders>
            <w:shd w:val="clear" w:color="000000" w:fill="333F4F"/>
            <w:noWrap/>
            <w:vAlign w:val="bottom"/>
            <w:hideMark/>
          </w:tcPr>
          <w:p w:rsidR="006C79BA" w:rsidRPr="006C79BA" w:rsidP="006C79BA">
            <w:pPr>
              <w:jc w:val="right"/>
              <w:rPr>
                <w:rFonts w:cs="Arial"/>
                <w:b/>
                <w:bCs/>
                <w:color w:val="FFFFFF"/>
                <w:sz w:val="22"/>
                <w:szCs w:val="22"/>
              </w:rPr>
            </w:pPr>
            <w:r w:rsidRPr="006C79BA">
              <w:rPr>
                <w:rFonts w:cs="Arial"/>
                <w:b/>
                <w:bCs/>
                <w:color w:val="FFFFFF"/>
                <w:sz w:val="22"/>
                <w:szCs w:val="22"/>
              </w:rPr>
              <w:t>£m</w:t>
            </w:r>
          </w:p>
        </w:tc>
        <w:tc>
          <w:tcPr>
            <w:tcW w:w="583" w:type="pct"/>
            <w:tcBorders>
              <w:top w:val="nil"/>
              <w:left w:val="nil"/>
              <w:bottom w:val="single" w:sz="4" w:space="0" w:color="auto"/>
              <w:right w:val="single" w:sz="4" w:space="0" w:color="auto"/>
            </w:tcBorders>
            <w:shd w:val="clear" w:color="000000" w:fill="333F4F"/>
            <w:noWrap/>
            <w:vAlign w:val="bottom"/>
            <w:hideMark/>
          </w:tcPr>
          <w:p w:rsidR="006C79BA" w:rsidRPr="006C79BA" w:rsidP="006C79BA">
            <w:pPr>
              <w:jc w:val="right"/>
              <w:rPr>
                <w:rFonts w:cs="Arial"/>
                <w:b/>
                <w:bCs/>
                <w:color w:val="FFFFFF"/>
                <w:sz w:val="22"/>
                <w:szCs w:val="22"/>
              </w:rPr>
            </w:pPr>
            <w:r w:rsidRPr="006C79BA">
              <w:rPr>
                <w:rFonts w:cs="Arial"/>
                <w:b/>
                <w:bCs/>
                <w:color w:val="FFFFFF"/>
                <w:sz w:val="22"/>
                <w:szCs w:val="22"/>
              </w:rPr>
              <w:t>£m</w:t>
            </w:r>
          </w:p>
        </w:tc>
        <w:tc>
          <w:tcPr>
            <w:tcW w:w="509" w:type="pct"/>
            <w:tcBorders>
              <w:top w:val="nil"/>
              <w:left w:val="nil"/>
              <w:bottom w:val="single" w:sz="4" w:space="0" w:color="auto"/>
              <w:right w:val="single" w:sz="4" w:space="0" w:color="auto"/>
            </w:tcBorders>
            <w:shd w:val="clear" w:color="000000" w:fill="333F4F"/>
            <w:noWrap/>
            <w:vAlign w:val="bottom"/>
            <w:hideMark/>
          </w:tcPr>
          <w:p w:rsidR="006C79BA" w:rsidRPr="006C79BA" w:rsidP="006C79BA">
            <w:pPr>
              <w:jc w:val="right"/>
              <w:rPr>
                <w:rFonts w:cs="Arial"/>
                <w:b/>
                <w:bCs/>
                <w:color w:val="FFFFFF"/>
                <w:sz w:val="22"/>
                <w:szCs w:val="22"/>
              </w:rPr>
            </w:pPr>
            <w:r w:rsidRPr="006C79BA">
              <w:rPr>
                <w:rFonts w:cs="Arial"/>
                <w:b/>
                <w:bCs/>
                <w:color w:val="FFFFFF"/>
                <w:sz w:val="22"/>
                <w:szCs w:val="22"/>
              </w:rPr>
              <w:t>£m</w:t>
            </w:r>
          </w:p>
        </w:tc>
        <w:tc>
          <w:tcPr>
            <w:tcW w:w="411" w:type="pct"/>
            <w:tcBorders>
              <w:top w:val="nil"/>
              <w:left w:val="nil"/>
              <w:bottom w:val="single" w:sz="4" w:space="0" w:color="auto"/>
              <w:right w:val="single" w:sz="4" w:space="0" w:color="auto"/>
            </w:tcBorders>
            <w:shd w:val="clear" w:color="000000" w:fill="333F4F"/>
            <w:noWrap/>
            <w:vAlign w:val="bottom"/>
            <w:hideMark/>
          </w:tcPr>
          <w:p w:rsidR="006C79BA" w:rsidRPr="006C79BA" w:rsidP="006C79BA">
            <w:pPr>
              <w:jc w:val="right"/>
              <w:rPr>
                <w:rFonts w:cs="Arial"/>
                <w:b/>
                <w:bCs/>
                <w:color w:val="FFFFFF"/>
                <w:sz w:val="22"/>
                <w:szCs w:val="22"/>
              </w:rPr>
            </w:pPr>
            <w:r w:rsidRPr="006C79BA">
              <w:rPr>
                <w:rFonts w:cs="Arial"/>
                <w:b/>
                <w:bCs/>
                <w:color w:val="FFFFFF"/>
                <w:sz w:val="22"/>
                <w:szCs w:val="22"/>
              </w:rPr>
              <w:t>%</w:t>
            </w:r>
          </w:p>
        </w:tc>
        <w:tc>
          <w:tcPr>
            <w:tcW w:w="290" w:type="pct"/>
            <w:tcBorders>
              <w:top w:val="nil"/>
              <w:left w:val="nil"/>
              <w:bottom w:val="single" w:sz="4" w:space="0" w:color="auto"/>
              <w:right w:val="single" w:sz="4" w:space="0" w:color="auto"/>
            </w:tcBorders>
            <w:shd w:val="clear" w:color="000000" w:fill="333F4F"/>
            <w:noWrap/>
            <w:vAlign w:val="bottom"/>
            <w:hideMark/>
          </w:tcPr>
          <w:p w:rsidR="006C79BA" w:rsidRPr="006C79BA" w:rsidP="006C79BA">
            <w:pPr>
              <w:jc w:val="center"/>
              <w:rPr>
                <w:rFonts w:cs="Arial"/>
                <w:b/>
                <w:bCs/>
                <w:color w:val="FFFFFF"/>
                <w:sz w:val="22"/>
                <w:szCs w:val="22"/>
              </w:rPr>
            </w:pPr>
            <w:r w:rsidRPr="006C79BA">
              <w:rPr>
                <w:rFonts w:cs="Arial"/>
                <w:b/>
                <w:bCs/>
                <w:color w:val="FFFFFF"/>
                <w:sz w:val="22"/>
                <w:szCs w:val="22"/>
              </w:rPr>
              <w:t> </w:t>
            </w:r>
          </w:p>
        </w:tc>
      </w:tr>
      <w:tr w:rsidTr="006C79BA">
        <w:tblPrEx>
          <w:tblW w:w="5000" w:type="pct"/>
          <w:tblLook w:val="04A0"/>
        </w:tblPrEx>
        <w:trPr>
          <w:trHeight w:val="570"/>
        </w:trPr>
        <w:tc>
          <w:tcPr>
            <w:tcW w:w="470" w:type="pct"/>
            <w:tcBorders>
              <w:top w:val="nil"/>
              <w:left w:val="single" w:sz="4" w:space="0" w:color="auto"/>
              <w:bottom w:val="single" w:sz="4" w:space="0" w:color="auto"/>
              <w:right w:val="single" w:sz="4" w:space="0" w:color="auto"/>
            </w:tcBorders>
            <w:shd w:val="clear" w:color="auto" w:fill="auto"/>
            <w:vAlign w:val="center"/>
            <w:hideMark/>
          </w:tcPr>
          <w:p w:rsidR="006C79BA" w:rsidRPr="006C79BA" w:rsidP="006C79BA">
            <w:pPr>
              <w:jc w:val="center"/>
              <w:rPr>
                <w:rFonts w:cs="Arial"/>
                <w:color w:val="000000"/>
                <w:sz w:val="22"/>
                <w:szCs w:val="22"/>
              </w:rPr>
            </w:pPr>
            <w:r w:rsidRPr="006C79BA">
              <w:rPr>
                <w:rFonts w:cs="Arial"/>
                <w:color w:val="000000"/>
                <w:sz w:val="22"/>
                <w:szCs w:val="22"/>
              </w:rPr>
              <w:t>A</w:t>
            </w:r>
          </w:p>
        </w:tc>
        <w:tc>
          <w:tcPr>
            <w:tcW w:w="2153" w:type="pct"/>
            <w:tcBorders>
              <w:top w:val="nil"/>
              <w:left w:val="nil"/>
              <w:bottom w:val="single" w:sz="4" w:space="0" w:color="auto"/>
              <w:right w:val="single" w:sz="4" w:space="0" w:color="auto"/>
            </w:tcBorders>
            <w:shd w:val="clear" w:color="auto" w:fill="auto"/>
            <w:vAlign w:val="center"/>
            <w:hideMark/>
          </w:tcPr>
          <w:p w:rsidR="006C79BA" w:rsidRPr="006C79BA" w:rsidP="006C79BA">
            <w:pPr>
              <w:rPr>
                <w:rFonts w:cs="Arial"/>
                <w:color w:val="000000"/>
                <w:sz w:val="22"/>
                <w:szCs w:val="22"/>
              </w:rPr>
            </w:pPr>
            <w:r w:rsidRPr="006C79BA">
              <w:rPr>
                <w:rFonts w:cs="Arial"/>
                <w:color w:val="000000"/>
                <w:sz w:val="22"/>
                <w:szCs w:val="22"/>
              </w:rPr>
              <w:t>NHS Commissioning Board (known as NHS England) net expenditure</w:t>
            </w:r>
          </w:p>
        </w:tc>
        <w:tc>
          <w:tcPr>
            <w:tcW w:w="583" w:type="pct"/>
            <w:tcBorders>
              <w:top w:val="nil"/>
              <w:left w:val="nil"/>
              <w:bottom w:val="single" w:sz="4" w:space="0" w:color="auto"/>
              <w:right w:val="single" w:sz="4" w:space="0" w:color="auto"/>
            </w:tcBorders>
            <w:shd w:val="clear" w:color="auto" w:fill="auto"/>
            <w:vAlign w:val="center"/>
            <w:hideMark/>
          </w:tcPr>
          <w:p w:rsidR="006C79BA" w:rsidRPr="006C79BA" w:rsidP="006C79BA">
            <w:pPr>
              <w:jc w:val="right"/>
              <w:rPr>
                <w:rFonts w:cs="Arial"/>
                <w:color w:val="000000"/>
                <w:sz w:val="22"/>
                <w:szCs w:val="22"/>
              </w:rPr>
            </w:pPr>
            <w:r w:rsidRPr="006C79BA">
              <w:rPr>
                <w:rFonts w:cs="Arial"/>
                <w:color w:val="000000"/>
                <w:sz w:val="22"/>
                <w:szCs w:val="22"/>
              </w:rPr>
              <w:t>13,571</w:t>
            </w:r>
          </w:p>
        </w:tc>
        <w:tc>
          <w:tcPr>
            <w:tcW w:w="583" w:type="pct"/>
            <w:tcBorders>
              <w:top w:val="nil"/>
              <w:left w:val="nil"/>
              <w:bottom w:val="single" w:sz="4" w:space="0" w:color="auto"/>
              <w:right w:val="single" w:sz="4" w:space="0" w:color="auto"/>
            </w:tcBorders>
            <w:shd w:val="clear" w:color="auto" w:fill="auto"/>
            <w:vAlign w:val="center"/>
            <w:hideMark/>
          </w:tcPr>
          <w:p w:rsidR="006C79BA" w:rsidRPr="006C79BA" w:rsidP="006C79BA">
            <w:pPr>
              <w:jc w:val="right"/>
              <w:rPr>
                <w:rFonts w:cs="Arial"/>
                <w:color w:val="000000"/>
                <w:sz w:val="22"/>
                <w:szCs w:val="22"/>
              </w:rPr>
            </w:pPr>
            <w:r w:rsidRPr="006C79BA">
              <w:rPr>
                <w:rFonts w:cs="Arial"/>
                <w:color w:val="000000"/>
                <w:sz w:val="22"/>
                <w:szCs w:val="22"/>
              </w:rPr>
              <w:t>28,605</w:t>
            </w:r>
          </w:p>
        </w:tc>
        <w:tc>
          <w:tcPr>
            <w:tcW w:w="509" w:type="pct"/>
            <w:tcBorders>
              <w:top w:val="nil"/>
              <w:left w:val="nil"/>
              <w:bottom w:val="single" w:sz="4" w:space="0" w:color="auto"/>
              <w:right w:val="single" w:sz="4" w:space="0" w:color="auto"/>
            </w:tcBorders>
            <w:shd w:val="clear" w:color="auto" w:fill="auto"/>
            <w:vAlign w:val="center"/>
            <w:hideMark/>
          </w:tcPr>
          <w:p w:rsidR="006C79BA" w:rsidRPr="006C79BA" w:rsidP="006C79BA">
            <w:pPr>
              <w:jc w:val="right"/>
              <w:rPr>
                <w:rFonts w:cs="Arial"/>
                <w:color w:val="000000"/>
                <w:sz w:val="22"/>
                <w:szCs w:val="22"/>
              </w:rPr>
            </w:pPr>
            <w:r w:rsidRPr="006C79BA">
              <w:rPr>
                <w:rFonts w:cs="Arial"/>
                <w:color w:val="FF0000"/>
                <w:sz w:val="22"/>
                <w:szCs w:val="22"/>
              </w:rPr>
              <w:t>(15,033)</w:t>
            </w:r>
          </w:p>
        </w:tc>
        <w:tc>
          <w:tcPr>
            <w:tcW w:w="41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C79BA" w:rsidRPr="006C79BA" w:rsidP="006C79BA">
            <w:pPr>
              <w:jc w:val="right"/>
              <w:rPr>
                <w:rFonts w:cs="Arial"/>
                <w:color w:val="FF0000"/>
                <w:sz w:val="22"/>
                <w:szCs w:val="22"/>
              </w:rPr>
            </w:pPr>
            <w:r w:rsidRPr="006C79BA">
              <w:rPr>
                <w:rFonts w:cs="Arial"/>
                <w:color w:val="FF0000"/>
                <w:sz w:val="22"/>
                <w:szCs w:val="22"/>
              </w:rPr>
              <w:t>-53%</w:t>
            </w:r>
          </w:p>
        </w:tc>
        <w:tc>
          <w:tcPr>
            <w:tcW w:w="290" w:type="pct"/>
            <w:tcBorders>
              <w:top w:val="nil"/>
              <w:left w:val="nil"/>
              <w:bottom w:val="single" w:sz="4" w:space="0" w:color="auto"/>
              <w:right w:val="single" w:sz="4" w:space="0" w:color="auto"/>
            </w:tcBorders>
            <w:shd w:val="clear" w:color="auto" w:fill="auto"/>
            <w:vAlign w:val="center"/>
            <w:hideMark/>
          </w:tcPr>
          <w:p w:rsidR="006C79BA" w:rsidRPr="006C79BA" w:rsidP="006C79BA">
            <w:pPr>
              <w:jc w:val="center"/>
              <w:rPr>
                <w:rFonts w:cs="Arial"/>
                <w:color w:val="000000"/>
                <w:sz w:val="22"/>
                <w:szCs w:val="22"/>
              </w:rPr>
            </w:pPr>
            <w:r w:rsidRPr="006C79BA">
              <w:rPr>
                <w:rFonts w:cs="Arial"/>
                <w:color w:val="000000"/>
                <w:sz w:val="22"/>
                <w:szCs w:val="22"/>
              </w:rPr>
              <w:t> </w:t>
            </w:r>
          </w:p>
        </w:tc>
      </w:tr>
      <w:tr w:rsidTr="006C79BA">
        <w:tblPrEx>
          <w:tblW w:w="5000" w:type="pct"/>
          <w:tblLook w:val="04A0"/>
        </w:tblPrEx>
        <w:trPr>
          <w:trHeight w:val="285"/>
        </w:trPr>
        <w:tc>
          <w:tcPr>
            <w:tcW w:w="470" w:type="pct"/>
            <w:tcBorders>
              <w:top w:val="nil"/>
              <w:left w:val="single" w:sz="4" w:space="0" w:color="auto"/>
              <w:bottom w:val="single" w:sz="4" w:space="0" w:color="auto"/>
              <w:right w:val="single" w:sz="4" w:space="0" w:color="auto"/>
            </w:tcBorders>
            <w:shd w:val="clear" w:color="auto" w:fill="auto"/>
            <w:vAlign w:val="center"/>
            <w:hideMark/>
          </w:tcPr>
          <w:p w:rsidR="006C79BA" w:rsidRPr="006C79BA" w:rsidP="006C79BA">
            <w:pPr>
              <w:jc w:val="center"/>
              <w:rPr>
                <w:rFonts w:cs="Arial"/>
                <w:color w:val="000000"/>
                <w:sz w:val="22"/>
                <w:szCs w:val="22"/>
              </w:rPr>
            </w:pPr>
            <w:r w:rsidRPr="006C79BA">
              <w:rPr>
                <w:rFonts w:cs="Arial"/>
                <w:color w:val="000000"/>
                <w:sz w:val="22"/>
                <w:szCs w:val="22"/>
              </w:rPr>
              <w:t>B</w:t>
            </w:r>
          </w:p>
        </w:tc>
        <w:tc>
          <w:tcPr>
            <w:tcW w:w="2153" w:type="pct"/>
            <w:tcBorders>
              <w:top w:val="nil"/>
              <w:left w:val="nil"/>
              <w:bottom w:val="single" w:sz="4" w:space="0" w:color="auto"/>
              <w:right w:val="single" w:sz="4" w:space="0" w:color="auto"/>
            </w:tcBorders>
            <w:shd w:val="clear" w:color="auto" w:fill="auto"/>
            <w:vAlign w:val="center"/>
            <w:hideMark/>
          </w:tcPr>
          <w:p w:rsidR="006C79BA" w:rsidRPr="006C79BA" w:rsidP="006C79BA">
            <w:pPr>
              <w:rPr>
                <w:rFonts w:cs="Arial"/>
                <w:color w:val="000000"/>
                <w:sz w:val="22"/>
                <w:szCs w:val="22"/>
              </w:rPr>
            </w:pPr>
            <w:r w:rsidRPr="006C79BA">
              <w:rPr>
                <w:rFonts w:cs="Arial"/>
                <w:color w:val="000000"/>
                <w:sz w:val="22"/>
                <w:szCs w:val="22"/>
              </w:rPr>
              <w:t>NHS Providers</w:t>
            </w:r>
          </w:p>
        </w:tc>
        <w:tc>
          <w:tcPr>
            <w:tcW w:w="583" w:type="pct"/>
            <w:tcBorders>
              <w:top w:val="nil"/>
              <w:left w:val="nil"/>
              <w:bottom w:val="single" w:sz="4" w:space="0" w:color="auto"/>
              <w:right w:val="single" w:sz="4" w:space="0" w:color="auto"/>
            </w:tcBorders>
            <w:shd w:val="clear" w:color="auto" w:fill="auto"/>
            <w:vAlign w:val="center"/>
            <w:hideMark/>
          </w:tcPr>
          <w:p w:rsidR="006C79BA" w:rsidRPr="006C79BA" w:rsidP="006C79BA">
            <w:pPr>
              <w:jc w:val="right"/>
              <w:rPr>
                <w:rFonts w:cs="Arial"/>
                <w:color w:val="000000"/>
                <w:sz w:val="22"/>
                <w:szCs w:val="22"/>
              </w:rPr>
            </w:pPr>
            <w:r w:rsidRPr="006C79BA">
              <w:rPr>
                <w:rFonts w:cs="Arial"/>
                <w:color w:val="000000"/>
                <w:sz w:val="22"/>
                <w:szCs w:val="22"/>
              </w:rPr>
              <w:t>97,285</w:t>
            </w:r>
          </w:p>
        </w:tc>
        <w:tc>
          <w:tcPr>
            <w:tcW w:w="583" w:type="pct"/>
            <w:tcBorders>
              <w:top w:val="nil"/>
              <w:left w:val="nil"/>
              <w:bottom w:val="single" w:sz="4" w:space="0" w:color="auto"/>
              <w:right w:val="single" w:sz="4" w:space="0" w:color="auto"/>
            </w:tcBorders>
            <w:shd w:val="clear" w:color="auto" w:fill="auto"/>
            <w:vAlign w:val="center"/>
            <w:hideMark/>
          </w:tcPr>
          <w:p w:rsidR="006C79BA" w:rsidRPr="006C79BA" w:rsidP="006C79BA">
            <w:pPr>
              <w:jc w:val="right"/>
              <w:rPr>
                <w:rFonts w:cs="Arial"/>
                <w:color w:val="000000"/>
                <w:sz w:val="22"/>
                <w:szCs w:val="22"/>
              </w:rPr>
            </w:pPr>
            <w:r w:rsidRPr="006C79BA">
              <w:rPr>
                <w:rFonts w:cs="Arial"/>
                <w:color w:val="000000"/>
                <w:sz w:val="22"/>
                <w:szCs w:val="22"/>
              </w:rPr>
              <w:t>96,075</w:t>
            </w:r>
          </w:p>
        </w:tc>
        <w:tc>
          <w:tcPr>
            <w:tcW w:w="509" w:type="pct"/>
            <w:tcBorders>
              <w:top w:val="nil"/>
              <w:left w:val="nil"/>
              <w:bottom w:val="single" w:sz="4" w:space="0" w:color="auto"/>
              <w:right w:val="single" w:sz="4" w:space="0" w:color="auto"/>
            </w:tcBorders>
            <w:shd w:val="clear" w:color="auto" w:fill="auto"/>
            <w:vAlign w:val="center"/>
            <w:hideMark/>
          </w:tcPr>
          <w:p w:rsidR="006C79BA" w:rsidRPr="006C79BA" w:rsidP="006C79BA">
            <w:pPr>
              <w:jc w:val="right"/>
              <w:rPr>
                <w:rFonts w:cs="Arial"/>
                <w:color w:val="000000"/>
                <w:sz w:val="22"/>
                <w:szCs w:val="22"/>
              </w:rPr>
            </w:pPr>
            <w:r w:rsidRPr="006C79BA">
              <w:rPr>
                <w:rFonts w:cs="Arial"/>
                <w:color w:val="000000"/>
                <w:sz w:val="22"/>
                <w:szCs w:val="22"/>
              </w:rPr>
              <w:t>1,210</w:t>
            </w:r>
          </w:p>
        </w:tc>
        <w:tc>
          <w:tcPr>
            <w:tcW w:w="411" w:type="pct"/>
            <w:tcBorders>
              <w:top w:val="nil"/>
              <w:left w:val="nil"/>
              <w:bottom w:val="single" w:sz="4" w:space="0" w:color="auto"/>
              <w:right w:val="single" w:sz="4" w:space="0" w:color="auto"/>
            </w:tcBorders>
            <w:shd w:val="clear" w:color="auto" w:fill="auto"/>
            <w:vAlign w:val="center"/>
            <w:hideMark/>
          </w:tcPr>
          <w:p w:rsidR="006C79BA" w:rsidRPr="006C79BA" w:rsidP="006C79BA">
            <w:pPr>
              <w:jc w:val="right"/>
              <w:rPr>
                <w:rFonts w:cs="Arial"/>
                <w:color w:val="000000"/>
                <w:sz w:val="22"/>
                <w:szCs w:val="22"/>
              </w:rPr>
            </w:pPr>
            <w:r w:rsidRPr="006C79BA">
              <w:rPr>
                <w:rFonts w:cs="Arial"/>
                <w:color w:val="000000"/>
                <w:sz w:val="22"/>
                <w:szCs w:val="22"/>
              </w:rPr>
              <w:t>1%</w:t>
            </w:r>
          </w:p>
        </w:tc>
        <w:tc>
          <w:tcPr>
            <w:tcW w:w="290" w:type="pct"/>
            <w:tcBorders>
              <w:top w:val="nil"/>
              <w:left w:val="nil"/>
              <w:bottom w:val="single" w:sz="4" w:space="0" w:color="auto"/>
              <w:right w:val="single" w:sz="4" w:space="0" w:color="auto"/>
            </w:tcBorders>
            <w:shd w:val="clear" w:color="auto" w:fill="auto"/>
            <w:vAlign w:val="center"/>
            <w:hideMark/>
          </w:tcPr>
          <w:p w:rsidR="006C79BA" w:rsidRPr="006C79BA" w:rsidP="006C79BA">
            <w:pPr>
              <w:jc w:val="center"/>
              <w:rPr>
                <w:rFonts w:cs="Arial"/>
                <w:color w:val="000000"/>
                <w:sz w:val="22"/>
                <w:szCs w:val="22"/>
              </w:rPr>
            </w:pPr>
            <w:r w:rsidRPr="006C79BA">
              <w:rPr>
                <w:rFonts w:cs="Arial"/>
                <w:color w:val="000000"/>
                <w:sz w:val="22"/>
                <w:szCs w:val="22"/>
              </w:rPr>
              <w:t> </w:t>
            </w:r>
          </w:p>
        </w:tc>
      </w:tr>
      <w:tr w:rsidTr="006C79BA">
        <w:tblPrEx>
          <w:tblW w:w="5000" w:type="pct"/>
          <w:tblLook w:val="04A0"/>
        </w:tblPrEx>
        <w:trPr>
          <w:trHeight w:val="1020"/>
        </w:trPr>
        <w:tc>
          <w:tcPr>
            <w:tcW w:w="470" w:type="pct"/>
            <w:tcBorders>
              <w:top w:val="nil"/>
              <w:left w:val="single" w:sz="4" w:space="0" w:color="auto"/>
              <w:bottom w:val="single" w:sz="4" w:space="0" w:color="auto"/>
              <w:right w:val="single" w:sz="4" w:space="0" w:color="auto"/>
            </w:tcBorders>
            <w:shd w:val="clear" w:color="auto" w:fill="auto"/>
            <w:vAlign w:val="center"/>
            <w:hideMark/>
          </w:tcPr>
          <w:p w:rsidR="006C79BA" w:rsidRPr="006C79BA" w:rsidP="006C79BA">
            <w:pPr>
              <w:jc w:val="center"/>
              <w:rPr>
                <w:rFonts w:cs="Arial"/>
                <w:color w:val="000000"/>
                <w:sz w:val="22"/>
                <w:szCs w:val="22"/>
              </w:rPr>
            </w:pPr>
            <w:r w:rsidRPr="006C79BA">
              <w:rPr>
                <w:rFonts w:cs="Arial"/>
                <w:color w:val="000000"/>
                <w:sz w:val="22"/>
                <w:szCs w:val="22"/>
              </w:rPr>
              <w:t>J</w:t>
            </w:r>
          </w:p>
        </w:tc>
        <w:tc>
          <w:tcPr>
            <w:tcW w:w="2153" w:type="pct"/>
            <w:tcBorders>
              <w:top w:val="nil"/>
              <w:left w:val="nil"/>
              <w:bottom w:val="single" w:sz="4" w:space="0" w:color="auto"/>
              <w:right w:val="single" w:sz="4" w:space="0" w:color="auto"/>
            </w:tcBorders>
            <w:shd w:val="clear" w:color="auto" w:fill="auto"/>
            <w:vAlign w:val="center"/>
            <w:hideMark/>
          </w:tcPr>
          <w:p w:rsidR="006C79BA" w:rsidRPr="006C79BA" w:rsidP="006C79BA">
            <w:pPr>
              <w:rPr>
                <w:rFonts w:cs="Arial"/>
                <w:color w:val="000000"/>
                <w:sz w:val="22"/>
                <w:szCs w:val="22"/>
              </w:rPr>
            </w:pPr>
            <w:r w:rsidRPr="006C79BA">
              <w:rPr>
                <w:rFonts w:cs="Arial"/>
                <w:color w:val="000000"/>
                <w:sz w:val="22"/>
                <w:szCs w:val="22"/>
              </w:rPr>
              <w:t>NHS Commissioning Board (known as NHS England) net expenditure financed from National Insurance Contributions</w:t>
            </w:r>
          </w:p>
        </w:tc>
        <w:tc>
          <w:tcPr>
            <w:tcW w:w="583" w:type="pct"/>
            <w:tcBorders>
              <w:top w:val="nil"/>
              <w:left w:val="nil"/>
              <w:bottom w:val="single" w:sz="4" w:space="0" w:color="auto"/>
              <w:right w:val="single" w:sz="4" w:space="0" w:color="auto"/>
            </w:tcBorders>
            <w:shd w:val="clear" w:color="auto" w:fill="auto"/>
            <w:vAlign w:val="center"/>
            <w:hideMark/>
          </w:tcPr>
          <w:p w:rsidR="006C79BA" w:rsidRPr="006C79BA" w:rsidP="006C79BA">
            <w:pPr>
              <w:jc w:val="right"/>
              <w:rPr>
                <w:rFonts w:cs="Arial"/>
                <w:color w:val="000000"/>
                <w:sz w:val="22"/>
                <w:szCs w:val="22"/>
              </w:rPr>
            </w:pPr>
            <w:r w:rsidRPr="006C79BA">
              <w:rPr>
                <w:rFonts w:cs="Arial"/>
                <w:color w:val="000000"/>
                <w:sz w:val="22"/>
                <w:szCs w:val="22"/>
              </w:rPr>
              <w:t>41,735</w:t>
            </w:r>
          </w:p>
        </w:tc>
        <w:tc>
          <w:tcPr>
            <w:tcW w:w="583" w:type="pct"/>
            <w:tcBorders>
              <w:top w:val="nil"/>
              <w:left w:val="nil"/>
              <w:bottom w:val="single" w:sz="4" w:space="0" w:color="auto"/>
              <w:right w:val="single" w:sz="4" w:space="0" w:color="auto"/>
            </w:tcBorders>
            <w:shd w:val="clear" w:color="auto" w:fill="auto"/>
            <w:vAlign w:val="center"/>
            <w:hideMark/>
          </w:tcPr>
          <w:p w:rsidR="006C79BA" w:rsidRPr="006C79BA" w:rsidP="006C79BA">
            <w:pPr>
              <w:jc w:val="right"/>
              <w:rPr>
                <w:rFonts w:cs="Arial"/>
                <w:color w:val="000000"/>
                <w:sz w:val="22"/>
                <w:szCs w:val="22"/>
              </w:rPr>
            </w:pPr>
            <w:r w:rsidRPr="006C79BA">
              <w:rPr>
                <w:rFonts w:cs="Arial"/>
                <w:color w:val="000000"/>
                <w:sz w:val="22"/>
                <w:szCs w:val="22"/>
              </w:rPr>
              <w:t>25,197</w:t>
            </w:r>
          </w:p>
        </w:tc>
        <w:tc>
          <w:tcPr>
            <w:tcW w:w="509" w:type="pct"/>
            <w:tcBorders>
              <w:top w:val="nil"/>
              <w:left w:val="nil"/>
              <w:bottom w:val="single" w:sz="4" w:space="0" w:color="auto"/>
              <w:right w:val="single" w:sz="4" w:space="0" w:color="auto"/>
            </w:tcBorders>
            <w:shd w:val="clear" w:color="auto" w:fill="auto"/>
            <w:vAlign w:val="center"/>
            <w:hideMark/>
          </w:tcPr>
          <w:p w:rsidR="006C79BA" w:rsidRPr="006C79BA" w:rsidP="006C79BA">
            <w:pPr>
              <w:jc w:val="right"/>
              <w:rPr>
                <w:rFonts w:cs="Arial"/>
                <w:color w:val="000000"/>
                <w:sz w:val="22"/>
                <w:szCs w:val="22"/>
              </w:rPr>
            </w:pPr>
            <w:r w:rsidRPr="006C79BA">
              <w:rPr>
                <w:rFonts w:cs="Arial"/>
                <w:color w:val="000000"/>
                <w:sz w:val="22"/>
                <w:szCs w:val="22"/>
              </w:rPr>
              <w:t>16,538</w:t>
            </w:r>
          </w:p>
        </w:tc>
        <w:tc>
          <w:tcPr>
            <w:tcW w:w="411" w:type="pct"/>
            <w:tcBorders>
              <w:top w:val="nil"/>
              <w:left w:val="nil"/>
              <w:bottom w:val="single" w:sz="4" w:space="0" w:color="auto"/>
              <w:right w:val="single" w:sz="4" w:space="0" w:color="auto"/>
            </w:tcBorders>
            <w:shd w:val="clear" w:color="auto" w:fill="auto"/>
            <w:vAlign w:val="center"/>
            <w:hideMark/>
          </w:tcPr>
          <w:p w:rsidR="006C79BA" w:rsidRPr="006C79BA" w:rsidP="006C79BA">
            <w:pPr>
              <w:jc w:val="right"/>
              <w:rPr>
                <w:rFonts w:cs="Arial"/>
                <w:color w:val="000000"/>
                <w:sz w:val="22"/>
                <w:szCs w:val="22"/>
              </w:rPr>
            </w:pPr>
            <w:r w:rsidRPr="006C79BA">
              <w:rPr>
                <w:rFonts w:cs="Arial"/>
                <w:color w:val="000000"/>
                <w:sz w:val="22"/>
                <w:szCs w:val="22"/>
              </w:rPr>
              <w:t>66%</w:t>
            </w:r>
          </w:p>
        </w:tc>
        <w:tc>
          <w:tcPr>
            <w:tcW w:w="290" w:type="pct"/>
            <w:tcBorders>
              <w:top w:val="nil"/>
              <w:left w:val="nil"/>
              <w:bottom w:val="single" w:sz="4" w:space="0" w:color="auto"/>
              <w:right w:val="single" w:sz="4" w:space="0" w:color="auto"/>
            </w:tcBorders>
            <w:shd w:val="clear" w:color="auto" w:fill="auto"/>
            <w:vAlign w:val="center"/>
            <w:hideMark/>
          </w:tcPr>
          <w:p w:rsidR="006C79BA" w:rsidRPr="006C79BA" w:rsidP="006C79BA">
            <w:pPr>
              <w:jc w:val="center"/>
              <w:rPr>
                <w:rFonts w:cs="Arial"/>
                <w:color w:val="000000"/>
                <w:sz w:val="22"/>
                <w:szCs w:val="22"/>
              </w:rPr>
            </w:pPr>
            <w:r w:rsidRPr="006C79BA">
              <w:rPr>
                <w:rFonts w:cs="Arial"/>
                <w:color w:val="000000"/>
                <w:sz w:val="22"/>
                <w:szCs w:val="22"/>
              </w:rPr>
              <w:t> </w:t>
            </w:r>
          </w:p>
        </w:tc>
      </w:tr>
      <w:tr w:rsidTr="006C79BA">
        <w:tblPrEx>
          <w:tblW w:w="5000" w:type="pct"/>
          <w:tblLook w:val="04A0"/>
        </w:tblPrEx>
        <w:trPr>
          <w:trHeight w:val="300"/>
        </w:trPr>
        <w:tc>
          <w:tcPr>
            <w:tcW w:w="2623" w:type="pct"/>
            <w:gridSpan w:val="2"/>
            <w:tcBorders>
              <w:top w:val="single" w:sz="4" w:space="0" w:color="auto"/>
              <w:left w:val="single" w:sz="4" w:space="0" w:color="auto"/>
              <w:bottom w:val="single" w:sz="4" w:space="0" w:color="auto"/>
              <w:right w:val="nil"/>
            </w:tcBorders>
            <w:shd w:val="clear" w:color="000000" w:fill="B4C6E7"/>
            <w:vAlign w:val="center"/>
            <w:hideMark/>
          </w:tcPr>
          <w:p w:rsidR="006C79BA" w:rsidRPr="006C79BA" w:rsidP="006C79BA">
            <w:pPr>
              <w:rPr>
                <w:rFonts w:cs="Arial"/>
                <w:color w:val="000000"/>
                <w:sz w:val="22"/>
                <w:szCs w:val="22"/>
              </w:rPr>
            </w:pPr>
            <w:r w:rsidRPr="006C79BA">
              <w:rPr>
                <w:rFonts w:cs="Arial"/>
                <w:color w:val="000000"/>
                <w:sz w:val="22"/>
                <w:szCs w:val="22"/>
              </w:rPr>
              <w:t>Sub Total - NHS</w:t>
            </w:r>
          </w:p>
        </w:tc>
        <w:tc>
          <w:tcPr>
            <w:tcW w:w="583" w:type="pct"/>
            <w:tcBorders>
              <w:top w:val="nil"/>
              <w:left w:val="nil"/>
              <w:bottom w:val="single" w:sz="4" w:space="0" w:color="auto"/>
              <w:right w:val="single" w:sz="4" w:space="0" w:color="auto"/>
            </w:tcBorders>
            <w:shd w:val="clear" w:color="000000" w:fill="B4C6E7"/>
            <w:vAlign w:val="center"/>
            <w:hideMark/>
          </w:tcPr>
          <w:p w:rsidR="006C79BA" w:rsidRPr="006C79BA" w:rsidP="006C79BA">
            <w:pPr>
              <w:jc w:val="right"/>
              <w:rPr>
                <w:rFonts w:cs="Arial"/>
                <w:color w:val="000000"/>
                <w:sz w:val="22"/>
                <w:szCs w:val="22"/>
              </w:rPr>
            </w:pPr>
            <w:r w:rsidRPr="006C79BA">
              <w:rPr>
                <w:rFonts w:cs="Arial"/>
                <w:color w:val="000000"/>
                <w:sz w:val="22"/>
                <w:szCs w:val="22"/>
              </w:rPr>
              <w:t>152,591</w:t>
            </w:r>
          </w:p>
        </w:tc>
        <w:tc>
          <w:tcPr>
            <w:tcW w:w="583" w:type="pct"/>
            <w:tcBorders>
              <w:top w:val="nil"/>
              <w:left w:val="nil"/>
              <w:bottom w:val="single" w:sz="4" w:space="0" w:color="auto"/>
              <w:right w:val="single" w:sz="4" w:space="0" w:color="auto"/>
            </w:tcBorders>
            <w:shd w:val="clear" w:color="000000" w:fill="B4C6E7"/>
            <w:vAlign w:val="center"/>
            <w:hideMark/>
          </w:tcPr>
          <w:p w:rsidR="006C79BA" w:rsidRPr="006C79BA" w:rsidP="006C79BA">
            <w:pPr>
              <w:jc w:val="right"/>
              <w:rPr>
                <w:rFonts w:cs="Arial"/>
                <w:color w:val="000000"/>
                <w:sz w:val="22"/>
                <w:szCs w:val="22"/>
              </w:rPr>
            </w:pPr>
            <w:r w:rsidRPr="006C79BA">
              <w:rPr>
                <w:rFonts w:cs="Arial"/>
                <w:color w:val="000000"/>
                <w:sz w:val="22"/>
                <w:szCs w:val="22"/>
              </w:rPr>
              <w:t>149,877</w:t>
            </w:r>
          </w:p>
        </w:tc>
        <w:tc>
          <w:tcPr>
            <w:tcW w:w="509" w:type="pct"/>
            <w:tcBorders>
              <w:top w:val="nil"/>
              <w:left w:val="nil"/>
              <w:bottom w:val="single" w:sz="4" w:space="0" w:color="auto"/>
              <w:right w:val="single" w:sz="4" w:space="0" w:color="auto"/>
            </w:tcBorders>
            <w:shd w:val="clear" w:color="000000" w:fill="B4C6E7"/>
            <w:vAlign w:val="center"/>
            <w:hideMark/>
          </w:tcPr>
          <w:p w:rsidR="006C79BA" w:rsidRPr="006C79BA" w:rsidP="006C79BA">
            <w:pPr>
              <w:jc w:val="right"/>
              <w:rPr>
                <w:rFonts w:cs="Arial"/>
                <w:color w:val="000000"/>
                <w:sz w:val="22"/>
                <w:szCs w:val="22"/>
              </w:rPr>
            </w:pPr>
            <w:r w:rsidRPr="006C79BA">
              <w:rPr>
                <w:rFonts w:cs="Arial"/>
                <w:color w:val="000000"/>
                <w:sz w:val="22"/>
                <w:szCs w:val="22"/>
              </w:rPr>
              <w:t>2,715</w:t>
            </w:r>
          </w:p>
        </w:tc>
        <w:tc>
          <w:tcPr>
            <w:tcW w:w="411" w:type="pct"/>
            <w:tcBorders>
              <w:top w:val="nil"/>
              <w:left w:val="nil"/>
              <w:bottom w:val="single" w:sz="4" w:space="0" w:color="auto"/>
              <w:right w:val="single" w:sz="4" w:space="0" w:color="auto"/>
            </w:tcBorders>
            <w:shd w:val="clear" w:color="000000" w:fill="B4C6E7"/>
            <w:vAlign w:val="center"/>
            <w:hideMark/>
          </w:tcPr>
          <w:p w:rsidR="006C79BA" w:rsidRPr="006C79BA" w:rsidP="006C79BA">
            <w:pPr>
              <w:jc w:val="right"/>
              <w:rPr>
                <w:rFonts w:cs="Arial"/>
                <w:color w:val="000000"/>
                <w:sz w:val="22"/>
                <w:szCs w:val="22"/>
              </w:rPr>
            </w:pPr>
            <w:r w:rsidRPr="006C79BA">
              <w:rPr>
                <w:rFonts w:cs="Arial"/>
                <w:color w:val="000000"/>
                <w:sz w:val="22"/>
                <w:szCs w:val="22"/>
              </w:rPr>
              <w:t>2%</w:t>
            </w:r>
          </w:p>
        </w:tc>
        <w:tc>
          <w:tcPr>
            <w:tcW w:w="290" w:type="pct"/>
            <w:tcBorders>
              <w:top w:val="nil"/>
              <w:left w:val="nil"/>
              <w:bottom w:val="single" w:sz="4" w:space="0" w:color="auto"/>
              <w:right w:val="single" w:sz="4" w:space="0" w:color="auto"/>
            </w:tcBorders>
            <w:shd w:val="clear" w:color="000000" w:fill="B4C6E7"/>
            <w:vAlign w:val="center"/>
            <w:hideMark/>
          </w:tcPr>
          <w:p w:rsidR="006C79BA" w:rsidRPr="006C79BA" w:rsidP="006C79BA">
            <w:pPr>
              <w:jc w:val="center"/>
              <w:rPr>
                <w:rFonts w:cs="Arial"/>
                <w:color w:val="000000"/>
                <w:sz w:val="22"/>
                <w:szCs w:val="22"/>
              </w:rPr>
            </w:pPr>
            <w:r w:rsidRPr="006C79BA">
              <w:rPr>
                <w:rFonts w:cs="Arial"/>
                <w:color w:val="000000"/>
                <w:sz w:val="22"/>
                <w:szCs w:val="22"/>
              </w:rPr>
              <w:t>a)</w:t>
            </w:r>
          </w:p>
        </w:tc>
      </w:tr>
      <w:tr w:rsidTr="006C79BA">
        <w:tblPrEx>
          <w:tblW w:w="5000" w:type="pct"/>
          <w:tblLook w:val="04A0"/>
        </w:tblPrEx>
        <w:trPr>
          <w:trHeight w:val="360"/>
        </w:trPr>
        <w:tc>
          <w:tcPr>
            <w:tcW w:w="470" w:type="pct"/>
            <w:tcBorders>
              <w:top w:val="nil"/>
              <w:left w:val="single" w:sz="4" w:space="0" w:color="auto"/>
              <w:bottom w:val="single" w:sz="4" w:space="0" w:color="auto"/>
              <w:right w:val="single" w:sz="4" w:space="0" w:color="auto"/>
            </w:tcBorders>
            <w:shd w:val="clear" w:color="auto" w:fill="auto"/>
            <w:vAlign w:val="center"/>
            <w:hideMark/>
          </w:tcPr>
          <w:p w:rsidR="006C79BA" w:rsidRPr="006C79BA" w:rsidP="006C79BA">
            <w:pPr>
              <w:jc w:val="center"/>
              <w:rPr>
                <w:rFonts w:cs="Arial"/>
                <w:color w:val="000000"/>
                <w:sz w:val="22"/>
                <w:szCs w:val="22"/>
              </w:rPr>
            </w:pPr>
            <w:r w:rsidRPr="006C79BA">
              <w:rPr>
                <w:rFonts w:cs="Arial"/>
                <w:color w:val="000000"/>
                <w:sz w:val="22"/>
                <w:szCs w:val="22"/>
              </w:rPr>
              <w:t>C</w:t>
            </w:r>
          </w:p>
        </w:tc>
        <w:tc>
          <w:tcPr>
            <w:tcW w:w="2153" w:type="pct"/>
            <w:tcBorders>
              <w:top w:val="nil"/>
              <w:left w:val="nil"/>
              <w:bottom w:val="single" w:sz="4" w:space="0" w:color="auto"/>
              <w:right w:val="nil"/>
            </w:tcBorders>
            <w:shd w:val="clear" w:color="auto" w:fill="auto"/>
            <w:vAlign w:val="center"/>
            <w:hideMark/>
          </w:tcPr>
          <w:p w:rsidR="006C79BA" w:rsidRPr="006C79BA" w:rsidP="006C79BA">
            <w:pPr>
              <w:rPr>
                <w:rFonts w:cs="Arial"/>
                <w:color w:val="000000"/>
                <w:sz w:val="22"/>
                <w:szCs w:val="22"/>
              </w:rPr>
            </w:pPr>
            <w:r w:rsidRPr="006C79BA">
              <w:rPr>
                <w:rFonts w:cs="Arial"/>
                <w:color w:val="000000"/>
                <w:sz w:val="22"/>
                <w:szCs w:val="22"/>
              </w:rPr>
              <w:t>DHSC programme and admin expenditure</w:t>
            </w:r>
          </w:p>
        </w:tc>
        <w:tc>
          <w:tcPr>
            <w:tcW w:w="583" w:type="pct"/>
            <w:tcBorders>
              <w:top w:val="nil"/>
              <w:left w:val="nil"/>
              <w:bottom w:val="single" w:sz="4" w:space="0" w:color="auto"/>
              <w:right w:val="single" w:sz="4" w:space="0" w:color="auto"/>
            </w:tcBorders>
            <w:shd w:val="clear" w:color="auto" w:fill="auto"/>
            <w:vAlign w:val="center"/>
            <w:hideMark/>
          </w:tcPr>
          <w:p w:rsidR="006C79BA" w:rsidRPr="006C79BA" w:rsidP="006C79BA">
            <w:pPr>
              <w:jc w:val="right"/>
              <w:rPr>
                <w:rFonts w:cs="Arial"/>
                <w:color w:val="000000"/>
                <w:sz w:val="22"/>
                <w:szCs w:val="22"/>
              </w:rPr>
            </w:pPr>
            <w:r w:rsidRPr="006C79BA">
              <w:rPr>
                <w:rFonts w:cs="Arial"/>
                <w:color w:val="000000"/>
                <w:sz w:val="22"/>
                <w:szCs w:val="22"/>
              </w:rPr>
              <w:t>3,555</w:t>
            </w:r>
          </w:p>
        </w:tc>
        <w:tc>
          <w:tcPr>
            <w:tcW w:w="583" w:type="pct"/>
            <w:tcBorders>
              <w:top w:val="nil"/>
              <w:left w:val="nil"/>
              <w:bottom w:val="single" w:sz="4" w:space="0" w:color="auto"/>
              <w:right w:val="single" w:sz="4" w:space="0" w:color="auto"/>
            </w:tcBorders>
            <w:shd w:val="clear" w:color="auto" w:fill="auto"/>
            <w:vAlign w:val="center"/>
            <w:hideMark/>
          </w:tcPr>
          <w:p w:rsidR="006C79BA" w:rsidRPr="006C79BA" w:rsidP="006C79BA">
            <w:pPr>
              <w:jc w:val="right"/>
              <w:rPr>
                <w:rFonts w:cs="Arial"/>
                <w:color w:val="000000"/>
                <w:sz w:val="22"/>
                <w:szCs w:val="22"/>
              </w:rPr>
            </w:pPr>
            <w:r w:rsidRPr="006C79BA">
              <w:rPr>
                <w:rFonts w:cs="Arial"/>
                <w:color w:val="000000"/>
                <w:sz w:val="22"/>
                <w:szCs w:val="22"/>
              </w:rPr>
              <w:t>13,074</w:t>
            </w:r>
          </w:p>
        </w:tc>
        <w:tc>
          <w:tcPr>
            <w:tcW w:w="509" w:type="pct"/>
            <w:tcBorders>
              <w:top w:val="nil"/>
              <w:left w:val="nil"/>
              <w:bottom w:val="single" w:sz="4" w:space="0" w:color="auto"/>
              <w:right w:val="single" w:sz="4" w:space="0" w:color="auto"/>
            </w:tcBorders>
            <w:shd w:val="clear" w:color="auto" w:fill="auto"/>
            <w:vAlign w:val="center"/>
            <w:hideMark/>
          </w:tcPr>
          <w:p w:rsidR="006C79BA" w:rsidRPr="006C79BA" w:rsidP="006C79BA">
            <w:pPr>
              <w:jc w:val="right"/>
              <w:rPr>
                <w:rFonts w:cs="Arial"/>
                <w:color w:val="000000"/>
                <w:sz w:val="22"/>
                <w:szCs w:val="22"/>
              </w:rPr>
            </w:pPr>
            <w:r w:rsidRPr="006C79BA">
              <w:rPr>
                <w:rFonts w:cs="Arial"/>
                <w:color w:val="FF0000"/>
                <w:sz w:val="22"/>
                <w:szCs w:val="22"/>
              </w:rPr>
              <w:t>(9,519)</w:t>
            </w:r>
          </w:p>
        </w:tc>
        <w:tc>
          <w:tcPr>
            <w:tcW w:w="41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C79BA" w:rsidRPr="006C79BA" w:rsidP="006C79BA">
            <w:pPr>
              <w:jc w:val="right"/>
              <w:rPr>
                <w:rFonts w:cs="Arial"/>
                <w:color w:val="FF0000"/>
                <w:sz w:val="22"/>
                <w:szCs w:val="22"/>
              </w:rPr>
            </w:pPr>
            <w:r w:rsidRPr="006C79BA">
              <w:rPr>
                <w:rFonts w:cs="Arial"/>
                <w:color w:val="FF0000"/>
                <w:sz w:val="22"/>
                <w:szCs w:val="22"/>
              </w:rPr>
              <w:t>-73%</w:t>
            </w:r>
          </w:p>
        </w:tc>
        <w:tc>
          <w:tcPr>
            <w:tcW w:w="290" w:type="pct"/>
            <w:tcBorders>
              <w:top w:val="nil"/>
              <w:left w:val="nil"/>
              <w:bottom w:val="single" w:sz="4" w:space="0" w:color="auto"/>
              <w:right w:val="single" w:sz="4" w:space="0" w:color="auto"/>
            </w:tcBorders>
            <w:shd w:val="clear" w:color="auto" w:fill="auto"/>
            <w:vAlign w:val="center"/>
            <w:hideMark/>
          </w:tcPr>
          <w:p w:rsidR="006C79BA" w:rsidRPr="006C79BA" w:rsidP="006C79BA">
            <w:pPr>
              <w:jc w:val="center"/>
              <w:rPr>
                <w:rFonts w:cs="Arial"/>
                <w:color w:val="000000"/>
                <w:sz w:val="22"/>
                <w:szCs w:val="22"/>
              </w:rPr>
            </w:pPr>
            <w:r w:rsidRPr="006C79BA">
              <w:rPr>
                <w:rFonts w:cs="Arial"/>
                <w:color w:val="000000"/>
                <w:sz w:val="22"/>
                <w:szCs w:val="22"/>
              </w:rPr>
              <w:t>b)</w:t>
            </w:r>
          </w:p>
        </w:tc>
      </w:tr>
      <w:tr w:rsidTr="006C79BA">
        <w:tblPrEx>
          <w:tblW w:w="5000" w:type="pct"/>
          <w:tblLook w:val="04A0"/>
        </w:tblPrEx>
        <w:trPr>
          <w:trHeight w:val="285"/>
        </w:trPr>
        <w:tc>
          <w:tcPr>
            <w:tcW w:w="470" w:type="pct"/>
            <w:tcBorders>
              <w:top w:val="nil"/>
              <w:left w:val="single" w:sz="4" w:space="0" w:color="auto"/>
              <w:bottom w:val="single" w:sz="4" w:space="0" w:color="auto"/>
              <w:right w:val="single" w:sz="4" w:space="0" w:color="auto"/>
            </w:tcBorders>
            <w:shd w:val="clear" w:color="auto" w:fill="auto"/>
            <w:vAlign w:val="center"/>
            <w:hideMark/>
          </w:tcPr>
          <w:p w:rsidR="006C79BA" w:rsidRPr="006C79BA" w:rsidP="006C79BA">
            <w:pPr>
              <w:jc w:val="center"/>
              <w:rPr>
                <w:rFonts w:cs="Arial"/>
                <w:color w:val="000000"/>
                <w:sz w:val="22"/>
                <w:szCs w:val="22"/>
              </w:rPr>
            </w:pPr>
            <w:r w:rsidRPr="006C79BA">
              <w:rPr>
                <w:rFonts w:cs="Arial"/>
                <w:color w:val="000000"/>
                <w:sz w:val="22"/>
                <w:szCs w:val="22"/>
              </w:rPr>
              <w:t>D</w:t>
            </w:r>
          </w:p>
        </w:tc>
        <w:tc>
          <w:tcPr>
            <w:tcW w:w="2153" w:type="pct"/>
            <w:tcBorders>
              <w:top w:val="nil"/>
              <w:left w:val="nil"/>
              <w:bottom w:val="single" w:sz="4" w:space="0" w:color="auto"/>
              <w:right w:val="single" w:sz="4" w:space="0" w:color="auto"/>
            </w:tcBorders>
            <w:shd w:val="clear" w:color="auto" w:fill="auto"/>
            <w:vAlign w:val="center"/>
            <w:hideMark/>
          </w:tcPr>
          <w:p w:rsidR="006C79BA" w:rsidRPr="006C79BA" w:rsidP="006C79BA">
            <w:pPr>
              <w:rPr>
                <w:rFonts w:cs="Arial"/>
                <w:color w:val="000000"/>
                <w:sz w:val="22"/>
                <w:szCs w:val="22"/>
              </w:rPr>
            </w:pPr>
            <w:r w:rsidRPr="006C79BA">
              <w:rPr>
                <w:rFonts w:cs="Arial"/>
                <w:color w:val="000000"/>
                <w:sz w:val="22"/>
                <w:szCs w:val="22"/>
              </w:rPr>
              <w:t>Local Authorities (Public Health)</w:t>
            </w:r>
          </w:p>
        </w:tc>
        <w:tc>
          <w:tcPr>
            <w:tcW w:w="583" w:type="pct"/>
            <w:tcBorders>
              <w:top w:val="nil"/>
              <w:left w:val="nil"/>
              <w:bottom w:val="single" w:sz="4" w:space="0" w:color="auto"/>
              <w:right w:val="single" w:sz="4" w:space="0" w:color="auto"/>
            </w:tcBorders>
            <w:shd w:val="clear" w:color="auto" w:fill="auto"/>
            <w:vAlign w:val="center"/>
            <w:hideMark/>
          </w:tcPr>
          <w:p w:rsidR="006C79BA" w:rsidRPr="006C79BA" w:rsidP="006C79BA">
            <w:pPr>
              <w:jc w:val="right"/>
              <w:rPr>
                <w:rFonts w:cs="Arial"/>
                <w:color w:val="000000"/>
                <w:sz w:val="22"/>
                <w:szCs w:val="22"/>
              </w:rPr>
            </w:pPr>
            <w:r w:rsidRPr="006C79BA">
              <w:rPr>
                <w:rFonts w:cs="Arial"/>
                <w:color w:val="000000"/>
                <w:sz w:val="22"/>
                <w:szCs w:val="22"/>
              </w:rPr>
              <w:t>3,202</w:t>
            </w:r>
          </w:p>
        </w:tc>
        <w:tc>
          <w:tcPr>
            <w:tcW w:w="583" w:type="pct"/>
            <w:tcBorders>
              <w:top w:val="nil"/>
              <w:left w:val="nil"/>
              <w:bottom w:val="single" w:sz="4" w:space="0" w:color="auto"/>
              <w:right w:val="single" w:sz="4" w:space="0" w:color="auto"/>
            </w:tcBorders>
            <w:shd w:val="clear" w:color="auto" w:fill="auto"/>
            <w:vAlign w:val="center"/>
            <w:hideMark/>
          </w:tcPr>
          <w:p w:rsidR="006C79BA" w:rsidRPr="006C79BA" w:rsidP="006C79BA">
            <w:pPr>
              <w:jc w:val="right"/>
              <w:rPr>
                <w:rFonts w:cs="Arial"/>
                <w:color w:val="000000"/>
                <w:sz w:val="22"/>
                <w:szCs w:val="22"/>
              </w:rPr>
            </w:pPr>
            <w:r w:rsidRPr="006C79BA">
              <w:rPr>
                <w:rFonts w:cs="Arial"/>
                <w:color w:val="000000"/>
                <w:sz w:val="22"/>
                <w:szCs w:val="22"/>
              </w:rPr>
              <w:t>3,853</w:t>
            </w:r>
          </w:p>
        </w:tc>
        <w:tc>
          <w:tcPr>
            <w:tcW w:w="509" w:type="pct"/>
            <w:tcBorders>
              <w:top w:val="nil"/>
              <w:left w:val="nil"/>
              <w:bottom w:val="single" w:sz="4" w:space="0" w:color="auto"/>
              <w:right w:val="single" w:sz="4" w:space="0" w:color="auto"/>
            </w:tcBorders>
            <w:shd w:val="clear" w:color="auto" w:fill="auto"/>
            <w:vAlign w:val="center"/>
            <w:hideMark/>
          </w:tcPr>
          <w:p w:rsidR="006C79BA" w:rsidRPr="006C79BA" w:rsidP="006C79BA">
            <w:pPr>
              <w:jc w:val="right"/>
              <w:rPr>
                <w:rFonts w:cs="Arial"/>
                <w:color w:val="000000"/>
                <w:sz w:val="22"/>
                <w:szCs w:val="22"/>
              </w:rPr>
            </w:pPr>
            <w:r w:rsidRPr="006C79BA">
              <w:rPr>
                <w:rFonts w:cs="Arial"/>
                <w:color w:val="FF0000"/>
                <w:sz w:val="22"/>
                <w:szCs w:val="22"/>
              </w:rPr>
              <w:t>(651)</w:t>
            </w:r>
          </w:p>
        </w:tc>
        <w:tc>
          <w:tcPr>
            <w:tcW w:w="41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C79BA" w:rsidRPr="006C79BA" w:rsidP="006C79BA">
            <w:pPr>
              <w:jc w:val="right"/>
              <w:rPr>
                <w:rFonts w:cs="Arial"/>
                <w:color w:val="FF0000"/>
                <w:sz w:val="22"/>
                <w:szCs w:val="22"/>
              </w:rPr>
            </w:pPr>
            <w:r w:rsidRPr="006C79BA">
              <w:rPr>
                <w:rFonts w:cs="Arial"/>
                <w:color w:val="FF0000"/>
                <w:sz w:val="22"/>
                <w:szCs w:val="22"/>
              </w:rPr>
              <w:t>-17%</w:t>
            </w:r>
          </w:p>
        </w:tc>
        <w:tc>
          <w:tcPr>
            <w:tcW w:w="290" w:type="pct"/>
            <w:tcBorders>
              <w:top w:val="nil"/>
              <w:left w:val="nil"/>
              <w:bottom w:val="single" w:sz="4" w:space="0" w:color="auto"/>
              <w:right w:val="single" w:sz="4" w:space="0" w:color="auto"/>
            </w:tcBorders>
            <w:shd w:val="clear" w:color="auto" w:fill="auto"/>
            <w:vAlign w:val="center"/>
            <w:hideMark/>
          </w:tcPr>
          <w:p w:rsidR="006C79BA" w:rsidRPr="006C79BA" w:rsidP="006C79BA">
            <w:pPr>
              <w:jc w:val="center"/>
              <w:rPr>
                <w:rFonts w:cs="Arial"/>
                <w:color w:val="000000"/>
                <w:sz w:val="22"/>
                <w:szCs w:val="22"/>
              </w:rPr>
            </w:pPr>
            <w:r w:rsidRPr="006C79BA">
              <w:rPr>
                <w:rFonts w:cs="Arial"/>
                <w:color w:val="000000"/>
                <w:sz w:val="22"/>
                <w:szCs w:val="22"/>
              </w:rPr>
              <w:t>c)</w:t>
            </w:r>
          </w:p>
        </w:tc>
      </w:tr>
      <w:tr w:rsidTr="006C79BA">
        <w:tblPrEx>
          <w:tblW w:w="5000" w:type="pct"/>
          <w:tblLook w:val="04A0"/>
        </w:tblPrEx>
        <w:trPr>
          <w:trHeight w:val="285"/>
        </w:trPr>
        <w:tc>
          <w:tcPr>
            <w:tcW w:w="470" w:type="pct"/>
            <w:tcBorders>
              <w:top w:val="nil"/>
              <w:left w:val="single" w:sz="4" w:space="0" w:color="auto"/>
              <w:bottom w:val="single" w:sz="4" w:space="0" w:color="auto"/>
              <w:right w:val="single" w:sz="4" w:space="0" w:color="auto"/>
            </w:tcBorders>
            <w:shd w:val="clear" w:color="auto" w:fill="auto"/>
            <w:vAlign w:val="center"/>
            <w:hideMark/>
          </w:tcPr>
          <w:p w:rsidR="006C79BA" w:rsidRPr="006C79BA" w:rsidP="006C79BA">
            <w:pPr>
              <w:jc w:val="center"/>
              <w:rPr>
                <w:rFonts w:cs="Arial"/>
                <w:color w:val="000000"/>
                <w:sz w:val="22"/>
                <w:szCs w:val="22"/>
              </w:rPr>
            </w:pPr>
            <w:r w:rsidRPr="006C79BA">
              <w:rPr>
                <w:rFonts w:cs="Arial"/>
                <w:color w:val="000000"/>
                <w:sz w:val="22"/>
                <w:szCs w:val="22"/>
              </w:rPr>
              <w:t>E</w:t>
            </w:r>
          </w:p>
        </w:tc>
        <w:tc>
          <w:tcPr>
            <w:tcW w:w="2153" w:type="pct"/>
            <w:tcBorders>
              <w:top w:val="nil"/>
              <w:left w:val="nil"/>
              <w:bottom w:val="single" w:sz="4" w:space="0" w:color="auto"/>
              <w:right w:val="single" w:sz="4" w:space="0" w:color="auto"/>
            </w:tcBorders>
            <w:shd w:val="clear" w:color="auto" w:fill="auto"/>
            <w:vAlign w:val="center"/>
            <w:hideMark/>
          </w:tcPr>
          <w:p w:rsidR="006C79BA" w:rsidRPr="006C79BA" w:rsidP="006C79BA">
            <w:pPr>
              <w:rPr>
                <w:rFonts w:cs="Arial"/>
                <w:color w:val="000000"/>
                <w:sz w:val="22"/>
                <w:szCs w:val="22"/>
              </w:rPr>
            </w:pPr>
            <w:r w:rsidRPr="006C79BA">
              <w:rPr>
                <w:rFonts w:cs="Arial"/>
                <w:color w:val="000000"/>
                <w:sz w:val="22"/>
                <w:szCs w:val="22"/>
              </w:rPr>
              <w:t>Executive Agencies</w:t>
            </w:r>
          </w:p>
        </w:tc>
        <w:tc>
          <w:tcPr>
            <w:tcW w:w="583" w:type="pct"/>
            <w:tcBorders>
              <w:top w:val="nil"/>
              <w:left w:val="nil"/>
              <w:bottom w:val="single" w:sz="4" w:space="0" w:color="auto"/>
              <w:right w:val="single" w:sz="4" w:space="0" w:color="auto"/>
            </w:tcBorders>
            <w:shd w:val="clear" w:color="auto" w:fill="auto"/>
            <w:vAlign w:val="center"/>
            <w:hideMark/>
          </w:tcPr>
          <w:p w:rsidR="006C79BA" w:rsidRPr="006C79BA" w:rsidP="006C79BA">
            <w:pPr>
              <w:jc w:val="right"/>
              <w:rPr>
                <w:rFonts w:cs="Arial"/>
                <w:color w:val="000000"/>
                <w:sz w:val="22"/>
                <w:szCs w:val="22"/>
              </w:rPr>
            </w:pPr>
            <w:r w:rsidRPr="006C79BA">
              <w:rPr>
                <w:rFonts w:cs="Arial"/>
                <w:color w:val="000000"/>
                <w:sz w:val="22"/>
                <w:szCs w:val="22"/>
              </w:rPr>
              <w:t>4,149</w:t>
            </w:r>
          </w:p>
        </w:tc>
        <w:tc>
          <w:tcPr>
            <w:tcW w:w="583" w:type="pct"/>
            <w:tcBorders>
              <w:top w:val="nil"/>
              <w:left w:val="nil"/>
              <w:bottom w:val="single" w:sz="4" w:space="0" w:color="auto"/>
              <w:right w:val="single" w:sz="4" w:space="0" w:color="auto"/>
            </w:tcBorders>
            <w:shd w:val="clear" w:color="auto" w:fill="auto"/>
            <w:vAlign w:val="center"/>
            <w:hideMark/>
          </w:tcPr>
          <w:p w:rsidR="006C79BA" w:rsidRPr="006C79BA" w:rsidP="006C79BA">
            <w:pPr>
              <w:jc w:val="right"/>
              <w:rPr>
                <w:rFonts w:cs="Arial"/>
                <w:color w:val="000000"/>
                <w:sz w:val="22"/>
                <w:szCs w:val="22"/>
              </w:rPr>
            </w:pPr>
            <w:r w:rsidRPr="006C79BA">
              <w:rPr>
                <w:rFonts w:cs="Arial"/>
                <w:color w:val="000000"/>
                <w:sz w:val="22"/>
                <w:szCs w:val="22"/>
              </w:rPr>
              <w:t>12,725</w:t>
            </w:r>
          </w:p>
        </w:tc>
        <w:tc>
          <w:tcPr>
            <w:tcW w:w="509" w:type="pct"/>
            <w:tcBorders>
              <w:top w:val="nil"/>
              <w:left w:val="nil"/>
              <w:bottom w:val="single" w:sz="4" w:space="0" w:color="auto"/>
              <w:right w:val="single" w:sz="4" w:space="0" w:color="auto"/>
            </w:tcBorders>
            <w:shd w:val="clear" w:color="auto" w:fill="auto"/>
            <w:vAlign w:val="center"/>
            <w:hideMark/>
          </w:tcPr>
          <w:p w:rsidR="006C79BA" w:rsidRPr="006C79BA" w:rsidP="006C79BA">
            <w:pPr>
              <w:jc w:val="right"/>
              <w:rPr>
                <w:rFonts w:cs="Arial"/>
                <w:color w:val="000000"/>
                <w:sz w:val="22"/>
                <w:szCs w:val="22"/>
              </w:rPr>
            </w:pPr>
            <w:r w:rsidRPr="006C79BA">
              <w:rPr>
                <w:rFonts w:cs="Arial"/>
                <w:color w:val="FF0000"/>
                <w:sz w:val="22"/>
                <w:szCs w:val="22"/>
              </w:rPr>
              <w:t>(8,576)</w:t>
            </w:r>
          </w:p>
        </w:tc>
        <w:tc>
          <w:tcPr>
            <w:tcW w:w="41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C79BA" w:rsidRPr="006C79BA" w:rsidP="006C79BA">
            <w:pPr>
              <w:jc w:val="right"/>
              <w:rPr>
                <w:rFonts w:cs="Arial"/>
                <w:color w:val="FF0000"/>
                <w:sz w:val="22"/>
                <w:szCs w:val="22"/>
              </w:rPr>
            </w:pPr>
            <w:r w:rsidRPr="006C79BA">
              <w:rPr>
                <w:rFonts w:cs="Arial"/>
                <w:color w:val="FF0000"/>
                <w:sz w:val="22"/>
                <w:szCs w:val="22"/>
              </w:rPr>
              <w:t>-67%</w:t>
            </w:r>
          </w:p>
        </w:tc>
        <w:tc>
          <w:tcPr>
            <w:tcW w:w="290" w:type="pct"/>
            <w:tcBorders>
              <w:top w:val="nil"/>
              <w:left w:val="nil"/>
              <w:bottom w:val="single" w:sz="4" w:space="0" w:color="auto"/>
              <w:right w:val="single" w:sz="4" w:space="0" w:color="auto"/>
            </w:tcBorders>
            <w:shd w:val="clear" w:color="auto" w:fill="auto"/>
            <w:vAlign w:val="center"/>
            <w:hideMark/>
          </w:tcPr>
          <w:p w:rsidR="006C79BA" w:rsidRPr="006C79BA" w:rsidP="006C79BA">
            <w:pPr>
              <w:jc w:val="center"/>
              <w:rPr>
                <w:rFonts w:cs="Arial"/>
                <w:color w:val="000000"/>
                <w:sz w:val="22"/>
                <w:szCs w:val="22"/>
              </w:rPr>
            </w:pPr>
            <w:r w:rsidRPr="006C79BA">
              <w:rPr>
                <w:rFonts w:cs="Arial"/>
                <w:color w:val="000000"/>
                <w:sz w:val="22"/>
                <w:szCs w:val="22"/>
              </w:rPr>
              <w:t>d)</w:t>
            </w:r>
          </w:p>
        </w:tc>
      </w:tr>
      <w:tr w:rsidTr="006C79BA">
        <w:tblPrEx>
          <w:tblW w:w="5000" w:type="pct"/>
          <w:tblLook w:val="04A0"/>
        </w:tblPrEx>
        <w:trPr>
          <w:trHeight w:val="285"/>
        </w:trPr>
        <w:tc>
          <w:tcPr>
            <w:tcW w:w="470" w:type="pct"/>
            <w:tcBorders>
              <w:top w:val="nil"/>
              <w:left w:val="single" w:sz="4" w:space="0" w:color="auto"/>
              <w:bottom w:val="single" w:sz="4" w:space="0" w:color="auto"/>
              <w:right w:val="single" w:sz="4" w:space="0" w:color="auto"/>
            </w:tcBorders>
            <w:shd w:val="clear" w:color="auto" w:fill="auto"/>
            <w:vAlign w:val="center"/>
            <w:hideMark/>
          </w:tcPr>
          <w:p w:rsidR="006C79BA" w:rsidRPr="006C79BA" w:rsidP="006C79BA">
            <w:pPr>
              <w:jc w:val="center"/>
              <w:rPr>
                <w:rFonts w:cs="Arial"/>
                <w:color w:val="000000"/>
                <w:sz w:val="22"/>
                <w:szCs w:val="22"/>
              </w:rPr>
            </w:pPr>
            <w:r w:rsidRPr="006C79BA">
              <w:rPr>
                <w:rFonts w:cs="Arial"/>
                <w:color w:val="000000"/>
                <w:sz w:val="22"/>
                <w:szCs w:val="22"/>
              </w:rPr>
              <w:t>F</w:t>
            </w:r>
          </w:p>
        </w:tc>
        <w:tc>
          <w:tcPr>
            <w:tcW w:w="2153" w:type="pct"/>
            <w:tcBorders>
              <w:top w:val="nil"/>
              <w:left w:val="nil"/>
              <w:bottom w:val="single" w:sz="4" w:space="0" w:color="auto"/>
              <w:right w:val="single" w:sz="4" w:space="0" w:color="auto"/>
            </w:tcBorders>
            <w:shd w:val="clear" w:color="auto" w:fill="auto"/>
            <w:vAlign w:val="center"/>
            <w:hideMark/>
          </w:tcPr>
          <w:p w:rsidR="006C79BA" w:rsidRPr="006C79BA" w:rsidP="006C79BA">
            <w:pPr>
              <w:rPr>
                <w:rFonts w:cs="Arial"/>
                <w:color w:val="000000"/>
                <w:sz w:val="22"/>
                <w:szCs w:val="22"/>
              </w:rPr>
            </w:pPr>
            <w:r w:rsidRPr="006C79BA">
              <w:rPr>
                <w:rFonts w:cs="Arial"/>
                <w:color w:val="000000"/>
                <w:sz w:val="22"/>
                <w:szCs w:val="22"/>
              </w:rPr>
              <w:t>Health Education England</w:t>
            </w:r>
          </w:p>
        </w:tc>
        <w:tc>
          <w:tcPr>
            <w:tcW w:w="583" w:type="pct"/>
            <w:tcBorders>
              <w:top w:val="nil"/>
              <w:left w:val="nil"/>
              <w:bottom w:val="single" w:sz="4" w:space="0" w:color="auto"/>
              <w:right w:val="single" w:sz="4" w:space="0" w:color="auto"/>
            </w:tcBorders>
            <w:shd w:val="clear" w:color="auto" w:fill="auto"/>
            <w:vAlign w:val="center"/>
            <w:hideMark/>
          </w:tcPr>
          <w:p w:rsidR="006C79BA" w:rsidRPr="006C79BA" w:rsidP="006C79BA">
            <w:pPr>
              <w:jc w:val="right"/>
              <w:rPr>
                <w:rFonts w:cs="Arial"/>
                <w:color w:val="000000"/>
                <w:sz w:val="22"/>
                <w:szCs w:val="22"/>
              </w:rPr>
            </w:pPr>
            <w:r w:rsidRPr="006C79BA">
              <w:rPr>
                <w:rFonts w:cs="Arial"/>
                <w:color w:val="000000"/>
                <w:sz w:val="22"/>
                <w:szCs w:val="22"/>
              </w:rPr>
              <w:t>1,942</w:t>
            </w:r>
          </w:p>
        </w:tc>
        <w:tc>
          <w:tcPr>
            <w:tcW w:w="583" w:type="pct"/>
            <w:tcBorders>
              <w:top w:val="nil"/>
              <w:left w:val="nil"/>
              <w:bottom w:val="single" w:sz="4" w:space="0" w:color="auto"/>
              <w:right w:val="single" w:sz="4" w:space="0" w:color="auto"/>
            </w:tcBorders>
            <w:shd w:val="clear" w:color="auto" w:fill="auto"/>
            <w:vAlign w:val="center"/>
            <w:hideMark/>
          </w:tcPr>
          <w:p w:rsidR="006C79BA" w:rsidRPr="006C79BA" w:rsidP="006C79BA">
            <w:pPr>
              <w:jc w:val="right"/>
              <w:rPr>
                <w:rFonts w:cs="Arial"/>
                <w:color w:val="000000"/>
                <w:sz w:val="22"/>
                <w:szCs w:val="22"/>
              </w:rPr>
            </w:pPr>
            <w:r w:rsidRPr="006C79BA">
              <w:rPr>
                <w:rFonts w:cs="Arial"/>
                <w:color w:val="000000"/>
                <w:sz w:val="22"/>
                <w:szCs w:val="22"/>
              </w:rPr>
              <w:t>1,859</w:t>
            </w:r>
          </w:p>
        </w:tc>
        <w:tc>
          <w:tcPr>
            <w:tcW w:w="509" w:type="pct"/>
            <w:tcBorders>
              <w:top w:val="nil"/>
              <w:left w:val="nil"/>
              <w:bottom w:val="single" w:sz="4" w:space="0" w:color="auto"/>
              <w:right w:val="single" w:sz="4" w:space="0" w:color="auto"/>
            </w:tcBorders>
            <w:shd w:val="clear" w:color="auto" w:fill="auto"/>
            <w:vAlign w:val="center"/>
            <w:hideMark/>
          </w:tcPr>
          <w:p w:rsidR="006C79BA" w:rsidRPr="006C79BA" w:rsidP="006C79BA">
            <w:pPr>
              <w:jc w:val="right"/>
              <w:rPr>
                <w:rFonts w:cs="Arial"/>
                <w:color w:val="000000"/>
                <w:sz w:val="22"/>
                <w:szCs w:val="22"/>
              </w:rPr>
            </w:pPr>
            <w:r w:rsidRPr="006C79BA">
              <w:rPr>
                <w:rFonts w:cs="Arial"/>
                <w:color w:val="000000"/>
                <w:sz w:val="22"/>
                <w:szCs w:val="22"/>
              </w:rPr>
              <w:t>83</w:t>
            </w:r>
          </w:p>
        </w:tc>
        <w:tc>
          <w:tcPr>
            <w:tcW w:w="411" w:type="pct"/>
            <w:tcBorders>
              <w:top w:val="nil"/>
              <w:left w:val="nil"/>
              <w:bottom w:val="single" w:sz="4" w:space="0" w:color="auto"/>
              <w:right w:val="single" w:sz="4" w:space="0" w:color="auto"/>
            </w:tcBorders>
            <w:shd w:val="clear" w:color="auto" w:fill="auto"/>
            <w:vAlign w:val="center"/>
            <w:hideMark/>
          </w:tcPr>
          <w:p w:rsidR="006C79BA" w:rsidRPr="006C79BA" w:rsidP="006C79BA">
            <w:pPr>
              <w:jc w:val="right"/>
              <w:rPr>
                <w:rFonts w:cs="Arial"/>
                <w:color w:val="000000"/>
                <w:sz w:val="22"/>
                <w:szCs w:val="22"/>
              </w:rPr>
            </w:pPr>
            <w:r w:rsidRPr="006C79BA">
              <w:rPr>
                <w:rFonts w:cs="Arial"/>
                <w:color w:val="000000"/>
                <w:sz w:val="22"/>
                <w:szCs w:val="22"/>
              </w:rPr>
              <w:t>4%</w:t>
            </w:r>
          </w:p>
        </w:tc>
        <w:tc>
          <w:tcPr>
            <w:tcW w:w="290" w:type="pct"/>
            <w:tcBorders>
              <w:top w:val="nil"/>
              <w:left w:val="nil"/>
              <w:bottom w:val="single" w:sz="4" w:space="0" w:color="auto"/>
              <w:right w:val="single" w:sz="4" w:space="0" w:color="auto"/>
            </w:tcBorders>
            <w:shd w:val="clear" w:color="auto" w:fill="auto"/>
            <w:vAlign w:val="center"/>
            <w:hideMark/>
          </w:tcPr>
          <w:p w:rsidR="006C79BA" w:rsidRPr="006C79BA" w:rsidP="006C79BA">
            <w:pPr>
              <w:jc w:val="center"/>
              <w:rPr>
                <w:rFonts w:cs="Arial"/>
                <w:color w:val="000000"/>
                <w:sz w:val="22"/>
                <w:szCs w:val="22"/>
              </w:rPr>
            </w:pPr>
            <w:r w:rsidRPr="006C79BA">
              <w:rPr>
                <w:rFonts w:cs="Arial"/>
                <w:color w:val="000000"/>
                <w:sz w:val="22"/>
                <w:szCs w:val="22"/>
              </w:rPr>
              <w:t> </w:t>
            </w:r>
          </w:p>
        </w:tc>
      </w:tr>
      <w:tr w:rsidTr="006C79BA">
        <w:tblPrEx>
          <w:tblW w:w="5000" w:type="pct"/>
          <w:tblLook w:val="04A0"/>
        </w:tblPrEx>
        <w:trPr>
          <w:trHeight w:val="570"/>
        </w:trPr>
        <w:tc>
          <w:tcPr>
            <w:tcW w:w="470" w:type="pct"/>
            <w:tcBorders>
              <w:top w:val="nil"/>
              <w:left w:val="single" w:sz="4" w:space="0" w:color="auto"/>
              <w:bottom w:val="single" w:sz="4" w:space="0" w:color="auto"/>
              <w:right w:val="single" w:sz="4" w:space="0" w:color="auto"/>
            </w:tcBorders>
            <w:shd w:val="clear" w:color="auto" w:fill="auto"/>
            <w:vAlign w:val="center"/>
            <w:hideMark/>
          </w:tcPr>
          <w:p w:rsidR="006C79BA" w:rsidRPr="006C79BA" w:rsidP="006C79BA">
            <w:pPr>
              <w:jc w:val="center"/>
              <w:rPr>
                <w:rFonts w:cs="Arial"/>
                <w:color w:val="000000"/>
                <w:sz w:val="22"/>
                <w:szCs w:val="22"/>
              </w:rPr>
            </w:pPr>
            <w:r w:rsidRPr="006C79BA">
              <w:rPr>
                <w:rFonts w:cs="Arial"/>
                <w:color w:val="000000"/>
                <w:sz w:val="22"/>
                <w:szCs w:val="22"/>
              </w:rPr>
              <w:t>G, H &amp; I</w:t>
            </w:r>
          </w:p>
        </w:tc>
        <w:tc>
          <w:tcPr>
            <w:tcW w:w="2153" w:type="pct"/>
            <w:tcBorders>
              <w:top w:val="nil"/>
              <w:left w:val="nil"/>
              <w:bottom w:val="nil"/>
              <w:right w:val="single" w:sz="4" w:space="0" w:color="auto"/>
            </w:tcBorders>
            <w:shd w:val="clear" w:color="auto" w:fill="auto"/>
            <w:vAlign w:val="center"/>
            <w:hideMark/>
          </w:tcPr>
          <w:p w:rsidR="006C79BA" w:rsidRPr="006C79BA" w:rsidP="006C79BA">
            <w:pPr>
              <w:rPr>
                <w:rFonts w:cs="Arial"/>
                <w:color w:val="000000"/>
                <w:sz w:val="22"/>
                <w:szCs w:val="22"/>
              </w:rPr>
            </w:pPr>
            <w:r w:rsidRPr="006C79BA">
              <w:rPr>
                <w:rFonts w:cs="Arial"/>
                <w:color w:val="000000"/>
                <w:sz w:val="22"/>
                <w:szCs w:val="22"/>
              </w:rPr>
              <w:t>Special Health Authorities, NDPBs and ALBs and Other Bodies</w:t>
            </w:r>
          </w:p>
        </w:tc>
        <w:tc>
          <w:tcPr>
            <w:tcW w:w="583" w:type="pct"/>
            <w:tcBorders>
              <w:top w:val="nil"/>
              <w:left w:val="nil"/>
              <w:bottom w:val="single" w:sz="4" w:space="0" w:color="auto"/>
              <w:right w:val="single" w:sz="4" w:space="0" w:color="auto"/>
            </w:tcBorders>
            <w:shd w:val="clear" w:color="auto" w:fill="auto"/>
            <w:vAlign w:val="center"/>
            <w:hideMark/>
          </w:tcPr>
          <w:p w:rsidR="006C79BA" w:rsidRPr="006C79BA" w:rsidP="006C79BA">
            <w:pPr>
              <w:jc w:val="right"/>
              <w:rPr>
                <w:rFonts w:cs="Arial"/>
                <w:color w:val="000000"/>
                <w:sz w:val="22"/>
                <w:szCs w:val="22"/>
              </w:rPr>
            </w:pPr>
            <w:r w:rsidRPr="006C79BA">
              <w:rPr>
                <w:rFonts w:cs="Arial"/>
                <w:color w:val="000000"/>
                <w:sz w:val="22"/>
                <w:szCs w:val="22"/>
              </w:rPr>
              <w:t>4,508</w:t>
            </w:r>
          </w:p>
        </w:tc>
        <w:tc>
          <w:tcPr>
            <w:tcW w:w="583" w:type="pct"/>
            <w:tcBorders>
              <w:top w:val="nil"/>
              <w:left w:val="nil"/>
              <w:bottom w:val="single" w:sz="4" w:space="0" w:color="auto"/>
              <w:right w:val="single" w:sz="4" w:space="0" w:color="auto"/>
            </w:tcBorders>
            <w:shd w:val="clear" w:color="auto" w:fill="auto"/>
            <w:vAlign w:val="center"/>
            <w:hideMark/>
          </w:tcPr>
          <w:p w:rsidR="006C79BA" w:rsidRPr="006C79BA" w:rsidP="006C79BA">
            <w:pPr>
              <w:jc w:val="right"/>
              <w:rPr>
                <w:rFonts w:cs="Arial"/>
                <w:color w:val="000000"/>
                <w:sz w:val="22"/>
                <w:szCs w:val="22"/>
              </w:rPr>
            </w:pPr>
            <w:r w:rsidRPr="006C79BA">
              <w:rPr>
                <w:rFonts w:cs="Arial"/>
                <w:color w:val="000000"/>
                <w:sz w:val="22"/>
                <w:szCs w:val="22"/>
              </w:rPr>
              <w:t>5,507</w:t>
            </w:r>
          </w:p>
        </w:tc>
        <w:tc>
          <w:tcPr>
            <w:tcW w:w="509" w:type="pct"/>
            <w:tcBorders>
              <w:top w:val="nil"/>
              <w:left w:val="nil"/>
              <w:bottom w:val="single" w:sz="4" w:space="0" w:color="auto"/>
              <w:right w:val="single" w:sz="4" w:space="0" w:color="auto"/>
            </w:tcBorders>
            <w:shd w:val="clear" w:color="auto" w:fill="auto"/>
            <w:vAlign w:val="center"/>
            <w:hideMark/>
          </w:tcPr>
          <w:p w:rsidR="006C79BA" w:rsidRPr="006C79BA" w:rsidP="006C79BA">
            <w:pPr>
              <w:jc w:val="right"/>
              <w:rPr>
                <w:rFonts w:cs="Arial"/>
                <w:color w:val="000000"/>
                <w:sz w:val="22"/>
                <w:szCs w:val="22"/>
              </w:rPr>
            </w:pPr>
            <w:r w:rsidRPr="006C79BA">
              <w:rPr>
                <w:rFonts w:cs="Arial"/>
                <w:color w:val="FF0000"/>
                <w:sz w:val="22"/>
                <w:szCs w:val="22"/>
              </w:rPr>
              <w:t>(999)</w:t>
            </w:r>
          </w:p>
        </w:tc>
        <w:tc>
          <w:tcPr>
            <w:tcW w:w="41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C79BA" w:rsidRPr="006C79BA" w:rsidP="006C79BA">
            <w:pPr>
              <w:jc w:val="right"/>
              <w:rPr>
                <w:rFonts w:cs="Arial"/>
                <w:color w:val="FF0000"/>
                <w:sz w:val="22"/>
                <w:szCs w:val="22"/>
              </w:rPr>
            </w:pPr>
            <w:r w:rsidRPr="006C79BA">
              <w:rPr>
                <w:rFonts w:cs="Arial"/>
                <w:color w:val="FF0000"/>
                <w:sz w:val="22"/>
                <w:szCs w:val="22"/>
              </w:rPr>
              <w:t>-18%</w:t>
            </w:r>
          </w:p>
        </w:tc>
        <w:tc>
          <w:tcPr>
            <w:tcW w:w="290" w:type="pct"/>
            <w:tcBorders>
              <w:top w:val="nil"/>
              <w:left w:val="nil"/>
              <w:bottom w:val="single" w:sz="4" w:space="0" w:color="auto"/>
              <w:right w:val="single" w:sz="4" w:space="0" w:color="auto"/>
            </w:tcBorders>
            <w:shd w:val="clear" w:color="auto" w:fill="auto"/>
            <w:vAlign w:val="center"/>
            <w:hideMark/>
          </w:tcPr>
          <w:p w:rsidR="006C79BA" w:rsidRPr="006C79BA" w:rsidP="006C79BA">
            <w:pPr>
              <w:jc w:val="center"/>
              <w:rPr>
                <w:rFonts w:cs="Arial"/>
                <w:color w:val="000000"/>
                <w:sz w:val="22"/>
                <w:szCs w:val="22"/>
              </w:rPr>
            </w:pPr>
            <w:r w:rsidRPr="006C79BA">
              <w:rPr>
                <w:rFonts w:cs="Arial"/>
                <w:color w:val="000000"/>
                <w:sz w:val="22"/>
                <w:szCs w:val="22"/>
              </w:rPr>
              <w:t>e)</w:t>
            </w:r>
          </w:p>
        </w:tc>
      </w:tr>
      <w:tr w:rsidTr="006C79BA">
        <w:tblPrEx>
          <w:tblW w:w="5000" w:type="pct"/>
          <w:tblLook w:val="04A0"/>
        </w:tblPrEx>
        <w:trPr>
          <w:trHeight w:val="300"/>
        </w:trPr>
        <w:tc>
          <w:tcPr>
            <w:tcW w:w="2623" w:type="pct"/>
            <w:gridSpan w:val="2"/>
            <w:tcBorders>
              <w:top w:val="single" w:sz="4" w:space="0" w:color="auto"/>
              <w:left w:val="single" w:sz="4" w:space="0" w:color="auto"/>
              <w:bottom w:val="single" w:sz="4" w:space="0" w:color="auto"/>
              <w:right w:val="single" w:sz="4" w:space="0" w:color="000000"/>
            </w:tcBorders>
            <w:shd w:val="clear" w:color="000000" w:fill="B4C6E7"/>
            <w:vAlign w:val="bottom"/>
            <w:hideMark/>
          </w:tcPr>
          <w:p w:rsidR="006C79BA" w:rsidRPr="006C79BA" w:rsidP="006C79BA">
            <w:pPr>
              <w:rPr>
                <w:rFonts w:cs="Arial"/>
                <w:b/>
                <w:bCs/>
                <w:color w:val="000000"/>
                <w:sz w:val="22"/>
                <w:szCs w:val="22"/>
              </w:rPr>
            </w:pPr>
            <w:r w:rsidRPr="006C79BA">
              <w:rPr>
                <w:rFonts w:cs="Arial"/>
                <w:b/>
                <w:bCs/>
                <w:color w:val="000000"/>
                <w:sz w:val="22"/>
                <w:szCs w:val="22"/>
              </w:rPr>
              <w:t>TOTAL (Voted and Non Voted)</w:t>
            </w:r>
          </w:p>
        </w:tc>
        <w:tc>
          <w:tcPr>
            <w:tcW w:w="583" w:type="pct"/>
            <w:tcBorders>
              <w:top w:val="nil"/>
              <w:left w:val="nil"/>
              <w:bottom w:val="single" w:sz="4" w:space="0" w:color="auto"/>
              <w:right w:val="single" w:sz="4" w:space="0" w:color="auto"/>
            </w:tcBorders>
            <w:shd w:val="clear" w:color="000000" w:fill="B4C6E7"/>
            <w:vAlign w:val="bottom"/>
            <w:hideMark/>
          </w:tcPr>
          <w:p w:rsidR="006C79BA" w:rsidRPr="006C79BA" w:rsidP="006C79BA">
            <w:pPr>
              <w:jc w:val="right"/>
              <w:rPr>
                <w:rFonts w:cs="Arial"/>
                <w:b/>
                <w:bCs/>
                <w:color w:val="000000"/>
                <w:sz w:val="22"/>
                <w:szCs w:val="22"/>
              </w:rPr>
            </w:pPr>
            <w:r w:rsidRPr="006C79BA">
              <w:rPr>
                <w:rFonts w:cs="Arial"/>
                <w:b/>
                <w:bCs/>
                <w:color w:val="000000"/>
                <w:sz w:val="22"/>
                <w:szCs w:val="22"/>
              </w:rPr>
              <w:t>169,948</w:t>
            </w:r>
          </w:p>
        </w:tc>
        <w:tc>
          <w:tcPr>
            <w:tcW w:w="583" w:type="pct"/>
            <w:tcBorders>
              <w:top w:val="nil"/>
              <w:left w:val="nil"/>
              <w:bottom w:val="single" w:sz="4" w:space="0" w:color="auto"/>
              <w:right w:val="single" w:sz="4" w:space="0" w:color="auto"/>
            </w:tcBorders>
            <w:shd w:val="clear" w:color="000000" w:fill="B4C6E7"/>
            <w:vAlign w:val="bottom"/>
            <w:hideMark/>
          </w:tcPr>
          <w:p w:rsidR="006C79BA" w:rsidRPr="006C79BA" w:rsidP="006C79BA">
            <w:pPr>
              <w:jc w:val="right"/>
              <w:rPr>
                <w:rFonts w:cs="Arial"/>
                <w:b/>
                <w:bCs/>
                <w:color w:val="000000"/>
                <w:sz w:val="22"/>
                <w:szCs w:val="22"/>
              </w:rPr>
            </w:pPr>
            <w:r w:rsidRPr="006C79BA">
              <w:rPr>
                <w:rFonts w:cs="Arial"/>
                <w:b/>
                <w:bCs/>
                <w:color w:val="000000"/>
                <w:sz w:val="22"/>
                <w:szCs w:val="22"/>
              </w:rPr>
              <w:t>186,895</w:t>
            </w:r>
          </w:p>
        </w:tc>
        <w:tc>
          <w:tcPr>
            <w:tcW w:w="509" w:type="pct"/>
            <w:tcBorders>
              <w:top w:val="nil"/>
              <w:left w:val="nil"/>
              <w:bottom w:val="single" w:sz="4" w:space="0" w:color="auto"/>
              <w:right w:val="single" w:sz="4" w:space="0" w:color="auto"/>
            </w:tcBorders>
            <w:shd w:val="clear" w:color="000000" w:fill="B4C6E7"/>
            <w:vAlign w:val="bottom"/>
            <w:hideMark/>
          </w:tcPr>
          <w:p w:rsidR="006C79BA" w:rsidRPr="006C79BA" w:rsidP="006C79BA">
            <w:pPr>
              <w:jc w:val="right"/>
              <w:rPr>
                <w:rFonts w:cs="Arial"/>
                <w:b/>
                <w:bCs/>
                <w:color w:val="000000"/>
                <w:sz w:val="22"/>
                <w:szCs w:val="22"/>
              </w:rPr>
            </w:pPr>
            <w:r w:rsidRPr="006C79BA">
              <w:rPr>
                <w:rFonts w:cs="Arial"/>
                <w:b/>
                <w:bCs/>
                <w:color w:val="FF0000"/>
                <w:sz w:val="22"/>
                <w:szCs w:val="22"/>
              </w:rPr>
              <w:t>(15,949)</w:t>
            </w:r>
          </w:p>
        </w:tc>
        <w:tc>
          <w:tcPr>
            <w:tcW w:w="411" w:type="pct"/>
            <w:tcBorders>
              <w:top w:val="single" w:sz="4" w:space="0" w:color="auto"/>
              <w:left w:val="single" w:sz="4" w:space="0" w:color="auto"/>
              <w:bottom w:val="single" w:sz="4" w:space="0" w:color="auto"/>
              <w:right w:val="single" w:sz="4" w:space="0" w:color="auto"/>
            </w:tcBorders>
            <w:shd w:val="clear" w:color="000000" w:fill="B4C6E7"/>
            <w:vAlign w:val="center"/>
            <w:hideMark/>
          </w:tcPr>
          <w:p w:rsidR="006C79BA" w:rsidRPr="006C79BA" w:rsidP="006C79BA">
            <w:pPr>
              <w:jc w:val="right"/>
              <w:rPr>
                <w:rFonts w:cs="Arial"/>
                <w:color w:val="FF0000"/>
                <w:sz w:val="22"/>
                <w:szCs w:val="22"/>
              </w:rPr>
            </w:pPr>
            <w:r w:rsidRPr="006C79BA">
              <w:rPr>
                <w:rFonts w:cs="Arial"/>
                <w:color w:val="FF0000"/>
                <w:sz w:val="22"/>
                <w:szCs w:val="22"/>
              </w:rPr>
              <w:t>-9%</w:t>
            </w:r>
          </w:p>
        </w:tc>
        <w:tc>
          <w:tcPr>
            <w:tcW w:w="290" w:type="pct"/>
            <w:tcBorders>
              <w:top w:val="nil"/>
              <w:left w:val="nil"/>
              <w:bottom w:val="single" w:sz="4" w:space="0" w:color="auto"/>
              <w:right w:val="single" w:sz="4" w:space="0" w:color="auto"/>
            </w:tcBorders>
            <w:shd w:val="clear" w:color="000000" w:fill="B4C6E7"/>
            <w:vAlign w:val="bottom"/>
            <w:hideMark/>
          </w:tcPr>
          <w:p w:rsidR="006C79BA" w:rsidRPr="006C79BA" w:rsidP="006C79BA">
            <w:pPr>
              <w:jc w:val="center"/>
              <w:rPr>
                <w:rFonts w:cs="Arial"/>
                <w:color w:val="000000"/>
                <w:sz w:val="22"/>
                <w:szCs w:val="22"/>
              </w:rPr>
            </w:pPr>
            <w:r w:rsidRPr="006C79BA">
              <w:rPr>
                <w:rFonts w:cs="Arial"/>
                <w:color w:val="000000"/>
                <w:sz w:val="22"/>
                <w:szCs w:val="22"/>
              </w:rPr>
              <w:t> </w:t>
            </w:r>
          </w:p>
        </w:tc>
      </w:tr>
    </w:tbl>
    <w:p w:rsidR="004F64C1" w:rsidRPr="00565172" w:rsidP="004F64C1">
      <w:pPr>
        <w:ind w:left="567"/>
        <w:jc w:val="both"/>
        <w:rPr>
          <w:rFonts w:eastAsia="Calibri" w:cs="Arial"/>
          <w:sz w:val="22"/>
          <w:szCs w:val="22"/>
        </w:rPr>
      </w:pPr>
    </w:p>
    <w:p w:rsidR="004F64C1" w:rsidRPr="00565172" w:rsidP="004F64C1">
      <w:pPr>
        <w:ind w:left="567"/>
        <w:jc w:val="both"/>
        <w:rPr>
          <w:rFonts w:eastAsia="Calibri" w:cs="Arial"/>
          <w:sz w:val="22"/>
          <w:szCs w:val="22"/>
        </w:rPr>
      </w:pPr>
    </w:p>
    <w:p w:rsidR="004F64C1" w:rsidRPr="00D10FC0" w:rsidP="004F64C1">
      <w:pPr>
        <w:ind w:left="567"/>
        <w:jc w:val="both"/>
        <w:rPr>
          <w:rFonts w:eastAsia="Calibri" w:cs="Arial"/>
          <w:sz w:val="22"/>
          <w:szCs w:val="22"/>
        </w:rPr>
      </w:pPr>
      <w:r w:rsidRPr="00D10FC0">
        <w:rPr>
          <w:rFonts w:eastAsia="Calibri" w:cs="Arial"/>
          <w:sz w:val="22"/>
          <w:szCs w:val="22"/>
        </w:rPr>
        <w:t xml:space="preserve">Estimate lines A, B and J represents the funding available to the NHS as detailed in section 1.3.  </w:t>
      </w:r>
    </w:p>
    <w:p w:rsidR="004F64C1" w:rsidRPr="00D10FC0" w:rsidP="004F64C1">
      <w:pPr>
        <w:ind w:left="567"/>
        <w:jc w:val="both"/>
        <w:rPr>
          <w:rFonts w:eastAsia="Calibri" w:cs="Arial"/>
          <w:sz w:val="22"/>
          <w:szCs w:val="22"/>
        </w:rPr>
      </w:pPr>
    </w:p>
    <w:p w:rsidR="004F64C1" w:rsidRPr="00D10FC0" w:rsidP="004F64C1">
      <w:pPr>
        <w:ind w:left="567"/>
        <w:jc w:val="both"/>
        <w:rPr>
          <w:rFonts w:eastAsia="Calibri" w:cs="Arial"/>
          <w:sz w:val="22"/>
          <w:szCs w:val="22"/>
        </w:rPr>
      </w:pPr>
      <w:r w:rsidRPr="00D10FC0">
        <w:rPr>
          <w:rFonts w:eastAsia="Calibri" w:cs="Arial"/>
          <w:sz w:val="22"/>
          <w:szCs w:val="22"/>
        </w:rPr>
        <w:t xml:space="preserve">For estimate line A, NHS England, an explanation of how the estimate spending plans reconcile to the NHS England Mandate can be found in section 4.1. </w:t>
      </w:r>
    </w:p>
    <w:p w:rsidR="004F64C1" w:rsidRPr="00AC5C5A" w:rsidP="004F64C1">
      <w:pPr>
        <w:ind w:left="567"/>
        <w:jc w:val="both"/>
        <w:rPr>
          <w:rFonts w:eastAsia="Calibri" w:cs="Arial"/>
          <w:sz w:val="22"/>
          <w:szCs w:val="22"/>
          <w:highlight w:val="yellow"/>
        </w:rPr>
      </w:pPr>
    </w:p>
    <w:p w:rsidR="004F64C1" w:rsidRPr="004578E0" w:rsidP="004F64C1">
      <w:pPr>
        <w:ind w:left="567"/>
        <w:jc w:val="both"/>
        <w:rPr>
          <w:rFonts w:eastAsia="Calibri" w:cs="Arial"/>
          <w:sz w:val="22"/>
          <w:szCs w:val="22"/>
          <w:u w:val="single"/>
        </w:rPr>
      </w:pPr>
    </w:p>
    <w:p w:rsidR="004F64C1" w:rsidRPr="00081F83" w:rsidP="001F4DFB">
      <w:pPr>
        <w:numPr>
          <w:ilvl w:val="0"/>
          <w:numId w:val="5"/>
        </w:numPr>
        <w:spacing w:after="120"/>
        <w:ind w:left="1077" w:hanging="357"/>
        <w:jc w:val="both"/>
        <w:rPr>
          <w:rFonts w:eastAsia="Calibri" w:cs="Arial"/>
          <w:sz w:val="22"/>
          <w:szCs w:val="22"/>
        </w:rPr>
      </w:pPr>
      <w:r w:rsidRPr="00081F83">
        <w:rPr>
          <w:rFonts w:eastAsia="Calibri" w:cs="Arial"/>
          <w:b/>
          <w:sz w:val="22"/>
          <w:szCs w:val="22"/>
        </w:rPr>
        <w:t>NHS:</w:t>
      </w:r>
      <w:r w:rsidRPr="00081F83">
        <w:rPr>
          <w:rFonts w:eastAsia="Calibri" w:cs="Arial"/>
          <w:sz w:val="22"/>
          <w:szCs w:val="22"/>
        </w:rPr>
        <w:t xml:space="preserve">  The change relates to increased funding </w:t>
      </w:r>
      <w:r w:rsidRPr="00081F83" w:rsidR="00A40E6B">
        <w:rPr>
          <w:rFonts w:eastAsia="Calibri" w:cs="Arial"/>
          <w:sz w:val="22"/>
          <w:szCs w:val="22"/>
        </w:rPr>
        <w:t>as detailed in the Spending Review 21 offse</w:t>
      </w:r>
      <w:r w:rsidRPr="00081F83" w:rsidR="00F852BB">
        <w:rPr>
          <w:rFonts w:eastAsia="Calibri" w:cs="Arial"/>
          <w:sz w:val="22"/>
          <w:szCs w:val="22"/>
        </w:rPr>
        <w:t>t</w:t>
      </w:r>
      <w:r w:rsidRPr="00081F83" w:rsidR="00A40E6B">
        <w:rPr>
          <w:rFonts w:eastAsia="Calibri" w:cs="Arial"/>
          <w:sz w:val="22"/>
          <w:szCs w:val="22"/>
        </w:rPr>
        <w:t xml:space="preserve"> </w:t>
      </w:r>
      <w:r w:rsidRPr="00081F83" w:rsidR="00081F83">
        <w:rPr>
          <w:rFonts w:eastAsia="Calibri" w:cs="Arial"/>
          <w:sz w:val="22"/>
          <w:szCs w:val="22"/>
        </w:rPr>
        <w:t>by lower funding for Covid.</w:t>
      </w:r>
    </w:p>
    <w:p w:rsidR="004F64C1" w:rsidRPr="00081F83" w:rsidP="002D1EE4">
      <w:pPr>
        <w:numPr>
          <w:ilvl w:val="0"/>
          <w:numId w:val="5"/>
        </w:numPr>
        <w:spacing w:after="120"/>
        <w:ind w:left="1077" w:hanging="357"/>
        <w:jc w:val="both"/>
        <w:rPr>
          <w:rFonts w:eastAsia="Calibri" w:cs="Arial"/>
          <w:sz w:val="22"/>
          <w:szCs w:val="22"/>
          <w:u w:val="single"/>
        </w:rPr>
      </w:pPr>
      <w:r w:rsidRPr="00081F83">
        <w:rPr>
          <w:rFonts w:eastAsia="Calibri" w:cs="Arial"/>
          <w:b/>
          <w:sz w:val="22"/>
          <w:szCs w:val="22"/>
        </w:rPr>
        <w:t>DHSC Programme and Admin Expenditure:</w:t>
      </w:r>
      <w:r w:rsidRPr="00081F83">
        <w:rPr>
          <w:rFonts w:eastAsia="Calibri" w:cs="Arial"/>
          <w:sz w:val="22"/>
          <w:szCs w:val="22"/>
        </w:rPr>
        <w:t xml:space="preserve"> The change </w:t>
      </w:r>
      <w:r w:rsidRPr="00081F83" w:rsidR="006B76F1">
        <w:rPr>
          <w:rFonts w:eastAsia="Calibri" w:cs="Arial"/>
          <w:sz w:val="22"/>
          <w:szCs w:val="22"/>
        </w:rPr>
        <w:t>mainly</w:t>
      </w:r>
      <w:r w:rsidRPr="00081F83" w:rsidR="00081F83">
        <w:rPr>
          <w:rFonts w:eastAsia="Calibri" w:cs="Arial"/>
          <w:sz w:val="22"/>
          <w:szCs w:val="22"/>
        </w:rPr>
        <w:t xml:space="preserve"> </w:t>
      </w:r>
      <w:r w:rsidRPr="00081F83">
        <w:rPr>
          <w:rFonts w:eastAsia="Calibri" w:cs="Arial"/>
          <w:sz w:val="22"/>
          <w:szCs w:val="22"/>
        </w:rPr>
        <w:t>relates</w:t>
      </w:r>
      <w:r w:rsidRPr="00081F83" w:rsidR="00BB39AA">
        <w:rPr>
          <w:rFonts w:eastAsia="Calibri" w:cs="Arial"/>
          <w:sz w:val="22"/>
          <w:szCs w:val="22"/>
        </w:rPr>
        <w:t xml:space="preserve"> to</w:t>
      </w:r>
      <w:r w:rsidRPr="00081F83" w:rsidR="00443FE6">
        <w:rPr>
          <w:rFonts w:eastAsia="Calibri" w:cs="Arial"/>
          <w:sz w:val="22"/>
          <w:szCs w:val="22"/>
        </w:rPr>
        <w:t xml:space="preserve"> the reduction in </w:t>
      </w:r>
      <w:r w:rsidRPr="00081F83" w:rsidR="00081F83">
        <w:rPr>
          <w:rFonts w:eastAsia="Calibri" w:cs="Arial"/>
          <w:sz w:val="22"/>
          <w:szCs w:val="22"/>
        </w:rPr>
        <w:t>funding for Covid</w:t>
      </w:r>
      <w:r w:rsidRPr="00081F83" w:rsidR="00BB39AA">
        <w:rPr>
          <w:rFonts w:eastAsia="Calibri" w:cs="Arial"/>
          <w:sz w:val="22"/>
          <w:szCs w:val="22"/>
        </w:rPr>
        <w:t>.</w:t>
      </w:r>
      <w:r w:rsidRPr="00081F83" w:rsidR="002D1EE4">
        <w:rPr>
          <w:rFonts w:eastAsia="Calibri" w:cs="Arial"/>
          <w:sz w:val="22"/>
          <w:szCs w:val="22"/>
        </w:rPr>
        <w:t xml:space="preserve"> </w:t>
      </w:r>
      <w:r w:rsidRPr="00081F83">
        <w:rPr>
          <w:rFonts w:eastAsia="Calibri" w:cs="Arial"/>
          <w:sz w:val="22"/>
          <w:szCs w:val="22"/>
        </w:rPr>
        <w:t xml:space="preserve"> </w:t>
      </w:r>
    </w:p>
    <w:p w:rsidR="004F64C1" w:rsidRPr="00C83185" w:rsidP="001F4DFB">
      <w:pPr>
        <w:numPr>
          <w:ilvl w:val="0"/>
          <w:numId w:val="5"/>
        </w:numPr>
        <w:spacing w:after="120"/>
        <w:ind w:left="1077" w:hanging="357"/>
        <w:jc w:val="both"/>
        <w:rPr>
          <w:rFonts w:eastAsia="Calibri" w:cs="Arial"/>
          <w:b/>
          <w:sz w:val="22"/>
          <w:szCs w:val="22"/>
        </w:rPr>
      </w:pPr>
      <w:r w:rsidRPr="00C83185">
        <w:rPr>
          <w:rFonts w:eastAsia="Calibri" w:cs="Arial"/>
          <w:b/>
          <w:sz w:val="22"/>
          <w:szCs w:val="22"/>
        </w:rPr>
        <w:t>Local Authorities</w:t>
      </w:r>
      <w:r w:rsidRPr="00C83185">
        <w:rPr>
          <w:rFonts w:eastAsia="Calibri" w:cs="Arial"/>
          <w:sz w:val="22"/>
          <w:szCs w:val="22"/>
        </w:rPr>
        <w:t xml:space="preserve">:  The change </w:t>
      </w:r>
      <w:r w:rsidRPr="00C83185" w:rsidR="001F3026">
        <w:rPr>
          <w:rFonts w:eastAsia="Calibri" w:cs="Arial"/>
          <w:sz w:val="22"/>
          <w:szCs w:val="22"/>
        </w:rPr>
        <w:t>relates to Covid grant</w:t>
      </w:r>
      <w:r w:rsidRPr="00C83185" w:rsidR="0055727D">
        <w:rPr>
          <w:rFonts w:eastAsia="Calibri" w:cs="Arial"/>
          <w:sz w:val="22"/>
          <w:szCs w:val="22"/>
        </w:rPr>
        <w:t xml:space="preserve">s included for </w:t>
      </w:r>
      <w:r w:rsidRPr="00C83185" w:rsidR="001F3026">
        <w:rPr>
          <w:rFonts w:eastAsia="Calibri" w:cs="Arial"/>
          <w:sz w:val="22"/>
          <w:szCs w:val="22"/>
        </w:rPr>
        <w:t>2021-22</w:t>
      </w:r>
      <w:r w:rsidRPr="00C83185" w:rsidR="0055727D">
        <w:rPr>
          <w:rFonts w:eastAsia="Calibri" w:cs="Arial"/>
          <w:sz w:val="22"/>
          <w:szCs w:val="22"/>
        </w:rPr>
        <w:t xml:space="preserve">. </w:t>
      </w:r>
      <w:r w:rsidRPr="00C83185">
        <w:rPr>
          <w:rFonts w:eastAsia="Calibri" w:cs="Arial"/>
          <w:sz w:val="22"/>
          <w:szCs w:val="22"/>
        </w:rPr>
        <w:t xml:space="preserve">More details </w:t>
      </w:r>
      <w:r w:rsidR="00EB632F">
        <w:rPr>
          <w:rFonts w:eastAsia="Calibri" w:cs="Arial"/>
          <w:sz w:val="22"/>
          <w:szCs w:val="22"/>
        </w:rPr>
        <w:t xml:space="preserve">on funding for 2022-23 can be found in the </w:t>
      </w:r>
      <w:r>
        <w:fldChar w:fldCharType="begin"/>
      </w:r>
      <w:r>
        <w:instrText xml:space="preserve"> HYPERLINK "https://www.gov.uk/government/publications/public-health-grants-to-local-authorities-2022-to-2023/public-health-ringfenced-grant-2022-to-2023-local-authority-circular" </w:instrText>
      </w:r>
      <w:r>
        <w:fldChar w:fldCharType="separate"/>
      </w:r>
      <w:r w:rsidRPr="00C83185">
        <w:rPr>
          <w:rStyle w:val="Hyperlink"/>
          <w:sz w:val="22"/>
          <w:szCs w:val="22"/>
        </w:rPr>
        <w:t>grants to Local Authorities</w:t>
      </w:r>
      <w:r>
        <w:fldChar w:fldCharType="end"/>
      </w:r>
      <w:r w:rsidRPr="00C83185">
        <w:rPr>
          <w:sz w:val="22"/>
          <w:szCs w:val="22"/>
        </w:rPr>
        <w:t xml:space="preserve"> publication.</w:t>
      </w:r>
    </w:p>
    <w:p w:rsidR="004F64C1" w:rsidRPr="00116B29" w:rsidP="001F4DFB">
      <w:pPr>
        <w:numPr>
          <w:ilvl w:val="0"/>
          <w:numId w:val="5"/>
        </w:numPr>
        <w:spacing w:after="120"/>
        <w:ind w:left="1077" w:hanging="357"/>
        <w:jc w:val="both"/>
        <w:rPr>
          <w:rFonts w:eastAsia="Calibri" w:cs="Arial"/>
          <w:bCs/>
          <w:sz w:val="22"/>
          <w:szCs w:val="22"/>
        </w:rPr>
      </w:pPr>
      <w:r w:rsidRPr="00116B29">
        <w:rPr>
          <w:rFonts w:eastAsia="Calibri" w:cs="Arial"/>
          <w:b/>
          <w:sz w:val="22"/>
          <w:szCs w:val="22"/>
        </w:rPr>
        <w:t>Executive Agencies</w:t>
      </w:r>
      <w:r w:rsidRPr="00116B29">
        <w:rPr>
          <w:rFonts w:eastAsia="Calibri" w:cs="Arial"/>
          <w:b/>
          <w:sz w:val="22"/>
          <w:szCs w:val="22"/>
        </w:rPr>
        <w:t>:</w:t>
      </w:r>
      <w:r w:rsidRPr="00116B29">
        <w:rPr>
          <w:rFonts w:eastAsia="Calibri" w:cs="Arial"/>
          <w:bCs/>
          <w:sz w:val="22"/>
          <w:szCs w:val="22"/>
        </w:rPr>
        <w:t xml:space="preserve">  </w:t>
      </w:r>
      <w:r w:rsidRPr="00116B29" w:rsidR="00116B29">
        <w:rPr>
          <w:rFonts w:eastAsia="Calibri" w:cs="Arial"/>
          <w:bCs/>
          <w:sz w:val="22"/>
          <w:szCs w:val="22"/>
        </w:rPr>
        <w:t>In 2022-23 t</w:t>
      </w:r>
      <w:r w:rsidRPr="00116B29" w:rsidR="00B5330F">
        <w:rPr>
          <w:rFonts w:eastAsia="Calibri" w:cs="Arial"/>
          <w:bCs/>
          <w:sz w:val="22"/>
          <w:szCs w:val="22"/>
        </w:rPr>
        <w:t xml:space="preserve">his </w:t>
      </w:r>
      <w:r w:rsidRPr="00116B29" w:rsidR="00116B29">
        <w:rPr>
          <w:rFonts w:eastAsia="Calibri" w:cs="Arial"/>
          <w:bCs/>
          <w:sz w:val="22"/>
          <w:szCs w:val="22"/>
        </w:rPr>
        <w:t xml:space="preserve">estimate </w:t>
      </w:r>
      <w:r w:rsidRPr="00116B29" w:rsidR="00B5330F">
        <w:rPr>
          <w:rFonts w:eastAsia="Calibri" w:cs="Arial"/>
          <w:bCs/>
          <w:sz w:val="22"/>
          <w:szCs w:val="22"/>
        </w:rPr>
        <w:t>line</w:t>
      </w:r>
      <w:r w:rsidRPr="00116B29" w:rsidR="00116B29">
        <w:rPr>
          <w:rFonts w:eastAsia="Calibri" w:cs="Arial"/>
          <w:bCs/>
          <w:sz w:val="22"/>
          <w:szCs w:val="22"/>
        </w:rPr>
        <w:t xml:space="preserve"> now</w:t>
      </w:r>
      <w:r w:rsidRPr="00116B29" w:rsidR="00B5330F">
        <w:rPr>
          <w:rFonts w:eastAsia="Calibri" w:cs="Arial"/>
          <w:bCs/>
          <w:sz w:val="22"/>
          <w:szCs w:val="22"/>
        </w:rPr>
        <w:t xml:space="preserve"> includes the funding for </w:t>
      </w:r>
      <w:r w:rsidRPr="00116B29" w:rsidR="00116B29">
        <w:rPr>
          <w:rFonts w:eastAsia="Calibri" w:cs="Arial"/>
          <w:bCs/>
          <w:sz w:val="22"/>
          <w:szCs w:val="22"/>
        </w:rPr>
        <w:t>DHSC’s two executive agencies; UK Health Security Agency (UK</w:t>
      </w:r>
      <w:r w:rsidR="009D3264">
        <w:rPr>
          <w:rFonts w:eastAsia="Calibri" w:cs="Arial"/>
          <w:bCs/>
          <w:sz w:val="22"/>
          <w:szCs w:val="22"/>
        </w:rPr>
        <w:t>H</w:t>
      </w:r>
      <w:r w:rsidRPr="00116B29" w:rsidR="00116B29">
        <w:rPr>
          <w:rFonts w:eastAsia="Calibri" w:cs="Arial"/>
          <w:bCs/>
          <w:sz w:val="22"/>
          <w:szCs w:val="22"/>
        </w:rPr>
        <w:t xml:space="preserve">SA) and Medicines and </w:t>
      </w:r>
      <w:r w:rsidR="00053751">
        <w:rPr>
          <w:rFonts w:eastAsia="Calibri" w:cs="Arial"/>
          <w:bCs/>
          <w:sz w:val="22"/>
          <w:szCs w:val="22"/>
        </w:rPr>
        <w:t xml:space="preserve">Healthcare Products </w:t>
      </w:r>
      <w:r w:rsidRPr="00116B29" w:rsidR="006B76F1">
        <w:rPr>
          <w:rFonts w:eastAsia="Calibri" w:cs="Arial"/>
          <w:bCs/>
          <w:sz w:val="22"/>
          <w:szCs w:val="22"/>
        </w:rPr>
        <w:t>Re</w:t>
      </w:r>
      <w:r w:rsidR="006B76F1">
        <w:rPr>
          <w:rFonts w:eastAsia="Calibri" w:cs="Arial"/>
          <w:bCs/>
          <w:sz w:val="22"/>
          <w:szCs w:val="22"/>
        </w:rPr>
        <w:t>gulatory</w:t>
      </w:r>
      <w:r w:rsidR="00053751">
        <w:rPr>
          <w:rFonts w:eastAsia="Calibri" w:cs="Arial"/>
          <w:bCs/>
          <w:sz w:val="22"/>
          <w:szCs w:val="22"/>
        </w:rPr>
        <w:t xml:space="preserve"> Agency (MHRA). The change between years</w:t>
      </w:r>
      <w:r w:rsidR="00DC32E9">
        <w:rPr>
          <w:rFonts w:eastAsia="Calibri" w:cs="Arial"/>
          <w:bCs/>
          <w:sz w:val="22"/>
          <w:szCs w:val="22"/>
        </w:rPr>
        <w:t xml:space="preserve"> mainly</w:t>
      </w:r>
      <w:r w:rsidR="00053751">
        <w:rPr>
          <w:rFonts w:eastAsia="Calibri" w:cs="Arial"/>
          <w:bCs/>
          <w:sz w:val="22"/>
          <w:szCs w:val="22"/>
        </w:rPr>
        <w:t xml:space="preserve"> comprises </w:t>
      </w:r>
      <w:r w:rsidR="004A1147">
        <w:rPr>
          <w:rFonts w:eastAsia="Calibri" w:cs="Arial"/>
          <w:bCs/>
          <w:sz w:val="22"/>
          <w:szCs w:val="22"/>
        </w:rPr>
        <w:t>the reduction of Covid</w:t>
      </w:r>
      <w:r w:rsidRPr="00116B29">
        <w:rPr>
          <w:rFonts w:eastAsia="Calibri" w:cs="Arial"/>
          <w:bCs/>
          <w:sz w:val="22"/>
          <w:szCs w:val="22"/>
        </w:rPr>
        <w:t xml:space="preserve"> </w:t>
      </w:r>
      <w:r w:rsidR="00DC32E9">
        <w:rPr>
          <w:rFonts w:eastAsia="Calibri" w:cs="Arial"/>
          <w:bCs/>
          <w:sz w:val="22"/>
          <w:szCs w:val="22"/>
        </w:rPr>
        <w:t>funding between 2021-22 and 2022-23 and the inclusion of MHRA.</w:t>
      </w:r>
    </w:p>
    <w:p w:rsidR="004F64C1" w:rsidRPr="00C944BD" w:rsidP="001F4DFB">
      <w:pPr>
        <w:numPr>
          <w:ilvl w:val="0"/>
          <w:numId w:val="5"/>
        </w:numPr>
        <w:spacing w:after="120"/>
        <w:ind w:left="1077" w:hanging="357"/>
        <w:jc w:val="both"/>
        <w:rPr>
          <w:rFonts w:eastAsia="Calibri" w:cs="Arial"/>
          <w:bCs/>
          <w:sz w:val="22"/>
          <w:szCs w:val="22"/>
        </w:rPr>
      </w:pPr>
      <w:r w:rsidRPr="00C944BD">
        <w:rPr>
          <w:rFonts w:cs="Arial"/>
          <w:b/>
          <w:sz w:val="22"/>
          <w:szCs w:val="22"/>
        </w:rPr>
        <w:t xml:space="preserve">Special Health Authorities, NDPB's and ALB's and Other Bodies: </w:t>
      </w:r>
      <w:r w:rsidRPr="00C944BD">
        <w:rPr>
          <w:rFonts w:eastAsia="Calibri" w:cs="Arial"/>
          <w:bCs/>
          <w:sz w:val="22"/>
          <w:szCs w:val="22"/>
        </w:rPr>
        <w:t xml:space="preserve">expenditure for these bodies varies year-on-year and the plans reflect the expected </w:t>
      </w:r>
      <w:r w:rsidRPr="00C944BD">
        <w:rPr>
          <w:rFonts w:cs="Arial"/>
          <w:bCs/>
          <w:sz w:val="22"/>
          <w:szCs w:val="22"/>
        </w:rPr>
        <w:t>re</w:t>
      </w:r>
      <w:r w:rsidR="009D3264">
        <w:rPr>
          <w:rFonts w:cs="Arial"/>
          <w:bCs/>
          <w:sz w:val="22"/>
          <w:szCs w:val="22"/>
        </w:rPr>
        <w:t>source</w:t>
      </w:r>
      <w:r w:rsidRPr="00C944BD">
        <w:rPr>
          <w:rFonts w:cs="Arial"/>
          <w:bCs/>
          <w:sz w:val="22"/>
          <w:szCs w:val="22"/>
        </w:rPr>
        <w:t xml:space="preserve"> </w:t>
      </w:r>
      <w:r w:rsidRPr="00C944BD">
        <w:rPr>
          <w:rFonts w:eastAsia="Calibri" w:cs="Arial"/>
          <w:bCs/>
          <w:sz w:val="22"/>
          <w:szCs w:val="22"/>
        </w:rPr>
        <w:t>expenditure for these bodies</w:t>
      </w:r>
      <w:r w:rsidRPr="00C944BD" w:rsidR="00C944BD">
        <w:rPr>
          <w:rFonts w:eastAsia="Calibri" w:cs="Arial"/>
          <w:bCs/>
          <w:sz w:val="22"/>
          <w:szCs w:val="22"/>
        </w:rPr>
        <w:t>.</w:t>
      </w:r>
    </w:p>
    <w:p w:rsidR="004F64C1" w:rsidP="004F64C1">
      <w:pPr>
        <w:jc w:val="both"/>
        <w:rPr>
          <w:rFonts w:eastAsia="Calibri" w:cs="Arial"/>
        </w:rPr>
      </w:pPr>
    </w:p>
    <w:p w:rsidR="004F64C1" w:rsidRPr="00CB5F6C" w:rsidP="001F4DFB">
      <w:pPr>
        <w:numPr>
          <w:ilvl w:val="1"/>
          <w:numId w:val="4"/>
        </w:numPr>
        <w:spacing w:after="120" w:line="276" w:lineRule="auto"/>
        <w:ind w:left="567" w:hanging="567"/>
        <w:jc w:val="both"/>
        <w:rPr>
          <w:rFonts w:eastAsia="Calibri" w:cs="Arial"/>
          <w:b/>
          <w:sz w:val="22"/>
          <w:szCs w:val="22"/>
        </w:rPr>
      </w:pPr>
      <w:r w:rsidRPr="00CB5F6C">
        <w:rPr>
          <w:rFonts w:eastAsia="Calibri" w:cs="Arial"/>
          <w:b/>
          <w:sz w:val="22"/>
          <w:szCs w:val="22"/>
        </w:rPr>
        <w:t xml:space="preserve">Capital DEL </w:t>
      </w:r>
    </w:p>
    <w:p w:rsidR="004F64C1" w:rsidRPr="00565172" w:rsidP="004F64C1">
      <w:pPr>
        <w:ind w:left="567"/>
        <w:jc w:val="both"/>
        <w:rPr>
          <w:rFonts w:eastAsia="Calibri" w:cs="Arial"/>
          <w:sz w:val="22"/>
          <w:szCs w:val="22"/>
        </w:rPr>
      </w:pPr>
      <w:r w:rsidRPr="00565172">
        <w:rPr>
          <w:rFonts w:eastAsia="Calibri" w:cs="Arial"/>
          <w:sz w:val="22"/>
          <w:szCs w:val="22"/>
        </w:rPr>
        <w:t xml:space="preserve">The table below shows how DHSC’s </w:t>
      </w:r>
      <w:r>
        <w:rPr>
          <w:rFonts w:eastAsia="Calibri" w:cs="Arial"/>
          <w:sz w:val="22"/>
          <w:szCs w:val="22"/>
        </w:rPr>
        <w:t>202</w:t>
      </w:r>
      <w:r w:rsidR="00B362F5">
        <w:rPr>
          <w:rFonts w:eastAsia="Calibri" w:cs="Arial"/>
          <w:sz w:val="22"/>
          <w:szCs w:val="22"/>
        </w:rPr>
        <w:t>2-23</w:t>
      </w:r>
      <w:r w:rsidRPr="00565172">
        <w:rPr>
          <w:rFonts w:eastAsia="Calibri" w:cs="Arial"/>
          <w:sz w:val="22"/>
          <w:szCs w:val="22"/>
        </w:rPr>
        <w:t xml:space="preserve"> </w:t>
      </w:r>
      <w:r>
        <w:rPr>
          <w:rFonts w:eastAsia="Calibri" w:cs="Arial"/>
          <w:sz w:val="22"/>
          <w:szCs w:val="22"/>
        </w:rPr>
        <w:t xml:space="preserve">Main </w:t>
      </w:r>
      <w:r w:rsidRPr="00565172">
        <w:rPr>
          <w:rFonts w:eastAsia="Calibri" w:cs="Arial"/>
          <w:sz w:val="22"/>
          <w:szCs w:val="22"/>
        </w:rPr>
        <w:t xml:space="preserve">Estimate spending plans for Capital DEL compare with the </w:t>
      </w:r>
      <w:r>
        <w:rPr>
          <w:rFonts w:eastAsia="Calibri" w:cs="Arial"/>
          <w:sz w:val="22"/>
          <w:szCs w:val="22"/>
        </w:rPr>
        <w:t>202</w:t>
      </w:r>
      <w:r w:rsidR="00B362F5">
        <w:rPr>
          <w:rFonts w:eastAsia="Calibri" w:cs="Arial"/>
          <w:sz w:val="22"/>
          <w:szCs w:val="22"/>
        </w:rPr>
        <w:t>1-2</w:t>
      </w:r>
      <w:r w:rsidR="00AF40D8">
        <w:rPr>
          <w:rFonts w:eastAsia="Calibri" w:cs="Arial"/>
          <w:sz w:val="22"/>
          <w:szCs w:val="22"/>
        </w:rPr>
        <w:t>2</w:t>
      </w:r>
      <w:r>
        <w:rPr>
          <w:rFonts w:eastAsia="Calibri" w:cs="Arial"/>
          <w:sz w:val="22"/>
          <w:szCs w:val="22"/>
        </w:rPr>
        <w:t xml:space="preserve"> Supplementary</w:t>
      </w:r>
      <w:r w:rsidR="00AF40D8">
        <w:rPr>
          <w:rFonts w:eastAsia="Calibri" w:cs="Arial"/>
          <w:sz w:val="22"/>
          <w:szCs w:val="22"/>
        </w:rPr>
        <w:t xml:space="preserve"> Supply</w:t>
      </w:r>
      <w:r>
        <w:rPr>
          <w:rFonts w:eastAsia="Calibri" w:cs="Arial"/>
          <w:sz w:val="22"/>
          <w:szCs w:val="22"/>
        </w:rPr>
        <w:t xml:space="preserve"> </w:t>
      </w:r>
      <w:r w:rsidRPr="00565172">
        <w:rPr>
          <w:rFonts w:eastAsia="Calibri" w:cs="Arial"/>
          <w:sz w:val="22"/>
          <w:szCs w:val="22"/>
        </w:rPr>
        <w:t>Estimate.</w:t>
      </w:r>
    </w:p>
    <w:p w:rsidR="004F64C1" w:rsidP="004F64C1">
      <w:pPr>
        <w:ind w:left="567"/>
        <w:rPr>
          <w:rFonts w:eastAsia="Calibri" w:cs="Arial"/>
          <w:sz w:val="22"/>
          <w:szCs w:val="22"/>
        </w:rPr>
      </w:pPr>
    </w:p>
    <w:tbl>
      <w:tblPr>
        <w:tblW w:w="5000" w:type="pct"/>
        <w:tblLook w:val="04A0"/>
      </w:tblPr>
      <w:tblGrid>
        <w:gridCol w:w="1145"/>
        <w:gridCol w:w="4725"/>
        <w:gridCol w:w="1255"/>
        <w:gridCol w:w="1182"/>
        <w:gridCol w:w="875"/>
        <w:gridCol w:w="875"/>
        <w:gridCol w:w="705"/>
      </w:tblGrid>
      <w:tr w:rsidTr="00B362F5">
        <w:tblPrEx>
          <w:tblW w:w="5000" w:type="pct"/>
          <w:tblLook w:val="04A0"/>
        </w:tblPrEx>
        <w:trPr>
          <w:trHeight w:val="300"/>
        </w:trPr>
        <w:tc>
          <w:tcPr>
            <w:tcW w:w="483" w:type="pct"/>
            <w:vMerge w:val="restart"/>
            <w:tcBorders>
              <w:top w:val="single" w:sz="4" w:space="0" w:color="auto"/>
              <w:left w:val="single" w:sz="4" w:space="0" w:color="auto"/>
              <w:bottom w:val="single" w:sz="4" w:space="0" w:color="auto"/>
              <w:right w:val="single" w:sz="4" w:space="0" w:color="auto"/>
            </w:tcBorders>
            <w:shd w:val="clear" w:color="000000" w:fill="333F4F"/>
            <w:noWrap/>
            <w:vAlign w:val="center"/>
            <w:hideMark/>
          </w:tcPr>
          <w:p w:rsidR="00B362F5" w:rsidRPr="00B362F5" w:rsidP="00B362F5">
            <w:pPr>
              <w:rPr>
                <w:rFonts w:cs="Arial"/>
                <w:b/>
                <w:bCs/>
                <w:color w:val="FFFFFF"/>
                <w:sz w:val="22"/>
                <w:szCs w:val="22"/>
              </w:rPr>
            </w:pPr>
            <w:r w:rsidRPr="00B362F5">
              <w:rPr>
                <w:rFonts w:cs="Arial"/>
                <w:b/>
                <w:bCs/>
                <w:color w:val="FFFFFF"/>
                <w:sz w:val="22"/>
                <w:szCs w:val="22"/>
              </w:rPr>
              <w:t>Subhead</w:t>
            </w:r>
          </w:p>
        </w:tc>
        <w:tc>
          <w:tcPr>
            <w:tcW w:w="2211" w:type="pct"/>
            <w:vMerge w:val="restart"/>
            <w:tcBorders>
              <w:top w:val="single" w:sz="4" w:space="0" w:color="auto"/>
              <w:left w:val="single" w:sz="4" w:space="0" w:color="auto"/>
              <w:bottom w:val="single" w:sz="4" w:space="0" w:color="auto"/>
              <w:right w:val="single" w:sz="4" w:space="0" w:color="auto"/>
            </w:tcBorders>
            <w:shd w:val="clear" w:color="000000" w:fill="333F4F"/>
            <w:noWrap/>
            <w:vAlign w:val="center"/>
            <w:hideMark/>
          </w:tcPr>
          <w:p w:rsidR="00B362F5" w:rsidRPr="00B362F5" w:rsidP="00B362F5">
            <w:pPr>
              <w:rPr>
                <w:rFonts w:cs="Arial"/>
                <w:b/>
                <w:bCs/>
                <w:color w:val="FFFFFF"/>
                <w:sz w:val="22"/>
                <w:szCs w:val="22"/>
              </w:rPr>
            </w:pPr>
            <w:r w:rsidRPr="00B362F5">
              <w:rPr>
                <w:rFonts w:cs="Arial"/>
                <w:b/>
                <w:bCs/>
                <w:color w:val="FFFFFF"/>
                <w:sz w:val="22"/>
                <w:szCs w:val="22"/>
              </w:rPr>
              <w:t>Description</w:t>
            </w:r>
          </w:p>
        </w:tc>
        <w:tc>
          <w:tcPr>
            <w:tcW w:w="2008" w:type="pct"/>
            <w:gridSpan w:val="4"/>
            <w:tcBorders>
              <w:top w:val="single" w:sz="4" w:space="0" w:color="auto"/>
              <w:left w:val="nil"/>
              <w:bottom w:val="single" w:sz="4" w:space="0" w:color="auto"/>
              <w:right w:val="single" w:sz="4" w:space="0" w:color="auto"/>
            </w:tcBorders>
            <w:shd w:val="clear" w:color="000000" w:fill="333F4F"/>
            <w:noWrap/>
            <w:vAlign w:val="bottom"/>
            <w:hideMark/>
          </w:tcPr>
          <w:p w:rsidR="00B362F5" w:rsidRPr="00B362F5" w:rsidP="00B362F5">
            <w:pPr>
              <w:jc w:val="center"/>
              <w:rPr>
                <w:rFonts w:cs="Arial"/>
                <w:b/>
                <w:bCs/>
                <w:color w:val="FFFFFF"/>
                <w:sz w:val="22"/>
                <w:szCs w:val="22"/>
              </w:rPr>
            </w:pPr>
            <w:r w:rsidRPr="00B362F5">
              <w:rPr>
                <w:rFonts w:cs="Arial"/>
                <w:b/>
                <w:bCs/>
                <w:color w:val="FFFFFF"/>
                <w:sz w:val="22"/>
                <w:szCs w:val="22"/>
              </w:rPr>
              <w:t>Capital</w:t>
            </w:r>
          </w:p>
        </w:tc>
        <w:tc>
          <w:tcPr>
            <w:tcW w:w="297" w:type="pct"/>
            <w:tcBorders>
              <w:top w:val="single" w:sz="4" w:space="0" w:color="auto"/>
              <w:left w:val="nil"/>
              <w:bottom w:val="single" w:sz="4" w:space="0" w:color="auto"/>
              <w:right w:val="single" w:sz="4" w:space="0" w:color="auto"/>
            </w:tcBorders>
            <w:shd w:val="clear" w:color="000000" w:fill="333F4F"/>
            <w:noWrap/>
            <w:vAlign w:val="bottom"/>
            <w:hideMark/>
          </w:tcPr>
          <w:p w:rsidR="00B362F5" w:rsidRPr="00B362F5" w:rsidP="00B362F5">
            <w:pPr>
              <w:jc w:val="center"/>
              <w:rPr>
                <w:rFonts w:cs="Arial"/>
                <w:b/>
                <w:bCs/>
                <w:color w:val="FFFFFF"/>
                <w:sz w:val="22"/>
                <w:szCs w:val="22"/>
              </w:rPr>
            </w:pPr>
            <w:r w:rsidRPr="00B362F5">
              <w:rPr>
                <w:rFonts w:cs="Arial"/>
                <w:b/>
                <w:bCs/>
                <w:color w:val="FFFFFF"/>
                <w:sz w:val="22"/>
                <w:szCs w:val="22"/>
              </w:rPr>
              <w:t> </w:t>
            </w:r>
          </w:p>
        </w:tc>
      </w:tr>
      <w:tr w:rsidTr="00B362F5">
        <w:tblPrEx>
          <w:tblW w:w="5000" w:type="pct"/>
          <w:tblLook w:val="04A0"/>
        </w:tblPrEx>
        <w:trPr>
          <w:trHeight w:val="900"/>
        </w:trPr>
        <w:tc>
          <w:tcPr>
            <w:tcW w:w="483" w:type="pct"/>
            <w:vMerge/>
            <w:tcBorders>
              <w:top w:val="single" w:sz="4" w:space="0" w:color="auto"/>
              <w:left w:val="single" w:sz="4" w:space="0" w:color="auto"/>
              <w:bottom w:val="single" w:sz="4" w:space="0" w:color="auto"/>
              <w:right w:val="single" w:sz="4" w:space="0" w:color="auto"/>
            </w:tcBorders>
            <w:vAlign w:val="center"/>
            <w:hideMark/>
          </w:tcPr>
          <w:p w:rsidR="00B362F5" w:rsidRPr="00B362F5" w:rsidP="00B362F5">
            <w:pPr>
              <w:rPr>
                <w:rFonts w:cs="Arial"/>
                <w:b/>
                <w:bCs/>
                <w:color w:val="FFFFFF"/>
                <w:sz w:val="22"/>
                <w:szCs w:val="22"/>
              </w:rPr>
            </w:pPr>
          </w:p>
        </w:tc>
        <w:tc>
          <w:tcPr>
            <w:tcW w:w="2211" w:type="pct"/>
            <w:vMerge/>
            <w:tcBorders>
              <w:top w:val="single" w:sz="4" w:space="0" w:color="auto"/>
              <w:left w:val="single" w:sz="4" w:space="0" w:color="auto"/>
              <w:bottom w:val="single" w:sz="4" w:space="0" w:color="auto"/>
              <w:right w:val="single" w:sz="4" w:space="0" w:color="auto"/>
            </w:tcBorders>
            <w:vAlign w:val="center"/>
            <w:hideMark/>
          </w:tcPr>
          <w:p w:rsidR="00B362F5" w:rsidRPr="00B362F5" w:rsidP="00B362F5">
            <w:pPr>
              <w:rPr>
                <w:rFonts w:cs="Arial"/>
                <w:b/>
                <w:bCs/>
                <w:color w:val="FFFFFF"/>
                <w:sz w:val="22"/>
                <w:szCs w:val="22"/>
              </w:rPr>
            </w:pPr>
          </w:p>
        </w:tc>
        <w:tc>
          <w:tcPr>
            <w:tcW w:w="599" w:type="pct"/>
            <w:tcBorders>
              <w:top w:val="nil"/>
              <w:left w:val="nil"/>
              <w:bottom w:val="single" w:sz="4" w:space="0" w:color="auto"/>
              <w:right w:val="single" w:sz="4" w:space="0" w:color="auto"/>
            </w:tcBorders>
            <w:shd w:val="clear" w:color="000000" w:fill="333F4F"/>
            <w:vAlign w:val="center"/>
            <w:hideMark/>
          </w:tcPr>
          <w:p w:rsidR="00B362F5" w:rsidRPr="00B362F5" w:rsidP="00B362F5">
            <w:pPr>
              <w:jc w:val="right"/>
              <w:rPr>
                <w:rFonts w:cs="Arial"/>
                <w:b/>
                <w:bCs/>
                <w:color w:val="FFFFFF"/>
                <w:sz w:val="22"/>
                <w:szCs w:val="22"/>
              </w:rPr>
            </w:pPr>
            <w:r w:rsidRPr="00B362F5">
              <w:rPr>
                <w:rFonts w:cs="Arial"/>
                <w:b/>
                <w:bCs/>
                <w:color w:val="FFFFFF"/>
                <w:sz w:val="22"/>
                <w:szCs w:val="22"/>
              </w:rPr>
              <w:t>2022-23 Main Estimate</w:t>
            </w:r>
          </w:p>
        </w:tc>
        <w:tc>
          <w:tcPr>
            <w:tcW w:w="565" w:type="pct"/>
            <w:tcBorders>
              <w:top w:val="nil"/>
              <w:left w:val="nil"/>
              <w:bottom w:val="single" w:sz="4" w:space="0" w:color="auto"/>
              <w:right w:val="single" w:sz="4" w:space="0" w:color="auto"/>
            </w:tcBorders>
            <w:shd w:val="clear" w:color="000000" w:fill="333F4F"/>
            <w:vAlign w:val="center"/>
            <w:hideMark/>
          </w:tcPr>
          <w:p w:rsidR="00B362F5" w:rsidRPr="00B362F5" w:rsidP="00B362F5">
            <w:pPr>
              <w:jc w:val="right"/>
              <w:rPr>
                <w:rFonts w:cs="Arial"/>
                <w:b/>
                <w:bCs/>
                <w:color w:val="FFFFFF"/>
                <w:sz w:val="22"/>
                <w:szCs w:val="22"/>
              </w:rPr>
            </w:pPr>
            <w:r w:rsidRPr="00B362F5">
              <w:rPr>
                <w:rFonts w:cs="Arial"/>
                <w:b/>
                <w:bCs/>
                <w:color w:val="FFFFFF"/>
                <w:sz w:val="22"/>
                <w:szCs w:val="22"/>
              </w:rPr>
              <w:t>2021-22 SSE</w:t>
            </w:r>
          </w:p>
        </w:tc>
        <w:tc>
          <w:tcPr>
            <w:tcW w:w="844" w:type="pct"/>
            <w:gridSpan w:val="2"/>
            <w:tcBorders>
              <w:top w:val="single" w:sz="4" w:space="0" w:color="auto"/>
              <w:left w:val="nil"/>
              <w:bottom w:val="single" w:sz="4" w:space="0" w:color="auto"/>
              <w:right w:val="single" w:sz="4" w:space="0" w:color="auto"/>
            </w:tcBorders>
            <w:shd w:val="clear" w:color="000000" w:fill="333F4F"/>
            <w:vAlign w:val="center"/>
            <w:hideMark/>
          </w:tcPr>
          <w:p w:rsidR="00B362F5" w:rsidRPr="00B362F5" w:rsidP="00B362F5">
            <w:pPr>
              <w:jc w:val="center"/>
              <w:rPr>
                <w:rFonts w:cs="Arial"/>
                <w:b/>
                <w:bCs/>
                <w:color w:val="FFFFFF"/>
                <w:sz w:val="22"/>
                <w:szCs w:val="22"/>
              </w:rPr>
            </w:pPr>
            <w:r w:rsidRPr="00B362F5">
              <w:rPr>
                <w:rFonts w:cs="Arial"/>
                <w:b/>
                <w:bCs/>
                <w:color w:val="FFFFFF"/>
                <w:sz w:val="22"/>
                <w:szCs w:val="22"/>
              </w:rPr>
              <w:t>Change from</w:t>
            </w:r>
            <w:r w:rsidRPr="00B362F5">
              <w:rPr>
                <w:rFonts w:cs="Arial"/>
                <w:b/>
                <w:bCs/>
                <w:color w:val="FFFFFF"/>
                <w:sz w:val="22"/>
                <w:szCs w:val="22"/>
              </w:rPr>
              <w:br/>
              <w:t>2021-22 SSE</w:t>
            </w:r>
          </w:p>
        </w:tc>
        <w:tc>
          <w:tcPr>
            <w:tcW w:w="297" w:type="pct"/>
            <w:tcBorders>
              <w:top w:val="nil"/>
              <w:left w:val="nil"/>
              <w:bottom w:val="single" w:sz="4" w:space="0" w:color="auto"/>
              <w:right w:val="single" w:sz="4" w:space="0" w:color="auto"/>
            </w:tcBorders>
            <w:shd w:val="clear" w:color="000000" w:fill="333F4F"/>
            <w:vAlign w:val="center"/>
            <w:hideMark/>
          </w:tcPr>
          <w:p w:rsidR="00B362F5" w:rsidRPr="00B362F5" w:rsidP="00B362F5">
            <w:pPr>
              <w:jc w:val="center"/>
              <w:rPr>
                <w:rFonts w:cs="Arial"/>
                <w:b/>
                <w:bCs/>
                <w:color w:val="FFFFFF"/>
                <w:sz w:val="22"/>
                <w:szCs w:val="22"/>
              </w:rPr>
            </w:pPr>
            <w:r w:rsidRPr="00B362F5">
              <w:rPr>
                <w:rFonts w:cs="Arial"/>
                <w:b/>
                <w:bCs/>
                <w:color w:val="FFFFFF"/>
                <w:sz w:val="22"/>
                <w:szCs w:val="22"/>
              </w:rPr>
              <w:t>See Note 2.2</w:t>
            </w:r>
          </w:p>
        </w:tc>
      </w:tr>
      <w:tr w:rsidTr="00B362F5">
        <w:tblPrEx>
          <w:tblW w:w="5000" w:type="pct"/>
          <w:tblLook w:val="04A0"/>
        </w:tblPrEx>
        <w:trPr>
          <w:trHeight w:val="300"/>
        </w:trPr>
        <w:tc>
          <w:tcPr>
            <w:tcW w:w="483" w:type="pct"/>
            <w:vMerge/>
            <w:tcBorders>
              <w:top w:val="single" w:sz="4" w:space="0" w:color="auto"/>
              <w:left w:val="single" w:sz="4" w:space="0" w:color="auto"/>
              <w:bottom w:val="single" w:sz="4" w:space="0" w:color="auto"/>
              <w:right w:val="single" w:sz="4" w:space="0" w:color="auto"/>
            </w:tcBorders>
            <w:vAlign w:val="center"/>
            <w:hideMark/>
          </w:tcPr>
          <w:p w:rsidR="00B362F5" w:rsidRPr="00B362F5" w:rsidP="00B362F5">
            <w:pPr>
              <w:rPr>
                <w:rFonts w:cs="Arial"/>
                <w:b/>
                <w:bCs/>
                <w:color w:val="FFFFFF"/>
                <w:sz w:val="22"/>
                <w:szCs w:val="22"/>
              </w:rPr>
            </w:pPr>
          </w:p>
        </w:tc>
        <w:tc>
          <w:tcPr>
            <w:tcW w:w="2211" w:type="pct"/>
            <w:vMerge/>
            <w:tcBorders>
              <w:top w:val="single" w:sz="4" w:space="0" w:color="auto"/>
              <w:left w:val="single" w:sz="4" w:space="0" w:color="auto"/>
              <w:bottom w:val="single" w:sz="4" w:space="0" w:color="auto"/>
              <w:right w:val="single" w:sz="4" w:space="0" w:color="auto"/>
            </w:tcBorders>
            <w:vAlign w:val="center"/>
            <w:hideMark/>
          </w:tcPr>
          <w:p w:rsidR="00B362F5" w:rsidRPr="00B362F5" w:rsidP="00B362F5">
            <w:pPr>
              <w:rPr>
                <w:rFonts w:cs="Arial"/>
                <w:b/>
                <w:bCs/>
                <w:color w:val="FFFFFF"/>
                <w:sz w:val="22"/>
                <w:szCs w:val="22"/>
              </w:rPr>
            </w:pPr>
          </w:p>
        </w:tc>
        <w:tc>
          <w:tcPr>
            <w:tcW w:w="599" w:type="pct"/>
            <w:tcBorders>
              <w:top w:val="nil"/>
              <w:left w:val="nil"/>
              <w:bottom w:val="single" w:sz="4" w:space="0" w:color="auto"/>
              <w:right w:val="single" w:sz="4" w:space="0" w:color="auto"/>
            </w:tcBorders>
            <w:shd w:val="clear" w:color="000000" w:fill="333F4F"/>
            <w:noWrap/>
            <w:vAlign w:val="bottom"/>
            <w:hideMark/>
          </w:tcPr>
          <w:p w:rsidR="00B362F5" w:rsidRPr="00B362F5" w:rsidP="00B362F5">
            <w:pPr>
              <w:jc w:val="right"/>
              <w:rPr>
                <w:rFonts w:cs="Arial"/>
                <w:b/>
                <w:bCs/>
                <w:color w:val="FFFFFF"/>
                <w:sz w:val="22"/>
                <w:szCs w:val="22"/>
              </w:rPr>
            </w:pPr>
            <w:r w:rsidRPr="00B362F5">
              <w:rPr>
                <w:rFonts w:cs="Arial"/>
                <w:b/>
                <w:bCs/>
                <w:color w:val="FFFFFF"/>
                <w:sz w:val="22"/>
                <w:szCs w:val="22"/>
              </w:rPr>
              <w:t>£m</w:t>
            </w:r>
          </w:p>
        </w:tc>
        <w:tc>
          <w:tcPr>
            <w:tcW w:w="565" w:type="pct"/>
            <w:tcBorders>
              <w:top w:val="nil"/>
              <w:left w:val="nil"/>
              <w:bottom w:val="single" w:sz="4" w:space="0" w:color="auto"/>
              <w:right w:val="single" w:sz="4" w:space="0" w:color="auto"/>
            </w:tcBorders>
            <w:shd w:val="clear" w:color="000000" w:fill="333F4F"/>
            <w:noWrap/>
            <w:vAlign w:val="bottom"/>
            <w:hideMark/>
          </w:tcPr>
          <w:p w:rsidR="00B362F5" w:rsidRPr="00B362F5" w:rsidP="00B362F5">
            <w:pPr>
              <w:jc w:val="right"/>
              <w:rPr>
                <w:rFonts w:cs="Arial"/>
                <w:b/>
                <w:bCs/>
                <w:color w:val="FFFFFF"/>
                <w:sz w:val="22"/>
                <w:szCs w:val="22"/>
              </w:rPr>
            </w:pPr>
            <w:r w:rsidRPr="00B362F5">
              <w:rPr>
                <w:rFonts w:cs="Arial"/>
                <w:b/>
                <w:bCs/>
                <w:color w:val="FFFFFF"/>
                <w:sz w:val="22"/>
                <w:szCs w:val="22"/>
              </w:rPr>
              <w:t>£m</w:t>
            </w:r>
          </w:p>
        </w:tc>
        <w:tc>
          <w:tcPr>
            <w:tcW w:w="422" w:type="pct"/>
            <w:tcBorders>
              <w:top w:val="nil"/>
              <w:left w:val="nil"/>
              <w:bottom w:val="single" w:sz="4" w:space="0" w:color="auto"/>
              <w:right w:val="single" w:sz="4" w:space="0" w:color="auto"/>
            </w:tcBorders>
            <w:shd w:val="clear" w:color="000000" w:fill="333F4F"/>
            <w:noWrap/>
            <w:vAlign w:val="bottom"/>
            <w:hideMark/>
          </w:tcPr>
          <w:p w:rsidR="00B362F5" w:rsidRPr="00B362F5" w:rsidP="00B362F5">
            <w:pPr>
              <w:jc w:val="right"/>
              <w:rPr>
                <w:rFonts w:cs="Arial"/>
                <w:b/>
                <w:bCs/>
                <w:color w:val="FFFFFF"/>
                <w:sz w:val="22"/>
                <w:szCs w:val="22"/>
              </w:rPr>
            </w:pPr>
            <w:r w:rsidRPr="00B362F5">
              <w:rPr>
                <w:rFonts w:cs="Arial"/>
                <w:b/>
                <w:bCs/>
                <w:color w:val="FFFFFF"/>
                <w:sz w:val="22"/>
                <w:szCs w:val="22"/>
              </w:rPr>
              <w:t>£m</w:t>
            </w:r>
          </w:p>
        </w:tc>
        <w:tc>
          <w:tcPr>
            <w:tcW w:w="422" w:type="pct"/>
            <w:tcBorders>
              <w:top w:val="nil"/>
              <w:left w:val="nil"/>
              <w:bottom w:val="single" w:sz="4" w:space="0" w:color="auto"/>
              <w:right w:val="single" w:sz="4" w:space="0" w:color="auto"/>
            </w:tcBorders>
            <w:shd w:val="clear" w:color="000000" w:fill="333F4F"/>
            <w:noWrap/>
            <w:vAlign w:val="bottom"/>
            <w:hideMark/>
          </w:tcPr>
          <w:p w:rsidR="00B362F5" w:rsidRPr="00B362F5" w:rsidP="00B362F5">
            <w:pPr>
              <w:jc w:val="right"/>
              <w:rPr>
                <w:rFonts w:cs="Arial"/>
                <w:b/>
                <w:bCs/>
                <w:color w:val="FFFFFF"/>
                <w:sz w:val="22"/>
                <w:szCs w:val="22"/>
              </w:rPr>
            </w:pPr>
            <w:r w:rsidRPr="00B362F5">
              <w:rPr>
                <w:rFonts w:cs="Arial"/>
                <w:b/>
                <w:bCs/>
                <w:color w:val="FFFFFF"/>
                <w:sz w:val="22"/>
                <w:szCs w:val="22"/>
              </w:rPr>
              <w:t>%</w:t>
            </w:r>
          </w:p>
        </w:tc>
        <w:tc>
          <w:tcPr>
            <w:tcW w:w="297" w:type="pct"/>
            <w:tcBorders>
              <w:top w:val="nil"/>
              <w:left w:val="nil"/>
              <w:bottom w:val="single" w:sz="4" w:space="0" w:color="auto"/>
              <w:right w:val="single" w:sz="4" w:space="0" w:color="auto"/>
            </w:tcBorders>
            <w:shd w:val="clear" w:color="000000" w:fill="333F4F"/>
            <w:noWrap/>
            <w:vAlign w:val="bottom"/>
            <w:hideMark/>
          </w:tcPr>
          <w:p w:rsidR="00B362F5" w:rsidRPr="00B362F5" w:rsidP="00B362F5">
            <w:pPr>
              <w:jc w:val="center"/>
              <w:rPr>
                <w:rFonts w:cs="Arial"/>
                <w:b/>
                <w:bCs/>
                <w:color w:val="FFFFFF"/>
                <w:sz w:val="22"/>
                <w:szCs w:val="22"/>
              </w:rPr>
            </w:pPr>
            <w:r w:rsidRPr="00B362F5">
              <w:rPr>
                <w:rFonts w:cs="Arial"/>
                <w:b/>
                <w:bCs/>
                <w:color w:val="FFFFFF"/>
                <w:sz w:val="22"/>
                <w:szCs w:val="22"/>
              </w:rPr>
              <w:t> </w:t>
            </w:r>
          </w:p>
        </w:tc>
      </w:tr>
      <w:tr w:rsidTr="00B362F5">
        <w:tblPrEx>
          <w:tblW w:w="5000" w:type="pct"/>
          <w:tblLook w:val="04A0"/>
        </w:tblPrEx>
        <w:trPr>
          <w:trHeight w:val="570"/>
        </w:trPr>
        <w:tc>
          <w:tcPr>
            <w:tcW w:w="483" w:type="pct"/>
            <w:tcBorders>
              <w:top w:val="nil"/>
              <w:left w:val="single" w:sz="4" w:space="0" w:color="auto"/>
              <w:bottom w:val="single" w:sz="4" w:space="0" w:color="auto"/>
              <w:right w:val="single" w:sz="4" w:space="0" w:color="auto"/>
            </w:tcBorders>
            <w:shd w:val="clear" w:color="auto" w:fill="auto"/>
            <w:vAlign w:val="center"/>
            <w:hideMark/>
          </w:tcPr>
          <w:p w:rsidR="00B362F5" w:rsidRPr="00B362F5" w:rsidP="00B362F5">
            <w:pPr>
              <w:jc w:val="center"/>
              <w:rPr>
                <w:rFonts w:cs="Arial"/>
                <w:color w:val="000000"/>
                <w:sz w:val="22"/>
                <w:szCs w:val="22"/>
              </w:rPr>
            </w:pPr>
            <w:r w:rsidRPr="00B362F5">
              <w:rPr>
                <w:rFonts w:cs="Arial"/>
                <w:color w:val="000000"/>
                <w:sz w:val="22"/>
                <w:szCs w:val="22"/>
              </w:rPr>
              <w:t>A</w:t>
            </w:r>
          </w:p>
        </w:tc>
        <w:tc>
          <w:tcPr>
            <w:tcW w:w="2211" w:type="pct"/>
            <w:tcBorders>
              <w:top w:val="nil"/>
              <w:left w:val="nil"/>
              <w:bottom w:val="single" w:sz="4" w:space="0" w:color="auto"/>
              <w:right w:val="single" w:sz="4" w:space="0" w:color="auto"/>
            </w:tcBorders>
            <w:shd w:val="clear" w:color="auto" w:fill="auto"/>
            <w:vAlign w:val="center"/>
            <w:hideMark/>
          </w:tcPr>
          <w:p w:rsidR="00B362F5" w:rsidRPr="00B362F5" w:rsidP="00B362F5">
            <w:pPr>
              <w:rPr>
                <w:rFonts w:cs="Arial"/>
                <w:color w:val="000000"/>
                <w:sz w:val="22"/>
                <w:szCs w:val="22"/>
              </w:rPr>
            </w:pPr>
            <w:r w:rsidRPr="00B362F5">
              <w:rPr>
                <w:rFonts w:cs="Arial"/>
                <w:color w:val="000000"/>
                <w:sz w:val="22"/>
                <w:szCs w:val="22"/>
              </w:rPr>
              <w:t>NHS Commissioning Board (known as NHS England) net expenditure</w:t>
            </w:r>
          </w:p>
        </w:tc>
        <w:tc>
          <w:tcPr>
            <w:tcW w:w="599" w:type="pct"/>
            <w:tcBorders>
              <w:top w:val="nil"/>
              <w:left w:val="single" w:sz="4" w:space="0" w:color="auto"/>
              <w:bottom w:val="single" w:sz="4" w:space="0" w:color="auto"/>
              <w:right w:val="single" w:sz="4" w:space="0" w:color="auto"/>
            </w:tcBorders>
            <w:shd w:val="clear" w:color="auto" w:fill="auto"/>
            <w:vAlign w:val="center"/>
            <w:hideMark/>
          </w:tcPr>
          <w:p w:rsidR="00B362F5" w:rsidRPr="00B362F5" w:rsidP="00B362F5">
            <w:pPr>
              <w:jc w:val="right"/>
              <w:rPr>
                <w:rFonts w:cs="Arial"/>
                <w:color w:val="000000"/>
                <w:sz w:val="22"/>
                <w:szCs w:val="22"/>
              </w:rPr>
            </w:pPr>
            <w:r w:rsidRPr="00B362F5">
              <w:rPr>
                <w:rFonts w:cs="Arial"/>
                <w:color w:val="000000"/>
                <w:sz w:val="22"/>
                <w:szCs w:val="22"/>
              </w:rPr>
              <w:t>219</w:t>
            </w:r>
          </w:p>
        </w:tc>
        <w:tc>
          <w:tcPr>
            <w:tcW w:w="565" w:type="pct"/>
            <w:tcBorders>
              <w:top w:val="nil"/>
              <w:left w:val="nil"/>
              <w:bottom w:val="single" w:sz="4" w:space="0" w:color="auto"/>
              <w:right w:val="single" w:sz="4" w:space="0" w:color="auto"/>
            </w:tcBorders>
            <w:shd w:val="clear" w:color="auto" w:fill="auto"/>
            <w:vAlign w:val="center"/>
            <w:hideMark/>
          </w:tcPr>
          <w:p w:rsidR="00B362F5" w:rsidRPr="00B362F5" w:rsidP="00B362F5">
            <w:pPr>
              <w:jc w:val="right"/>
              <w:rPr>
                <w:rFonts w:cs="Arial"/>
                <w:color w:val="000000"/>
                <w:sz w:val="22"/>
                <w:szCs w:val="22"/>
              </w:rPr>
            </w:pPr>
            <w:r w:rsidRPr="00B362F5">
              <w:rPr>
                <w:rFonts w:cs="Arial"/>
                <w:color w:val="000000"/>
                <w:sz w:val="22"/>
                <w:szCs w:val="22"/>
              </w:rPr>
              <w:t>279</w:t>
            </w:r>
          </w:p>
        </w:tc>
        <w:tc>
          <w:tcPr>
            <w:tcW w:w="422" w:type="pct"/>
            <w:tcBorders>
              <w:top w:val="nil"/>
              <w:left w:val="nil"/>
              <w:bottom w:val="single" w:sz="4" w:space="0" w:color="auto"/>
              <w:right w:val="single" w:sz="4" w:space="0" w:color="auto"/>
            </w:tcBorders>
            <w:shd w:val="clear" w:color="auto" w:fill="auto"/>
            <w:vAlign w:val="center"/>
            <w:hideMark/>
          </w:tcPr>
          <w:p w:rsidR="00B362F5" w:rsidRPr="00B362F5" w:rsidP="00B362F5">
            <w:pPr>
              <w:jc w:val="right"/>
              <w:rPr>
                <w:rFonts w:cs="Arial"/>
                <w:color w:val="000000"/>
                <w:sz w:val="22"/>
                <w:szCs w:val="22"/>
              </w:rPr>
            </w:pPr>
            <w:r w:rsidRPr="00B362F5">
              <w:rPr>
                <w:rFonts w:cs="Arial"/>
                <w:color w:val="FF0000"/>
                <w:sz w:val="22"/>
                <w:szCs w:val="22"/>
              </w:rPr>
              <w:t>(60)</w:t>
            </w:r>
          </w:p>
        </w:tc>
        <w:tc>
          <w:tcPr>
            <w:tcW w:w="42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B362F5" w:rsidRPr="00B362F5" w:rsidP="00B362F5">
            <w:pPr>
              <w:jc w:val="right"/>
              <w:rPr>
                <w:rFonts w:cs="Arial"/>
                <w:color w:val="FF0000"/>
                <w:sz w:val="22"/>
                <w:szCs w:val="22"/>
              </w:rPr>
            </w:pPr>
            <w:r w:rsidRPr="00B362F5">
              <w:rPr>
                <w:rFonts w:cs="Arial"/>
                <w:color w:val="FF0000"/>
                <w:sz w:val="22"/>
                <w:szCs w:val="22"/>
              </w:rPr>
              <w:t>-22%</w:t>
            </w:r>
          </w:p>
        </w:tc>
        <w:tc>
          <w:tcPr>
            <w:tcW w:w="297" w:type="pct"/>
            <w:tcBorders>
              <w:top w:val="nil"/>
              <w:left w:val="nil"/>
              <w:bottom w:val="single" w:sz="4" w:space="0" w:color="auto"/>
              <w:right w:val="single" w:sz="4" w:space="0" w:color="auto"/>
            </w:tcBorders>
            <w:shd w:val="clear" w:color="auto" w:fill="auto"/>
            <w:vAlign w:val="center"/>
            <w:hideMark/>
          </w:tcPr>
          <w:p w:rsidR="00B362F5" w:rsidRPr="00B362F5" w:rsidP="00B362F5">
            <w:pPr>
              <w:jc w:val="center"/>
              <w:rPr>
                <w:rFonts w:cs="Arial"/>
                <w:color w:val="000000"/>
                <w:sz w:val="22"/>
                <w:szCs w:val="22"/>
              </w:rPr>
            </w:pPr>
            <w:r w:rsidRPr="00B362F5">
              <w:rPr>
                <w:rFonts w:cs="Arial"/>
                <w:color w:val="000000"/>
                <w:sz w:val="22"/>
                <w:szCs w:val="22"/>
              </w:rPr>
              <w:t> </w:t>
            </w:r>
          </w:p>
        </w:tc>
      </w:tr>
      <w:tr w:rsidTr="00B362F5">
        <w:tblPrEx>
          <w:tblW w:w="5000" w:type="pct"/>
          <w:tblLook w:val="04A0"/>
        </w:tblPrEx>
        <w:trPr>
          <w:trHeight w:val="285"/>
        </w:trPr>
        <w:tc>
          <w:tcPr>
            <w:tcW w:w="483" w:type="pct"/>
            <w:tcBorders>
              <w:top w:val="nil"/>
              <w:left w:val="single" w:sz="4" w:space="0" w:color="auto"/>
              <w:bottom w:val="single" w:sz="4" w:space="0" w:color="auto"/>
              <w:right w:val="single" w:sz="4" w:space="0" w:color="auto"/>
            </w:tcBorders>
            <w:shd w:val="clear" w:color="auto" w:fill="auto"/>
            <w:vAlign w:val="center"/>
            <w:hideMark/>
          </w:tcPr>
          <w:p w:rsidR="00B362F5" w:rsidRPr="00B362F5" w:rsidP="00B362F5">
            <w:pPr>
              <w:jc w:val="center"/>
              <w:rPr>
                <w:rFonts w:cs="Arial"/>
                <w:color w:val="000000"/>
                <w:sz w:val="22"/>
                <w:szCs w:val="22"/>
              </w:rPr>
            </w:pPr>
            <w:r w:rsidRPr="00B362F5">
              <w:rPr>
                <w:rFonts w:cs="Arial"/>
                <w:color w:val="000000"/>
                <w:sz w:val="22"/>
                <w:szCs w:val="22"/>
              </w:rPr>
              <w:t>B</w:t>
            </w:r>
          </w:p>
        </w:tc>
        <w:tc>
          <w:tcPr>
            <w:tcW w:w="2211" w:type="pct"/>
            <w:tcBorders>
              <w:top w:val="nil"/>
              <w:left w:val="nil"/>
              <w:bottom w:val="single" w:sz="4" w:space="0" w:color="auto"/>
              <w:right w:val="single" w:sz="4" w:space="0" w:color="auto"/>
            </w:tcBorders>
            <w:shd w:val="clear" w:color="auto" w:fill="auto"/>
            <w:vAlign w:val="center"/>
            <w:hideMark/>
          </w:tcPr>
          <w:p w:rsidR="00B362F5" w:rsidRPr="00B362F5" w:rsidP="00B362F5">
            <w:pPr>
              <w:rPr>
                <w:rFonts w:cs="Arial"/>
                <w:color w:val="000000"/>
                <w:sz w:val="22"/>
                <w:szCs w:val="22"/>
              </w:rPr>
            </w:pPr>
            <w:r w:rsidRPr="00B362F5">
              <w:rPr>
                <w:rFonts w:cs="Arial"/>
                <w:color w:val="000000"/>
                <w:sz w:val="22"/>
                <w:szCs w:val="22"/>
              </w:rPr>
              <w:t>NHS Providers</w:t>
            </w:r>
          </w:p>
        </w:tc>
        <w:tc>
          <w:tcPr>
            <w:tcW w:w="599" w:type="pct"/>
            <w:tcBorders>
              <w:top w:val="nil"/>
              <w:left w:val="single" w:sz="4" w:space="0" w:color="auto"/>
              <w:bottom w:val="single" w:sz="4" w:space="0" w:color="auto"/>
              <w:right w:val="single" w:sz="4" w:space="0" w:color="auto"/>
            </w:tcBorders>
            <w:shd w:val="clear" w:color="auto" w:fill="auto"/>
            <w:vAlign w:val="center"/>
            <w:hideMark/>
          </w:tcPr>
          <w:p w:rsidR="00B362F5" w:rsidRPr="00B362F5" w:rsidP="00B362F5">
            <w:pPr>
              <w:jc w:val="right"/>
              <w:rPr>
                <w:rFonts w:cs="Arial"/>
                <w:color w:val="000000"/>
                <w:sz w:val="22"/>
                <w:szCs w:val="22"/>
              </w:rPr>
            </w:pPr>
            <w:r w:rsidRPr="00B362F5">
              <w:rPr>
                <w:rFonts w:cs="Arial"/>
                <w:color w:val="000000"/>
                <w:sz w:val="22"/>
                <w:szCs w:val="22"/>
              </w:rPr>
              <w:t>7,077</w:t>
            </w:r>
          </w:p>
        </w:tc>
        <w:tc>
          <w:tcPr>
            <w:tcW w:w="565" w:type="pct"/>
            <w:tcBorders>
              <w:top w:val="nil"/>
              <w:left w:val="nil"/>
              <w:bottom w:val="single" w:sz="4" w:space="0" w:color="auto"/>
              <w:right w:val="single" w:sz="4" w:space="0" w:color="auto"/>
            </w:tcBorders>
            <w:shd w:val="clear" w:color="auto" w:fill="auto"/>
            <w:vAlign w:val="center"/>
            <w:hideMark/>
          </w:tcPr>
          <w:p w:rsidR="00B362F5" w:rsidRPr="00B362F5" w:rsidP="00B362F5">
            <w:pPr>
              <w:jc w:val="right"/>
              <w:rPr>
                <w:rFonts w:cs="Arial"/>
                <w:color w:val="000000"/>
                <w:sz w:val="22"/>
                <w:szCs w:val="22"/>
              </w:rPr>
            </w:pPr>
            <w:r w:rsidRPr="00B362F5">
              <w:rPr>
                <w:rFonts w:cs="Arial"/>
                <w:color w:val="000000"/>
                <w:sz w:val="22"/>
                <w:szCs w:val="22"/>
              </w:rPr>
              <w:t>6,729</w:t>
            </w:r>
          </w:p>
        </w:tc>
        <w:tc>
          <w:tcPr>
            <w:tcW w:w="422" w:type="pct"/>
            <w:tcBorders>
              <w:top w:val="nil"/>
              <w:left w:val="nil"/>
              <w:bottom w:val="single" w:sz="4" w:space="0" w:color="auto"/>
              <w:right w:val="single" w:sz="4" w:space="0" w:color="auto"/>
            </w:tcBorders>
            <w:shd w:val="clear" w:color="auto" w:fill="auto"/>
            <w:vAlign w:val="center"/>
            <w:hideMark/>
          </w:tcPr>
          <w:p w:rsidR="00B362F5" w:rsidRPr="00B362F5" w:rsidP="00B362F5">
            <w:pPr>
              <w:jc w:val="right"/>
              <w:rPr>
                <w:rFonts w:cs="Arial"/>
                <w:color w:val="000000"/>
                <w:sz w:val="22"/>
                <w:szCs w:val="22"/>
              </w:rPr>
            </w:pPr>
            <w:r w:rsidRPr="00B362F5">
              <w:rPr>
                <w:rFonts w:cs="Arial"/>
                <w:color w:val="000000"/>
                <w:sz w:val="22"/>
                <w:szCs w:val="22"/>
              </w:rPr>
              <w:t>348</w:t>
            </w:r>
          </w:p>
        </w:tc>
        <w:tc>
          <w:tcPr>
            <w:tcW w:w="422" w:type="pct"/>
            <w:tcBorders>
              <w:top w:val="nil"/>
              <w:left w:val="nil"/>
              <w:bottom w:val="single" w:sz="4" w:space="0" w:color="auto"/>
              <w:right w:val="single" w:sz="4" w:space="0" w:color="auto"/>
            </w:tcBorders>
            <w:shd w:val="clear" w:color="auto" w:fill="auto"/>
            <w:vAlign w:val="center"/>
            <w:hideMark/>
          </w:tcPr>
          <w:p w:rsidR="00B362F5" w:rsidRPr="00B362F5" w:rsidP="00B362F5">
            <w:pPr>
              <w:jc w:val="right"/>
              <w:rPr>
                <w:rFonts w:cs="Arial"/>
                <w:color w:val="000000"/>
                <w:sz w:val="22"/>
                <w:szCs w:val="22"/>
              </w:rPr>
            </w:pPr>
            <w:r w:rsidRPr="00B362F5">
              <w:rPr>
                <w:rFonts w:cs="Arial"/>
                <w:color w:val="000000"/>
                <w:sz w:val="22"/>
                <w:szCs w:val="22"/>
              </w:rPr>
              <w:t>5%</w:t>
            </w:r>
          </w:p>
        </w:tc>
        <w:tc>
          <w:tcPr>
            <w:tcW w:w="297" w:type="pct"/>
            <w:tcBorders>
              <w:top w:val="nil"/>
              <w:left w:val="nil"/>
              <w:bottom w:val="single" w:sz="4" w:space="0" w:color="auto"/>
              <w:right w:val="single" w:sz="4" w:space="0" w:color="auto"/>
            </w:tcBorders>
            <w:shd w:val="clear" w:color="auto" w:fill="auto"/>
            <w:vAlign w:val="center"/>
            <w:hideMark/>
          </w:tcPr>
          <w:p w:rsidR="00B362F5" w:rsidRPr="00B362F5" w:rsidP="00B362F5">
            <w:pPr>
              <w:jc w:val="center"/>
              <w:rPr>
                <w:rFonts w:cs="Arial"/>
                <w:color w:val="000000"/>
                <w:sz w:val="22"/>
                <w:szCs w:val="22"/>
              </w:rPr>
            </w:pPr>
            <w:r w:rsidRPr="00B362F5">
              <w:rPr>
                <w:rFonts w:cs="Arial"/>
                <w:color w:val="000000"/>
                <w:sz w:val="22"/>
                <w:szCs w:val="22"/>
              </w:rPr>
              <w:t> </w:t>
            </w:r>
          </w:p>
        </w:tc>
      </w:tr>
      <w:tr w:rsidTr="00B362F5">
        <w:tblPrEx>
          <w:tblW w:w="5000" w:type="pct"/>
          <w:tblLook w:val="04A0"/>
        </w:tblPrEx>
        <w:trPr>
          <w:trHeight w:val="1020"/>
        </w:trPr>
        <w:tc>
          <w:tcPr>
            <w:tcW w:w="483" w:type="pct"/>
            <w:tcBorders>
              <w:top w:val="nil"/>
              <w:left w:val="single" w:sz="4" w:space="0" w:color="auto"/>
              <w:bottom w:val="single" w:sz="4" w:space="0" w:color="auto"/>
              <w:right w:val="single" w:sz="4" w:space="0" w:color="auto"/>
            </w:tcBorders>
            <w:shd w:val="clear" w:color="auto" w:fill="auto"/>
            <w:vAlign w:val="center"/>
            <w:hideMark/>
          </w:tcPr>
          <w:p w:rsidR="00B362F5" w:rsidRPr="00B362F5" w:rsidP="00B362F5">
            <w:pPr>
              <w:jc w:val="center"/>
              <w:rPr>
                <w:rFonts w:cs="Arial"/>
                <w:color w:val="000000"/>
                <w:sz w:val="22"/>
                <w:szCs w:val="22"/>
              </w:rPr>
            </w:pPr>
            <w:r w:rsidRPr="00B362F5">
              <w:rPr>
                <w:rFonts w:cs="Arial"/>
                <w:color w:val="000000"/>
                <w:sz w:val="22"/>
                <w:szCs w:val="22"/>
              </w:rPr>
              <w:t>J</w:t>
            </w:r>
          </w:p>
        </w:tc>
        <w:tc>
          <w:tcPr>
            <w:tcW w:w="2211" w:type="pct"/>
            <w:tcBorders>
              <w:top w:val="nil"/>
              <w:left w:val="nil"/>
              <w:bottom w:val="single" w:sz="4" w:space="0" w:color="auto"/>
              <w:right w:val="single" w:sz="4" w:space="0" w:color="auto"/>
            </w:tcBorders>
            <w:shd w:val="clear" w:color="auto" w:fill="auto"/>
            <w:vAlign w:val="center"/>
            <w:hideMark/>
          </w:tcPr>
          <w:p w:rsidR="00B362F5" w:rsidRPr="00B362F5" w:rsidP="00B362F5">
            <w:pPr>
              <w:rPr>
                <w:rFonts w:cs="Arial"/>
                <w:color w:val="000000"/>
                <w:sz w:val="22"/>
                <w:szCs w:val="22"/>
              </w:rPr>
            </w:pPr>
            <w:r w:rsidRPr="00B362F5">
              <w:rPr>
                <w:rFonts w:cs="Arial"/>
                <w:color w:val="000000"/>
                <w:sz w:val="22"/>
                <w:szCs w:val="22"/>
              </w:rPr>
              <w:t>NHS Commissioning Board (known as NHS England) net expenditure financed from National Insurance Contributions</w:t>
            </w:r>
          </w:p>
        </w:tc>
        <w:tc>
          <w:tcPr>
            <w:tcW w:w="599" w:type="pct"/>
            <w:tcBorders>
              <w:top w:val="nil"/>
              <w:left w:val="single" w:sz="4" w:space="0" w:color="auto"/>
              <w:bottom w:val="single" w:sz="4" w:space="0" w:color="auto"/>
              <w:right w:val="single" w:sz="4" w:space="0" w:color="auto"/>
            </w:tcBorders>
            <w:shd w:val="clear" w:color="auto" w:fill="auto"/>
            <w:vAlign w:val="center"/>
            <w:hideMark/>
          </w:tcPr>
          <w:p w:rsidR="00B362F5" w:rsidRPr="00B362F5" w:rsidP="00B362F5">
            <w:pPr>
              <w:jc w:val="right"/>
              <w:rPr>
                <w:rFonts w:cs="Arial"/>
                <w:color w:val="000000"/>
                <w:sz w:val="22"/>
                <w:szCs w:val="22"/>
              </w:rPr>
            </w:pPr>
            <w:r w:rsidRPr="00B362F5">
              <w:rPr>
                <w:rFonts w:cs="Arial"/>
                <w:color w:val="000000"/>
                <w:sz w:val="22"/>
                <w:szCs w:val="22"/>
              </w:rPr>
              <w:t>0</w:t>
            </w:r>
          </w:p>
        </w:tc>
        <w:tc>
          <w:tcPr>
            <w:tcW w:w="565" w:type="pct"/>
            <w:tcBorders>
              <w:top w:val="nil"/>
              <w:left w:val="nil"/>
              <w:bottom w:val="single" w:sz="4" w:space="0" w:color="auto"/>
              <w:right w:val="single" w:sz="4" w:space="0" w:color="auto"/>
            </w:tcBorders>
            <w:shd w:val="clear" w:color="auto" w:fill="auto"/>
            <w:vAlign w:val="center"/>
            <w:hideMark/>
          </w:tcPr>
          <w:p w:rsidR="00B362F5" w:rsidRPr="00B362F5" w:rsidP="00B362F5">
            <w:pPr>
              <w:jc w:val="right"/>
              <w:rPr>
                <w:rFonts w:cs="Arial"/>
                <w:color w:val="000000"/>
                <w:sz w:val="22"/>
                <w:szCs w:val="22"/>
              </w:rPr>
            </w:pPr>
            <w:r w:rsidRPr="00B362F5">
              <w:rPr>
                <w:rFonts w:cs="Arial"/>
                <w:color w:val="000000"/>
                <w:sz w:val="22"/>
                <w:szCs w:val="22"/>
              </w:rPr>
              <w:t>0</w:t>
            </w:r>
          </w:p>
        </w:tc>
        <w:tc>
          <w:tcPr>
            <w:tcW w:w="422" w:type="pct"/>
            <w:tcBorders>
              <w:top w:val="nil"/>
              <w:left w:val="nil"/>
              <w:bottom w:val="single" w:sz="4" w:space="0" w:color="auto"/>
              <w:right w:val="single" w:sz="4" w:space="0" w:color="auto"/>
            </w:tcBorders>
            <w:shd w:val="clear" w:color="auto" w:fill="auto"/>
            <w:vAlign w:val="center"/>
            <w:hideMark/>
          </w:tcPr>
          <w:p w:rsidR="00B362F5" w:rsidRPr="00B362F5" w:rsidP="00B362F5">
            <w:pPr>
              <w:jc w:val="right"/>
              <w:rPr>
                <w:rFonts w:cs="Arial"/>
                <w:color w:val="000000"/>
                <w:sz w:val="22"/>
                <w:szCs w:val="22"/>
              </w:rPr>
            </w:pPr>
            <w:r w:rsidRPr="00B362F5">
              <w:rPr>
                <w:rFonts w:cs="Arial"/>
                <w:color w:val="000000"/>
                <w:sz w:val="22"/>
                <w:szCs w:val="22"/>
              </w:rPr>
              <w:t>0</w:t>
            </w:r>
          </w:p>
        </w:tc>
        <w:tc>
          <w:tcPr>
            <w:tcW w:w="422" w:type="pct"/>
            <w:tcBorders>
              <w:top w:val="nil"/>
              <w:left w:val="nil"/>
              <w:bottom w:val="single" w:sz="4" w:space="0" w:color="auto"/>
              <w:right w:val="single" w:sz="4" w:space="0" w:color="auto"/>
            </w:tcBorders>
            <w:shd w:val="clear" w:color="auto" w:fill="auto"/>
            <w:vAlign w:val="center"/>
            <w:hideMark/>
          </w:tcPr>
          <w:p w:rsidR="00B362F5" w:rsidRPr="00B362F5" w:rsidP="006E380D">
            <w:pPr>
              <w:jc w:val="right"/>
              <w:rPr>
                <w:rFonts w:cs="Arial"/>
                <w:color w:val="000000"/>
                <w:sz w:val="22"/>
                <w:szCs w:val="22"/>
              </w:rPr>
            </w:pPr>
            <w:r w:rsidRPr="00B362F5">
              <w:rPr>
                <w:rFonts w:cs="Arial"/>
                <w:color w:val="000000"/>
                <w:sz w:val="22"/>
                <w:szCs w:val="22"/>
              </w:rPr>
              <w:t>0%</w:t>
            </w:r>
          </w:p>
        </w:tc>
        <w:tc>
          <w:tcPr>
            <w:tcW w:w="297" w:type="pct"/>
            <w:tcBorders>
              <w:top w:val="nil"/>
              <w:left w:val="nil"/>
              <w:bottom w:val="single" w:sz="4" w:space="0" w:color="auto"/>
              <w:right w:val="single" w:sz="4" w:space="0" w:color="auto"/>
            </w:tcBorders>
            <w:shd w:val="clear" w:color="auto" w:fill="auto"/>
            <w:vAlign w:val="center"/>
            <w:hideMark/>
          </w:tcPr>
          <w:p w:rsidR="00B362F5" w:rsidRPr="00B362F5" w:rsidP="00B362F5">
            <w:pPr>
              <w:jc w:val="center"/>
              <w:rPr>
                <w:rFonts w:cs="Arial"/>
                <w:color w:val="000000"/>
                <w:sz w:val="22"/>
                <w:szCs w:val="22"/>
              </w:rPr>
            </w:pPr>
            <w:r w:rsidRPr="00B362F5">
              <w:rPr>
                <w:rFonts w:cs="Arial"/>
                <w:color w:val="000000"/>
                <w:sz w:val="22"/>
                <w:szCs w:val="22"/>
              </w:rPr>
              <w:t> </w:t>
            </w:r>
          </w:p>
        </w:tc>
      </w:tr>
      <w:tr w:rsidTr="00B362F5">
        <w:tblPrEx>
          <w:tblW w:w="5000" w:type="pct"/>
          <w:tblLook w:val="04A0"/>
        </w:tblPrEx>
        <w:trPr>
          <w:trHeight w:val="300"/>
        </w:trPr>
        <w:tc>
          <w:tcPr>
            <w:tcW w:w="2694" w:type="pct"/>
            <w:gridSpan w:val="2"/>
            <w:tcBorders>
              <w:top w:val="single" w:sz="4" w:space="0" w:color="auto"/>
              <w:left w:val="single" w:sz="4" w:space="0" w:color="auto"/>
              <w:bottom w:val="single" w:sz="4" w:space="0" w:color="auto"/>
              <w:right w:val="nil"/>
            </w:tcBorders>
            <w:shd w:val="clear" w:color="000000" w:fill="B4C6E7"/>
            <w:vAlign w:val="center"/>
            <w:hideMark/>
          </w:tcPr>
          <w:p w:rsidR="00B362F5" w:rsidRPr="00B362F5" w:rsidP="00B362F5">
            <w:pPr>
              <w:rPr>
                <w:rFonts w:cs="Arial"/>
                <w:color w:val="000000"/>
                <w:sz w:val="22"/>
                <w:szCs w:val="22"/>
              </w:rPr>
            </w:pPr>
            <w:r w:rsidRPr="00B362F5">
              <w:rPr>
                <w:rFonts w:cs="Arial"/>
                <w:color w:val="000000"/>
                <w:sz w:val="22"/>
                <w:szCs w:val="22"/>
              </w:rPr>
              <w:t>Sub Total - NHS</w:t>
            </w:r>
          </w:p>
        </w:tc>
        <w:tc>
          <w:tcPr>
            <w:tcW w:w="599" w:type="pct"/>
            <w:tcBorders>
              <w:top w:val="nil"/>
              <w:left w:val="single" w:sz="4" w:space="0" w:color="auto"/>
              <w:bottom w:val="single" w:sz="4" w:space="0" w:color="auto"/>
              <w:right w:val="single" w:sz="4" w:space="0" w:color="auto"/>
            </w:tcBorders>
            <w:shd w:val="clear" w:color="000000" w:fill="B4C6E7"/>
            <w:vAlign w:val="center"/>
            <w:hideMark/>
          </w:tcPr>
          <w:p w:rsidR="00B362F5" w:rsidRPr="00B362F5" w:rsidP="00B362F5">
            <w:pPr>
              <w:jc w:val="right"/>
              <w:rPr>
                <w:rFonts w:cs="Arial"/>
                <w:color w:val="000000"/>
                <w:sz w:val="22"/>
                <w:szCs w:val="22"/>
              </w:rPr>
            </w:pPr>
            <w:r w:rsidRPr="00B362F5">
              <w:rPr>
                <w:rFonts w:cs="Arial"/>
                <w:color w:val="000000"/>
                <w:sz w:val="22"/>
                <w:szCs w:val="22"/>
              </w:rPr>
              <w:t>7,296</w:t>
            </w:r>
          </w:p>
        </w:tc>
        <w:tc>
          <w:tcPr>
            <w:tcW w:w="565" w:type="pct"/>
            <w:tcBorders>
              <w:top w:val="nil"/>
              <w:left w:val="nil"/>
              <w:bottom w:val="single" w:sz="4" w:space="0" w:color="auto"/>
              <w:right w:val="single" w:sz="4" w:space="0" w:color="auto"/>
            </w:tcBorders>
            <w:shd w:val="clear" w:color="000000" w:fill="B4C6E7"/>
            <w:vAlign w:val="center"/>
            <w:hideMark/>
          </w:tcPr>
          <w:p w:rsidR="00B362F5" w:rsidRPr="00B362F5" w:rsidP="00B362F5">
            <w:pPr>
              <w:jc w:val="right"/>
              <w:rPr>
                <w:rFonts w:cs="Arial"/>
                <w:color w:val="000000"/>
                <w:sz w:val="22"/>
                <w:szCs w:val="22"/>
              </w:rPr>
            </w:pPr>
            <w:r w:rsidRPr="00B362F5">
              <w:rPr>
                <w:rFonts w:cs="Arial"/>
                <w:color w:val="000000"/>
                <w:sz w:val="22"/>
                <w:szCs w:val="22"/>
              </w:rPr>
              <w:t>7,008</w:t>
            </w:r>
          </w:p>
        </w:tc>
        <w:tc>
          <w:tcPr>
            <w:tcW w:w="422" w:type="pct"/>
            <w:tcBorders>
              <w:top w:val="nil"/>
              <w:left w:val="nil"/>
              <w:bottom w:val="single" w:sz="4" w:space="0" w:color="auto"/>
              <w:right w:val="single" w:sz="4" w:space="0" w:color="auto"/>
            </w:tcBorders>
            <w:shd w:val="clear" w:color="000000" w:fill="B4C6E7"/>
            <w:vAlign w:val="center"/>
            <w:hideMark/>
          </w:tcPr>
          <w:p w:rsidR="00B362F5" w:rsidRPr="00B362F5" w:rsidP="00B362F5">
            <w:pPr>
              <w:jc w:val="right"/>
              <w:rPr>
                <w:rFonts w:cs="Arial"/>
                <w:color w:val="000000"/>
                <w:sz w:val="22"/>
                <w:szCs w:val="22"/>
              </w:rPr>
            </w:pPr>
            <w:r w:rsidRPr="00B362F5">
              <w:rPr>
                <w:rFonts w:cs="Arial"/>
                <w:color w:val="000000"/>
                <w:sz w:val="22"/>
                <w:szCs w:val="22"/>
              </w:rPr>
              <w:t>288</w:t>
            </w:r>
          </w:p>
        </w:tc>
        <w:tc>
          <w:tcPr>
            <w:tcW w:w="422" w:type="pct"/>
            <w:tcBorders>
              <w:top w:val="nil"/>
              <w:left w:val="nil"/>
              <w:bottom w:val="single" w:sz="4" w:space="0" w:color="auto"/>
              <w:right w:val="single" w:sz="4" w:space="0" w:color="auto"/>
            </w:tcBorders>
            <w:shd w:val="clear" w:color="000000" w:fill="B4C6E7"/>
            <w:vAlign w:val="center"/>
            <w:hideMark/>
          </w:tcPr>
          <w:p w:rsidR="00B362F5" w:rsidRPr="00B362F5" w:rsidP="00B362F5">
            <w:pPr>
              <w:jc w:val="right"/>
              <w:rPr>
                <w:rFonts w:cs="Arial"/>
                <w:color w:val="000000"/>
                <w:sz w:val="22"/>
                <w:szCs w:val="22"/>
              </w:rPr>
            </w:pPr>
            <w:r w:rsidRPr="00B362F5">
              <w:rPr>
                <w:rFonts w:cs="Arial"/>
                <w:color w:val="000000"/>
                <w:sz w:val="22"/>
                <w:szCs w:val="22"/>
              </w:rPr>
              <w:t>4%</w:t>
            </w:r>
          </w:p>
        </w:tc>
        <w:tc>
          <w:tcPr>
            <w:tcW w:w="297" w:type="pct"/>
            <w:tcBorders>
              <w:top w:val="nil"/>
              <w:left w:val="nil"/>
              <w:bottom w:val="single" w:sz="4" w:space="0" w:color="auto"/>
              <w:right w:val="single" w:sz="4" w:space="0" w:color="auto"/>
            </w:tcBorders>
            <w:shd w:val="clear" w:color="000000" w:fill="B4C6E7"/>
            <w:vAlign w:val="center"/>
            <w:hideMark/>
          </w:tcPr>
          <w:p w:rsidR="00B362F5" w:rsidRPr="00B362F5" w:rsidP="00B362F5">
            <w:pPr>
              <w:jc w:val="center"/>
              <w:rPr>
                <w:rFonts w:cs="Arial"/>
                <w:color w:val="000000"/>
                <w:sz w:val="22"/>
                <w:szCs w:val="22"/>
              </w:rPr>
            </w:pPr>
            <w:r w:rsidRPr="00B362F5">
              <w:rPr>
                <w:rFonts w:cs="Arial"/>
                <w:color w:val="000000"/>
                <w:sz w:val="22"/>
                <w:szCs w:val="22"/>
              </w:rPr>
              <w:t>f)</w:t>
            </w:r>
          </w:p>
        </w:tc>
      </w:tr>
      <w:tr w:rsidTr="00B362F5">
        <w:tblPrEx>
          <w:tblW w:w="5000" w:type="pct"/>
          <w:tblLook w:val="04A0"/>
        </w:tblPrEx>
        <w:trPr>
          <w:trHeight w:val="360"/>
        </w:trPr>
        <w:tc>
          <w:tcPr>
            <w:tcW w:w="483" w:type="pct"/>
            <w:tcBorders>
              <w:top w:val="nil"/>
              <w:left w:val="single" w:sz="4" w:space="0" w:color="auto"/>
              <w:bottom w:val="single" w:sz="4" w:space="0" w:color="auto"/>
              <w:right w:val="single" w:sz="4" w:space="0" w:color="auto"/>
            </w:tcBorders>
            <w:shd w:val="clear" w:color="auto" w:fill="auto"/>
            <w:vAlign w:val="center"/>
            <w:hideMark/>
          </w:tcPr>
          <w:p w:rsidR="00B362F5" w:rsidRPr="00B362F5" w:rsidP="00B362F5">
            <w:pPr>
              <w:jc w:val="center"/>
              <w:rPr>
                <w:rFonts w:cs="Arial"/>
                <w:color w:val="000000"/>
                <w:sz w:val="22"/>
                <w:szCs w:val="22"/>
              </w:rPr>
            </w:pPr>
            <w:r w:rsidRPr="00B362F5">
              <w:rPr>
                <w:rFonts w:cs="Arial"/>
                <w:color w:val="000000"/>
                <w:sz w:val="22"/>
                <w:szCs w:val="22"/>
              </w:rPr>
              <w:t>C</w:t>
            </w:r>
          </w:p>
        </w:tc>
        <w:tc>
          <w:tcPr>
            <w:tcW w:w="2211" w:type="pct"/>
            <w:tcBorders>
              <w:top w:val="nil"/>
              <w:left w:val="nil"/>
              <w:bottom w:val="single" w:sz="4" w:space="0" w:color="auto"/>
              <w:right w:val="nil"/>
            </w:tcBorders>
            <w:shd w:val="clear" w:color="auto" w:fill="auto"/>
            <w:vAlign w:val="center"/>
            <w:hideMark/>
          </w:tcPr>
          <w:p w:rsidR="00B362F5" w:rsidRPr="00B362F5" w:rsidP="00B362F5">
            <w:pPr>
              <w:rPr>
                <w:rFonts w:cs="Arial"/>
                <w:color w:val="000000"/>
                <w:sz w:val="22"/>
                <w:szCs w:val="22"/>
              </w:rPr>
            </w:pPr>
            <w:r w:rsidRPr="00B362F5">
              <w:rPr>
                <w:rFonts w:cs="Arial"/>
                <w:color w:val="000000"/>
                <w:sz w:val="22"/>
                <w:szCs w:val="22"/>
              </w:rPr>
              <w:t>DHSC programme and admin expenditure</w:t>
            </w:r>
          </w:p>
        </w:tc>
        <w:tc>
          <w:tcPr>
            <w:tcW w:w="599" w:type="pct"/>
            <w:tcBorders>
              <w:top w:val="nil"/>
              <w:left w:val="single" w:sz="4" w:space="0" w:color="auto"/>
              <w:bottom w:val="single" w:sz="4" w:space="0" w:color="auto"/>
              <w:right w:val="single" w:sz="4" w:space="0" w:color="auto"/>
            </w:tcBorders>
            <w:shd w:val="clear" w:color="auto" w:fill="auto"/>
            <w:vAlign w:val="center"/>
            <w:hideMark/>
          </w:tcPr>
          <w:p w:rsidR="00B362F5" w:rsidRPr="00B362F5" w:rsidP="00B362F5">
            <w:pPr>
              <w:jc w:val="right"/>
              <w:rPr>
                <w:rFonts w:cs="Arial"/>
                <w:color w:val="000000"/>
                <w:sz w:val="22"/>
                <w:szCs w:val="22"/>
              </w:rPr>
            </w:pPr>
            <w:r w:rsidRPr="00B362F5">
              <w:rPr>
                <w:rFonts w:cs="Arial"/>
                <w:color w:val="000000"/>
                <w:sz w:val="22"/>
                <w:szCs w:val="22"/>
              </w:rPr>
              <w:t>4,302</w:t>
            </w:r>
          </w:p>
        </w:tc>
        <w:tc>
          <w:tcPr>
            <w:tcW w:w="565" w:type="pct"/>
            <w:tcBorders>
              <w:top w:val="nil"/>
              <w:left w:val="nil"/>
              <w:bottom w:val="single" w:sz="4" w:space="0" w:color="auto"/>
              <w:right w:val="single" w:sz="4" w:space="0" w:color="auto"/>
            </w:tcBorders>
            <w:shd w:val="clear" w:color="auto" w:fill="auto"/>
            <w:vAlign w:val="center"/>
            <w:hideMark/>
          </w:tcPr>
          <w:p w:rsidR="00B362F5" w:rsidRPr="00B362F5" w:rsidP="00B362F5">
            <w:pPr>
              <w:jc w:val="right"/>
              <w:rPr>
                <w:rFonts w:cs="Arial"/>
                <w:color w:val="000000"/>
                <w:sz w:val="22"/>
                <w:szCs w:val="22"/>
              </w:rPr>
            </w:pPr>
            <w:r w:rsidRPr="00B362F5">
              <w:rPr>
                <w:rFonts w:cs="Arial"/>
                <w:color w:val="000000"/>
                <w:sz w:val="22"/>
                <w:szCs w:val="22"/>
              </w:rPr>
              <w:t>2,912</w:t>
            </w:r>
          </w:p>
        </w:tc>
        <w:tc>
          <w:tcPr>
            <w:tcW w:w="422" w:type="pct"/>
            <w:tcBorders>
              <w:top w:val="nil"/>
              <w:left w:val="nil"/>
              <w:bottom w:val="single" w:sz="4" w:space="0" w:color="auto"/>
              <w:right w:val="single" w:sz="4" w:space="0" w:color="auto"/>
            </w:tcBorders>
            <w:shd w:val="clear" w:color="auto" w:fill="auto"/>
            <w:vAlign w:val="center"/>
            <w:hideMark/>
          </w:tcPr>
          <w:p w:rsidR="00B362F5" w:rsidRPr="00B362F5" w:rsidP="00B362F5">
            <w:pPr>
              <w:jc w:val="right"/>
              <w:rPr>
                <w:rFonts w:cs="Arial"/>
                <w:color w:val="000000"/>
                <w:sz w:val="22"/>
                <w:szCs w:val="22"/>
              </w:rPr>
            </w:pPr>
            <w:r w:rsidRPr="00B362F5">
              <w:rPr>
                <w:rFonts w:cs="Arial"/>
                <w:color w:val="000000"/>
                <w:sz w:val="22"/>
                <w:szCs w:val="22"/>
              </w:rPr>
              <w:t>1,390</w:t>
            </w:r>
          </w:p>
        </w:tc>
        <w:tc>
          <w:tcPr>
            <w:tcW w:w="422" w:type="pct"/>
            <w:tcBorders>
              <w:top w:val="nil"/>
              <w:left w:val="nil"/>
              <w:bottom w:val="single" w:sz="4" w:space="0" w:color="auto"/>
              <w:right w:val="single" w:sz="4" w:space="0" w:color="auto"/>
            </w:tcBorders>
            <w:shd w:val="clear" w:color="auto" w:fill="auto"/>
            <w:vAlign w:val="center"/>
            <w:hideMark/>
          </w:tcPr>
          <w:p w:rsidR="00B362F5" w:rsidRPr="00B362F5" w:rsidP="00B362F5">
            <w:pPr>
              <w:jc w:val="right"/>
              <w:rPr>
                <w:rFonts w:cs="Arial"/>
                <w:color w:val="000000"/>
                <w:sz w:val="22"/>
                <w:szCs w:val="22"/>
              </w:rPr>
            </w:pPr>
            <w:r w:rsidRPr="00B362F5">
              <w:rPr>
                <w:rFonts w:cs="Arial"/>
                <w:color w:val="000000"/>
                <w:sz w:val="22"/>
                <w:szCs w:val="22"/>
              </w:rPr>
              <w:t>48%</w:t>
            </w:r>
          </w:p>
        </w:tc>
        <w:tc>
          <w:tcPr>
            <w:tcW w:w="297" w:type="pct"/>
            <w:tcBorders>
              <w:top w:val="nil"/>
              <w:left w:val="nil"/>
              <w:bottom w:val="single" w:sz="4" w:space="0" w:color="auto"/>
              <w:right w:val="single" w:sz="4" w:space="0" w:color="auto"/>
            </w:tcBorders>
            <w:shd w:val="clear" w:color="auto" w:fill="auto"/>
            <w:vAlign w:val="center"/>
            <w:hideMark/>
          </w:tcPr>
          <w:p w:rsidR="00B362F5" w:rsidRPr="00B362F5" w:rsidP="00B362F5">
            <w:pPr>
              <w:jc w:val="center"/>
              <w:rPr>
                <w:rFonts w:cs="Arial"/>
                <w:color w:val="000000"/>
                <w:sz w:val="22"/>
                <w:szCs w:val="22"/>
              </w:rPr>
            </w:pPr>
            <w:r w:rsidRPr="00B362F5">
              <w:rPr>
                <w:rFonts w:cs="Arial"/>
                <w:color w:val="000000"/>
                <w:sz w:val="22"/>
                <w:szCs w:val="22"/>
              </w:rPr>
              <w:t>g)</w:t>
            </w:r>
          </w:p>
        </w:tc>
      </w:tr>
      <w:tr w:rsidTr="00B362F5">
        <w:tblPrEx>
          <w:tblW w:w="5000" w:type="pct"/>
          <w:tblLook w:val="04A0"/>
        </w:tblPrEx>
        <w:trPr>
          <w:trHeight w:val="285"/>
        </w:trPr>
        <w:tc>
          <w:tcPr>
            <w:tcW w:w="483" w:type="pct"/>
            <w:tcBorders>
              <w:top w:val="nil"/>
              <w:left w:val="single" w:sz="4" w:space="0" w:color="auto"/>
              <w:bottom w:val="single" w:sz="4" w:space="0" w:color="auto"/>
              <w:right w:val="single" w:sz="4" w:space="0" w:color="auto"/>
            </w:tcBorders>
            <w:shd w:val="clear" w:color="auto" w:fill="auto"/>
            <w:vAlign w:val="center"/>
            <w:hideMark/>
          </w:tcPr>
          <w:p w:rsidR="00B362F5" w:rsidRPr="00B362F5" w:rsidP="00B362F5">
            <w:pPr>
              <w:jc w:val="center"/>
              <w:rPr>
                <w:rFonts w:cs="Arial"/>
                <w:color w:val="000000"/>
                <w:sz w:val="22"/>
                <w:szCs w:val="22"/>
              </w:rPr>
            </w:pPr>
            <w:r w:rsidRPr="00B362F5">
              <w:rPr>
                <w:rFonts w:cs="Arial"/>
                <w:color w:val="000000"/>
                <w:sz w:val="22"/>
                <w:szCs w:val="22"/>
              </w:rPr>
              <w:t>D</w:t>
            </w:r>
          </w:p>
        </w:tc>
        <w:tc>
          <w:tcPr>
            <w:tcW w:w="2211" w:type="pct"/>
            <w:tcBorders>
              <w:top w:val="nil"/>
              <w:left w:val="nil"/>
              <w:bottom w:val="single" w:sz="4" w:space="0" w:color="auto"/>
              <w:right w:val="single" w:sz="4" w:space="0" w:color="auto"/>
            </w:tcBorders>
            <w:shd w:val="clear" w:color="auto" w:fill="auto"/>
            <w:vAlign w:val="center"/>
            <w:hideMark/>
          </w:tcPr>
          <w:p w:rsidR="00B362F5" w:rsidRPr="00B362F5" w:rsidP="00B362F5">
            <w:pPr>
              <w:rPr>
                <w:rFonts w:cs="Arial"/>
                <w:color w:val="000000"/>
                <w:sz w:val="22"/>
                <w:szCs w:val="22"/>
              </w:rPr>
            </w:pPr>
            <w:r w:rsidRPr="00B362F5">
              <w:rPr>
                <w:rFonts w:cs="Arial"/>
                <w:color w:val="000000"/>
                <w:sz w:val="22"/>
                <w:szCs w:val="22"/>
              </w:rPr>
              <w:t>Local Authorities (Public Health)</w:t>
            </w:r>
          </w:p>
        </w:tc>
        <w:tc>
          <w:tcPr>
            <w:tcW w:w="599" w:type="pct"/>
            <w:tcBorders>
              <w:top w:val="nil"/>
              <w:left w:val="single" w:sz="4" w:space="0" w:color="auto"/>
              <w:bottom w:val="single" w:sz="4" w:space="0" w:color="auto"/>
              <w:right w:val="single" w:sz="4" w:space="0" w:color="auto"/>
            </w:tcBorders>
            <w:shd w:val="clear" w:color="auto" w:fill="auto"/>
            <w:vAlign w:val="center"/>
            <w:hideMark/>
          </w:tcPr>
          <w:p w:rsidR="00B362F5" w:rsidRPr="00B362F5" w:rsidP="00B362F5">
            <w:pPr>
              <w:jc w:val="right"/>
              <w:rPr>
                <w:rFonts w:cs="Arial"/>
                <w:color w:val="000000"/>
                <w:sz w:val="22"/>
                <w:szCs w:val="22"/>
              </w:rPr>
            </w:pPr>
            <w:r w:rsidRPr="00B362F5">
              <w:rPr>
                <w:rFonts w:cs="Arial"/>
                <w:color w:val="000000"/>
                <w:sz w:val="22"/>
                <w:szCs w:val="22"/>
              </w:rPr>
              <w:t>0</w:t>
            </w:r>
          </w:p>
        </w:tc>
        <w:tc>
          <w:tcPr>
            <w:tcW w:w="565" w:type="pct"/>
            <w:tcBorders>
              <w:top w:val="nil"/>
              <w:left w:val="nil"/>
              <w:bottom w:val="single" w:sz="4" w:space="0" w:color="auto"/>
              <w:right w:val="single" w:sz="4" w:space="0" w:color="auto"/>
            </w:tcBorders>
            <w:shd w:val="clear" w:color="auto" w:fill="auto"/>
            <w:vAlign w:val="center"/>
            <w:hideMark/>
          </w:tcPr>
          <w:p w:rsidR="00B362F5" w:rsidRPr="00B362F5" w:rsidP="00B362F5">
            <w:pPr>
              <w:jc w:val="right"/>
              <w:rPr>
                <w:rFonts w:cs="Arial"/>
                <w:color w:val="000000"/>
                <w:sz w:val="22"/>
                <w:szCs w:val="22"/>
              </w:rPr>
            </w:pPr>
            <w:r w:rsidRPr="00B362F5">
              <w:rPr>
                <w:rFonts w:cs="Arial"/>
                <w:color w:val="000000"/>
                <w:sz w:val="22"/>
                <w:szCs w:val="22"/>
              </w:rPr>
              <w:t>0</w:t>
            </w:r>
          </w:p>
        </w:tc>
        <w:tc>
          <w:tcPr>
            <w:tcW w:w="422" w:type="pct"/>
            <w:tcBorders>
              <w:top w:val="nil"/>
              <w:left w:val="nil"/>
              <w:bottom w:val="single" w:sz="4" w:space="0" w:color="auto"/>
              <w:right w:val="single" w:sz="4" w:space="0" w:color="auto"/>
            </w:tcBorders>
            <w:shd w:val="clear" w:color="auto" w:fill="auto"/>
            <w:vAlign w:val="center"/>
            <w:hideMark/>
          </w:tcPr>
          <w:p w:rsidR="00B362F5" w:rsidRPr="00B362F5" w:rsidP="00B362F5">
            <w:pPr>
              <w:jc w:val="right"/>
              <w:rPr>
                <w:rFonts w:cs="Arial"/>
                <w:color w:val="000000"/>
                <w:sz w:val="22"/>
                <w:szCs w:val="22"/>
              </w:rPr>
            </w:pPr>
            <w:r w:rsidRPr="00B362F5">
              <w:rPr>
                <w:rFonts w:cs="Arial"/>
                <w:color w:val="000000"/>
                <w:sz w:val="22"/>
                <w:szCs w:val="22"/>
              </w:rPr>
              <w:t>0</w:t>
            </w:r>
          </w:p>
        </w:tc>
        <w:tc>
          <w:tcPr>
            <w:tcW w:w="422" w:type="pct"/>
            <w:tcBorders>
              <w:top w:val="nil"/>
              <w:left w:val="nil"/>
              <w:bottom w:val="single" w:sz="4" w:space="0" w:color="auto"/>
              <w:right w:val="single" w:sz="4" w:space="0" w:color="auto"/>
            </w:tcBorders>
            <w:shd w:val="clear" w:color="auto" w:fill="auto"/>
            <w:vAlign w:val="center"/>
            <w:hideMark/>
          </w:tcPr>
          <w:p w:rsidR="00B362F5" w:rsidRPr="00B362F5" w:rsidP="00B362F5">
            <w:pPr>
              <w:jc w:val="right"/>
              <w:rPr>
                <w:rFonts w:cs="Arial"/>
                <w:color w:val="000000"/>
                <w:sz w:val="22"/>
                <w:szCs w:val="22"/>
              </w:rPr>
            </w:pPr>
            <w:r w:rsidRPr="00B362F5">
              <w:rPr>
                <w:rFonts w:cs="Arial"/>
                <w:color w:val="000000"/>
                <w:sz w:val="22"/>
                <w:szCs w:val="22"/>
              </w:rPr>
              <w:t>0%</w:t>
            </w:r>
          </w:p>
        </w:tc>
        <w:tc>
          <w:tcPr>
            <w:tcW w:w="297" w:type="pct"/>
            <w:tcBorders>
              <w:top w:val="nil"/>
              <w:left w:val="nil"/>
              <w:bottom w:val="single" w:sz="4" w:space="0" w:color="auto"/>
              <w:right w:val="single" w:sz="4" w:space="0" w:color="auto"/>
            </w:tcBorders>
            <w:shd w:val="clear" w:color="auto" w:fill="auto"/>
            <w:vAlign w:val="center"/>
            <w:hideMark/>
          </w:tcPr>
          <w:p w:rsidR="00B362F5" w:rsidRPr="00B362F5" w:rsidP="00B362F5">
            <w:pPr>
              <w:jc w:val="center"/>
              <w:rPr>
                <w:rFonts w:cs="Arial"/>
                <w:color w:val="000000"/>
                <w:sz w:val="22"/>
                <w:szCs w:val="22"/>
              </w:rPr>
            </w:pPr>
            <w:r w:rsidRPr="00B362F5">
              <w:rPr>
                <w:rFonts w:cs="Arial"/>
                <w:color w:val="000000"/>
                <w:sz w:val="22"/>
                <w:szCs w:val="22"/>
              </w:rPr>
              <w:t> </w:t>
            </w:r>
          </w:p>
        </w:tc>
      </w:tr>
      <w:tr w:rsidTr="00B362F5">
        <w:tblPrEx>
          <w:tblW w:w="5000" w:type="pct"/>
          <w:tblLook w:val="04A0"/>
        </w:tblPrEx>
        <w:trPr>
          <w:trHeight w:val="285"/>
        </w:trPr>
        <w:tc>
          <w:tcPr>
            <w:tcW w:w="483" w:type="pct"/>
            <w:tcBorders>
              <w:top w:val="nil"/>
              <w:left w:val="single" w:sz="4" w:space="0" w:color="auto"/>
              <w:bottom w:val="single" w:sz="4" w:space="0" w:color="auto"/>
              <w:right w:val="single" w:sz="4" w:space="0" w:color="auto"/>
            </w:tcBorders>
            <w:shd w:val="clear" w:color="auto" w:fill="auto"/>
            <w:vAlign w:val="center"/>
            <w:hideMark/>
          </w:tcPr>
          <w:p w:rsidR="00B362F5" w:rsidRPr="00B362F5" w:rsidP="00B362F5">
            <w:pPr>
              <w:jc w:val="center"/>
              <w:rPr>
                <w:rFonts w:cs="Arial"/>
                <w:color w:val="000000"/>
                <w:sz w:val="22"/>
                <w:szCs w:val="22"/>
              </w:rPr>
            </w:pPr>
            <w:r w:rsidRPr="00B362F5">
              <w:rPr>
                <w:rFonts w:cs="Arial"/>
                <w:color w:val="000000"/>
                <w:sz w:val="22"/>
                <w:szCs w:val="22"/>
              </w:rPr>
              <w:t>E</w:t>
            </w:r>
          </w:p>
        </w:tc>
        <w:tc>
          <w:tcPr>
            <w:tcW w:w="2211" w:type="pct"/>
            <w:tcBorders>
              <w:top w:val="nil"/>
              <w:left w:val="nil"/>
              <w:bottom w:val="single" w:sz="4" w:space="0" w:color="auto"/>
              <w:right w:val="single" w:sz="4" w:space="0" w:color="auto"/>
            </w:tcBorders>
            <w:shd w:val="clear" w:color="auto" w:fill="auto"/>
            <w:vAlign w:val="center"/>
            <w:hideMark/>
          </w:tcPr>
          <w:p w:rsidR="00B362F5" w:rsidRPr="00B362F5" w:rsidP="00B362F5">
            <w:pPr>
              <w:rPr>
                <w:rFonts w:cs="Arial"/>
                <w:color w:val="000000"/>
                <w:sz w:val="22"/>
                <w:szCs w:val="22"/>
              </w:rPr>
            </w:pPr>
            <w:r w:rsidRPr="00B362F5">
              <w:rPr>
                <w:rFonts w:cs="Arial"/>
                <w:color w:val="000000"/>
                <w:sz w:val="22"/>
                <w:szCs w:val="22"/>
              </w:rPr>
              <w:t>Executive Agencies</w:t>
            </w:r>
          </w:p>
        </w:tc>
        <w:tc>
          <w:tcPr>
            <w:tcW w:w="599" w:type="pct"/>
            <w:tcBorders>
              <w:top w:val="nil"/>
              <w:left w:val="single" w:sz="4" w:space="0" w:color="auto"/>
              <w:bottom w:val="single" w:sz="4" w:space="0" w:color="auto"/>
              <w:right w:val="single" w:sz="4" w:space="0" w:color="auto"/>
            </w:tcBorders>
            <w:shd w:val="clear" w:color="auto" w:fill="auto"/>
            <w:vAlign w:val="center"/>
            <w:hideMark/>
          </w:tcPr>
          <w:p w:rsidR="00B362F5" w:rsidRPr="00B362F5" w:rsidP="00B362F5">
            <w:pPr>
              <w:jc w:val="right"/>
              <w:rPr>
                <w:rFonts w:cs="Arial"/>
                <w:color w:val="000000"/>
                <w:sz w:val="22"/>
                <w:szCs w:val="22"/>
              </w:rPr>
            </w:pPr>
            <w:r w:rsidRPr="00B362F5">
              <w:rPr>
                <w:rFonts w:cs="Arial"/>
                <w:color w:val="000000"/>
                <w:sz w:val="22"/>
                <w:szCs w:val="22"/>
              </w:rPr>
              <w:t>153</w:t>
            </w:r>
          </w:p>
        </w:tc>
        <w:tc>
          <w:tcPr>
            <w:tcW w:w="565" w:type="pct"/>
            <w:tcBorders>
              <w:top w:val="nil"/>
              <w:left w:val="nil"/>
              <w:bottom w:val="single" w:sz="4" w:space="0" w:color="auto"/>
              <w:right w:val="single" w:sz="4" w:space="0" w:color="auto"/>
            </w:tcBorders>
            <w:shd w:val="clear" w:color="auto" w:fill="auto"/>
            <w:vAlign w:val="center"/>
            <w:hideMark/>
          </w:tcPr>
          <w:p w:rsidR="00B362F5" w:rsidRPr="00B362F5" w:rsidP="00B362F5">
            <w:pPr>
              <w:jc w:val="right"/>
              <w:rPr>
                <w:rFonts w:cs="Arial"/>
                <w:color w:val="000000"/>
                <w:sz w:val="22"/>
                <w:szCs w:val="22"/>
              </w:rPr>
            </w:pPr>
            <w:r w:rsidRPr="00B362F5">
              <w:rPr>
                <w:rFonts w:cs="Arial"/>
                <w:color w:val="000000"/>
                <w:sz w:val="22"/>
                <w:szCs w:val="22"/>
              </w:rPr>
              <w:t>48</w:t>
            </w:r>
          </w:p>
        </w:tc>
        <w:tc>
          <w:tcPr>
            <w:tcW w:w="422" w:type="pct"/>
            <w:tcBorders>
              <w:top w:val="nil"/>
              <w:left w:val="nil"/>
              <w:bottom w:val="single" w:sz="4" w:space="0" w:color="auto"/>
              <w:right w:val="single" w:sz="4" w:space="0" w:color="auto"/>
            </w:tcBorders>
            <w:shd w:val="clear" w:color="auto" w:fill="auto"/>
            <w:vAlign w:val="center"/>
            <w:hideMark/>
          </w:tcPr>
          <w:p w:rsidR="00B362F5" w:rsidRPr="00B362F5" w:rsidP="00B362F5">
            <w:pPr>
              <w:jc w:val="right"/>
              <w:rPr>
                <w:rFonts w:cs="Arial"/>
                <w:color w:val="000000"/>
                <w:sz w:val="22"/>
                <w:szCs w:val="22"/>
              </w:rPr>
            </w:pPr>
            <w:r w:rsidRPr="00B362F5">
              <w:rPr>
                <w:rFonts w:cs="Arial"/>
                <w:color w:val="000000"/>
                <w:sz w:val="22"/>
                <w:szCs w:val="22"/>
              </w:rPr>
              <w:t>104</w:t>
            </w:r>
          </w:p>
        </w:tc>
        <w:tc>
          <w:tcPr>
            <w:tcW w:w="422" w:type="pct"/>
            <w:tcBorders>
              <w:top w:val="nil"/>
              <w:left w:val="nil"/>
              <w:bottom w:val="single" w:sz="4" w:space="0" w:color="auto"/>
              <w:right w:val="single" w:sz="4" w:space="0" w:color="auto"/>
            </w:tcBorders>
            <w:shd w:val="clear" w:color="auto" w:fill="auto"/>
            <w:vAlign w:val="center"/>
            <w:hideMark/>
          </w:tcPr>
          <w:p w:rsidR="00B362F5" w:rsidRPr="00B362F5" w:rsidP="00B362F5">
            <w:pPr>
              <w:jc w:val="right"/>
              <w:rPr>
                <w:rFonts w:cs="Arial"/>
                <w:color w:val="000000"/>
                <w:sz w:val="22"/>
                <w:szCs w:val="22"/>
              </w:rPr>
            </w:pPr>
            <w:r w:rsidRPr="00B362F5">
              <w:rPr>
                <w:rFonts w:cs="Arial"/>
                <w:color w:val="000000"/>
                <w:sz w:val="22"/>
                <w:szCs w:val="22"/>
              </w:rPr>
              <w:t>217%</w:t>
            </w:r>
          </w:p>
        </w:tc>
        <w:tc>
          <w:tcPr>
            <w:tcW w:w="297" w:type="pct"/>
            <w:tcBorders>
              <w:top w:val="nil"/>
              <w:left w:val="nil"/>
              <w:bottom w:val="single" w:sz="4" w:space="0" w:color="auto"/>
              <w:right w:val="single" w:sz="4" w:space="0" w:color="auto"/>
            </w:tcBorders>
            <w:shd w:val="clear" w:color="auto" w:fill="auto"/>
            <w:vAlign w:val="center"/>
            <w:hideMark/>
          </w:tcPr>
          <w:p w:rsidR="00B362F5" w:rsidRPr="00B362F5" w:rsidP="00B362F5">
            <w:pPr>
              <w:jc w:val="center"/>
              <w:rPr>
                <w:rFonts w:cs="Arial"/>
                <w:color w:val="000000"/>
                <w:sz w:val="22"/>
                <w:szCs w:val="22"/>
              </w:rPr>
            </w:pPr>
            <w:r w:rsidRPr="00B362F5">
              <w:rPr>
                <w:rFonts w:cs="Arial"/>
                <w:color w:val="000000"/>
                <w:sz w:val="22"/>
                <w:szCs w:val="22"/>
              </w:rPr>
              <w:t>h)</w:t>
            </w:r>
          </w:p>
        </w:tc>
      </w:tr>
      <w:tr w:rsidTr="00B362F5">
        <w:tblPrEx>
          <w:tblW w:w="5000" w:type="pct"/>
          <w:tblLook w:val="04A0"/>
        </w:tblPrEx>
        <w:trPr>
          <w:trHeight w:val="285"/>
        </w:trPr>
        <w:tc>
          <w:tcPr>
            <w:tcW w:w="483" w:type="pct"/>
            <w:tcBorders>
              <w:top w:val="nil"/>
              <w:left w:val="single" w:sz="4" w:space="0" w:color="auto"/>
              <w:bottom w:val="single" w:sz="4" w:space="0" w:color="auto"/>
              <w:right w:val="single" w:sz="4" w:space="0" w:color="auto"/>
            </w:tcBorders>
            <w:shd w:val="clear" w:color="auto" w:fill="auto"/>
            <w:vAlign w:val="center"/>
            <w:hideMark/>
          </w:tcPr>
          <w:p w:rsidR="00B362F5" w:rsidRPr="00B362F5" w:rsidP="00B362F5">
            <w:pPr>
              <w:jc w:val="center"/>
              <w:rPr>
                <w:rFonts w:cs="Arial"/>
                <w:color w:val="000000"/>
                <w:sz w:val="22"/>
                <w:szCs w:val="22"/>
              </w:rPr>
            </w:pPr>
            <w:r w:rsidRPr="00B362F5">
              <w:rPr>
                <w:rFonts w:cs="Arial"/>
                <w:color w:val="000000"/>
                <w:sz w:val="22"/>
                <w:szCs w:val="22"/>
              </w:rPr>
              <w:t>F</w:t>
            </w:r>
          </w:p>
        </w:tc>
        <w:tc>
          <w:tcPr>
            <w:tcW w:w="2211" w:type="pct"/>
            <w:tcBorders>
              <w:top w:val="nil"/>
              <w:left w:val="nil"/>
              <w:bottom w:val="single" w:sz="4" w:space="0" w:color="auto"/>
              <w:right w:val="single" w:sz="4" w:space="0" w:color="auto"/>
            </w:tcBorders>
            <w:shd w:val="clear" w:color="auto" w:fill="auto"/>
            <w:vAlign w:val="center"/>
            <w:hideMark/>
          </w:tcPr>
          <w:p w:rsidR="00B362F5" w:rsidRPr="00B362F5" w:rsidP="00B362F5">
            <w:pPr>
              <w:rPr>
                <w:rFonts w:cs="Arial"/>
                <w:color w:val="000000"/>
                <w:sz w:val="22"/>
                <w:szCs w:val="22"/>
              </w:rPr>
            </w:pPr>
            <w:r w:rsidRPr="00B362F5">
              <w:rPr>
                <w:rFonts w:cs="Arial"/>
                <w:color w:val="000000"/>
                <w:sz w:val="22"/>
                <w:szCs w:val="22"/>
              </w:rPr>
              <w:t>Health Education England</w:t>
            </w:r>
          </w:p>
        </w:tc>
        <w:tc>
          <w:tcPr>
            <w:tcW w:w="599" w:type="pct"/>
            <w:tcBorders>
              <w:top w:val="nil"/>
              <w:left w:val="single" w:sz="4" w:space="0" w:color="auto"/>
              <w:bottom w:val="single" w:sz="4" w:space="0" w:color="auto"/>
              <w:right w:val="single" w:sz="4" w:space="0" w:color="auto"/>
            </w:tcBorders>
            <w:shd w:val="clear" w:color="auto" w:fill="auto"/>
            <w:vAlign w:val="center"/>
            <w:hideMark/>
          </w:tcPr>
          <w:p w:rsidR="00B362F5" w:rsidRPr="00B362F5" w:rsidP="00B362F5">
            <w:pPr>
              <w:jc w:val="right"/>
              <w:rPr>
                <w:rFonts w:cs="Arial"/>
                <w:color w:val="000000"/>
                <w:sz w:val="22"/>
                <w:szCs w:val="22"/>
              </w:rPr>
            </w:pPr>
            <w:r w:rsidRPr="00B362F5">
              <w:rPr>
                <w:rFonts w:cs="Arial"/>
                <w:color w:val="000000"/>
                <w:sz w:val="22"/>
                <w:szCs w:val="22"/>
              </w:rPr>
              <w:t>2</w:t>
            </w:r>
          </w:p>
        </w:tc>
        <w:tc>
          <w:tcPr>
            <w:tcW w:w="565" w:type="pct"/>
            <w:tcBorders>
              <w:top w:val="nil"/>
              <w:left w:val="nil"/>
              <w:bottom w:val="single" w:sz="4" w:space="0" w:color="auto"/>
              <w:right w:val="single" w:sz="4" w:space="0" w:color="auto"/>
            </w:tcBorders>
            <w:shd w:val="clear" w:color="auto" w:fill="auto"/>
            <w:vAlign w:val="center"/>
            <w:hideMark/>
          </w:tcPr>
          <w:p w:rsidR="00B362F5" w:rsidRPr="00B362F5" w:rsidP="00B362F5">
            <w:pPr>
              <w:jc w:val="right"/>
              <w:rPr>
                <w:rFonts w:cs="Arial"/>
                <w:color w:val="000000"/>
                <w:sz w:val="22"/>
                <w:szCs w:val="22"/>
              </w:rPr>
            </w:pPr>
            <w:r w:rsidRPr="00B362F5">
              <w:rPr>
                <w:rFonts w:cs="Arial"/>
                <w:color w:val="000000"/>
                <w:sz w:val="22"/>
                <w:szCs w:val="22"/>
              </w:rPr>
              <w:t>2</w:t>
            </w:r>
          </w:p>
        </w:tc>
        <w:tc>
          <w:tcPr>
            <w:tcW w:w="422" w:type="pct"/>
            <w:tcBorders>
              <w:top w:val="nil"/>
              <w:left w:val="nil"/>
              <w:bottom w:val="single" w:sz="4" w:space="0" w:color="auto"/>
              <w:right w:val="single" w:sz="4" w:space="0" w:color="auto"/>
            </w:tcBorders>
            <w:shd w:val="clear" w:color="auto" w:fill="auto"/>
            <w:vAlign w:val="center"/>
            <w:hideMark/>
          </w:tcPr>
          <w:p w:rsidR="00B362F5" w:rsidRPr="00B362F5" w:rsidP="00B362F5">
            <w:pPr>
              <w:jc w:val="right"/>
              <w:rPr>
                <w:rFonts w:cs="Arial"/>
                <w:color w:val="000000"/>
                <w:sz w:val="22"/>
                <w:szCs w:val="22"/>
              </w:rPr>
            </w:pPr>
            <w:r w:rsidRPr="00B362F5">
              <w:rPr>
                <w:rFonts w:cs="Arial"/>
                <w:color w:val="000000"/>
                <w:sz w:val="22"/>
                <w:szCs w:val="22"/>
              </w:rPr>
              <w:t>0</w:t>
            </w:r>
          </w:p>
        </w:tc>
        <w:tc>
          <w:tcPr>
            <w:tcW w:w="422" w:type="pct"/>
            <w:tcBorders>
              <w:top w:val="nil"/>
              <w:left w:val="nil"/>
              <w:bottom w:val="single" w:sz="4" w:space="0" w:color="auto"/>
              <w:right w:val="single" w:sz="4" w:space="0" w:color="auto"/>
            </w:tcBorders>
            <w:shd w:val="clear" w:color="auto" w:fill="auto"/>
            <w:vAlign w:val="center"/>
            <w:hideMark/>
          </w:tcPr>
          <w:p w:rsidR="00B362F5" w:rsidRPr="00B362F5" w:rsidP="00B362F5">
            <w:pPr>
              <w:jc w:val="right"/>
              <w:rPr>
                <w:rFonts w:cs="Arial"/>
                <w:color w:val="000000"/>
                <w:sz w:val="22"/>
                <w:szCs w:val="22"/>
              </w:rPr>
            </w:pPr>
            <w:r w:rsidRPr="00B362F5">
              <w:rPr>
                <w:rFonts w:cs="Arial"/>
                <w:color w:val="000000"/>
                <w:sz w:val="22"/>
                <w:szCs w:val="22"/>
              </w:rPr>
              <w:t>9%</w:t>
            </w:r>
          </w:p>
        </w:tc>
        <w:tc>
          <w:tcPr>
            <w:tcW w:w="297" w:type="pct"/>
            <w:tcBorders>
              <w:top w:val="nil"/>
              <w:left w:val="nil"/>
              <w:bottom w:val="single" w:sz="4" w:space="0" w:color="auto"/>
              <w:right w:val="single" w:sz="4" w:space="0" w:color="auto"/>
            </w:tcBorders>
            <w:shd w:val="clear" w:color="auto" w:fill="auto"/>
            <w:vAlign w:val="center"/>
            <w:hideMark/>
          </w:tcPr>
          <w:p w:rsidR="00B362F5" w:rsidRPr="00B362F5" w:rsidP="00B362F5">
            <w:pPr>
              <w:jc w:val="center"/>
              <w:rPr>
                <w:rFonts w:cs="Arial"/>
                <w:color w:val="000000"/>
                <w:sz w:val="22"/>
                <w:szCs w:val="22"/>
              </w:rPr>
            </w:pPr>
            <w:r w:rsidRPr="00B362F5">
              <w:rPr>
                <w:rFonts w:cs="Arial"/>
                <w:color w:val="000000"/>
                <w:sz w:val="22"/>
                <w:szCs w:val="22"/>
              </w:rPr>
              <w:t> </w:t>
            </w:r>
          </w:p>
        </w:tc>
      </w:tr>
      <w:tr w:rsidTr="00B362F5">
        <w:tblPrEx>
          <w:tblW w:w="5000" w:type="pct"/>
          <w:tblLook w:val="04A0"/>
        </w:tblPrEx>
        <w:trPr>
          <w:trHeight w:val="570"/>
        </w:trPr>
        <w:tc>
          <w:tcPr>
            <w:tcW w:w="483" w:type="pct"/>
            <w:tcBorders>
              <w:top w:val="nil"/>
              <w:left w:val="single" w:sz="4" w:space="0" w:color="auto"/>
              <w:bottom w:val="single" w:sz="4" w:space="0" w:color="auto"/>
              <w:right w:val="single" w:sz="4" w:space="0" w:color="auto"/>
            </w:tcBorders>
            <w:shd w:val="clear" w:color="auto" w:fill="auto"/>
            <w:vAlign w:val="center"/>
            <w:hideMark/>
          </w:tcPr>
          <w:p w:rsidR="00B362F5" w:rsidRPr="00B362F5" w:rsidP="00B362F5">
            <w:pPr>
              <w:jc w:val="center"/>
              <w:rPr>
                <w:rFonts w:cs="Arial"/>
                <w:color w:val="000000"/>
                <w:sz w:val="22"/>
                <w:szCs w:val="22"/>
              </w:rPr>
            </w:pPr>
            <w:r w:rsidRPr="00B362F5">
              <w:rPr>
                <w:rFonts w:cs="Arial"/>
                <w:color w:val="000000"/>
                <w:sz w:val="22"/>
                <w:szCs w:val="22"/>
              </w:rPr>
              <w:t>G, H &amp; I</w:t>
            </w:r>
          </w:p>
        </w:tc>
        <w:tc>
          <w:tcPr>
            <w:tcW w:w="2211" w:type="pct"/>
            <w:tcBorders>
              <w:top w:val="nil"/>
              <w:left w:val="nil"/>
              <w:bottom w:val="nil"/>
              <w:right w:val="single" w:sz="4" w:space="0" w:color="auto"/>
            </w:tcBorders>
            <w:shd w:val="clear" w:color="auto" w:fill="auto"/>
            <w:vAlign w:val="center"/>
            <w:hideMark/>
          </w:tcPr>
          <w:p w:rsidR="00B362F5" w:rsidRPr="00B362F5" w:rsidP="00B362F5">
            <w:pPr>
              <w:rPr>
                <w:rFonts w:cs="Arial"/>
                <w:color w:val="000000"/>
                <w:sz w:val="22"/>
                <w:szCs w:val="22"/>
              </w:rPr>
            </w:pPr>
            <w:r w:rsidRPr="00B362F5">
              <w:rPr>
                <w:rFonts w:cs="Arial"/>
                <w:color w:val="000000"/>
                <w:sz w:val="22"/>
                <w:szCs w:val="22"/>
              </w:rPr>
              <w:t>Special Health Authorities, NDPBs and ALBs and Other Bodies</w:t>
            </w:r>
          </w:p>
        </w:tc>
        <w:tc>
          <w:tcPr>
            <w:tcW w:w="599" w:type="pct"/>
            <w:tcBorders>
              <w:top w:val="nil"/>
              <w:left w:val="single" w:sz="4" w:space="0" w:color="auto"/>
              <w:bottom w:val="single" w:sz="4" w:space="0" w:color="auto"/>
              <w:right w:val="single" w:sz="4" w:space="0" w:color="auto"/>
            </w:tcBorders>
            <w:shd w:val="clear" w:color="auto" w:fill="auto"/>
            <w:vAlign w:val="center"/>
            <w:hideMark/>
          </w:tcPr>
          <w:p w:rsidR="00B362F5" w:rsidRPr="00B362F5" w:rsidP="00B362F5">
            <w:pPr>
              <w:jc w:val="right"/>
              <w:rPr>
                <w:rFonts w:cs="Arial"/>
                <w:color w:val="000000"/>
                <w:sz w:val="22"/>
                <w:szCs w:val="22"/>
              </w:rPr>
            </w:pPr>
            <w:r w:rsidRPr="00B362F5">
              <w:rPr>
                <w:rFonts w:cs="Arial"/>
                <w:color w:val="000000"/>
                <w:sz w:val="22"/>
                <w:szCs w:val="22"/>
              </w:rPr>
              <w:t>295</w:t>
            </w:r>
          </w:p>
        </w:tc>
        <w:tc>
          <w:tcPr>
            <w:tcW w:w="565" w:type="pct"/>
            <w:tcBorders>
              <w:top w:val="nil"/>
              <w:left w:val="nil"/>
              <w:bottom w:val="single" w:sz="4" w:space="0" w:color="auto"/>
              <w:right w:val="single" w:sz="4" w:space="0" w:color="auto"/>
            </w:tcBorders>
            <w:shd w:val="clear" w:color="auto" w:fill="auto"/>
            <w:vAlign w:val="center"/>
            <w:hideMark/>
          </w:tcPr>
          <w:p w:rsidR="00B362F5" w:rsidRPr="00B362F5" w:rsidP="00B362F5">
            <w:pPr>
              <w:jc w:val="right"/>
              <w:rPr>
                <w:rFonts w:cs="Arial"/>
                <w:color w:val="000000"/>
                <w:sz w:val="22"/>
                <w:szCs w:val="22"/>
              </w:rPr>
            </w:pPr>
            <w:r w:rsidRPr="00B362F5">
              <w:rPr>
                <w:rFonts w:cs="Arial"/>
                <w:color w:val="000000"/>
                <w:sz w:val="22"/>
                <w:szCs w:val="22"/>
              </w:rPr>
              <w:t>477</w:t>
            </w:r>
          </w:p>
        </w:tc>
        <w:tc>
          <w:tcPr>
            <w:tcW w:w="422" w:type="pct"/>
            <w:tcBorders>
              <w:top w:val="nil"/>
              <w:left w:val="nil"/>
              <w:bottom w:val="single" w:sz="4" w:space="0" w:color="auto"/>
              <w:right w:val="single" w:sz="4" w:space="0" w:color="auto"/>
            </w:tcBorders>
            <w:shd w:val="clear" w:color="auto" w:fill="auto"/>
            <w:vAlign w:val="center"/>
            <w:hideMark/>
          </w:tcPr>
          <w:p w:rsidR="00B362F5" w:rsidRPr="00B362F5" w:rsidP="00B362F5">
            <w:pPr>
              <w:jc w:val="right"/>
              <w:rPr>
                <w:rFonts w:cs="Arial"/>
                <w:color w:val="000000"/>
                <w:sz w:val="22"/>
                <w:szCs w:val="22"/>
              </w:rPr>
            </w:pPr>
            <w:r w:rsidRPr="00B362F5">
              <w:rPr>
                <w:rFonts w:cs="Arial"/>
                <w:color w:val="FF0000"/>
                <w:sz w:val="22"/>
                <w:szCs w:val="22"/>
              </w:rPr>
              <w:t>(182)</w:t>
            </w:r>
          </w:p>
        </w:tc>
        <w:tc>
          <w:tcPr>
            <w:tcW w:w="42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B362F5" w:rsidRPr="00B362F5" w:rsidP="00B362F5">
            <w:pPr>
              <w:jc w:val="right"/>
              <w:rPr>
                <w:rFonts w:cs="Arial"/>
                <w:color w:val="FF0000"/>
                <w:sz w:val="22"/>
                <w:szCs w:val="22"/>
              </w:rPr>
            </w:pPr>
            <w:r w:rsidRPr="00B362F5">
              <w:rPr>
                <w:rFonts w:cs="Arial"/>
                <w:color w:val="FF0000"/>
                <w:sz w:val="22"/>
                <w:szCs w:val="22"/>
              </w:rPr>
              <w:t>-38%</w:t>
            </w:r>
          </w:p>
        </w:tc>
        <w:tc>
          <w:tcPr>
            <w:tcW w:w="297" w:type="pct"/>
            <w:tcBorders>
              <w:top w:val="nil"/>
              <w:left w:val="nil"/>
              <w:bottom w:val="single" w:sz="4" w:space="0" w:color="auto"/>
              <w:right w:val="single" w:sz="4" w:space="0" w:color="auto"/>
            </w:tcBorders>
            <w:shd w:val="clear" w:color="auto" w:fill="auto"/>
            <w:vAlign w:val="center"/>
            <w:hideMark/>
          </w:tcPr>
          <w:p w:rsidR="00B362F5" w:rsidRPr="00B362F5" w:rsidP="00B362F5">
            <w:pPr>
              <w:jc w:val="center"/>
              <w:rPr>
                <w:rFonts w:cs="Arial"/>
                <w:color w:val="000000"/>
                <w:sz w:val="22"/>
                <w:szCs w:val="22"/>
              </w:rPr>
            </w:pPr>
            <w:r w:rsidRPr="00B362F5">
              <w:rPr>
                <w:rFonts w:cs="Arial"/>
                <w:color w:val="000000"/>
                <w:sz w:val="22"/>
                <w:szCs w:val="22"/>
              </w:rPr>
              <w:t>i)</w:t>
            </w:r>
          </w:p>
        </w:tc>
      </w:tr>
      <w:tr w:rsidTr="00B362F5">
        <w:tblPrEx>
          <w:tblW w:w="5000" w:type="pct"/>
          <w:tblLook w:val="04A0"/>
        </w:tblPrEx>
        <w:trPr>
          <w:trHeight w:val="300"/>
        </w:trPr>
        <w:tc>
          <w:tcPr>
            <w:tcW w:w="2694" w:type="pct"/>
            <w:gridSpan w:val="2"/>
            <w:tcBorders>
              <w:top w:val="single" w:sz="4" w:space="0" w:color="auto"/>
              <w:left w:val="single" w:sz="4" w:space="0" w:color="auto"/>
              <w:bottom w:val="single" w:sz="4" w:space="0" w:color="auto"/>
              <w:right w:val="single" w:sz="4" w:space="0" w:color="000000"/>
            </w:tcBorders>
            <w:shd w:val="clear" w:color="000000" w:fill="B4C6E7"/>
            <w:vAlign w:val="bottom"/>
            <w:hideMark/>
          </w:tcPr>
          <w:p w:rsidR="00B362F5" w:rsidRPr="00B362F5" w:rsidP="00B362F5">
            <w:pPr>
              <w:rPr>
                <w:rFonts w:cs="Arial"/>
                <w:b/>
                <w:bCs/>
                <w:color w:val="000000"/>
                <w:sz w:val="22"/>
                <w:szCs w:val="22"/>
              </w:rPr>
            </w:pPr>
            <w:r w:rsidRPr="00B362F5">
              <w:rPr>
                <w:rFonts w:cs="Arial"/>
                <w:b/>
                <w:bCs/>
                <w:color w:val="000000"/>
                <w:sz w:val="22"/>
                <w:szCs w:val="22"/>
              </w:rPr>
              <w:t>TOTAL (Voted and Non Voted)</w:t>
            </w:r>
          </w:p>
        </w:tc>
        <w:tc>
          <w:tcPr>
            <w:tcW w:w="599" w:type="pct"/>
            <w:tcBorders>
              <w:top w:val="nil"/>
              <w:left w:val="single" w:sz="4" w:space="0" w:color="auto"/>
              <w:bottom w:val="single" w:sz="4" w:space="0" w:color="auto"/>
              <w:right w:val="single" w:sz="4" w:space="0" w:color="auto"/>
            </w:tcBorders>
            <w:shd w:val="clear" w:color="000000" w:fill="B4C6E7"/>
            <w:vAlign w:val="bottom"/>
            <w:hideMark/>
          </w:tcPr>
          <w:p w:rsidR="00B362F5" w:rsidRPr="00B362F5" w:rsidP="00B362F5">
            <w:pPr>
              <w:jc w:val="right"/>
              <w:rPr>
                <w:rFonts w:cs="Arial"/>
                <w:b/>
                <w:bCs/>
                <w:color w:val="000000"/>
                <w:sz w:val="22"/>
                <w:szCs w:val="22"/>
              </w:rPr>
            </w:pPr>
            <w:r w:rsidRPr="00B362F5">
              <w:rPr>
                <w:rFonts w:cs="Arial"/>
                <w:b/>
                <w:bCs/>
                <w:color w:val="000000"/>
                <w:sz w:val="22"/>
                <w:szCs w:val="22"/>
              </w:rPr>
              <w:t>12,048</w:t>
            </w:r>
          </w:p>
        </w:tc>
        <w:tc>
          <w:tcPr>
            <w:tcW w:w="565" w:type="pct"/>
            <w:tcBorders>
              <w:top w:val="nil"/>
              <w:left w:val="nil"/>
              <w:bottom w:val="single" w:sz="4" w:space="0" w:color="auto"/>
              <w:right w:val="single" w:sz="4" w:space="0" w:color="auto"/>
            </w:tcBorders>
            <w:shd w:val="clear" w:color="000000" w:fill="B4C6E7"/>
            <w:vAlign w:val="bottom"/>
            <w:hideMark/>
          </w:tcPr>
          <w:p w:rsidR="00B362F5" w:rsidRPr="00B362F5" w:rsidP="00B362F5">
            <w:pPr>
              <w:jc w:val="right"/>
              <w:rPr>
                <w:rFonts w:cs="Arial"/>
                <w:b/>
                <w:bCs/>
                <w:color w:val="000000"/>
                <w:sz w:val="22"/>
                <w:szCs w:val="22"/>
              </w:rPr>
            </w:pPr>
            <w:r w:rsidRPr="00B362F5">
              <w:rPr>
                <w:rFonts w:cs="Arial"/>
                <w:b/>
                <w:bCs/>
                <w:color w:val="000000"/>
                <w:sz w:val="22"/>
                <w:szCs w:val="22"/>
              </w:rPr>
              <w:t>10,447</w:t>
            </w:r>
          </w:p>
        </w:tc>
        <w:tc>
          <w:tcPr>
            <w:tcW w:w="422" w:type="pct"/>
            <w:tcBorders>
              <w:top w:val="nil"/>
              <w:left w:val="nil"/>
              <w:bottom w:val="single" w:sz="4" w:space="0" w:color="auto"/>
              <w:right w:val="single" w:sz="4" w:space="0" w:color="auto"/>
            </w:tcBorders>
            <w:shd w:val="clear" w:color="000000" w:fill="B4C6E7"/>
            <w:vAlign w:val="center"/>
            <w:hideMark/>
          </w:tcPr>
          <w:p w:rsidR="00B362F5" w:rsidRPr="00B362F5" w:rsidP="00B362F5">
            <w:pPr>
              <w:jc w:val="right"/>
              <w:rPr>
                <w:rFonts w:cs="Arial"/>
                <w:b/>
                <w:bCs/>
                <w:color w:val="000000"/>
                <w:sz w:val="22"/>
                <w:szCs w:val="22"/>
              </w:rPr>
            </w:pPr>
            <w:r w:rsidRPr="00B362F5">
              <w:rPr>
                <w:rFonts w:cs="Arial"/>
                <w:b/>
                <w:bCs/>
                <w:color w:val="000000"/>
                <w:sz w:val="22"/>
                <w:szCs w:val="22"/>
              </w:rPr>
              <w:t>1,601</w:t>
            </w:r>
          </w:p>
        </w:tc>
        <w:tc>
          <w:tcPr>
            <w:tcW w:w="422" w:type="pct"/>
            <w:tcBorders>
              <w:top w:val="nil"/>
              <w:left w:val="nil"/>
              <w:bottom w:val="single" w:sz="4" w:space="0" w:color="auto"/>
              <w:right w:val="single" w:sz="4" w:space="0" w:color="auto"/>
            </w:tcBorders>
            <w:shd w:val="clear" w:color="000000" w:fill="B4C6E7"/>
            <w:vAlign w:val="center"/>
            <w:hideMark/>
          </w:tcPr>
          <w:p w:rsidR="00B362F5" w:rsidRPr="00B362F5" w:rsidP="00B362F5">
            <w:pPr>
              <w:jc w:val="right"/>
              <w:rPr>
                <w:rFonts w:cs="Arial"/>
                <w:b/>
                <w:bCs/>
                <w:color w:val="000000"/>
                <w:sz w:val="22"/>
                <w:szCs w:val="22"/>
              </w:rPr>
            </w:pPr>
            <w:r w:rsidRPr="00B362F5">
              <w:rPr>
                <w:rFonts w:cs="Arial"/>
                <w:b/>
                <w:bCs/>
                <w:color w:val="000000"/>
                <w:sz w:val="22"/>
                <w:szCs w:val="22"/>
              </w:rPr>
              <w:t>15%</w:t>
            </w:r>
          </w:p>
        </w:tc>
        <w:tc>
          <w:tcPr>
            <w:tcW w:w="297" w:type="pct"/>
            <w:tcBorders>
              <w:top w:val="nil"/>
              <w:left w:val="nil"/>
              <w:bottom w:val="single" w:sz="4" w:space="0" w:color="auto"/>
              <w:right w:val="single" w:sz="4" w:space="0" w:color="auto"/>
            </w:tcBorders>
            <w:shd w:val="clear" w:color="000000" w:fill="B4C6E7"/>
            <w:vAlign w:val="bottom"/>
            <w:hideMark/>
          </w:tcPr>
          <w:p w:rsidR="00B362F5" w:rsidRPr="00B362F5" w:rsidP="00B362F5">
            <w:pPr>
              <w:jc w:val="center"/>
              <w:rPr>
                <w:rFonts w:cs="Arial"/>
                <w:b/>
                <w:bCs/>
                <w:color w:val="000000"/>
                <w:sz w:val="22"/>
                <w:szCs w:val="22"/>
              </w:rPr>
            </w:pPr>
            <w:r w:rsidRPr="00B362F5">
              <w:rPr>
                <w:rFonts w:cs="Arial"/>
                <w:b/>
                <w:bCs/>
                <w:color w:val="000000"/>
                <w:sz w:val="22"/>
                <w:szCs w:val="22"/>
              </w:rPr>
              <w:t> </w:t>
            </w:r>
          </w:p>
        </w:tc>
      </w:tr>
    </w:tbl>
    <w:p w:rsidR="00B362F5" w:rsidRPr="00565172" w:rsidP="004F64C1">
      <w:pPr>
        <w:ind w:left="567"/>
        <w:rPr>
          <w:rFonts w:eastAsia="Calibri" w:cs="Arial"/>
          <w:sz w:val="22"/>
          <w:szCs w:val="22"/>
        </w:rPr>
      </w:pPr>
    </w:p>
    <w:p w:rsidR="004F64C1" w:rsidRPr="00770234" w:rsidP="004F64C1">
      <w:pPr>
        <w:spacing w:after="120"/>
        <w:ind w:left="720"/>
        <w:jc w:val="both"/>
        <w:rPr>
          <w:rFonts w:eastAsiaTheme="minorHAnsi" w:cs="Arial"/>
          <w:sz w:val="22"/>
          <w:szCs w:val="22"/>
          <w:lang w:eastAsia="en-US"/>
        </w:rPr>
      </w:pPr>
    </w:p>
    <w:p w:rsidR="004F64C1" w:rsidRPr="00E22A02" w:rsidP="001F4DFB">
      <w:pPr>
        <w:numPr>
          <w:ilvl w:val="0"/>
          <w:numId w:val="5"/>
        </w:numPr>
        <w:spacing w:after="120"/>
        <w:ind w:left="1077" w:hanging="357"/>
        <w:jc w:val="both"/>
        <w:rPr>
          <w:rFonts w:eastAsia="Calibri" w:cs="Arial"/>
          <w:sz w:val="22"/>
          <w:szCs w:val="22"/>
        </w:rPr>
      </w:pPr>
      <w:r w:rsidRPr="00E22A02">
        <w:rPr>
          <w:rFonts w:eastAsia="Calibri" w:cs="Arial"/>
          <w:b/>
          <w:sz w:val="22"/>
          <w:szCs w:val="22"/>
        </w:rPr>
        <w:t xml:space="preserve">NHS:  </w:t>
      </w:r>
      <w:r w:rsidRPr="00E22A02">
        <w:rPr>
          <w:rFonts w:eastAsia="Calibri" w:cs="Arial"/>
          <w:sz w:val="22"/>
          <w:szCs w:val="22"/>
        </w:rPr>
        <w:t>The change of £</w:t>
      </w:r>
      <w:r w:rsidRPr="00E22A02" w:rsidR="007479C5">
        <w:rPr>
          <w:rFonts w:eastAsia="Calibri" w:cs="Arial"/>
          <w:sz w:val="22"/>
          <w:szCs w:val="22"/>
        </w:rPr>
        <w:t xml:space="preserve">288 million </w:t>
      </w:r>
      <w:r w:rsidRPr="00E22A02" w:rsidR="00276A30">
        <w:rPr>
          <w:rFonts w:eastAsia="Calibri" w:cs="Arial"/>
          <w:sz w:val="22"/>
          <w:szCs w:val="22"/>
        </w:rPr>
        <w:t xml:space="preserve">mainly relates to </w:t>
      </w:r>
      <w:r w:rsidRPr="00081F83" w:rsidR="0049553E">
        <w:rPr>
          <w:rFonts w:eastAsia="Calibri" w:cs="Arial"/>
          <w:sz w:val="22"/>
          <w:szCs w:val="22"/>
        </w:rPr>
        <w:t>change relates to increased funding as detailed in the Spending Review 21 offset by lower funding for Covid.</w:t>
      </w:r>
    </w:p>
    <w:p w:rsidR="000E6C70" w:rsidRPr="004E114C" w:rsidP="00E65A8B">
      <w:pPr>
        <w:numPr>
          <w:ilvl w:val="0"/>
          <w:numId w:val="5"/>
        </w:numPr>
        <w:spacing w:after="120"/>
        <w:ind w:left="1077" w:hanging="357"/>
        <w:jc w:val="both"/>
        <w:rPr>
          <w:rFonts w:eastAsia="Calibri" w:cs="Arial"/>
          <w:sz w:val="22"/>
          <w:szCs w:val="22"/>
        </w:rPr>
      </w:pPr>
      <w:r w:rsidRPr="004E114C">
        <w:rPr>
          <w:rFonts w:eastAsia="Calibri" w:cs="Arial"/>
          <w:b/>
          <w:sz w:val="22"/>
          <w:szCs w:val="22"/>
        </w:rPr>
        <w:t xml:space="preserve">DHSC Capital: </w:t>
      </w:r>
      <w:r w:rsidRPr="004E114C">
        <w:rPr>
          <w:rFonts w:eastAsia="Calibri" w:cs="Arial"/>
          <w:sz w:val="22"/>
          <w:szCs w:val="22"/>
        </w:rPr>
        <w:t xml:space="preserve">The change of </w:t>
      </w:r>
      <w:r w:rsidRPr="004E114C" w:rsidR="007479C5">
        <w:rPr>
          <w:rFonts w:eastAsia="Calibri" w:cs="Arial"/>
          <w:sz w:val="22"/>
          <w:szCs w:val="22"/>
        </w:rPr>
        <w:t xml:space="preserve">1.4 billion </w:t>
      </w:r>
      <w:r w:rsidRPr="004E114C">
        <w:rPr>
          <w:rFonts w:eastAsia="Calibri" w:cs="Arial"/>
          <w:sz w:val="22"/>
          <w:szCs w:val="22"/>
        </w:rPr>
        <w:t>is mainly due to IFRS16</w:t>
      </w:r>
      <w:r w:rsidRPr="004E114C" w:rsidR="004E114C">
        <w:rPr>
          <w:rFonts w:eastAsia="Calibri" w:cs="Arial"/>
          <w:sz w:val="22"/>
          <w:szCs w:val="22"/>
        </w:rPr>
        <w:t xml:space="preserve"> – see </w:t>
      </w:r>
      <w:r w:rsidRPr="004E114C" w:rsidR="000B5A41">
        <w:rPr>
          <w:rFonts w:eastAsia="Calibri" w:cs="Arial"/>
          <w:sz w:val="22"/>
          <w:szCs w:val="22"/>
        </w:rPr>
        <w:t>paragraph</w:t>
      </w:r>
      <w:r w:rsidRPr="004E114C" w:rsidR="004E114C">
        <w:rPr>
          <w:rFonts w:eastAsia="Calibri" w:cs="Arial"/>
          <w:sz w:val="22"/>
          <w:szCs w:val="22"/>
        </w:rPr>
        <w:t xml:space="preserve"> 1.8</w:t>
      </w:r>
    </w:p>
    <w:p w:rsidR="000E6C70" w:rsidRPr="00B04392" w:rsidP="00E65A8B">
      <w:pPr>
        <w:numPr>
          <w:ilvl w:val="0"/>
          <w:numId w:val="5"/>
        </w:numPr>
        <w:spacing w:after="120"/>
        <w:ind w:left="1077" w:hanging="357"/>
        <w:jc w:val="both"/>
        <w:rPr>
          <w:rFonts w:eastAsia="Calibri" w:cs="Arial"/>
          <w:sz w:val="22"/>
          <w:szCs w:val="22"/>
        </w:rPr>
      </w:pPr>
      <w:r w:rsidRPr="00B04392">
        <w:rPr>
          <w:rFonts w:eastAsia="Calibri" w:cs="Arial"/>
          <w:b/>
          <w:bCs/>
          <w:sz w:val="22"/>
          <w:szCs w:val="22"/>
        </w:rPr>
        <w:t>Executive Age</w:t>
      </w:r>
      <w:r w:rsidRPr="00B04392" w:rsidR="00B04392">
        <w:rPr>
          <w:rFonts w:eastAsia="Calibri" w:cs="Arial"/>
          <w:b/>
          <w:bCs/>
          <w:sz w:val="22"/>
          <w:szCs w:val="22"/>
        </w:rPr>
        <w:t>ncies</w:t>
      </w:r>
      <w:r w:rsidRPr="00B04392" w:rsidR="00B04392">
        <w:rPr>
          <w:rFonts w:eastAsia="Calibri" w:cs="Arial"/>
          <w:sz w:val="22"/>
          <w:szCs w:val="22"/>
        </w:rPr>
        <w:t xml:space="preserve">: The </w:t>
      </w:r>
      <w:r w:rsidR="00B04392">
        <w:rPr>
          <w:rFonts w:eastAsia="Calibri" w:cs="Arial"/>
          <w:sz w:val="22"/>
          <w:szCs w:val="22"/>
        </w:rPr>
        <w:t xml:space="preserve">change of £104 million </w:t>
      </w:r>
      <w:r w:rsidR="008C0A01">
        <w:rPr>
          <w:rFonts w:eastAsia="Calibri" w:cs="Arial"/>
          <w:sz w:val="22"/>
          <w:szCs w:val="22"/>
        </w:rPr>
        <w:t xml:space="preserve">is mainly due to </w:t>
      </w:r>
      <w:r w:rsidR="00680478">
        <w:rPr>
          <w:rFonts w:eastAsia="Calibri" w:cs="Arial"/>
          <w:sz w:val="22"/>
          <w:szCs w:val="22"/>
        </w:rPr>
        <w:t xml:space="preserve">2021-22 </w:t>
      </w:r>
      <w:r w:rsidR="000B5A41">
        <w:rPr>
          <w:rFonts w:eastAsia="Calibri" w:cs="Arial"/>
          <w:sz w:val="22"/>
          <w:szCs w:val="22"/>
        </w:rPr>
        <w:t>including</w:t>
      </w:r>
      <w:r w:rsidR="00680478">
        <w:rPr>
          <w:rFonts w:eastAsia="Calibri" w:cs="Arial"/>
          <w:sz w:val="22"/>
          <w:szCs w:val="22"/>
        </w:rPr>
        <w:t xml:space="preserve"> negative capital funding for NHS Test and Trace</w:t>
      </w:r>
      <w:r w:rsidR="00410184">
        <w:rPr>
          <w:rFonts w:eastAsia="Calibri" w:cs="Arial"/>
          <w:sz w:val="22"/>
          <w:szCs w:val="22"/>
        </w:rPr>
        <w:t>. The funding in 2022-23 reflects the capital funding for both UKHSA and MHRA.</w:t>
      </w:r>
    </w:p>
    <w:p w:rsidR="004F64C1" w:rsidRPr="00D56290" w:rsidP="00E65A8B">
      <w:pPr>
        <w:numPr>
          <w:ilvl w:val="0"/>
          <w:numId w:val="5"/>
        </w:numPr>
        <w:spacing w:after="120"/>
        <w:ind w:left="1077" w:hanging="357"/>
        <w:jc w:val="both"/>
        <w:rPr>
          <w:rFonts w:eastAsia="Calibri" w:cs="Arial"/>
          <w:sz w:val="22"/>
          <w:szCs w:val="22"/>
        </w:rPr>
      </w:pPr>
      <w:r w:rsidRPr="00D56290">
        <w:rPr>
          <w:rFonts w:eastAsia="Calibri" w:cs="Arial"/>
          <w:b/>
          <w:sz w:val="22"/>
          <w:szCs w:val="22"/>
        </w:rPr>
        <w:t xml:space="preserve">Special Health Authorities, NDPB’s &amp; Arm’s Length and Other Bodies:  </w:t>
      </w:r>
      <w:r w:rsidRPr="00D56290">
        <w:rPr>
          <w:rFonts w:eastAsia="Calibri" w:cs="Arial"/>
          <w:sz w:val="22"/>
          <w:szCs w:val="22"/>
        </w:rPr>
        <w:t xml:space="preserve">Capital expenditure for these bodies varies year-on-year and the plans reflect the expected capital expenditure for these bodies.   </w:t>
      </w:r>
    </w:p>
    <w:p w:rsidR="00A55641">
      <w:pPr>
        <w:rPr>
          <w:rFonts w:eastAsia="Calibri" w:cs="Arial"/>
          <w:sz w:val="22"/>
          <w:szCs w:val="22"/>
        </w:rPr>
      </w:pPr>
      <w:r>
        <w:rPr>
          <w:rFonts w:eastAsia="Calibri" w:cs="Arial"/>
          <w:sz w:val="22"/>
          <w:szCs w:val="22"/>
        </w:rPr>
        <w:br w:type="page"/>
      </w:r>
    </w:p>
    <w:p w:rsidR="004F64C1" w:rsidP="004F64C1">
      <w:pPr>
        <w:ind w:left="720"/>
        <w:jc w:val="both"/>
        <w:rPr>
          <w:rFonts w:eastAsia="Calibri" w:cs="Arial"/>
          <w:sz w:val="22"/>
          <w:szCs w:val="22"/>
        </w:rPr>
      </w:pPr>
    </w:p>
    <w:p w:rsidR="004F64C1" w:rsidRPr="00FF061A" w:rsidP="001F4DFB">
      <w:pPr>
        <w:numPr>
          <w:ilvl w:val="1"/>
          <w:numId w:val="4"/>
        </w:numPr>
        <w:spacing w:after="120" w:line="276" w:lineRule="auto"/>
        <w:ind w:left="567" w:hanging="567"/>
        <w:jc w:val="both"/>
        <w:rPr>
          <w:rFonts w:eastAsia="Calibri" w:cs="Arial"/>
          <w:b/>
          <w:sz w:val="22"/>
          <w:szCs w:val="22"/>
        </w:rPr>
      </w:pPr>
      <w:r w:rsidRPr="00FF061A">
        <w:rPr>
          <w:rFonts w:eastAsia="Calibri" w:cs="Arial"/>
          <w:b/>
          <w:sz w:val="22"/>
          <w:szCs w:val="22"/>
        </w:rPr>
        <w:t>Resource AME</w:t>
      </w:r>
    </w:p>
    <w:p w:rsidR="004F64C1" w:rsidP="004F64C1">
      <w:pPr>
        <w:ind w:left="567"/>
        <w:jc w:val="both"/>
        <w:rPr>
          <w:rFonts w:eastAsiaTheme="minorHAnsi" w:cs="Arial"/>
          <w:sz w:val="22"/>
          <w:szCs w:val="22"/>
          <w:lang w:eastAsia="en-US"/>
        </w:rPr>
      </w:pPr>
      <w:r w:rsidRPr="00565172">
        <w:rPr>
          <w:rFonts w:eastAsia="Calibri" w:cs="Arial"/>
          <w:sz w:val="22"/>
          <w:szCs w:val="22"/>
        </w:rPr>
        <w:t>The table below shows how DHSC’s 2021</w:t>
      </w:r>
      <w:r>
        <w:rPr>
          <w:rFonts w:eastAsia="Calibri" w:cs="Arial"/>
          <w:sz w:val="22"/>
          <w:szCs w:val="22"/>
        </w:rPr>
        <w:t>-22</w:t>
      </w:r>
      <w:r w:rsidRPr="00565172">
        <w:rPr>
          <w:rFonts w:eastAsia="Calibri" w:cs="Arial"/>
          <w:sz w:val="22"/>
          <w:szCs w:val="22"/>
        </w:rPr>
        <w:t xml:space="preserve"> </w:t>
      </w:r>
      <w:r>
        <w:rPr>
          <w:rFonts w:eastAsia="Calibri" w:cs="Arial"/>
          <w:sz w:val="22"/>
          <w:szCs w:val="22"/>
        </w:rPr>
        <w:t>Main</w:t>
      </w:r>
      <w:r w:rsidRPr="00565172">
        <w:rPr>
          <w:rFonts w:eastAsia="Calibri" w:cs="Arial"/>
          <w:sz w:val="22"/>
          <w:szCs w:val="22"/>
        </w:rPr>
        <w:t xml:space="preserve"> Estimate spending plans for Resource AME compare with the </w:t>
      </w:r>
      <w:r>
        <w:rPr>
          <w:rFonts w:eastAsia="Calibri" w:cs="Arial"/>
          <w:sz w:val="22"/>
          <w:szCs w:val="22"/>
        </w:rPr>
        <w:t>2020-21 Supplementary</w:t>
      </w:r>
      <w:r w:rsidRPr="00565172">
        <w:rPr>
          <w:rFonts w:eastAsia="Calibri" w:cs="Arial"/>
          <w:sz w:val="22"/>
          <w:szCs w:val="22"/>
        </w:rPr>
        <w:t xml:space="preserve"> Estimate. It should be noted that </w:t>
      </w:r>
      <w:r w:rsidRPr="00565172">
        <w:rPr>
          <w:rFonts w:eastAsiaTheme="minorHAnsi" w:cs="Arial"/>
          <w:sz w:val="22"/>
          <w:szCs w:val="22"/>
          <w:lang w:eastAsia="en-US"/>
        </w:rPr>
        <w:t>DHSC’s AME relates to provisions and impairments, which have no immediate impact on the fiscal framework</w:t>
      </w:r>
      <w:r w:rsidR="009D3264">
        <w:rPr>
          <w:rFonts w:eastAsiaTheme="minorHAnsi" w:cs="Arial"/>
          <w:sz w:val="22"/>
          <w:szCs w:val="22"/>
          <w:lang w:eastAsia="en-US"/>
        </w:rPr>
        <w:t>.</w:t>
      </w:r>
      <w:r w:rsidRPr="00565172">
        <w:rPr>
          <w:rFonts w:eastAsiaTheme="minorHAnsi" w:cs="Arial"/>
          <w:sz w:val="22"/>
          <w:szCs w:val="22"/>
          <w:lang w:eastAsia="en-US"/>
        </w:rPr>
        <w:t xml:space="preserve"> </w:t>
      </w:r>
    </w:p>
    <w:p w:rsidR="004F64C1" w:rsidP="004F64C1">
      <w:pPr>
        <w:ind w:left="567"/>
        <w:jc w:val="both"/>
        <w:rPr>
          <w:rFonts w:eastAsiaTheme="minorHAnsi" w:cs="Arial"/>
          <w:sz w:val="22"/>
          <w:szCs w:val="22"/>
          <w:lang w:eastAsia="en-US"/>
        </w:rPr>
      </w:pPr>
    </w:p>
    <w:tbl>
      <w:tblPr>
        <w:tblW w:w="5000" w:type="pct"/>
        <w:tblLook w:val="04A0"/>
      </w:tblPr>
      <w:tblGrid>
        <w:gridCol w:w="1147"/>
        <w:gridCol w:w="3444"/>
        <w:gridCol w:w="1662"/>
        <w:gridCol w:w="1582"/>
        <w:gridCol w:w="1220"/>
        <w:gridCol w:w="1001"/>
        <w:gridCol w:w="706"/>
      </w:tblGrid>
      <w:tr w:rsidTr="002805C6">
        <w:tblPrEx>
          <w:tblW w:w="5000" w:type="pct"/>
          <w:tblLook w:val="04A0"/>
        </w:tblPrEx>
        <w:trPr>
          <w:trHeight w:val="300"/>
        </w:trPr>
        <w:tc>
          <w:tcPr>
            <w:tcW w:w="533" w:type="pct"/>
            <w:vMerge w:val="restart"/>
            <w:tcBorders>
              <w:top w:val="single" w:sz="4" w:space="0" w:color="auto"/>
              <w:left w:val="single" w:sz="4" w:space="0" w:color="auto"/>
              <w:bottom w:val="single" w:sz="4" w:space="0" w:color="auto"/>
              <w:right w:val="single" w:sz="4" w:space="0" w:color="auto"/>
            </w:tcBorders>
            <w:shd w:val="clear" w:color="000000" w:fill="333F4F"/>
            <w:noWrap/>
            <w:vAlign w:val="center"/>
            <w:hideMark/>
          </w:tcPr>
          <w:p w:rsidR="002805C6" w:rsidRPr="002805C6" w:rsidP="002805C6">
            <w:pPr>
              <w:rPr>
                <w:rFonts w:cs="Arial"/>
                <w:b/>
                <w:bCs/>
                <w:color w:val="FFFFFF"/>
                <w:sz w:val="22"/>
                <w:szCs w:val="22"/>
              </w:rPr>
            </w:pPr>
            <w:r w:rsidRPr="002805C6">
              <w:rPr>
                <w:rFonts w:cs="Arial"/>
                <w:b/>
                <w:bCs/>
                <w:color w:val="FFFFFF"/>
                <w:sz w:val="22"/>
                <w:szCs w:val="22"/>
              </w:rPr>
              <w:t>Subhead</w:t>
            </w:r>
          </w:p>
        </w:tc>
        <w:tc>
          <w:tcPr>
            <w:tcW w:w="1600" w:type="pct"/>
            <w:vMerge w:val="restart"/>
            <w:tcBorders>
              <w:top w:val="single" w:sz="4" w:space="0" w:color="auto"/>
              <w:left w:val="single" w:sz="4" w:space="0" w:color="auto"/>
              <w:bottom w:val="single" w:sz="4" w:space="0" w:color="auto"/>
              <w:right w:val="single" w:sz="4" w:space="0" w:color="auto"/>
            </w:tcBorders>
            <w:shd w:val="clear" w:color="000000" w:fill="333F4F"/>
            <w:noWrap/>
            <w:vAlign w:val="center"/>
            <w:hideMark/>
          </w:tcPr>
          <w:p w:rsidR="002805C6" w:rsidRPr="002805C6" w:rsidP="002805C6">
            <w:pPr>
              <w:rPr>
                <w:rFonts w:cs="Arial"/>
                <w:b/>
                <w:bCs/>
                <w:color w:val="FFFFFF"/>
                <w:sz w:val="22"/>
                <w:szCs w:val="22"/>
              </w:rPr>
            </w:pPr>
            <w:r w:rsidRPr="002805C6">
              <w:rPr>
                <w:rFonts w:cs="Arial"/>
                <w:b/>
                <w:bCs/>
                <w:color w:val="FFFFFF"/>
                <w:sz w:val="22"/>
                <w:szCs w:val="22"/>
              </w:rPr>
              <w:t>Description</w:t>
            </w:r>
          </w:p>
        </w:tc>
        <w:tc>
          <w:tcPr>
            <w:tcW w:w="2539" w:type="pct"/>
            <w:gridSpan w:val="4"/>
            <w:tcBorders>
              <w:top w:val="single" w:sz="4" w:space="0" w:color="auto"/>
              <w:left w:val="nil"/>
              <w:bottom w:val="single" w:sz="4" w:space="0" w:color="auto"/>
              <w:right w:val="single" w:sz="4" w:space="0" w:color="auto"/>
            </w:tcBorders>
            <w:shd w:val="clear" w:color="000000" w:fill="333F4F"/>
            <w:noWrap/>
            <w:vAlign w:val="bottom"/>
            <w:hideMark/>
          </w:tcPr>
          <w:p w:rsidR="002805C6" w:rsidRPr="002805C6" w:rsidP="002805C6">
            <w:pPr>
              <w:jc w:val="center"/>
              <w:rPr>
                <w:rFonts w:cs="Arial"/>
                <w:b/>
                <w:bCs/>
                <w:color w:val="FFFFFF"/>
                <w:sz w:val="22"/>
                <w:szCs w:val="22"/>
              </w:rPr>
            </w:pPr>
            <w:r w:rsidRPr="002805C6">
              <w:rPr>
                <w:rFonts w:cs="Arial"/>
                <w:b/>
                <w:bCs/>
                <w:color w:val="FFFFFF"/>
                <w:sz w:val="22"/>
                <w:szCs w:val="22"/>
              </w:rPr>
              <w:t>Resource</w:t>
            </w:r>
          </w:p>
        </w:tc>
        <w:tc>
          <w:tcPr>
            <w:tcW w:w="328" w:type="pct"/>
            <w:tcBorders>
              <w:top w:val="single" w:sz="4" w:space="0" w:color="auto"/>
              <w:left w:val="nil"/>
              <w:bottom w:val="single" w:sz="4" w:space="0" w:color="auto"/>
              <w:right w:val="single" w:sz="4" w:space="0" w:color="auto"/>
            </w:tcBorders>
            <w:shd w:val="clear" w:color="000000" w:fill="333F4F"/>
            <w:noWrap/>
            <w:vAlign w:val="bottom"/>
            <w:hideMark/>
          </w:tcPr>
          <w:p w:rsidR="002805C6" w:rsidRPr="002805C6" w:rsidP="002805C6">
            <w:pPr>
              <w:jc w:val="center"/>
              <w:rPr>
                <w:rFonts w:cs="Arial"/>
                <w:b/>
                <w:bCs/>
                <w:color w:val="FFFFFF"/>
                <w:sz w:val="22"/>
                <w:szCs w:val="22"/>
              </w:rPr>
            </w:pPr>
            <w:r w:rsidRPr="002805C6">
              <w:rPr>
                <w:rFonts w:cs="Arial"/>
                <w:b/>
                <w:bCs/>
                <w:color w:val="FFFFFF"/>
                <w:sz w:val="22"/>
                <w:szCs w:val="22"/>
              </w:rPr>
              <w:t> </w:t>
            </w:r>
          </w:p>
        </w:tc>
      </w:tr>
      <w:tr w:rsidTr="002805C6">
        <w:tblPrEx>
          <w:tblW w:w="5000" w:type="pct"/>
          <w:tblLook w:val="04A0"/>
        </w:tblPrEx>
        <w:trPr>
          <w:trHeight w:val="1500"/>
        </w:trPr>
        <w:tc>
          <w:tcPr>
            <w:tcW w:w="533" w:type="pct"/>
            <w:vMerge/>
            <w:tcBorders>
              <w:top w:val="single" w:sz="4" w:space="0" w:color="auto"/>
              <w:left w:val="single" w:sz="4" w:space="0" w:color="auto"/>
              <w:bottom w:val="single" w:sz="4" w:space="0" w:color="auto"/>
              <w:right w:val="single" w:sz="4" w:space="0" w:color="auto"/>
            </w:tcBorders>
            <w:vAlign w:val="center"/>
            <w:hideMark/>
          </w:tcPr>
          <w:p w:rsidR="002805C6" w:rsidRPr="002805C6" w:rsidP="002805C6">
            <w:pPr>
              <w:rPr>
                <w:rFonts w:cs="Arial"/>
                <w:b/>
                <w:bCs/>
                <w:color w:val="FFFFFF"/>
                <w:sz w:val="22"/>
                <w:szCs w:val="22"/>
              </w:rPr>
            </w:pPr>
          </w:p>
        </w:tc>
        <w:tc>
          <w:tcPr>
            <w:tcW w:w="1600" w:type="pct"/>
            <w:vMerge/>
            <w:tcBorders>
              <w:top w:val="single" w:sz="4" w:space="0" w:color="auto"/>
              <w:left w:val="single" w:sz="4" w:space="0" w:color="auto"/>
              <w:bottom w:val="single" w:sz="4" w:space="0" w:color="auto"/>
              <w:right w:val="single" w:sz="4" w:space="0" w:color="auto"/>
            </w:tcBorders>
            <w:vAlign w:val="center"/>
            <w:hideMark/>
          </w:tcPr>
          <w:p w:rsidR="002805C6" w:rsidRPr="002805C6" w:rsidP="002805C6">
            <w:pPr>
              <w:rPr>
                <w:rFonts w:cs="Arial"/>
                <w:b/>
                <w:bCs/>
                <w:color w:val="FFFFFF"/>
                <w:sz w:val="22"/>
                <w:szCs w:val="22"/>
              </w:rPr>
            </w:pPr>
          </w:p>
        </w:tc>
        <w:tc>
          <w:tcPr>
            <w:tcW w:w="772" w:type="pct"/>
            <w:tcBorders>
              <w:top w:val="nil"/>
              <w:left w:val="nil"/>
              <w:bottom w:val="single" w:sz="4" w:space="0" w:color="auto"/>
              <w:right w:val="single" w:sz="4" w:space="0" w:color="auto"/>
            </w:tcBorders>
            <w:shd w:val="clear" w:color="000000" w:fill="333F4F"/>
            <w:vAlign w:val="center"/>
            <w:hideMark/>
          </w:tcPr>
          <w:p w:rsidR="002805C6" w:rsidRPr="002805C6" w:rsidP="002805C6">
            <w:pPr>
              <w:jc w:val="right"/>
              <w:rPr>
                <w:rFonts w:cs="Arial"/>
                <w:b/>
                <w:bCs/>
                <w:color w:val="FFFFFF"/>
                <w:sz w:val="22"/>
                <w:szCs w:val="22"/>
              </w:rPr>
            </w:pPr>
            <w:r w:rsidRPr="002805C6">
              <w:rPr>
                <w:rFonts w:cs="Arial"/>
                <w:b/>
                <w:bCs/>
                <w:color w:val="FFFFFF"/>
                <w:sz w:val="22"/>
                <w:szCs w:val="22"/>
              </w:rPr>
              <w:t>2022-23 Main Estimate</w:t>
            </w:r>
          </w:p>
        </w:tc>
        <w:tc>
          <w:tcPr>
            <w:tcW w:w="735" w:type="pct"/>
            <w:tcBorders>
              <w:top w:val="nil"/>
              <w:left w:val="nil"/>
              <w:bottom w:val="single" w:sz="4" w:space="0" w:color="auto"/>
              <w:right w:val="single" w:sz="4" w:space="0" w:color="auto"/>
            </w:tcBorders>
            <w:shd w:val="clear" w:color="000000" w:fill="333F4F"/>
            <w:vAlign w:val="center"/>
            <w:hideMark/>
          </w:tcPr>
          <w:p w:rsidR="002805C6" w:rsidRPr="002805C6" w:rsidP="002805C6">
            <w:pPr>
              <w:jc w:val="right"/>
              <w:rPr>
                <w:rFonts w:cs="Arial"/>
                <w:b/>
                <w:bCs/>
                <w:color w:val="FFFFFF"/>
                <w:sz w:val="22"/>
                <w:szCs w:val="22"/>
              </w:rPr>
            </w:pPr>
            <w:r w:rsidRPr="002805C6">
              <w:rPr>
                <w:rFonts w:cs="Arial"/>
                <w:b/>
                <w:bCs/>
                <w:color w:val="FFFFFF"/>
                <w:sz w:val="22"/>
                <w:szCs w:val="22"/>
              </w:rPr>
              <w:t>2021-22 SSE</w:t>
            </w:r>
          </w:p>
        </w:tc>
        <w:tc>
          <w:tcPr>
            <w:tcW w:w="1032" w:type="pct"/>
            <w:gridSpan w:val="2"/>
            <w:tcBorders>
              <w:top w:val="single" w:sz="4" w:space="0" w:color="auto"/>
              <w:left w:val="nil"/>
              <w:bottom w:val="single" w:sz="4" w:space="0" w:color="auto"/>
              <w:right w:val="single" w:sz="4" w:space="0" w:color="000000"/>
            </w:tcBorders>
            <w:shd w:val="clear" w:color="000000" w:fill="333F4F"/>
            <w:vAlign w:val="center"/>
            <w:hideMark/>
          </w:tcPr>
          <w:p w:rsidR="002805C6" w:rsidRPr="002805C6" w:rsidP="002805C6">
            <w:pPr>
              <w:jc w:val="center"/>
              <w:rPr>
                <w:rFonts w:cs="Arial"/>
                <w:b/>
                <w:bCs/>
                <w:color w:val="FFFFFF"/>
                <w:sz w:val="22"/>
                <w:szCs w:val="22"/>
              </w:rPr>
            </w:pPr>
            <w:r w:rsidRPr="002805C6">
              <w:rPr>
                <w:rFonts w:cs="Arial"/>
                <w:b/>
                <w:bCs/>
                <w:color w:val="FFFFFF"/>
                <w:sz w:val="22"/>
                <w:szCs w:val="22"/>
              </w:rPr>
              <w:t>Change from</w:t>
            </w:r>
            <w:r w:rsidRPr="002805C6">
              <w:rPr>
                <w:rFonts w:cs="Arial"/>
                <w:b/>
                <w:bCs/>
                <w:color w:val="FFFFFF"/>
                <w:sz w:val="22"/>
                <w:szCs w:val="22"/>
              </w:rPr>
              <w:br/>
              <w:t>2021-22 SSE</w:t>
            </w:r>
          </w:p>
        </w:tc>
        <w:tc>
          <w:tcPr>
            <w:tcW w:w="328" w:type="pct"/>
            <w:tcBorders>
              <w:top w:val="nil"/>
              <w:left w:val="nil"/>
              <w:bottom w:val="single" w:sz="4" w:space="0" w:color="auto"/>
              <w:right w:val="single" w:sz="4" w:space="0" w:color="auto"/>
            </w:tcBorders>
            <w:shd w:val="clear" w:color="000000" w:fill="333F4F"/>
            <w:vAlign w:val="center"/>
            <w:hideMark/>
          </w:tcPr>
          <w:p w:rsidR="002805C6" w:rsidRPr="002805C6" w:rsidP="002805C6">
            <w:pPr>
              <w:jc w:val="center"/>
              <w:rPr>
                <w:rFonts w:cs="Arial"/>
                <w:b/>
                <w:bCs/>
                <w:color w:val="FFFFFF"/>
                <w:sz w:val="22"/>
                <w:szCs w:val="22"/>
              </w:rPr>
            </w:pPr>
            <w:r w:rsidRPr="002805C6">
              <w:rPr>
                <w:rFonts w:cs="Arial"/>
                <w:b/>
                <w:bCs/>
                <w:color w:val="FFFFFF"/>
                <w:sz w:val="22"/>
                <w:szCs w:val="22"/>
              </w:rPr>
              <w:t>See Note 2.3</w:t>
            </w:r>
          </w:p>
        </w:tc>
      </w:tr>
      <w:tr w:rsidTr="002805C6">
        <w:tblPrEx>
          <w:tblW w:w="5000" w:type="pct"/>
          <w:tblLook w:val="04A0"/>
        </w:tblPrEx>
        <w:trPr>
          <w:trHeight w:val="300"/>
        </w:trPr>
        <w:tc>
          <w:tcPr>
            <w:tcW w:w="533" w:type="pct"/>
            <w:vMerge/>
            <w:tcBorders>
              <w:top w:val="single" w:sz="4" w:space="0" w:color="auto"/>
              <w:left w:val="single" w:sz="4" w:space="0" w:color="auto"/>
              <w:bottom w:val="single" w:sz="4" w:space="0" w:color="auto"/>
              <w:right w:val="single" w:sz="4" w:space="0" w:color="auto"/>
            </w:tcBorders>
            <w:vAlign w:val="center"/>
            <w:hideMark/>
          </w:tcPr>
          <w:p w:rsidR="002805C6" w:rsidRPr="002805C6" w:rsidP="002805C6">
            <w:pPr>
              <w:rPr>
                <w:rFonts w:cs="Arial"/>
                <w:b/>
                <w:bCs/>
                <w:color w:val="FFFFFF"/>
                <w:sz w:val="22"/>
                <w:szCs w:val="22"/>
              </w:rPr>
            </w:pPr>
          </w:p>
        </w:tc>
        <w:tc>
          <w:tcPr>
            <w:tcW w:w="1600" w:type="pct"/>
            <w:vMerge/>
            <w:tcBorders>
              <w:top w:val="single" w:sz="4" w:space="0" w:color="auto"/>
              <w:left w:val="single" w:sz="4" w:space="0" w:color="auto"/>
              <w:bottom w:val="single" w:sz="4" w:space="0" w:color="auto"/>
              <w:right w:val="single" w:sz="4" w:space="0" w:color="auto"/>
            </w:tcBorders>
            <w:vAlign w:val="center"/>
            <w:hideMark/>
          </w:tcPr>
          <w:p w:rsidR="002805C6" w:rsidRPr="002805C6" w:rsidP="002805C6">
            <w:pPr>
              <w:rPr>
                <w:rFonts w:cs="Arial"/>
                <w:b/>
                <w:bCs/>
                <w:color w:val="FFFFFF"/>
                <w:sz w:val="22"/>
                <w:szCs w:val="22"/>
              </w:rPr>
            </w:pPr>
          </w:p>
        </w:tc>
        <w:tc>
          <w:tcPr>
            <w:tcW w:w="772" w:type="pct"/>
            <w:tcBorders>
              <w:top w:val="nil"/>
              <w:left w:val="nil"/>
              <w:bottom w:val="single" w:sz="4" w:space="0" w:color="auto"/>
              <w:right w:val="single" w:sz="4" w:space="0" w:color="auto"/>
            </w:tcBorders>
            <w:shd w:val="clear" w:color="000000" w:fill="333F4F"/>
            <w:noWrap/>
            <w:vAlign w:val="bottom"/>
            <w:hideMark/>
          </w:tcPr>
          <w:p w:rsidR="002805C6" w:rsidRPr="002805C6" w:rsidP="002805C6">
            <w:pPr>
              <w:jc w:val="right"/>
              <w:rPr>
                <w:rFonts w:cs="Arial"/>
                <w:b/>
                <w:bCs/>
                <w:color w:val="FFFFFF"/>
                <w:sz w:val="22"/>
                <w:szCs w:val="22"/>
              </w:rPr>
            </w:pPr>
            <w:r w:rsidRPr="002805C6">
              <w:rPr>
                <w:rFonts w:cs="Arial"/>
                <w:b/>
                <w:bCs/>
                <w:color w:val="FFFFFF"/>
                <w:sz w:val="22"/>
                <w:szCs w:val="22"/>
              </w:rPr>
              <w:t>£m</w:t>
            </w:r>
          </w:p>
        </w:tc>
        <w:tc>
          <w:tcPr>
            <w:tcW w:w="735" w:type="pct"/>
            <w:tcBorders>
              <w:top w:val="nil"/>
              <w:left w:val="nil"/>
              <w:bottom w:val="single" w:sz="4" w:space="0" w:color="auto"/>
              <w:right w:val="single" w:sz="4" w:space="0" w:color="auto"/>
            </w:tcBorders>
            <w:shd w:val="clear" w:color="000000" w:fill="333F4F"/>
            <w:noWrap/>
            <w:vAlign w:val="bottom"/>
            <w:hideMark/>
          </w:tcPr>
          <w:p w:rsidR="002805C6" w:rsidRPr="002805C6" w:rsidP="002805C6">
            <w:pPr>
              <w:jc w:val="right"/>
              <w:rPr>
                <w:rFonts w:cs="Arial"/>
                <w:b/>
                <w:bCs/>
                <w:color w:val="FFFFFF"/>
                <w:sz w:val="22"/>
                <w:szCs w:val="22"/>
              </w:rPr>
            </w:pPr>
            <w:r w:rsidRPr="002805C6">
              <w:rPr>
                <w:rFonts w:cs="Arial"/>
                <w:b/>
                <w:bCs/>
                <w:color w:val="FFFFFF"/>
                <w:sz w:val="22"/>
                <w:szCs w:val="22"/>
              </w:rPr>
              <w:t>£m</w:t>
            </w:r>
          </w:p>
        </w:tc>
        <w:tc>
          <w:tcPr>
            <w:tcW w:w="567" w:type="pct"/>
            <w:tcBorders>
              <w:top w:val="nil"/>
              <w:left w:val="nil"/>
              <w:bottom w:val="single" w:sz="4" w:space="0" w:color="auto"/>
              <w:right w:val="single" w:sz="4" w:space="0" w:color="auto"/>
            </w:tcBorders>
            <w:shd w:val="clear" w:color="000000" w:fill="333F4F"/>
            <w:noWrap/>
            <w:vAlign w:val="bottom"/>
            <w:hideMark/>
          </w:tcPr>
          <w:p w:rsidR="002805C6" w:rsidRPr="002805C6" w:rsidP="002805C6">
            <w:pPr>
              <w:jc w:val="right"/>
              <w:rPr>
                <w:rFonts w:cs="Arial"/>
                <w:b/>
                <w:bCs/>
                <w:color w:val="FFFFFF"/>
                <w:sz w:val="22"/>
                <w:szCs w:val="22"/>
              </w:rPr>
            </w:pPr>
            <w:r w:rsidRPr="002805C6">
              <w:rPr>
                <w:rFonts w:cs="Arial"/>
                <w:b/>
                <w:bCs/>
                <w:color w:val="FFFFFF"/>
                <w:sz w:val="22"/>
                <w:szCs w:val="22"/>
              </w:rPr>
              <w:t>£m</w:t>
            </w:r>
          </w:p>
        </w:tc>
        <w:tc>
          <w:tcPr>
            <w:tcW w:w="465" w:type="pct"/>
            <w:tcBorders>
              <w:top w:val="nil"/>
              <w:left w:val="nil"/>
              <w:bottom w:val="single" w:sz="4" w:space="0" w:color="auto"/>
              <w:right w:val="single" w:sz="4" w:space="0" w:color="auto"/>
            </w:tcBorders>
            <w:shd w:val="clear" w:color="000000" w:fill="333F4F"/>
            <w:noWrap/>
            <w:vAlign w:val="bottom"/>
            <w:hideMark/>
          </w:tcPr>
          <w:p w:rsidR="002805C6" w:rsidRPr="002805C6" w:rsidP="002805C6">
            <w:pPr>
              <w:jc w:val="right"/>
              <w:rPr>
                <w:rFonts w:cs="Arial"/>
                <w:b/>
                <w:bCs/>
                <w:color w:val="FFFFFF"/>
                <w:sz w:val="22"/>
                <w:szCs w:val="22"/>
              </w:rPr>
            </w:pPr>
            <w:r w:rsidRPr="002805C6">
              <w:rPr>
                <w:rFonts w:cs="Arial"/>
                <w:b/>
                <w:bCs/>
                <w:color w:val="FFFFFF"/>
                <w:sz w:val="22"/>
                <w:szCs w:val="22"/>
              </w:rPr>
              <w:t>%</w:t>
            </w:r>
          </w:p>
        </w:tc>
        <w:tc>
          <w:tcPr>
            <w:tcW w:w="328" w:type="pct"/>
            <w:tcBorders>
              <w:top w:val="nil"/>
              <w:left w:val="nil"/>
              <w:bottom w:val="single" w:sz="4" w:space="0" w:color="auto"/>
              <w:right w:val="single" w:sz="4" w:space="0" w:color="auto"/>
            </w:tcBorders>
            <w:shd w:val="clear" w:color="000000" w:fill="333F4F"/>
            <w:noWrap/>
            <w:vAlign w:val="bottom"/>
            <w:hideMark/>
          </w:tcPr>
          <w:p w:rsidR="002805C6" w:rsidRPr="002805C6" w:rsidP="002805C6">
            <w:pPr>
              <w:jc w:val="center"/>
              <w:rPr>
                <w:rFonts w:cs="Arial"/>
                <w:b/>
                <w:bCs/>
                <w:color w:val="FFFFFF"/>
                <w:sz w:val="22"/>
                <w:szCs w:val="22"/>
              </w:rPr>
            </w:pPr>
            <w:r w:rsidRPr="002805C6">
              <w:rPr>
                <w:rFonts w:cs="Arial"/>
                <w:b/>
                <w:bCs/>
                <w:color w:val="FFFFFF"/>
                <w:sz w:val="22"/>
                <w:szCs w:val="22"/>
              </w:rPr>
              <w:t> </w:t>
            </w:r>
          </w:p>
        </w:tc>
      </w:tr>
      <w:tr w:rsidTr="002805C6">
        <w:tblPrEx>
          <w:tblW w:w="5000" w:type="pct"/>
          <w:tblLook w:val="04A0"/>
        </w:tblPrEx>
        <w:trPr>
          <w:trHeight w:val="855"/>
        </w:trPr>
        <w:tc>
          <w:tcPr>
            <w:tcW w:w="533" w:type="pct"/>
            <w:tcBorders>
              <w:top w:val="nil"/>
              <w:left w:val="single" w:sz="4" w:space="0" w:color="auto"/>
              <w:bottom w:val="single" w:sz="4" w:space="0" w:color="auto"/>
              <w:right w:val="single" w:sz="4" w:space="0" w:color="auto"/>
            </w:tcBorders>
            <w:shd w:val="clear" w:color="auto" w:fill="auto"/>
            <w:vAlign w:val="center"/>
            <w:hideMark/>
          </w:tcPr>
          <w:p w:rsidR="002805C6" w:rsidRPr="002805C6" w:rsidP="002805C6">
            <w:pPr>
              <w:jc w:val="center"/>
              <w:rPr>
                <w:rFonts w:cs="Arial"/>
                <w:color w:val="000000"/>
                <w:sz w:val="22"/>
                <w:szCs w:val="22"/>
              </w:rPr>
            </w:pPr>
            <w:r w:rsidRPr="002805C6">
              <w:rPr>
                <w:rFonts w:cs="Arial"/>
                <w:color w:val="000000"/>
                <w:sz w:val="22"/>
                <w:szCs w:val="22"/>
              </w:rPr>
              <w:t>K</w:t>
            </w:r>
          </w:p>
        </w:tc>
        <w:tc>
          <w:tcPr>
            <w:tcW w:w="1600" w:type="pct"/>
            <w:tcBorders>
              <w:top w:val="nil"/>
              <w:left w:val="nil"/>
              <w:bottom w:val="single" w:sz="4" w:space="0" w:color="auto"/>
              <w:right w:val="single" w:sz="4" w:space="0" w:color="auto"/>
            </w:tcBorders>
            <w:shd w:val="clear" w:color="auto" w:fill="auto"/>
            <w:vAlign w:val="center"/>
            <w:hideMark/>
          </w:tcPr>
          <w:p w:rsidR="002805C6" w:rsidRPr="002805C6" w:rsidP="002805C6">
            <w:pPr>
              <w:rPr>
                <w:rFonts w:cs="Arial"/>
                <w:color w:val="000000"/>
                <w:sz w:val="22"/>
                <w:szCs w:val="22"/>
              </w:rPr>
            </w:pPr>
            <w:r w:rsidRPr="002805C6">
              <w:rPr>
                <w:rFonts w:cs="Arial"/>
                <w:color w:val="000000"/>
                <w:sz w:val="22"/>
                <w:szCs w:val="22"/>
              </w:rPr>
              <w:t>NHS Commissioning Board (known as NHS England) net expenditure</w:t>
            </w:r>
          </w:p>
        </w:tc>
        <w:tc>
          <w:tcPr>
            <w:tcW w:w="772" w:type="pct"/>
            <w:tcBorders>
              <w:top w:val="nil"/>
              <w:left w:val="nil"/>
              <w:bottom w:val="single" w:sz="4" w:space="0" w:color="auto"/>
              <w:right w:val="single" w:sz="4" w:space="0" w:color="auto"/>
            </w:tcBorders>
            <w:shd w:val="clear" w:color="auto" w:fill="auto"/>
            <w:vAlign w:val="center"/>
            <w:hideMark/>
          </w:tcPr>
          <w:p w:rsidR="002805C6" w:rsidRPr="002805C6" w:rsidP="002805C6">
            <w:pPr>
              <w:jc w:val="right"/>
              <w:rPr>
                <w:rFonts w:cs="Arial"/>
                <w:color w:val="000000"/>
                <w:sz w:val="22"/>
                <w:szCs w:val="22"/>
              </w:rPr>
            </w:pPr>
            <w:r w:rsidRPr="002805C6">
              <w:rPr>
                <w:rFonts w:cs="Arial"/>
                <w:color w:val="000000"/>
                <w:sz w:val="22"/>
                <w:szCs w:val="22"/>
              </w:rPr>
              <w:t>250.0</w:t>
            </w:r>
          </w:p>
        </w:tc>
        <w:tc>
          <w:tcPr>
            <w:tcW w:w="735" w:type="pct"/>
            <w:tcBorders>
              <w:top w:val="nil"/>
              <w:left w:val="nil"/>
              <w:bottom w:val="single" w:sz="4" w:space="0" w:color="auto"/>
              <w:right w:val="single" w:sz="4" w:space="0" w:color="auto"/>
            </w:tcBorders>
            <w:shd w:val="clear" w:color="auto" w:fill="auto"/>
            <w:vAlign w:val="center"/>
            <w:hideMark/>
          </w:tcPr>
          <w:p w:rsidR="002805C6" w:rsidRPr="002805C6" w:rsidP="002805C6">
            <w:pPr>
              <w:jc w:val="right"/>
              <w:rPr>
                <w:rFonts w:cs="Arial"/>
                <w:color w:val="000000"/>
                <w:sz w:val="22"/>
                <w:szCs w:val="22"/>
              </w:rPr>
            </w:pPr>
            <w:r w:rsidRPr="002805C6">
              <w:rPr>
                <w:rFonts w:cs="Arial"/>
                <w:color w:val="000000"/>
                <w:sz w:val="22"/>
                <w:szCs w:val="22"/>
              </w:rPr>
              <w:t>150.0</w:t>
            </w:r>
          </w:p>
        </w:tc>
        <w:tc>
          <w:tcPr>
            <w:tcW w:w="567" w:type="pct"/>
            <w:tcBorders>
              <w:top w:val="nil"/>
              <w:left w:val="nil"/>
              <w:bottom w:val="single" w:sz="4" w:space="0" w:color="auto"/>
              <w:right w:val="single" w:sz="4" w:space="0" w:color="auto"/>
            </w:tcBorders>
            <w:shd w:val="clear" w:color="auto" w:fill="auto"/>
            <w:vAlign w:val="center"/>
            <w:hideMark/>
          </w:tcPr>
          <w:p w:rsidR="002805C6" w:rsidRPr="002805C6" w:rsidP="002805C6">
            <w:pPr>
              <w:jc w:val="right"/>
              <w:rPr>
                <w:rFonts w:cs="Arial"/>
                <w:color w:val="000000"/>
                <w:sz w:val="22"/>
                <w:szCs w:val="22"/>
              </w:rPr>
            </w:pPr>
            <w:r w:rsidRPr="002805C6">
              <w:rPr>
                <w:rFonts w:cs="Arial"/>
                <w:color w:val="000000"/>
                <w:sz w:val="22"/>
                <w:szCs w:val="22"/>
              </w:rPr>
              <w:t>100.0</w:t>
            </w:r>
          </w:p>
        </w:tc>
        <w:tc>
          <w:tcPr>
            <w:tcW w:w="465" w:type="pct"/>
            <w:tcBorders>
              <w:top w:val="nil"/>
              <w:left w:val="nil"/>
              <w:bottom w:val="single" w:sz="4" w:space="0" w:color="auto"/>
              <w:right w:val="single" w:sz="4" w:space="0" w:color="auto"/>
            </w:tcBorders>
            <w:shd w:val="clear" w:color="auto" w:fill="auto"/>
            <w:vAlign w:val="center"/>
            <w:hideMark/>
          </w:tcPr>
          <w:p w:rsidR="002805C6" w:rsidRPr="002805C6" w:rsidP="002805C6">
            <w:pPr>
              <w:jc w:val="right"/>
              <w:rPr>
                <w:rFonts w:cs="Arial"/>
                <w:color w:val="000000"/>
                <w:sz w:val="22"/>
                <w:szCs w:val="22"/>
              </w:rPr>
            </w:pPr>
            <w:r w:rsidRPr="002805C6">
              <w:rPr>
                <w:rFonts w:cs="Arial"/>
                <w:color w:val="000000"/>
                <w:sz w:val="22"/>
                <w:szCs w:val="22"/>
              </w:rPr>
              <w:t>67%</w:t>
            </w:r>
          </w:p>
        </w:tc>
        <w:tc>
          <w:tcPr>
            <w:tcW w:w="328" w:type="pct"/>
            <w:tcBorders>
              <w:top w:val="nil"/>
              <w:left w:val="nil"/>
              <w:bottom w:val="single" w:sz="4" w:space="0" w:color="auto"/>
              <w:right w:val="single" w:sz="4" w:space="0" w:color="auto"/>
            </w:tcBorders>
            <w:shd w:val="clear" w:color="auto" w:fill="auto"/>
            <w:vAlign w:val="center"/>
            <w:hideMark/>
          </w:tcPr>
          <w:p w:rsidR="002805C6" w:rsidRPr="002805C6" w:rsidP="002805C6">
            <w:pPr>
              <w:jc w:val="center"/>
              <w:rPr>
                <w:rFonts w:cs="Arial"/>
                <w:color w:val="000000"/>
                <w:sz w:val="22"/>
                <w:szCs w:val="22"/>
              </w:rPr>
            </w:pPr>
            <w:r w:rsidRPr="002805C6">
              <w:rPr>
                <w:rFonts w:cs="Arial"/>
                <w:color w:val="000000"/>
                <w:sz w:val="22"/>
                <w:szCs w:val="22"/>
              </w:rPr>
              <w:t> </w:t>
            </w:r>
          </w:p>
        </w:tc>
      </w:tr>
      <w:tr w:rsidTr="002805C6">
        <w:tblPrEx>
          <w:tblW w:w="5000" w:type="pct"/>
          <w:tblLook w:val="04A0"/>
        </w:tblPrEx>
        <w:trPr>
          <w:trHeight w:val="285"/>
        </w:trPr>
        <w:tc>
          <w:tcPr>
            <w:tcW w:w="533" w:type="pct"/>
            <w:tcBorders>
              <w:top w:val="nil"/>
              <w:left w:val="single" w:sz="4" w:space="0" w:color="auto"/>
              <w:bottom w:val="single" w:sz="4" w:space="0" w:color="auto"/>
              <w:right w:val="single" w:sz="4" w:space="0" w:color="auto"/>
            </w:tcBorders>
            <w:shd w:val="clear" w:color="auto" w:fill="auto"/>
            <w:vAlign w:val="center"/>
            <w:hideMark/>
          </w:tcPr>
          <w:p w:rsidR="002805C6" w:rsidRPr="002805C6" w:rsidP="002805C6">
            <w:pPr>
              <w:jc w:val="center"/>
              <w:rPr>
                <w:rFonts w:cs="Arial"/>
                <w:color w:val="000000"/>
                <w:sz w:val="22"/>
                <w:szCs w:val="22"/>
              </w:rPr>
            </w:pPr>
            <w:r w:rsidRPr="002805C6">
              <w:rPr>
                <w:rFonts w:cs="Arial"/>
                <w:color w:val="000000"/>
                <w:sz w:val="22"/>
                <w:szCs w:val="22"/>
              </w:rPr>
              <w:t>L</w:t>
            </w:r>
          </w:p>
        </w:tc>
        <w:tc>
          <w:tcPr>
            <w:tcW w:w="1600" w:type="pct"/>
            <w:tcBorders>
              <w:top w:val="nil"/>
              <w:left w:val="nil"/>
              <w:bottom w:val="single" w:sz="4" w:space="0" w:color="auto"/>
              <w:right w:val="single" w:sz="4" w:space="0" w:color="auto"/>
            </w:tcBorders>
            <w:shd w:val="clear" w:color="auto" w:fill="auto"/>
            <w:vAlign w:val="center"/>
            <w:hideMark/>
          </w:tcPr>
          <w:p w:rsidR="002805C6" w:rsidRPr="002805C6" w:rsidP="002805C6">
            <w:pPr>
              <w:rPr>
                <w:rFonts w:cs="Arial"/>
                <w:color w:val="000000"/>
                <w:sz w:val="22"/>
                <w:szCs w:val="22"/>
              </w:rPr>
            </w:pPr>
            <w:r w:rsidRPr="002805C6">
              <w:rPr>
                <w:rFonts w:cs="Arial"/>
                <w:color w:val="000000"/>
                <w:sz w:val="22"/>
                <w:szCs w:val="22"/>
              </w:rPr>
              <w:t>NHS Providers</w:t>
            </w:r>
          </w:p>
        </w:tc>
        <w:tc>
          <w:tcPr>
            <w:tcW w:w="772" w:type="pct"/>
            <w:tcBorders>
              <w:top w:val="nil"/>
              <w:left w:val="nil"/>
              <w:bottom w:val="single" w:sz="4" w:space="0" w:color="auto"/>
              <w:right w:val="single" w:sz="4" w:space="0" w:color="auto"/>
            </w:tcBorders>
            <w:shd w:val="clear" w:color="auto" w:fill="auto"/>
            <w:vAlign w:val="center"/>
            <w:hideMark/>
          </w:tcPr>
          <w:p w:rsidR="002805C6" w:rsidRPr="002805C6" w:rsidP="002805C6">
            <w:pPr>
              <w:jc w:val="right"/>
              <w:rPr>
                <w:rFonts w:cs="Arial"/>
                <w:color w:val="000000"/>
                <w:sz w:val="22"/>
                <w:szCs w:val="22"/>
              </w:rPr>
            </w:pPr>
            <w:r w:rsidRPr="002805C6">
              <w:rPr>
                <w:rFonts w:cs="Arial"/>
                <w:color w:val="000000"/>
                <w:sz w:val="22"/>
                <w:szCs w:val="22"/>
              </w:rPr>
              <w:t>2,000.0</w:t>
            </w:r>
          </w:p>
        </w:tc>
        <w:tc>
          <w:tcPr>
            <w:tcW w:w="735" w:type="pct"/>
            <w:tcBorders>
              <w:top w:val="nil"/>
              <w:left w:val="nil"/>
              <w:bottom w:val="single" w:sz="4" w:space="0" w:color="auto"/>
              <w:right w:val="single" w:sz="4" w:space="0" w:color="auto"/>
            </w:tcBorders>
            <w:shd w:val="clear" w:color="auto" w:fill="auto"/>
            <w:vAlign w:val="center"/>
            <w:hideMark/>
          </w:tcPr>
          <w:p w:rsidR="002805C6" w:rsidRPr="002805C6" w:rsidP="002805C6">
            <w:pPr>
              <w:jc w:val="right"/>
              <w:rPr>
                <w:rFonts w:cs="Arial"/>
                <w:color w:val="000000"/>
                <w:sz w:val="22"/>
                <w:szCs w:val="22"/>
              </w:rPr>
            </w:pPr>
            <w:r w:rsidRPr="002805C6">
              <w:rPr>
                <w:rFonts w:cs="Arial"/>
                <w:color w:val="000000"/>
                <w:sz w:val="22"/>
                <w:szCs w:val="22"/>
              </w:rPr>
              <w:t>2,020.0</w:t>
            </w:r>
          </w:p>
        </w:tc>
        <w:tc>
          <w:tcPr>
            <w:tcW w:w="567" w:type="pct"/>
            <w:tcBorders>
              <w:top w:val="nil"/>
              <w:left w:val="nil"/>
              <w:bottom w:val="single" w:sz="4" w:space="0" w:color="auto"/>
              <w:right w:val="single" w:sz="4" w:space="0" w:color="auto"/>
            </w:tcBorders>
            <w:shd w:val="clear" w:color="auto" w:fill="auto"/>
            <w:vAlign w:val="center"/>
            <w:hideMark/>
          </w:tcPr>
          <w:p w:rsidR="002805C6" w:rsidRPr="002805C6" w:rsidP="002805C6">
            <w:pPr>
              <w:jc w:val="right"/>
              <w:rPr>
                <w:rFonts w:cs="Arial"/>
                <w:color w:val="000000"/>
                <w:sz w:val="22"/>
                <w:szCs w:val="22"/>
              </w:rPr>
            </w:pPr>
            <w:r w:rsidRPr="002805C6">
              <w:rPr>
                <w:rFonts w:cs="Arial"/>
                <w:color w:val="FF0000"/>
                <w:sz w:val="22"/>
                <w:szCs w:val="22"/>
              </w:rPr>
              <w:t>(20.0)</w:t>
            </w:r>
          </w:p>
        </w:tc>
        <w:tc>
          <w:tcPr>
            <w:tcW w:w="46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805C6" w:rsidRPr="002805C6" w:rsidP="002805C6">
            <w:pPr>
              <w:jc w:val="right"/>
              <w:rPr>
                <w:rFonts w:cs="Arial"/>
                <w:color w:val="FF0000"/>
                <w:sz w:val="22"/>
                <w:szCs w:val="22"/>
              </w:rPr>
            </w:pPr>
            <w:r w:rsidRPr="002805C6">
              <w:rPr>
                <w:rFonts w:cs="Arial"/>
                <w:color w:val="FF0000"/>
                <w:sz w:val="22"/>
                <w:szCs w:val="22"/>
              </w:rPr>
              <w:t>-1%</w:t>
            </w:r>
          </w:p>
        </w:tc>
        <w:tc>
          <w:tcPr>
            <w:tcW w:w="328" w:type="pct"/>
            <w:tcBorders>
              <w:top w:val="nil"/>
              <w:left w:val="nil"/>
              <w:bottom w:val="single" w:sz="4" w:space="0" w:color="auto"/>
              <w:right w:val="single" w:sz="4" w:space="0" w:color="auto"/>
            </w:tcBorders>
            <w:shd w:val="clear" w:color="auto" w:fill="auto"/>
            <w:vAlign w:val="center"/>
            <w:hideMark/>
          </w:tcPr>
          <w:p w:rsidR="002805C6" w:rsidRPr="002805C6" w:rsidP="002805C6">
            <w:pPr>
              <w:jc w:val="center"/>
              <w:rPr>
                <w:rFonts w:cs="Arial"/>
                <w:color w:val="000000"/>
                <w:sz w:val="22"/>
                <w:szCs w:val="22"/>
              </w:rPr>
            </w:pPr>
            <w:r w:rsidRPr="002805C6">
              <w:rPr>
                <w:rFonts w:cs="Arial"/>
                <w:color w:val="000000"/>
                <w:sz w:val="22"/>
                <w:szCs w:val="22"/>
              </w:rPr>
              <w:t> </w:t>
            </w:r>
          </w:p>
        </w:tc>
      </w:tr>
      <w:tr w:rsidTr="002805C6">
        <w:tblPrEx>
          <w:tblW w:w="5000" w:type="pct"/>
          <w:tblLook w:val="04A0"/>
        </w:tblPrEx>
        <w:trPr>
          <w:trHeight w:val="300"/>
        </w:trPr>
        <w:tc>
          <w:tcPr>
            <w:tcW w:w="2133" w:type="pct"/>
            <w:gridSpan w:val="2"/>
            <w:tcBorders>
              <w:top w:val="single" w:sz="4" w:space="0" w:color="auto"/>
              <w:left w:val="single" w:sz="4" w:space="0" w:color="auto"/>
              <w:bottom w:val="single" w:sz="4" w:space="0" w:color="auto"/>
              <w:right w:val="nil"/>
            </w:tcBorders>
            <w:shd w:val="clear" w:color="000000" w:fill="B4C6E7"/>
            <w:vAlign w:val="center"/>
            <w:hideMark/>
          </w:tcPr>
          <w:p w:rsidR="002805C6" w:rsidRPr="002805C6" w:rsidP="002805C6">
            <w:pPr>
              <w:rPr>
                <w:rFonts w:cs="Arial"/>
                <w:b/>
                <w:bCs/>
                <w:color w:val="000000"/>
                <w:sz w:val="22"/>
                <w:szCs w:val="22"/>
              </w:rPr>
            </w:pPr>
            <w:r w:rsidRPr="002805C6">
              <w:rPr>
                <w:rFonts w:cs="Arial"/>
                <w:b/>
                <w:bCs/>
                <w:color w:val="000000"/>
                <w:sz w:val="22"/>
                <w:szCs w:val="22"/>
              </w:rPr>
              <w:t>Sub Total - NHS</w:t>
            </w:r>
          </w:p>
        </w:tc>
        <w:tc>
          <w:tcPr>
            <w:tcW w:w="772" w:type="pct"/>
            <w:tcBorders>
              <w:top w:val="nil"/>
              <w:left w:val="nil"/>
              <w:bottom w:val="single" w:sz="4" w:space="0" w:color="auto"/>
              <w:right w:val="single" w:sz="4" w:space="0" w:color="auto"/>
            </w:tcBorders>
            <w:shd w:val="clear" w:color="000000" w:fill="B4C6E7"/>
            <w:vAlign w:val="center"/>
            <w:hideMark/>
          </w:tcPr>
          <w:p w:rsidR="002805C6" w:rsidRPr="002805C6" w:rsidP="002805C6">
            <w:pPr>
              <w:jc w:val="right"/>
              <w:rPr>
                <w:rFonts w:cs="Arial"/>
                <w:b/>
                <w:bCs/>
                <w:color w:val="000000"/>
                <w:sz w:val="22"/>
                <w:szCs w:val="22"/>
              </w:rPr>
            </w:pPr>
            <w:r w:rsidRPr="002805C6">
              <w:rPr>
                <w:rFonts w:cs="Arial"/>
                <w:b/>
                <w:bCs/>
                <w:color w:val="000000"/>
                <w:sz w:val="22"/>
                <w:szCs w:val="22"/>
              </w:rPr>
              <w:t>2,250.0</w:t>
            </w:r>
          </w:p>
        </w:tc>
        <w:tc>
          <w:tcPr>
            <w:tcW w:w="735" w:type="pct"/>
            <w:tcBorders>
              <w:top w:val="nil"/>
              <w:left w:val="nil"/>
              <w:bottom w:val="single" w:sz="4" w:space="0" w:color="auto"/>
              <w:right w:val="single" w:sz="4" w:space="0" w:color="auto"/>
            </w:tcBorders>
            <w:shd w:val="clear" w:color="000000" w:fill="B4C6E7"/>
            <w:vAlign w:val="center"/>
            <w:hideMark/>
          </w:tcPr>
          <w:p w:rsidR="002805C6" w:rsidRPr="002805C6" w:rsidP="002805C6">
            <w:pPr>
              <w:jc w:val="right"/>
              <w:rPr>
                <w:rFonts w:cs="Arial"/>
                <w:b/>
                <w:bCs/>
                <w:color w:val="000000"/>
                <w:sz w:val="22"/>
                <w:szCs w:val="22"/>
              </w:rPr>
            </w:pPr>
            <w:r w:rsidRPr="002805C6">
              <w:rPr>
                <w:rFonts w:cs="Arial"/>
                <w:b/>
                <w:bCs/>
                <w:color w:val="000000"/>
                <w:sz w:val="22"/>
                <w:szCs w:val="22"/>
              </w:rPr>
              <w:t>2,170.0</w:t>
            </w:r>
          </w:p>
        </w:tc>
        <w:tc>
          <w:tcPr>
            <w:tcW w:w="567" w:type="pct"/>
            <w:tcBorders>
              <w:top w:val="nil"/>
              <w:left w:val="nil"/>
              <w:bottom w:val="single" w:sz="4" w:space="0" w:color="auto"/>
              <w:right w:val="single" w:sz="4" w:space="0" w:color="auto"/>
            </w:tcBorders>
            <w:shd w:val="clear" w:color="000000" w:fill="B4C6E7"/>
            <w:vAlign w:val="center"/>
            <w:hideMark/>
          </w:tcPr>
          <w:p w:rsidR="002805C6" w:rsidRPr="002805C6" w:rsidP="002805C6">
            <w:pPr>
              <w:jc w:val="right"/>
              <w:rPr>
                <w:rFonts w:cs="Arial"/>
                <w:b/>
                <w:bCs/>
                <w:color w:val="000000"/>
                <w:sz w:val="22"/>
                <w:szCs w:val="22"/>
              </w:rPr>
            </w:pPr>
            <w:r w:rsidRPr="002805C6">
              <w:rPr>
                <w:rFonts w:cs="Arial"/>
                <w:b/>
                <w:bCs/>
                <w:color w:val="000000"/>
                <w:sz w:val="22"/>
                <w:szCs w:val="22"/>
              </w:rPr>
              <w:t>80.0</w:t>
            </w:r>
          </w:p>
        </w:tc>
        <w:tc>
          <w:tcPr>
            <w:tcW w:w="465" w:type="pct"/>
            <w:tcBorders>
              <w:top w:val="nil"/>
              <w:left w:val="nil"/>
              <w:bottom w:val="single" w:sz="4" w:space="0" w:color="auto"/>
              <w:right w:val="single" w:sz="4" w:space="0" w:color="auto"/>
            </w:tcBorders>
            <w:shd w:val="clear" w:color="000000" w:fill="B4C6E7"/>
            <w:vAlign w:val="center"/>
            <w:hideMark/>
          </w:tcPr>
          <w:p w:rsidR="002805C6" w:rsidRPr="002805C6" w:rsidP="002805C6">
            <w:pPr>
              <w:jc w:val="right"/>
              <w:rPr>
                <w:rFonts w:cs="Arial"/>
                <w:b/>
                <w:bCs/>
                <w:color w:val="000000"/>
                <w:sz w:val="22"/>
                <w:szCs w:val="22"/>
              </w:rPr>
            </w:pPr>
            <w:r w:rsidRPr="002805C6">
              <w:rPr>
                <w:rFonts w:cs="Arial"/>
                <w:b/>
                <w:bCs/>
                <w:color w:val="000000"/>
                <w:sz w:val="22"/>
                <w:szCs w:val="22"/>
              </w:rPr>
              <w:t>4%</w:t>
            </w:r>
          </w:p>
        </w:tc>
        <w:tc>
          <w:tcPr>
            <w:tcW w:w="328" w:type="pct"/>
            <w:tcBorders>
              <w:top w:val="nil"/>
              <w:left w:val="nil"/>
              <w:bottom w:val="single" w:sz="4" w:space="0" w:color="auto"/>
              <w:right w:val="single" w:sz="4" w:space="0" w:color="auto"/>
            </w:tcBorders>
            <w:shd w:val="clear" w:color="000000" w:fill="B4C6E7"/>
            <w:vAlign w:val="center"/>
            <w:hideMark/>
          </w:tcPr>
          <w:p w:rsidR="002805C6" w:rsidRPr="002805C6" w:rsidP="002805C6">
            <w:pPr>
              <w:jc w:val="center"/>
              <w:rPr>
                <w:rFonts w:cs="Arial"/>
                <w:b/>
                <w:bCs/>
                <w:color w:val="000000"/>
                <w:sz w:val="22"/>
                <w:szCs w:val="22"/>
              </w:rPr>
            </w:pPr>
            <w:r w:rsidRPr="002805C6">
              <w:rPr>
                <w:rFonts w:cs="Arial"/>
                <w:b/>
                <w:bCs/>
                <w:color w:val="000000"/>
                <w:sz w:val="22"/>
                <w:szCs w:val="22"/>
              </w:rPr>
              <w:t>J)</w:t>
            </w:r>
          </w:p>
        </w:tc>
      </w:tr>
      <w:tr w:rsidTr="002805C6">
        <w:tblPrEx>
          <w:tblW w:w="5000" w:type="pct"/>
          <w:tblLook w:val="04A0"/>
        </w:tblPrEx>
        <w:trPr>
          <w:trHeight w:val="570"/>
        </w:trPr>
        <w:tc>
          <w:tcPr>
            <w:tcW w:w="533" w:type="pct"/>
            <w:tcBorders>
              <w:top w:val="nil"/>
              <w:left w:val="single" w:sz="4" w:space="0" w:color="auto"/>
              <w:bottom w:val="single" w:sz="4" w:space="0" w:color="auto"/>
              <w:right w:val="single" w:sz="4" w:space="0" w:color="auto"/>
            </w:tcBorders>
            <w:shd w:val="clear" w:color="auto" w:fill="auto"/>
            <w:vAlign w:val="center"/>
            <w:hideMark/>
          </w:tcPr>
          <w:p w:rsidR="002805C6" w:rsidRPr="002805C6" w:rsidP="002805C6">
            <w:pPr>
              <w:jc w:val="center"/>
              <w:rPr>
                <w:rFonts w:cs="Arial"/>
                <w:color w:val="000000"/>
                <w:sz w:val="22"/>
                <w:szCs w:val="22"/>
              </w:rPr>
            </w:pPr>
            <w:r w:rsidRPr="002805C6">
              <w:rPr>
                <w:rFonts w:cs="Arial"/>
                <w:color w:val="000000"/>
                <w:sz w:val="22"/>
                <w:szCs w:val="22"/>
              </w:rPr>
              <w:t>M</w:t>
            </w:r>
          </w:p>
        </w:tc>
        <w:tc>
          <w:tcPr>
            <w:tcW w:w="1600" w:type="pct"/>
            <w:tcBorders>
              <w:top w:val="nil"/>
              <w:left w:val="nil"/>
              <w:bottom w:val="nil"/>
              <w:right w:val="single" w:sz="4" w:space="0" w:color="auto"/>
            </w:tcBorders>
            <w:shd w:val="clear" w:color="auto" w:fill="auto"/>
            <w:vAlign w:val="center"/>
            <w:hideMark/>
          </w:tcPr>
          <w:p w:rsidR="002805C6" w:rsidRPr="002805C6" w:rsidP="002805C6">
            <w:pPr>
              <w:rPr>
                <w:rFonts w:cs="Arial"/>
                <w:color w:val="000000"/>
                <w:sz w:val="22"/>
                <w:szCs w:val="22"/>
              </w:rPr>
            </w:pPr>
            <w:r w:rsidRPr="002805C6">
              <w:rPr>
                <w:rFonts w:cs="Arial"/>
                <w:color w:val="000000"/>
                <w:sz w:val="22"/>
                <w:szCs w:val="22"/>
              </w:rPr>
              <w:t>DHSC programme and admin expenditure</w:t>
            </w:r>
          </w:p>
        </w:tc>
        <w:tc>
          <w:tcPr>
            <w:tcW w:w="772" w:type="pct"/>
            <w:tcBorders>
              <w:top w:val="nil"/>
              <w:left w:val="nil"/>
              <w:bottom w:val="single" w:sz="4" w:space="0" w:color="auto"/>
              <w:right w:val="single" w:sz="4" w:space="0" w:color="auto"/>
            </w:tcBorders>
            <w:shd w:val="clear" w:color="auto" w:fill="auto"/>
            <w:vAlign w:val="center"/>
            <w:hideMark/>
          </w:tcPr>
          <w:p w:rsidR="002805C6" w:rsidRPr="002805C6" w:rsidP="002805C6">
            <w:pPr>
              <w:jc w:val="right"/>
              <w:rPr>
                <w:rFonts w:cs="Arial"/>
                <w:color w:val="000000"/>
                <w:sz w:val="22"/>
                <w:szCs w:val="22"/>
              </w:rPr>
            </w:pPr>
            <w:r w:rsidRPr="002805C6">
              <w:rPr>
                <w:rFonts w:cs="Arial"/>
                <w:color w:val="000000"/>
                <w:sz w:val="22"/>
                <w:szCs w:val="22"/>
              </w:rPr>
              <w:t>310.0</w:t>
            </w:r>
          </w:p>
        </w:tc>
        <w:tc>
          <w:tcPr>
            <w:tcW w:w="735" w:type="pct"/>
            <w:tcBorders>
              <w:top w:val="nil"/>
              <w:left w:val="nil"/>
              <w:bottom w:val="single" w:sz="4" w:space="0" w:color="auto"/>
              <w:right w:val="single" w:sz="4" w:space="0" w:color="auto"/>
            </w:tcBorders>
            <w:shd w:val="clear" w:color="auto" w:fill="auto"/>
            <w:vAlign w:val="center"/>
            <w:hideMark/>
          </w:tcPr>
          <w:p w:rsidR="002805C6" w:rsidRPr="002805C6" w:rsidP="002805C6">
            <w:pPr>
              <w:jc w:val="right"/>
              <w:rPr>
                <w:rFonts w:cs="Arial"/>
                <w:color w:val="000000"/>
                <w:sz w:val="22"/>
                <w:szCs w:val="22"/>
              </w:rPr>
            </w:pPr>
            <w:r w:rsidRPr="002805C6">
              <w:rPr>
                <w:rFonts w:cs="Arial"/>
                <w:color w:val="000000"/>
                <w:sz w:val="22"/>
                <w:szCs w:val="22"/>
              </w:rPr>
              <w:t>350.0</w:t>
            </w:r>
          </w:p>
        </w:tc>
        <w:tc>
          <w:tcPr>
            <w:tcW w:w="567" w:type="pct"/>
            <w:tcBorders>
              <w:top w:val="nil"/>
              <w:left w:val="nil"/>
              <w:bottom w:val="single" w:sz="4" w:space="0" w:color="auto"/>
              <w:right w:val="single" w:sz="4" w:space="0" w:color="auto"/>
            </w:tcBorders>
            <w:shd w:val="clear" w:color="auto" w:fill="auto"/>
            <w:vAlign w:val="center"/>
            <w:hideMark/>
          </w:tcPr>
          <w:p w:rsidR="002805C6" w:rsidRPr="002805C6" w:rsidP="002805C6">
            <w:pPr>
              <w:jc w:val="right"/>
              <w:rPr>
                <w:rFonts w:cs="Arial"/>
                <w:color w:val="000000"/>
                <w:sz w:val="22"/>
                <w:szCs w:val="22"/>
              </w:rPr>
            </w:pPr>
            <w:r w:rsidRPr="002805C6">
              <w:rPr>
                <w:rFonts w:cs="Arial"/>
                <w:color w:val="FF0000"/>
                <w:sz w:val="22"/>
                <w:szCs w:val="22"/>
              </w:rPr>
              <w:t>(40.0)</w:t>
            </w:r>
          </w:p>
        </w:tc>
        <w:tc>
          <w:tcPr>
            <w:tcW w:w="46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805C6" w:rsidRPr="002805C6" w:rsidP="002805C6">
            <w:pPr>
              <w:jc w:val="right"/>
              <w:rPr>
                <w:rFonts w:cs="Arial"/>
                <w:color w:val="FF0000"/>
                <w:sz w:val="22"/>
                <w:szCs w:val="22"/>
              </w:rPr>
            </w:pPr>
            <w:r w:rsidRPr="002805C6">
              <w:rPr>
                <w:rFonts w:cs="Arial"/>
                <w:color w:val="FF0000"/>
                <w:sz w:val="22"/>
                <w:szCs w:val="22"/>
              </w:rPr>
              <w:t>-11%</w:t>
            </w:r>
          </w:p>
        </w:tc>
        <w:tc>
          <w:tcPr>
            <w:tcW w:w="328" w:type="pct"/>
            <w:tcBorders>
              <w:top w:val="nil"/>
              <w:left w:val="nil"/>
              <w:bottom w:val="single" w:sz="4" w:space="0" w:color="auto"/>
              <w:right w:val="single" w:sz="4" w:space="0" w:color="auto"/>
            </w:tcBorders>
            <w:shd w:val="clear" w:color="auto" w:fill="auto"/>
            <w:vAlign w:val="center"/>
            <w:hideMark/>
          </w:tcPr>
          <w:p w:rsidR="002805C6" w:rsidRPr="002805C6" w:rsidP="002805C6">
            <w:pPr>
              <w:jc w:val="center"/>
              <w:rPr>
                <w:rFonts w:cs="Arial"/>
                <w:color w:val="000000"/>
                <w:sz w:val="22"/>
                <w:szCs w:val="22"/>
              </w:rPr>
            </w:pPr>
            <w:r w:rsidRPr="002805C6">
              <w:rPr>
                <w:rFonts w:cs="Arial"/>
                <w:color w:val="000000"/>
                <w:sz w:val="22"/>
                <w:szCs w:val="22"/>
              </w:rPr>
              <w:t>J)</w:t>
            </w:r>
          </w:p>
        </w:tc>
      </w:tr>
      <w:tr w:rsidTr="002805C6">
        <w:tblPrEx>
          <w:tblW w:w="5000" w:type="pct"/>
          <w:tblLook w:val="04A0"/>
        </w:tblPrEx>
        <w:trPr>
          <w:trHeight w:val="285"/>
        </w:trPr>
        <w:tc>
          <w:tcPr>
            <w:tcW w:w="533" w:type="pct"/>
            <w:tcBorders>
              <w:top w:val="nil"/>
              <w:left w:val="single" w:sz="4" w:space="0" w:color="auto"/>
              <w:bottom w:val="single" w:sz="4" w:space="0" w:color="auto"/>
              <w:right w:val="single" w:sz="4" w:space="0" w:color="auto"/>
            </w:tcBorders>
            <w:shd w:val="clear" w:color="auto" w:fill="auto"/>
            <w:vAlign w:val="center"/>
            <w:hideMark/>
          </w:tcPr>
          <w:p w:rsidR="002805C6" w:rsidRPr="002805C6" w:rsidP="002805C6">
            <w:pPr>
              <w:jc w:val="center"/>
              <w:rPr>
                <w:rFonts w:cs="Arial"/>
                <w:color w:val="000000"/>
                <w:sz w:val="22"/>
                <w:szCs w:val="22"/>
              </w:rPr>
            </w:pPr>
            <w:r w:rsidRPr="002805C6">
              <w:rPr>
                <w:rFonts w:cs="Arial"/>
                <w:color w:val="000000"/>
                <w:sz w:val="22"/>
                <w:szCs w:val="22"/>
              </w:rPr>
              <w:t>N</w:t>
            </w:r>
          </w:p>
        </w:tc>
        <w:tc>
          <w:tcPr>
            <w:tcW w:w="1600" w:type="pct"/>
            <w:tcBorders>
              <w:top w:val="single" w:sz="4" w:space="0" w:color="auto"/>
              <w:left w:val="nil"/>
              <w:bottom w:val="single" w:sz="4" w:space="0" w:color="auto"/>
              <w:right w:val="single" w:sz="4" w:space="0" w:color="auto"/>
            </w:tcBorders>
            <w:shd w:val="clear" w:color="auto" w:fill="auto"/>
            <w:vAlign w:val="center"/>
            <w:hideMark/>
          </w:tcPr>
          <w:p w:rsidR="002805C6" w:rsidRPr="002805C6" w:rsidP="002805C6">
            <w:pPr>
              <w:rPr>
                <w:rFonts w:cs="Arial"/>
                <w:color w:val="000000"/>
                <w:sz w:val="22"/>
                <w:szCs w:val="22"/>
              </w:rPr>
            </w:pPr>
            <w:r w:rsidRPr="002805C6">
              <w:rPr>
                <w:rFonts w:cs="Arial"/>
                <w:color w:val="000000"/>
                <w:sz w:val="22"/>
                <w:szCs w:val="22"/>
              </w:rPr>
              <w:t>Executive Agencies</w:t>
            </w:r>
          </w:p>
        </w:tc>
        <w:tc>
          <w:tcPr>
            <w:tcW w:w="772" w:type="pct"/>
            <w:tcBorders>
              <w:top w:val="nil"/>
              <w:left w:val="nil"/>
              <w:bottom w:val="single" w:sz="4" w:space="0" w:color="auto"/>
              <w:right w:val="single" w:sz="4" w:space="0" w:color="auto"/>
            </w:tcBorders>
            <w:shd w:val="clear" w:color="auto" w:fill="auto"/>
            <w:vAlign w:val="center"/>
            <w:hideMark/>
          </w:tcPr>
          <w:p w:rsidR="002805C6" w:rsidRPr="002805C6" w:rsidP="002805C6">
            <w:pPr>
              <w:jc w:val="right"/>
              <w:rPr>
                <w:rFonts w:cs="Arial"/>
                <w:color w:val="000000"/>
                <w:sz w:val="22"/>
                <w:szCs w:val="22"/>
              </w:rPr>
            </w:pPr>
            <w:r w:rsidRPr="002805C6">
              <w:rPr>
                <w:rFonts w:cs="Arial"/>
                <w:color w:val="000000"/>
                <w:sz w:val="22"/>
                <w:szCs w:val="22"/>
              </w:rPr>
              <w:t>300.0</w:t>
            </w:r>
          </w:p>
        </w:tc>
        <w:tc>
          <w:tcPr>
            <w:tcW w:w="735" w:type="pct"/>
            <w:tcBorders>
              <w:top w:val="nil"/>
              <w:left w:val="nil"/>
              <w:bottom w:val="single" w:sz="4" w:space="0" w:color="auto"/>
              <w:right w:val="single" w:sz="4" w:space="0" w:color="auto"/>
            </w:tcBorders>
            <w:shd w:val="clear" w:color="auto" w:fill="auto"/>
            <w:vAlign w:val="center"/>
            <w:hideMark/>
          </w:tcPr>
          <w:p w:rsidR="002805C6" w:rsidRPr="002805C6" w:rsidP="002805C6">
            <w:pPr>
              <w:jc w:val="right"/>
              <w:rPr>
                <w:rFonts w:cs="Arial"/>
                <w:color w:val="000000"/>
                <w:sz w:val="22"/>
                <w:szCs w:val="22"/>
              </w:rPr>
            </w:pPr>
            <w:r w:rsidRPr="002805C6">
              <w:rPr>
                <w:rFonts w:cs="Arial"/>
                <w:color w:val="000000"/>
                <w:sz w:val="22"/>
                <w:szCs w:val="22"/>
              </w:rPr>
              <w:t>300.0</w:t>
            </w:r>
          </w:p>
        </w:tc>
        <w:tc>
          <w:tcPr>
            <w:tcW w:w="567" w:type="pct"/>
            <w:tcBorders>
              <w:top w:val="nil"/>
              <w:left w:val="nil"/>
              <w:bottom w:val="single" w:sz="4" w:space="0" w:color="auto"/>
              <w:right w:val="single" w:sz="4" w:space="0" w:color="auto"/>
            </w:tcBorders>
            <w:shd w:val="clear" w:color="auto" w:fill="auto"/>
            <w:vAlign w:val="center"/>
            <w:hideMark/>
          </w:tcPr>
          <w:p w:rsidR="002805C6" w:rsidRPr="002805C6" w:rsidP="002805C6">
            <w:pPr>
              <w:jc w:val="right"/>
              <w:rPr>
                <w:rFonts w:cs="Arial"/>
                <w:color w:val="000000"/>
                <w:sz w:val="22"/>
                <w:szCs w:val="22"/>
              </w:rPr>
            </w:pPr>
            <w:r w:rsidRPr="002805C6">
              <w:rPr>
                <w:rFonts w:cs="Arial"/>
                <w:color w:val="000000"/>
                <w:sz w:val="22"/>
                <w:szCs w:val="22"/>
              </w:rPr>
              <w:t>0.0</w:t>
            </w:r>
          </w:p>
        </w:tc>
        <w:tc>
          <w:tcPr>
            <w:tcW w:w="465" w:type="pct"/>
            <w:tcBorders>
              <w:top w:val="nil"/>
              <w:left w:val="nil"/>
              <w:bottom w:val="single" w:sz="4" w:space="0" w:color="auto"/>
              <w:right w:val="single" w:sz="4" w:space="0" w:color="auto"/>
            </w:tcBorders>
            <w:shd w:val="clear" w:color="auto" w:fill="auto"/>
            <w:vAlign w:val="center"/>
            <w:hideMark/>
          </w:tcPr>
          <w:p w:rsidR="002805C6" w:rsidRPr="002805C6" w:rsidP="002805C6">
            <w:pPr>
              <w:jc w:val="right"/>
              <w:rPr>
                <w:rFonts w:cs="Arial"/>
                <w:color w:val="000000"/>
                <w:sz w:val="22"/>
                <w:szCs w:val="22"/>
              </w:rPr>
            </w:pPr>
            <w:r w:rsidRPr="002805C6">
              <w:rPr>
                <w:rFonts w:cs="Arial"/>
                <w:color w:val="000000"/>
                <w:sz w:val="22"/>
                <w:szCs w:val="22"/>
              </w:rPr>
              <w:t>0%</w:t>
            </w:r>
          </w:p>
        </w:tc>
        <w:tc>
          <w:tcPr>
            <w:tcW w:w="328" w:type="pct"/>
            <w:tcBorders>
              <w:top w:val="nil"/>
              <w:left w:val="nil"/>
              <w:bottom w:val="single" w:sz="4" w:space="0" w:color="auto"/>
              <w:right w:val="single" w:sz="4" w:space="0" w:color="auto"/>
            </w:tcBorders>
            <w:shd w:val="clear" w:color="auto" w:fill="auto"/>
            <w:vAlign w:val="center"/>
            <w:hideMark/>
          </w:tcPr>
          <w:p w:rsidR="002805C6" w:rsidRPr="002805C6" w:rsidP="002805C6">
            <w:pPr>
              <w:jc w:val="center"/>
              <w:rPr>
                <w:rFonts w:cs="Arial"/>
                <w:color w:val="000000"/>
                <w:sz w:val="22"/>
                <w:szCs w:val="22"/>
              </w:rPr>
            </w:pPr>
            <w:r w:rsidRPr="002805C6">
              <w:rPr>
                <w:rFonts w:cs="Arial"/>
                <w:color w:val="000000"/>
                <w:sz w:val="22"/>
                <w:szCs w:val="22"/>
              </w:rPr>
              <w:t> </w:t>
            </w:r>
          </w:p>
        </w:tc>
      </w:tr>
      <w:tr w:rsidTr="002805C6">
        <w:tblPrEx>
          <w:tblW w:w="5000" w:type="pct"/>
          <w:tblLook w:val="04A0"/>
        </w:tblPrEx>
        <w:trPr>
          <w:trHeight w:val="285"/>
        </w:trPr>
        <w:tc>
          <w:tcPr>
            <w:tcW w:w="533" w:type="pct"/>
            <w:tcBorders>
              <w:top w:val="nil"/>
              <w:left w:val="single" w:sz="4" w:space="0" w:color="auto"/>
              <w:bottom w:val="single" w:sz="4" w:space="0" w:color="auto"/>
              <w:right w:val="single" w:sz="4" w:space="0" w:color="auto"/>
            </w:tcBorders>
            <w:shd w:val="clear" w:color="auto" w:fill="auto"/>
            <w:vAlign w:val="center"/>
            <w:hideMark/>
          </w:tcPr>
          <w:p w:rsidR="002805C6" w:rsidRPr="002805C6" w:rsidP="002805C6">
            <w:pPr>
              <w:jc w:val="center"/>
              <w:rPr>
                <w:rFonts w:cs="Arial"/>
                <w:color w:val="000000"/>
                <w:sz w:val="22"/>
                <w:szCs w:val="22"/>
              </w:rPr>
            </w:pPr>
            <w:r w:rsidRPr="002805C6">
              <w:rPr>
                <w:rFonts w:cs="Arial"/>
                <w:color w:val="000000"/>
                <w:sz w:val="22"/>
                <w:szCs w:val="22"/>
              </w:rPr>
              <w:t>O</w:t>
            </w:r>
          </w:p>
        </w:tc>
        <w:tc>
          <w:tcPr>
            <w:tcW w:w="1600" w:type="pct"/>
            <w:tcBorders>
              <w:top w:val="nil"/>
              <w:left w:val="nil"/>
              <w:bottom w:val="single" w:sz="4" w:space="0" w:color="auto"/>
              <w:right w:val="single" w:sz="4" w:space="0" w:color="auto"/>
            </w:tcBorders>
            <w:shd w:val="clear" w:color="auto" w:fill="auto"/>
            <w:vAlign w:val="center"/>
            <w:hideMark/>
          </w:tcPr>
          <w:p w:rsidR="002805C6" w:rsidRPr="002805C6" w:rsidP="002805C6">
            <w:pPr>
              <w:rPr>
                <w:rFonts w:cs="Arial"/>
                <w:color w:val="000000"/>
                <w:sz w:val="22"/>
                <w:szCs w:val="22"/>
              </w:rPr>
            </w:pPr>
            <w:r w:rsidRPr="002805C6">
              <w:rPr>
                <w:rFonts w:cs="Arial"/>
                <w:color w:val="000000"/>
                <w:sz w:val="22"/>
                <w:szCs w:val="22"/>
              </w:rPr>
              <w:t>Health Education England</w:t>
            </w:r>
          </w:p>
        </w:tc>
        <w:tc>
          <w:tcPr>
            <w:tcW w:w="772" w:type="pct"/>
            <w:tcBorders>
              <w:top w:val="nil"/>
              <w:left w:val="nil"/>
              <w:bottom w:val="single" w:sz="4" w:space="0" w:color="auto"/>
              <w:right w:val="single" w:sz="4" w:space="0" w:color="auto"/>
            </w:tcBorders>
            <w:shd w:val="clear" w:color="auto" w:fill="auto"/>
            <w:vAlign w:val="center"/>
            <w:hideMark/>
          </w:tcPr>
          <w:p w:rsidR="002805C6" w:rsidRPr="002805C6" w:rsidP="002805C6">
            <w:pPr>
              <w:jc w:val="right"/>
              <w:rPr>
                <w:rFonts w:cs="Arial"/>
                <w:color w:val="000000"/>
                <w:sz w:val="22"/>
                <w:szCs w:val="22"/>
              </w:rPr>
            </w:pPr>
            <w:r w:rsidRPr="002805C6">
              <w:rPr>
                <w:rFonts w:cs="Arial"/>
                <w:color w:val="000000"/>
                <w:sz w:val="22"/>
                <w:szCs w:val="22"/>
              </w:rPr>
              <w:t>2.0</w:t>
            </w:r>
          </w:p>
        </w:tc>
        <w:tc>
          <w:tcPr>
            <w:tcW w:w="735" w:type="pct"/>
            <w:tcBorders>
              <w:top w:val="nil"/>
              <w:left w:val="nil"/>
              <w:bottom w:val="single" w:sz="4" w:space="0" w:color="auto"/>
              <w:right w:val="single" w:sz="4" w:space="0" w:color="auto"/>
            </w:tcBorders>
            <w:shd w:val="clear" w:color="auto" w:fill="auto"/>
            <w:vAlign w:val="center"/>
            <w:hideMark/>
          </w:tcPr>
          <w:p w:rsidR="002805C6" w:rsidRPr="002805C6" w:rsidP="002805C6">
            <w:pPr>
              <w:jc w:val="right"/>
              <w:rPr>
                <w:rFonts w:cs="Arial"/>
                <w:color w:val="000000"/>
                <w:sz w:val="22"/>
                <w:szCs w:val="22"/>
              </w:rPr>
            </w:pPr>
            <w:r w:rsidRPr="002805C6">
              <w:rPr>
                <w:rFonts w:cs="Arial"/>
                <w:color w:val="000000"/>
                <w:sz w:val="22"/>
                <w:szCs w:val="22"/>
              </w:rPr>
              <w:t>5.0</w:t>
            </w:r>
          </w:p>
        </w:tc>
        <w:tc>
          <w:tcPr>
            <w:tcW w:w="567" w:type="pct"/>
            <w:tcBorders>
              <w:top w:val="nil"/>
              <w:left w:val="nil"/>
              <w:bottom w:val="single" w:sz="4" w:space="0" w:color="auto"/>
              <w:right w:val="single" w:sz="4" w:space="0" w:color="auto"/>
            </w:tcBorders>
            <w:shd w:val="clear" w:color="auto" w:fill="auto"/>
            <w:vAlign w:val="center"/>
            <w:hideMark/>
          </w:tcPr>
          <w:p w:rsidR="002805C6" w:rsidRPr="002805C6" w:rsidP="002805C6">
            <w:pPr>
              <w:jc w:val="right"/>
              <w:rPr>
                <w:rFonts w:cs="Arial"/>
                <w:color w:val="000000"/>
                <w:sz w:val="22"/>
                <w:szCs w:val="22"/>
              </w:rPr>
            </w:pPr>
            <w:r w:rsidRPr="002805C6">
              <w:rPr>
                <w:rFonts w:cs="Arial"/>
                <w:color w:val="FF0000"/>
                <w:sz w:val="22"/>
                <w:szCs w:val="22"/>
              </w:rPr>
              <w:t>(3.0)</w:t>
            </w:r>
          </w:p>
        </w:tc>
        <w:tc>
          <w:tcPr>
            <w:tcW w:w="46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805C6" w:rsidRPr="002805C6" w:rsidP="002805C6">
            <w:pPr>
              <w:jc w:val="right"/>
              <w:rPr>
                <w:rFonts w:cs="Arial"/>
                <w:color w:val="FF0000"/>
                <w:sz w:val="22"/>
                <w:szCs w:val="22"/>
              </w:rPr>
            </w:pPr>
            <w:r w:rsidRPr="002805C6">
              <w:rPr>
                <w:rFonts w:cs="Arial"/>
                <w:color w:val="FF0000"/>
                <w:sz w:val="22"/>
                <w:szCs w:val="22"/>
              </w:rPr>
              <w:t>-60%</w:t>
            </w:r>
          </w:p>
        </w:tc>
        <w:tc>
          <w:tcPr>
            <w:tcW w:w="328" w:type="pct"/>
            <w:tcBorders>
              <w:top w:val="nil"/>
              <w:left w:val="nil"/>
              <w:bottom w:val="single" w:sz="4" w:space="0" w:color="auto"/>
              <w:right w:val="single" w:sz="4" w:space="0" w:color="auto"/>
            </w:tcBorders>
            <w:shd w:val="clear" w:color="auto" w:fill="auto"/>
            <w:vAlign w:val="center"/>
            <w:hideMark/>
          </w:tcPr>
          <w:p w:rsidR="002805C6" w:rsidRPr="002805C6" w:rsidP="002805C6">
            <w:pPr>
              <w:jc w:val="center"/>
              <w:rPr>
                <w:rFonts w:cs="Arial"/>
                <w:color w:val="000000"/>
                <w:sz w:val="22"/>
                <w:szCs w:val="22"/>
              </w:rPr>
            </w:pPr>
            <w:r w:rsidRPr="002805C6">
              <w:rPr>
                <w:rFonts w:cs="Arial"/>
                <w:color w:val="000000"/>
                <w:sz w:val="22"/>
                <w:szCs w:val="22"/>
              </w:rPr>
              <w:t>J)</w:t>
            </w:r>
          </w:p>
        </w:tc>
      </w:tr>
      <w:tr w:rsidTr="002805C6">
        <w:tblPrEx>
          <w:tblW w:w="5000" w:type="pct"/>
          <w:tblLook w:val="04A0"/>
        </w:tblPrEx>
        <w:trPr>
          <w:trHeight w:val="855"/>
        </w:trPr>
        <w:tc>
          <w:tcPr>
            <w:tcW w:w="533" w:type="pct"/>
            <w:tcBorders>
              <w:top w:val="nil"/>
              <w:left w:val="single" w:sz="4" w:space="0" w:color="auto"/>
              <w:bottom w:val="single" w:sz="4" w:space="0" w:color="auto"/>
              <w:right w:val="single" w:sz="4" w:space="0" w:color="auto"/>
            </w:tcBorders>
            <w:shd w:val="clear" w:color="auto" w:fill="auto"/>
            <w:vAlign w:val="center"/>
            <w:hideMark/>
          </w:tcPr>
          <w:p w:rsidR="002805C6" w:rsidRPr="002805C6" w:rsidP="002805C6">
            <w:pPr>
              <w:jc w:val="center"/>
              <w:rPr>
                <w:rFonts w:cs="Arial"/>
                <w:color w:val="000000"/>
                <w:sz w:val="22"/>
                <w:szCs w:val="22"/>
              </w:rPr>
            </w:pPr>
            <w:r w:rsidRPr="002805C6">
              <w:rPr>
                <w:rFonts w:cs="Arial"/>
                <w:color w:val="000000"/>
                <w:sz w:val="22"/>
                <w:szCs w:val="22"/>
              </w:rPr>
              <w:t>P, Q &amp; R</w:t>
            </w:r>
          </w:p>
        </w:tc>
        <w:tc>
          <w:tcPr>
            <w:tcW w:w="1600" w:type="pct"/>
            <w:tcBorders>
              <w:top w:val="nil"/>
              <w:left w:val="nil"/>
              <w:bottom w:val="nil"/>
              <w:right w:val="single" w:sz="4" w:space="0" w:color="auto"/>
            </w:tcBorders>
            <w:shd w:val="clear" w:color="auto" w:fill="auto"/>
            <w:vAlign w:val="center"/>
            <w:hideMark/>
          </w:tcPr>
          <w:p w:rsidR="002805C6" w:rsidRPr="002805C6" w:rsidP="002805C6">
            <w:pPr>
              <w:rPr>
                <w:rFonts w:cs="Arial"/>
                <w:color w:val="000000"/>
                <w:sz w:val="22"/>
                <w:szCs w:val="22"/>
              </w:rPr>
            </w:pPr>
            <w:r w:rsidRPr="002805C6">
              <w:rPr>
                <w:rFonts w:cs="Arial"/>
                <w:color w:val="000000"/>
                <w:sz w:val="22"/>
                <w:szCs w:val="22"/>
              </w:rPr>
              <w:t>Special Health Authorities, NDPBs and ALBs and Other Bodies</w:t>
            </w:r>
          </w:p>
        </w:tc>
        <w:tc>
          <w:tcPr>
            <w:tcW w:w="772" w:type="pct"/>
            <w:tcBorders>
              <w:top w:val="nil"/>
              <w:left w:val="nil"/>
              <w:bottom w:val="single" w:sz="4" w:space="0" w:color="auto"/>
              <w:right w:val="single" w:sz="4" w:space="0" w:color="auto"/>
            </w:tcBorders>
            <w:shd w:val="clear" w:color="auto" w:fill="auto"/>
            <w:vAlign w:val="center"/>
            <w:hideMark/>
          </w:tcPr>
          <w:p w:rsidR="002805C6" w:rsidRPr="002805C6" w:rsidP="002805C6">
            <w:pPr>
              <w:jc w:val="right"/>
              <w:rPr>
                <w:rFonts w:cs="Arial"/>
                <w:color w:val="000000"/>
                <w:sz w:val="22"/>
                <w:szCs w:val="22"/>
              </w:rPr>
            </w:pPr>
            <w:r w:rsidRPr="002805C6">
              <w:rPr>
                <w:rFonts w:cs="Arial"/>
                <w:color w:val="000000"/>
                <w:sz w:val="22"/>
                <w:szCs w:val="22"/>
              </w:rPr>
              <w:t>8,018.0</w:t>
            </w:r>
          </w:p>
        </w:tc>
        <w:tc>
          <w:tcPr>
            <w:tcW w:w="735" w:type="pct"/>
            <w:tcBorders>
              <w:top w:val="nil"/>
              <w:left w:val="nil"/>
              <w:bottom w:val="single" w:sz="4" w:space="0" w:color="auto"/>
              <w:right w:val="single" w:sz="4" w:space="0" w:color="auto"/>
            </w:tcBorders>
            <w:shd w:val="clear" w:color="auto" w:fill="auto"/>
            <w:vAlign w:val="center"/>
            <w:hideMark/>
          </w:tcPr>
          <w:p w:rsidR="002805C6" w:rsidRPr="002805C6" w:rsidP="002805C6">
            <w:pPr>
              <w:jc w:val="right"/>
              <w:rPr>
                <w:rFonts w:cs="Arial"/>
                <w:color w:val="000000"/>
                <w:sz w:val="22"/>
                <w:szCs w:val="22"/>
              </w:rPr>
            </w:pPr>
            <w:r w:rsidRPr="002805C6">
              <w:rPr>
                <w:rFonts w:cs="Arial"/>
                <w:color w:val="000000"/>
                <w:sz w:val="22"/>
                <w:szCs w:val="22"/>
              </w:rPr>
              <w:t>46,175.0</w:t>
            </w:r>
          </w:p>
        </w:tc>
        <w:tc>
          <w:tcPr>
            <w:tcW w:w="567" w:type="pct"/>
            <w:tcBorders>
              <w:top w:val="nil"/>
              <w:left w:val="nil"/>
              <w:bottom w:val="single" w:sz="4" w:space="0" w:color="auto"/>
              <w:right w:val="single" w:sz="4" w:space="0" w:color="auto"/>
            </w:tcBorders>
            <w:shd w:val="clear" w:color="auto" w:fill="auto"/>
            <w:vAlign w:val="center"/>
            <w:hideMark/>
          </w:tcPr>
          <w:p w:rsidR="002805C6" w:rsidRPr="002805C6" w:rsidP="002805C6">
            <w:pPr>
              <w:jc w:val="right"/>
              <w:rPr>
                <w:rFonts w:cs="Arial"/>
                <w:color w:val="000000"/>
                <w:sz w:val="22"/>
                <w:szCs w:val="22"/>
              </w:rPr>
            </w:pPr>
            <w:r w:rsidRPr="002805C6">
              <w:rPr>
                <w:rFonts w:cs="Arial"/>
                <w:color w:val="FF0000"/>
                <w:sz w:val="22"/>
                <w:szCs w:val="22"/>
              </w:rPr>
              <w:t>(38,157.0)</w:t>
            </w:r>
          </w:p>
        </w:tc>
        <w:tc>
          <w:tcPr>
            <w:tcW w:w="46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805C6" w:rsidRPr="002805C6" w:rsidP="002805C6">
            <w:pPr>
              <w:jc w:val="right"/>
              <w:rPr>
                <w:rFonts w:cs="Arial"/>
                <w:color w:val="FF0000"/>
                <w:sz w:val="22"/>
                <w:szCs w:val="22"/>
              </w:rPr>
            </w:pPr>
            <w:r w:rsidRPr="002805C6">
              <w:rPr>
                <w:rFonts w:cs="Arial"/>
                <w:color w:val="FF0000"/>
                <w:sz w:val="22"/>
                <w:szCs w:val="22"/>
              </w:rPr>
              <w:t>-83%</w:t>
            </w:r>
          </w:p>
        </w:tc>
        <w:tc>
          <w:tcPr>
            <w:tcW w:w="328" w:type="pct"/>
            <w:tcBorders>
              <w:top w:val="nil"/>
              <w:left w:val="nil"/>
              <w:bottom w:val="single" w:sz="4" w:space="0" w:color="auto"/>
              <w:right w:val="single" w:sz="4" w:space="0" w:color="auto"/>
            </w:tcBorders>
            <w:shd w:val="clear" w:color="auto" w:fill="auto"/>
            <w:vAlign w:val="center"/>
            <w:hideMark/>
          </w:tcPr>
          <w:p w:rsidR="002805C6" w:rsidRPr="002805C6" w:rsidP="002805C6">
            <w:pPr>
              <w:jc w:val="center"/>
              <w:rPr>
                <w:rFonts w:cs="Arial"/>
                <w:color w:val="000000"/>
                <w:sz w:val="22"/>
                <w:szCs w:val="22"/>
              </w:rPr>
            </w:pPr>
            <w:r w:rsidRPr="002805C6">
              <w:rPr>
                <w:rFonts w:cs="Arial"/>
                <w:color w:val="000000"/>
                <w:sz w:val="22"/>
                <w:szCs w:val="22"/>
              </w:rPr>
              <w:t>J)</w:t>
            </w:r>
          </w:p>
        </w:tc>
      </w:tr>
      <w:tr w:rsidTr="002805C6">
        <w:tblPrEx>
          <w:tblW w:w="5000" w:type="pct"/>
          <w:tblLook w:val="04A0"/>
        </w:tblPrEx>
        <w:trPr>
          <w:trHeight w:val="300"/>
        </w:trPr>
        <w:tc>
          <w:tcPr>
            <w:tcW w:w="2133" w:type="pct"/>
            <w:gridSpan w:val="2"/>
            <w:tcBorders>
              <w:top w:val="single" w:sz="4" w:space="0" w:color="auto"/>
              <w:left w:val="single" w:sz="4" w:space="0" w:color="auto"/>
              <w:bottom w:val="single" w:sz="4" w:space="0" w:color="auto"/>
              <w:right w:val="single" w:sz="4" w:space="0" w:color="000000"/>
            </w:tcBorders>
            <w:shd w:val="clear" w:color="000000" w:fill="B4C6E7"/>
            <w:vAlign w:val="bottom"/>
            <w:hideMark/>
          </w:tcPr>
          <w:p w:rsidR="002805C6" w:rsidRPr="002805C6" w:rsidP="002805C6">
            <w:pPr>
              <w:rPr>
                <w:rFonts w:cs="Arial"/>
                <w:b/>
                <w:bCs/>
                <w:color w:val="000000"/>
                <w:sz w:val="22"/>
                <w:szCs w:val="22"/>
              </w:rPr>
            </w:pPr>
            <w:r w:rsidRPr="002805C6">
              <w:rPr>
                <w:rFonts w:cs="Arial"/>
                <w:b/>
                <w:bCs/>
                <w:color w:val="000000"/>
                <w:sz w:val="22"/>
                <w:szCs w:val="22"/>
              </w:rPr>
              <w:t>TOTAL (Voted and Non Voted)</w:t>
            </w:r>
          </w:p>
        </w:tc>
        <w:tc>
          <w:tcPr>
            <w:tcW w:w="772" w:type="pct"/>
            <w:tcBorders>
              <w:top w:val="nil"/>
              <w:left w:val="nil"/>
              <w:bottom w:val="single" w:sz="4" w:space="0" w:color="auto"/>
              <w:right w:val="single" w:sz="4" w:space="0" w:color="auto"/>
            </w:tcBorders>
            <w:shd w:val="clear" w:color="000000" w:fill="B4C6E7"/>
            <w:vAlign w:val="bottom"/>
            <w:hideMark/>
          </w:tcPr>
          <w:p w:rsidR="002805C6" w:rsidRPr="002805C6" w:rsidP="002805C6">
            <w:pPr>
              <w:jc w:val="right"/>
              <w:rPr>
                <w:rFonts w:cs="Arial"/>
                <w:b/>
                <w:bCs/>
                <w:color w:val="000000"/>
                <w:sz w:val="22"/>
                <w:szCs w:val="22"/>
              </w:rPr>
            </w:pPr>
            <w:r w:rsidRPr="002805C6">
              <w:rPr>
                <w:rFonts w:cs="Arial"/>
                <w:b/>
                <w:bCs/>
                <w:color w:val="000000"/>
                <w:sz w:val="22"/>
                <w:szCs w:val="22"/>
              </w:rPr>
              <w:t>10,880.0</w:t>
            </w:r>
          </w:p>
        </w:tc>
        <w:tc>
          <w:tcPr>
            <w:tcW w:w="735" w:type="pct"/>
            <w:tcBorders>
              <w:top w:val="nil"/>
              <w:left w:val="nil"/>
              <w:bottom w:val="single" w:sz="4" w:space="0" w:color="auto"/>
              <w:right w:val="single" w:sz="4" w:space="0" w:color="auto"/>
            </w:tcBorders>
            <w:shd w:val="clear" w:color="000000" w:fill="B4C6E7"/>
            <w:vAlign w:val="bottom"/>
            <w:hideMark/>
          </w:tcPr>
          <w:p w:rsidR="002805C6" w:rsidRPr="002805C6" w:rsidP="002805C6">
            <w:pPr>
              <w:jc w:val="right"/>
              <w:rPr>
                <w:rFonts w:cs="Arial"/>
                <w:b/>
                <w:bCs/>
                <w:color w:val="000000"/>
                <w:sz w:val="22"/>
                <w:szCs w:val="22"/>
              </w:rPr>
            </w:pPr>
            <w:r w:rsidRPr="002805C6">
              <w:rPr>
                <w:rFonts w:cs="Arial"/>
                <w:b/>
                <w:bCs/>
                <w:color w:val="000000"/>
                <w:sz w:val="22"/>
                <w:szCs w:val="22"/>
              </w:rPr>
              <w:t>49,000.0</w:t>
            </w:r>
          </w:p>
        </w:tc>
        <w:tc>
          <w:tcPr>
            <w:tcW w:w="567" w:type="pct"/>
            <w:tcBorders>
              <w:top w:val="nil"/>
              <w:left w:val="nil"/>
              <w:bottom w:val="single" w:sz="4" w:space="0" w:color="auto"/>
              <w:right w:val="single" w:sz="4" w:space="0" w:color="auto"/>
            </w:tcBorders>
            <w:shd w:val="clear" w:color="000000" w:fill="B4C6E7"/>
            <w:vAlign w:val="center"/>
            <w:hideMark/>
          </w:tcPr>
          <w:p w:rsidR="002805C6" w:rsidRPr="002805C6" w:rsidP="002805C6">
            <w:pPr>
              <w:jc w:val="right"/>
              <w:rPr>
                <w:rFonts w:cs="Arial"/>
                <w:b/>
                <w:bCs/>
                <w:color w:val="000000"/>
                <w:sz w:val="22"/>
                <w:szCs w:val="22"/>
              </w:rPr>
            </w:pPr>
            <w:r w:rsidRPr="002805C6">
              <w:rPr>
                <w:rFonts w:cs="Arial"/>
                <w:b/>
                <w:bCs/>
                <w:color w:val="FF0000"/>
                <w:sz w:val="22"/>
                <w:szCs w:val="22"/>
              </w:rPr>
              <w:t>(38,120.0)</w:t>
            </w:r>
          </w:p>
        </w:tc>
        <w:tc>
          <w:tcPr>
            <w:tcW w:w="465" w:type="pct"/>
            <w:tcBorders>
              <w:top w:val="single" w:sz="4" w:space="0" w:color="auto"/>
              <w:left w:val="single" w:sz="4" w:space="0" w:color="auto"/>
              <w:bottom w:val="single" w:sz="4" w:space="0" w:color="auto"/>
              <w:right w:val="single" w:sz="4" w:space="0" w:color="auto"/>
            </w:tcBorders>
            <w:shd w:val="clear" w:color="000000" w:fill="B4C6E7"/>
            <w:vAlign w:val="center"/>
            <w:hideMark/>
          </w:tcPr>
          <w:p w:rsidR="002805C6" w:rsidRPr="002805C6" w:rsidP="002805C6">
            <w:pPr>
              <w:jc w:val="right"/>
              <w:rPr>
                <w:rFonts w:cs="Arial"/>
                <w:b/>
                <w:bCs/>
                <w:color w:val="FF0000"/>
                <w:sz w:val="22"/>
                <w:szCs w:val="22"/>
              </w:rPr>
            </w:pPr>
            <w:r w:rsidRPr="002805C6">
              <w:rPr>
                <w:rFonts w:cs="Arial"/>
                <w:b/>
                <w:bCs/>
                <w:color w:val="FF0000"/>
                <w:sz w:val="22"/>
                <w:szCs w:val="22"/>
              </w:rPr>
              <w:t>-78%</w:t>
            </w:r>
          </w:p>
        </w:tc>
        <w:tc>
          <w:tcPr>
            <w:tcW w:w="328" w:type="pct"/>
            <w:tcBorders>
              <w:top w:val="nil"/>
              <w:left w:val="nil"/>
              <w:bottom w:val="single" w:sz="4" w:space="0" w:color="auto"/>
              <w:right w:val="single" w:sz="4" w:space="0" w:color="auto"/>
            </w:tcBorders>
            <w:shd w:val="clear" w:color="000000" w:fill="B4C6E7"/>
            <w:vAlign w:val="bottom"/>
            <w:hideMark/>
          </w:tcPr>
          <w:p w:rsidR="002805C6" w:rsidRPr="002805C6" w:rsidP="002805C6">
            <w:pPr>
              <w:jc w:val="center"/>
              <w:rPr>
                <w:rFonts w:cs="Arial"/>
                <w:b/>
                <w:bCs/>
                <w:color w:val="000000"/>
                <w:sz w:val="22"/>
                <w:szCs w:val="22"/>
              </w:rPr>
            </w:pPr>
            <w:r w:rsidRPr="002805C6">
              <w:rPr>
                <w:rFonts w:cs="Arial"/>
                <w:b/>
                <w:bCs/>
                <w:color w:val="000000"/>
                <w:sz w:val="22"/>
                <w:szCs w:val="22"/>
              </w:rPr>
              <w:t> </w:t>
            </w:r>
          </w:p>
        </w:tc>
      </w:tr>
    </w:tbl>
    <w:p w:rsidR="004F64C1" w:rsidP="004F64C1">
      <w:pPr>
        <w:ind w:left="567"/>
        <w:jc w:val="both"/>
        <w:rPr>
          <w:rFonts w:eastAsiaTheme="minorHAnsi" w:cs="Arial"/>
          <w:sz w:val="22"/>
          <w:szCs w:val="22"/>
          <w:lang w:eastAsia="en-US"/>
        </w:rPr>
      </w:pPr>
    </w:p>
    <w:p w:rsidR="00C06980" w:rsidP="00C06980">
      <w:pPr>
        <w:spacing w:after="200"/>
        <w:ind w:left="709"/>
        <w:contextualSpacing/>
        <w:jc w:val="both"/>
        <w:rPr>
          <w:rFonts w:eastAsia="Calibri" w:cs="Arial"/>
          <w:sz w:val="22"/>
          <w:szCs w:val="22"/>
        </w:rPr>
      </w:pPr>
      <w:r w:rsidRPr="00D30EAA">
        <w:rPr>
          <w:rStyle w:val="normaltextrun"/>
          <w:rFonts w:cs="Arial"/>
          <w:color w:val="000000"/>
          <w:sz w:val="22"/>
          <w:szCs w:val="22"/>
          <w:shd w:val="clear" w:color="auto" w:fill="FFFFFF"/>
        </w:rPr>
        <w:t>The Department’s AME relates to provisions and impairments that are demand-led and volatile, being subject to many variables outside the Department’s direct control</w:t>
      </w:r>
      <w:r w:rsidRPr="00DB5062">
        <w:rPr>
          <w:rStyle w:val="normaltextrun"/>
          <w:rFonts w:cs="Arial"/>
          <w:color w:val="000000"/>
          <w:sz w:val="22"/>
          <w:szCs w:val="22"/>
          <w:shd w:val="clear" w:color="auto" w:fill="FFFFFF"/>
        </w:rPr>
        <w:t>.</w:t>
      </w:r>
      <w:r w:rsidRPr="00D30EAA">
        <w:rPr>
          <w:rFonts w:eastAsia="Calibri" w:cs="Arial"/>
          <w:sz w:val="22"/>
          <w:szCs w:val="22"/>
        </w:rPr>
        <w:t xml:space="preserve">  </w:t>
      </w:r>
    </w:p>
    <w:p w:rsidR="00C06980" w:rsidRPr="002C1A52" w:rsidP="00C06980">
      <w:pPr>
        <w:spacing w:after="200"/>
        <w:ind w:left="709"/>
        <w:contextualSpacing/>
        <w:jc w:val="both"/>
        <w:rPr>
          <w:rFonts w:eastAsia="Arial" w:cs="Arial"/>
          <w:sz w:val="22"/>
          <w:szCs w:val="22"/>
        </w:rPr>
      </w:pPr>
    </w:p>
    <w:p w:rsidR="00C06980" w:rsidRPr="00BB6C44" w:rsidP="00C06980">
      <w:pPr>
        <w:numPr>
          <w:ilvl w:val="0"/>
          <w:numId w:val="5"/>
        </w:numPr>
        <w:spacing w:after="200"/>
        <w:contextualSpacing/>
        <w:jc w:val="both"/>
        <w:rPr>
          <w:sz w:val="22"/>
          <w:szCs w:val="22"/>
        </w:rPr>
      </w:pPr>
      <w:r w:rsidRPr="002E1216">
        <w:rPr>
          <w:rFonts w:eastAsia="Calibri" w:cs="Arial"/>
          <w:sz w:val="22"/>
          <w:szCs w:val="22"/>
        </w:rPr>
        <w:t xml:space="preserve">The </w:t>
      </w:r>
      <w:r w:rsidR="00562C69">
        <w:rPr>
          <w:rFonts w:eastAsia="Calibri" w:cs="Arial"/>
          <w:sz w:val="22"/>
          <w:szCs w:val="22"/>
        </w:rPr>
        <w:t xml:space="preserve">AME budget of £49 billion in the </w:t>
      </w:r>
      <w:r>
        <w:rPr>
          <w:rFonts w:eastAsia="Calibri" w:cs="Arial"/>
          <w:sz w:val="22"/>
          <w:szCs w:val="22"/>
        </w:rPr>
        <w:t xml:space="preserve">2021-22 </w:t>
      </w:r>
      <w:r w:rsidRPr="002E1216">
        <w:rPr>
          <w:rFonts w:eastAsia="Calibri" w:cs="Arial"/>
          <w:sz w:val="22"/>
          <w:szCs w:val="22"/>
        </w:rPr>
        <w:t xml:space="preserve">Supplementary </w:t>
      </w:r>
      <w:r>
        <w:rPr>
          <w:rFonts w:eastAsia="Calibri" w:cs="Arial"/>
          <w:sz w:val="22"/>
          <w:szCs w:val="22"/>
        </w:rPr>
        <w:t xml:space="preserve">Supply </w:t>
      </w:r>
      <w:r w:rsidRPr="002E1216">
        <w:rPr>
          <w:rFonts w:eastAsia="Calibri" w:cs="Arial"/>
          <w:sz w:val="22"/>
          <w:szCs w:val="22"/>
        </w:rPr>
        <w:t xml:space="preserve">Estimate </w:t>
      </w:r>
      <w:r>
        <w:rPr>
          <w:rFonts w:eastAsia="Calibri" w:cs="Arial"/>
          <w:sz w:val="22"/>
          <w:szCs w:val="22"/>
        </w:rPr>
        <w:t xml:space="preserve">is </w:t>
      </w:r>
      <w:r w:rsidR="00562C69">
        <w:rPr>
          <w:rFonts w:eastAsia="Calibri" w:cs="Arial"/>
          <w:sz w:val="22"/>
          <w:szCs w:val="22"/>
        </w:rPr>
        <w:t xml:space="preserve">due to the </w:t>
      </w:r>
      <w:r>
        <w:rPr>
          <w:rFonts w:eastAsia="Calibri" w:cs="Arial"/>
          <w:sz w:val="22"/>
          <w:szCs w:val="22"/>
        </w:rPr>
        <w:t xml:space="preserve">change in the </w:t>
      </w:r>
      <w:r w:rsidRPr="00D30EAA">
        <w:rPr>
          <w:rFonts w:eastAsia="Calibri" w:cs="Arial"/>
          <w:sz w:val="22"/>
          <w:szCs w:val="22"/>
        </w:rPr>
        <w:t>discount rates</w:t>
      </w:r>
      <w:r>
        <w:rPr>
          <w:rFonts w:eastAsia="Calibri" w:cs="Arial"/>
          <w:sz w:val="22"/>
          <w:szCs w:val="22"/>
        </w:rPr>
        <w:t>,</w:t>
      </w:r>
      <w:r w:rsidRPr="00D30EAA">
        <w:rPr>
          <w:rFonts w:eastAsia="Calibri" w:cs="Arial"/>
          <w:sz w:val="22"/>
          <w:szCs w:val="22"/>
        </w:rPr>
        <w:t xml:space="preserve"> prescribed by HM Treasury</w:t>
      </w:r>
      <w:r w:rsidR="00562C69">
        <w:rPr>
          <w:rFonts w:eastAsia="Calibri" w:cs="Arial"/>
          <w:sz w:val="22"/>
          <w:szCs w:val="22"/>
        </w:rPr>
        <w:t xml:space="preserve"> in 2020-21 </w:t>
      </w:r>
      <w:r w:rsidRPr="002E1216">
        <w:rPr>
          <w:rFonts w:eastAsia="Calibri" w:cs="Arial"/>
          <w:sz w:val="22"/>
          <w:szCs w:val="22"/>
        </w:rPr>
        <w:t>to measure the value of long-term provisions liabilities</w:t>
      </w:r>
      <w:r w:rsidR="00562C69">
        <w:rPr>
          <w:rFonts w:eastAsia="Calibri" w:cs="Arial"/>
          <w:sz w:val="22"/>
          <w:szCs w:val="22"/>
        </w:rPr>
        <w:t xml:space="preserve">. The </w:t>
      </w:r>
      <w:r>
        <w:rPr>
          <w:rFonts w:eastAsia="Calibri" w:cs="Arial"/>
          <w:sz w:val="22"/>
          <w:szCs w:val="22"/>
        </w:rPr>
        <w:t xml:space="preserve">largest </w:t>
      </w:r>
      <w:r w:rsidR="00562C69">
        <w:rPr>
          <w:rFonts w:eastAsia="Calibri" w:cs="Arial"/>
          <w:sz w:val="22"/>
          <w:szCs w:val="22"/>
        </w:rPr>
        <w:t xml:space="preserve">of DHSC provisions </w:t>
      </w:r>
      <w:r w:rsidR="00C1579D">
        <w:rPr>
          <w:rFonts w:eastAsia="Calibri" w:cs="Arial"/>
          <w:sz w:val="22"/>
          <w:szCs w:val="22"/>
        </w:rPr>
        <w:t xml:space="preserve">is the </w:t>
      </w:r>
      <w:r>
        <w:rPr>
          <w:rFonts w:eastAsia="Calibri" w:cs="Arial"/>
          <w:sz w:val="22"/>
          <w:szCs w:val="22"/>
        </w:rPr>
        <w:t>clinical negligence scheme provisions. Th</w:t>
      </w:r>
      <w:r w:rsidR="00C1579D">
        <w:rPr>
          <w:rFonts w:eastAsia="Calibri" w:cs="Arial"/>
          <w:sz w:val="22"/>
          <w:szCs w:val="22"/>
        </w:rPr>
        <w:t xml:space="preserve">e </w:t>
      </w:r>
      <w:r>
        <w:rPr>
          <w:rFonts w:eastAsia="Calibri" w:cs="Arial"/>
          <w:sz w:val="22"/>
          <w:szCs w:val="22"/>
        </w:rPr>
        <w:t xml:space="preserve">discount rate change </w:t>
      </w:r>
      <w:r w:rsidR="00C1579D">
        <w:rPr>
          <w:rFonts w:eastAsia="Calibri"/>
          <w:sz w:val="22"/>
          <w:szCs w:val="22"/>
        </w:rPr>
        <w:t>did</w:t>
      </w:r>
      <w:r w:rsidRPr="001B5BD2">
        <w:rPr>
          <w:rFonts w:eastAsia="Calibri"/>
          <w:sz w:val="22"/>
          <w:szCs w:val="22"/>
        </w:rPr>
        <w:t xml:space="preserve"> not reflect an increase in the incidence of harm or an increase </w:t>
      </w:r>
      <w:r w:rsidR="00904D24">
        <w:rPr>
          <w:rFonts w:eastAsia="Calibri"/>
          <w:sz w:val="22"/>
          <w:szCs w:val="22"/>
        </w:rPr>
        <w:t xml:space="preserve">in </w:t>
      </w:r>
      <w:r w:rsidRPr="001B5BD2">
        <w:rPr>
          <w:rFonts w:eastAsia="Calibri"/>
          <w:sz w:val="22"/>
          <w:szCs w:val="22"/>
        </w:rPr>
        <w:t>the cash required to settle cla</w:t>
      </w:r>
      <w:r>
        <w:rPr>
          <w:rFonts w:eastAsia="Calibri"/>
          <w:sz w:val="22"/>
          <w:szCs w:val="22"/>
        </w:rPr>
        <w:t>i</w:t>
      </w:r>
      <w:r w:rsidRPr="001B5BD2">
        <w:rPr>
          <w:rFonts w:eastAsia="Calibri"/>
          <w:sz w:val="22"/>
          <w:szCs w:val="22"/>
        </w:rPr>
        <w:t>ms</w:t>
      </w:r>
      <w:r>
        <w:rPr>
          <w:rFonts w:eastAsia="Calibri"/>
          <w:sz w:val="22"/>
          <w:szCs w:val="22"/>
        </w:rPr>
        <w:t>.</w:t>
      </w:r>
      <w:r w:rsidRPr="1E5613FD">
        <w:rPr>
          <w:rFonts w:eastAsia="Calibri" w:cs="Arial"/>
          <w:sz w:val="22"/>
          <w:szCs w:val="22"/>
        </w:rPr>
        <w:t xml:space="preserve"> </w:t>
      </w:r>
    </w:p>
    <w:p w:rsidR="00C06980" w:rsidRPr="00565172" w:rsidP="004F64C1">
      <w:pPr>
        <w:ind w:left="567"/>
        <w:jc w:val="both"/>
        <w:rPr>
          <w:rFonts w:eastAsiaTheme="minorHAnsi" w:cs="Arial"/>
          <w:sz w:val="22"/>
          <w:szCs w:val="22"/>
          <w:lang w:eastAsia="en-US"/>
        </w:rPr>
      </w:pPr>
    </w:p>
    <w:p w:rsidR="004F64C1" w:rsidRPr="00565172" w:rsidP="004F64C1">
      <w:pPr>
        <w:jc w:val="both"/>
        <w:rPr>
          <w:rFonts w:eastAsia="Calibri" w:cs="Arial"/>
          <w:sz w:val="22"/>
          <w:szCs w:val="22"/>
          <w:u w:val="single"/>
        </w:rPr>
      </w:pPr>
    </w:p>
    <w:p w:rsidR="004F64C1" w:rsidRPr="00FD7D3E" w:rsidP="001F4DFB">
      <w:pPr>
        <w:numPr>
          <w:ilvl w:val="1"/>
          <w:numId w:val="4"/>
        </w:numPr>
        <w:spacing w:after="120" w:line="276" w:lineRule="auto"/>
        <w:ind w:left="567" w:hanging="567"/>
        <w:jc w:val="both"/>
        <w:rPr>
          <w:rFonts w:eastAsia="Calibri" w:cs="Arial"/>
          <w:b/>
          <w:sz w:val="22"/>
          <w:szCs w:val="22"/>
        </w:rPr>
      </w:pPr>
      <w:r w:rsidRPr="00FD7D3E">
        <w:rPr>
          <w:rFonts w:eastAsia="Calibri" w:cs="Arial"/>
          <w:b/>
          <w:sz w:val="22"/>
          <w:szCs w:val="22"/>
        </w:rPr>
        <w:t xml:space="preserve">Ring Fenced Budgets </w:t>
      </w:r>
    </w:p>
    <w:p w:rsidR="004F64C1" w:rsidRPr="00FD7D3E" w:rsidP="004F64C1">
      <w:pPr>
        <w:ind w:left="567"/>
        <w:jc w:val="both"/>
        <w:rPr>
          <w:rFonts w:eastAsia="Calibri" w:cs="Arial"/>
          <w:sz w:val="22"/>
          <w:szCs w:val="22"/>
        </w:rPr>
      </w:pPr>
      <w:r w:rsidRPr="00FD7D3E">
        <w:rPr>
          <w:rFonts w:eastAsia="Calibri" w:cs="Arial"/>
          <w:sz w:val="22"/>
          <w:szCs w:val="22"/>
        </w:rPr>
        <w:t>Within the totals, the following elements are ring fenced i.e. savings in these budgets may not be used to fund pressures on other budgets.</w:t>
      </w:r>
    </w:p>
    <w:p w:rsidR="004F64C1" w:rsidRPr="00FD7D3E" w:rsidP="004F64C1">
      <w:pPr>
        <w:ind w:left="567"/>
        <w:jc w:val="both"/>
        <w:rPr>
          <w:rFonts w:eastAsia="Calibri" w:cs="Arial"/>
          <w:sz w:val="22"/>
          <w:szCs w:val="22"/>
        </w:rPr>
      </w:pPr>
    </w:p>
    <w:tbl>
      <w:tblPr>
        <w:tblW w:w="5000" w:type="pct"/>
        <w:tblLook w:val="04A0"/>
      </w:tblPr>
      <w:tblGrid>
        <w:gridCol w:w="2034"/>
        <w:gridCol w:w="1498"/>
        <w:gridCol w:w="1806"/>
        <w:gridCol w:w="1037"/>
        <w:gridCol w:w="926"/>
        <w:gridCol w:w="1498"/>
        <w:gridCol w:w="977"/>
        <w:gridCol w:w="986"/>
      </w:tblGrid>
      <w:tr w:rsidTr="00012D47">
        <w:tblPrEx>
          <w:tblW w:w="5000" w:type="pct"/>
          <w:tblLook w:val="04A0"/>
        </w:tblPrEx>
        <w:trPr>
          <w:trHeight w:val="1215"/>
        </w:trPr>
        <w:tc>
          <w:tcPr>
            <w:tcW w:w="945" w:type="pct"/>
            <w:vMerge w:val="restart"/>
            <w:tcBorders>
              <w:top w:val="single" w:sz="4" w:space="0" w:color="auto"/>
              <w:left w:val="single" w:sz="4" w:space="0" w:color="auto"/>
              <w:bottom w:val="single" w:sz="4" w:space="0" w:color="000000"/>
              <w:right w:val="single" w:sz="4" w:space="0" w:color="auto"/>
            </w:tcBorders>
            <w:shd w:val="clear" w:color="000000" w:fill="333F4F"/>
            <w:noWrap/>
            <w:vAlign w:val="center"/>
            <w:hideMark/>
          </w:tcPr>
          <w:p w:rsidR="00F67705" w:rsidRPr="00F67705" w:rsidP="00F67705">
            <w:pPr>
              <w:rPr>
                <w:rFonts w:cs="Arial"/>
                <w:b/>
                <w:bCs/>
                <w:color w:val="FFFFFF"/>
                <w:sz w:val="22"/>
                <w:szCs w:val="22"/>
              </w:rPr>
            </w:pPr>
            <w:r w:rsidRPr="00F67705">
              <w:rPr>
                <w:rFonts w:cs="Arial"/>
                <w:b/>
                <w:bCs/>
                <w:color w:val="FFFFFF"/>
                <w:sz w:val="22"/>
                <w:szCs w:val="22"/>
              </w:rPr>
              <w:t>DEL Type</w:t>
            </w:r>
          </w:p>
        </w:tc>
        <w:tc>
          <w:tcPr>
            <w:tcW w:w="696" w:type="pct"/>
            <w:tcBorders>
              <w:top w:val="single" w:sz="4" w:space="0" w:color="auto"/>
              <w:left w:val="nil"/>
              <w:bottom w:val="single" w:sz="4" w:space="0" w:color="auto"/>
              <w:right w:val="single" w:sz="4" w:space="0" w:color="auto"/>
            </w:tcBorders>
            <w:shd w:val="clear" w:color="000000" w:fill="333F4F"/>
            <w:vAlign w:val="center"/>
            <w:hideMark/>
          </w:tcPr>
          <w:p w:rsidR="00F67705" w:rsidRPr="00F67705" w:rsidP="00F67705">
            <w:pPr>
              <w:jc w:val="center"/>
              <w:rPr>
                <w:rFonts w:cs="Arial"/>
                <w:b/>
                <w:bCs/>
                <w:color w:val="FFFFFF"/>
                <w:sz w:val="22"/>
                <w:szCs w:val="22"/>
              </w:rPr>
            </w:pPr>
            <w:r w:rsidRPr="00F67705">
              <w:rPr>
                <w:rFonts w:cs="Arial"/>
                <w:b/>
                <w:bCs/>
                <w:color w:val="FFFFFF"/>
                <w:sz w:val="22"/>
                <w:szCs w:val="22"/>
              </w:rPr>
              <w:t>2022-23 Main Estimate</w:t>
            </w:r>
          </w:p>
        </w:tc>
        <w:tc>
          <w:tcPr>
            <w:tcW w:w="839" w:type="pct"/>
            <w:tcBorders>
              <w:top w:val="single" w:sz="4" w:space="0" w:color="auto"/>
              <w:left w:val="nil"/>
              <w:bottom w:val="single" w:sz="4" w:space="0" w:color="auto"/>
              <w:right w:val="single" w:sz="4" w:space="0" w:color="auto"/>
            </w:tcBorders>
            <w:shd w:val="clear" w:color="000000" w:fill="333F4F"/>
            <w:vAlign w:val="center"/>
            <w:hideMark/>
          </w:tcPr>
          <w:p w:rsidR="00F67705" w:rsidRPr="00F67705" w:rsidP="00F67705">
            <w:pPr>
              <w:jc w:val="center"/>
              <w:rPr>
                <w:rFonts w:cs="Arial"/>
                <w:b/>
                <w:bCs/>
                <w:color w:val="FFFFFF"/>
                <w:sz w:val="22"/>
                <w:szCs w:val="22"/>
              </w:rPr>
            </w:pPr>
            <w:r w:rsidRPr="00F67705">
              <w:rPr>
                <w:rFonts w:cs="Arial"/>
                <w:b/>
                <w:bCs/>
                <w:color w:val="FFFFFF"/>
                <w:sz w:val="22"/>
                <w:szCs w:val="22"/>
              </w:rPr>
              <w:t>2021-22 Supplementary Supply Estimate (SSE)</w:t>
            </w:r>
          </w:p>
        </w:tc>
        <w:tc>
          <w:tcPr>
            <w:tcW w:w="912" w:type="pct"/>
            <w:gridSpan w:val="2"/>
            <w:tcBorders>
              <w:top w:val="single" w:sz="4" w:space="0" w:color="auto"/>
              <w:left w:val="nil"/>
              <w:bottom w:val="single" w:sz="4" w:space="0" w:color="auto"/>
              <w:right w:val="single" w:sz="4" w:space="0" w:color="auto"/>
            </w:tcBorders>
            <w:shd w:val="clear" w:color="000000" w:fill="333F4F"/>
            <w:vAlign w:val="center"/>
            <w:hideMark/>
          </w:tcPr>
          <w:p w:rsidR="00F67705" w:rsidRPr="00F67705" w:rsidP="00F67705">
            <w:pPr>
              <w:jc w:val="center"/>
              <w:rPr>
                <w:rFonts w:cs="Arial"/>
                <w:b/>
                <w:bCs/>
                <w:i/>
                <w:iCs/>
                <w:color w:val="FFFFFF"/>
                <w:sz w:val="22"/>
                <w:szCs w:val="22"/>
              </w:rPr>
            </w:pPr>
            <w:r w:rsidRPr="00F67705">
              <w:rPr>
                <w:rFonts w:cs="Arial"/>
                <w:b/>
                <w:bCs/>
                <w:i/>
                <w:iCs/>
                <w:color w:val="FFFFFF"/>
                <w:sz w:val="22"/>
                <w:szCs w:val="22"/>
              </w:rPr>
              <w:t xml:space="preserve">Variance to </w:t>
            </w:r>
            <w:r w:rsidRPr="00F67705">
              <w:rPr>
                <w:rFonts w:cs="Arial"/>
                <w:b/>
                <w:bCs/>
                <w:i/>
                <w:iCs/>
                <w:color w:val="FFFFFF"/>
                <w:sz w:val="22"/>
                <w:szCs w:val="22"/>
              </w:rPr>
              <w:br/>
              <w:t>2021-22 SSE</w:t>
            </w:r>
          </w:p>
        </w:tc>
        <w:tc>
          <w:tcPr>
            <w:tcW w:w="696" w:type="pct"/>
            <w:tcBorders>
              <w:top w:val="single" w:sz="4" w:space="0" w:color="auto"/>
              <w:left w:val="nil"/>
              <w:bottom w:val="single" w:sz="4" w:space="0" w:color="auto"/>
              <w:right w:val="single" w:sz="4" w:space="0" w:color="auto"/>
            </w:tcBorders>
            <w:shd w:val="clear" w:color="000000" w:fill="333F4F"/>
            <w:vAlign w:val="center"/>
            <w:hideMark/>
          </w:tcPr>
          <w:p w:rsidR="00F67705" w:rsidRPr="00F67705" w:rsidP="00F67705">
            <w:pPr>
              <w:jc w:val="center"/>
              <w:rPr>
                <w:rFonts w:cs="Arial"/>
                <w:b/>
                <w:bCs/>
                <w:color w:val="FFFFFF"/>
                <w:sz w:val="22"/>
                <w:szCs w:val="22"/>
              </w:rPr>
            </w:pPr>
            <w:r w:rsidRPr="00F67705">
              <w:rPr>
                <w:rFonts w:cs="Arial"/>
                <w:b/>
                <w:bCs/>
                <w:color w:val="FFFFFF"/>
                <w:sz w:val="22"/>
                <w:szCs w:val="22"/>
              </w:rPr>
              <w:t>2021-22 Main Estimate</w:t>
            </w:r>
          </w:p>
        </w:tc>
        <w:tc>
          <w:tcPr>
            <w:tcW w:w="912" w:type="pct"/>
            <w:gridSpan w:val="2"/>
            <w:tcBorders>
              <w:top w:val="single" w:sz="4" w:space="0" w:color="auto"/>
              <w:left w:val="nil"/>
              <w:bottom w:val="single" w:sz="4" w:space="0" w:color="auto"/>
              <w:right w:val="single" w:sz="4" w:space="0" w:color="auto"/>
            </w:tcBorders>
            <w:shd w:val="clear" w:color="000000" w:fill="333F4F"/>
            <w:vAlign w:val="center"/>
            <w:hideMark/>
          </w:tcPr>
          <w:p w:rsidR="00F67705" w:rsidRPr="00F67705" w:rsidP="00F67705">
            <w:pPr>
              <w:jc w:val="center"/>
              <w:rPr>
                <w:rFonts w:cs="Arial"/>
                <w:b/>
                <w:bCs/>
                <w:i/>
                <w:iCs/>
                <w:color w:val="FFFFFF"/>
                <w:sz w:val="22"/>
                <w:szCs w:val="22"/>
              </w:rPr>
            </w:pPr>
            <w:r w:rsidRPr="00F67705">
              <w:rPr>
                <w:rFonts w:cs="Arial"/>
                <w:b/>
                <w:bCs/>
                <w:i/>
                <w:iCs/>
                <w:color w:val="FFFFFF"/>
                <w:sz w:val="22"/>
                <w:szCs w:val="22"/>
              </w:rPr>
              <w:t xml:space="preserve">Variance to </w:t>
            </w:r>
            <w:r w:rsidRPr="00F67705">
              <w:rPr>
                <w:rFonts w:cs="Arial"/>
                <w:b/>
                <w:bCs/>
                <w:i/>
                <w:iCs/>
                <w:color w:val="FFFFFF"/>
                <w:sz w:val="22"/>
                <w:szCs w:val="22"/>
              </w:rPr>
              <w:br/>
              <w:t>2021-22 Main Estimate</w:t>
            </w:r>
          </w:p>
        </w:tc>
      </w:tr>
      <w:tr w:rsidTr="00012D47">
        <w:tblPrEx>
          <w:tblW w:w="5000" w:type="pct"/>
          <w:tblLook w:val="04A0"/>
        </w:tblPrEx>
        <w:trPr>
          <w:trHeight w:val="300"/>
        </w:trPr>
        <w:tc>
          <w:tcPr>
            <w:tcW w:w="945" w:type="pct"/>
            <w:vMerge/>
            <w:tcBorders>
              <w:top w:val="single" w:sz="4" w:space="0" w:color="auto"/>
              <w:left w:val="single" w:sz="4" w:space="0" w:color="auto"/>
              <w:bottom w:val="single" w:sz="4" w:space="0" w:color="000000"/>
              <w:right w:val="single" w:sz="4" w:space="0" w:color="auto"/>
            </w:tcBorders>
            <w:vAlign w:val="center"/>
            <w:hideMark/>
          </w:tcPr>
          <w:p w:rsidR="00F67705" w:rsidRPr="00F67705" w:rsidP="00F67705">
            <w:pPr>
              <w:rPr>
                <w:rFonts w:cs="Arial"/>
                <w:b/>
                <w:bCs/>
                <w:color w:val="FFFFFF"/>
                <w:sz w:val="22"/>
                <w:szCs w:val="22"/>
              </w:rPr>
            </w:pPr>
          </w:p>
        </w:tc>
        <w:tc>
          <w:tcPr>
            <w:tcW w:w="696" w:type="pct"/>
            <w:tcBorders>
              <w:top w:val="nil"/>
              <w:left w:val="nil"/>
              <w:bottom w:val="single" w:sz="4" w:space="0" w:color="auto"/>
              <w:right w:val="single" w:sz="4" w:space="0" w:color="auto"/>
            </w:tcBorders>
            <w:shd w:val="clear" w:color="000000" w:fill="333F4F"/>
            <w:noWrap/>
            <w:vAlign w:val="bottom"/>
            <w:hideMark/>
          </w:tcPr>
          <w:p w:rsidR="00F67705" w:rsidRPr="00F67705" w:rsidP="00F67705">
            <w:pPr>
              <w:jc w:val="right"/>
              <w:rPr>
                <w:rFonts w:cs="Arial"/>
                <w:b/>
                <w:bCs/>
                <w:color w:val="FFFFFF"/>
                <w:sz w:val="22"/>
                <w:szCs w:val="22"/>
              </w:rPr>
            </w:pPr>
            <w:r w:rsidRPr="00F67705">
              <w:rPr>
                <w:rFonts w:cs="Arial"/>
                <w:b/>
                <w:bCs/>
                <w:color w:val="FFFFFF"/>
                <w:sz w:val="22"/>
                <w:szCs w:val="22"/>
              </w:rPr>
              <w:t>£m</w:t>
            </w:r>
          </w:p>
        </w:tc>
        <w:tc>
          <w:tcPr>
            <w:tcW w:w="839" w:type="pct"/>
            <w:tcBorders>
              <w:top w:val="nil"/>
              <w:left w:val="nil"/>
              <w:bottom w:val="single" w:sz="4" w:space="0" w:color="auto"/>
              <w:right w:val="single" w:sz="4" w:space="0" w:color="auto"/>
            </w:tcBorders>
            <w:shd w:val="clear" w:color="000000" w:fill="333F4F"/>
            <w:noWrap/>
            <w:vAlign w:val="bottom"/>
            <w:hideMark/>
          </w:tcPr>
          <w:p w:rsidR="00F67705" w:rsidRPr="00F67705" w:rsidP="00F67705">
            <w:pPr>
              <w:jc w:val="right"/>
              <w:rPr>
                <w:rFonts w:cs="Arial"/>
                <w:b/>
                <w:bCs/>
                <w:color w:val="FFFFFF"/>
                <w:sz w:val="22"/>
                <w:szCs w:val="22"/>
              </w:rPr>
            </w:pPr>
            <w:r w:rsidRPr="00F67705">
              <w:rPr>
                <w:rFonts w:cs="Arial"/>
                <w:b/>
                <w:bCs/>
                <w:color w:val="FFFFFF"/>
                <w:sz w:val="22"/>
                <w:szCs w:val="22"/>
              </w:rPr>
              <w:t>£m</w:t>
            </w:r>
          </w:p>
        </w:tc>
        <w:tc>
          <w:tcPr>
            <w:tcW w:w="482" w:type="pct"/>
            <w:tcBorders>
              <w:top w:val="nil"/>
              <w:left w:val="nil"/>
              <w:bottom w:val="single" w:sz="4" w:space="0" w:color="auto"/>
              <w:right w:val="single" w:sz="4" w:space="0" w:color="auto"/>
            </w:tcBorders>
            <w:shd w:val="clear" w:color="000000" w:fill="333F4F"/>
            <w:noWrap/>
            <w:vAlign w:val="bottom"/>
            <w:hideMark/>
          </w:tcPr>
          <w:p w:rsidR="00F67705" w:rsidRPr="00F67705" w:rsidP="00F67705">
            <w:pPr>
              <w:jc w:val="right"/>
              <w:rPr>
                <w:rFonts w:cs="Arial"/>
                <w:b/>
                <w:bCs/>
                <w:i/>
                <w:iCs/>
                <w:color w:val="FFFFFF"/>
                <w:sz w:val="22"/>
                <w:szCs w:val="22"/>
              </w:rPr>
            </w:pPr>
            <w:r w:rsidRPr="00F67705">
              <w:rPr>
                <w:rFonts w:cs="Arial"/>
                <w:b/>
                <w:bCs/>
                <w:i/>
                <w:iCs/>
                <w:color w:val="FFFFFF"/>
                <w:sz w:val="22"/>
                <w:szCs w:val="22"/>
              </w:rPr>
              <w:t>£m</w:t>
            </w:r>
          </w:p>
        </w:tc>
        <w:tc>
          <w:tcPr>
            <w:tcW w:w="430" w:type="pct"/>
            <w:tcBorders>
              <w:top w:val="nil"/>
              <w:left w:val="nil"/>
              <w:bottom w:val="single" w:sz="4" w:space="0" w:color="auto"/>
              <w:right w:val="single" w:sz="4" w:space="0" w:color="auto"/>
            </w:tcBorders>
            <w:shd w:val="clear" w:color="000000" w:fill="333F4F"/>
            <w:noWrap/>
            <w:vAlign w:val="bottom"/>
            <w:hideMark/>
          </w:tcPr>
          <w:p w:rsidR="00F67705" w:rsidRPr="00F67705" w:rsidP="00F67705">
            <w:pPr>
              <w:jc w:val="right"/>
              <w:rPr>
                <w:rFonts w:cs="Arial"/>
                <w:b/>
                <w:bCs/>
                <w:i/>
                <w:iCs/>
                <w:color w:val="FFFFFF"/>
                <w:sz w:val="22"/>
                <w:szCs w:val="22"/>
              </w:rPr>
            </w:pPr>
            <w:r w:rsidRPr="00F67705">
              <w:rPr>
                <w:rFonts w:cs="Arial"/>
                <w:b/>
                <w:bCs/>
                <w:i/>
                <w:iCs/>
                <w:color w:val="FFFFFF"/>
                <w:sz w:val="22"/>
                <w:szCs w:val="22"/>
              </w:rPr>
              <w:t>%</w:t>
            </w:r>
          </w:p>
        </w:tc>
        <w:tc>
          <w:tcPr>
            <w:tcW w:w="696" w:type="pct"/>
            <w:tcBorders>
              <w:top w:val="nil"/>
              <w:left w:val="nil"/>
              <w:bottom w:val="single" w:sz="4" w:space="0" w:color="auto"/>
              <w:right w:val="single" w:sz="4" w:space="0" w:color="auto"/>
            </w:tcBorders>
            <w:shd w:val="clear" w:color="000000" w:fill="333F4F"/>
            <w:noWrap/>
            <w:vAlign w:val="bottom"/>
            <w:hideMark/>
          </w:tcPr>
          <w:p w:rsidR="00F67705" w:rsidRPr="00F67705" w:rsidP="00F67705">
            <w:pPr>
              <w:jc w:val="right"/>
              <w:rPr>
                <w:rFonts w:cs="Arial"/>
                <w:b/>
                <w:bCs/>
                <w:i/>
                <w:iCs/>
                <w:color w:val="FFFFFF"/>
                <w:sz w:val="22"/>
                <w:szCs w:val="22"/>
              </w:rPr>
            </w:pPr>
            <w:r w:rsidRPr="00F67705">
              <w:rPr>
                <w:rFonts w:cs="Arial"/>
                <w:b/>
                <w:bCs/>
                <w:i/>
                <w:iCs/>
                <w:color w:val="FFFFFF"/>
                <w:sz w:val="22"/>
                <w:szCs w:val="22"/>
              </w:rPr>
              <w:t>£m</w:t>
            </w:r>
          </w:p>
        </w:tc>
        <w:tc>
          <w:tcPr>
            <w:tcW w:w="454" w:type="pct"/>
            <w:tcBorders>
              <w:top w:val="nil"/>
              <w:left w:val="nil"/>
              <w:bottom w:val="single" w:sz="4" w:space="0" w:color="auto"/>
              <w:right w:val="single" w:sz="4" w:space="0" w:color="auto"/>
            </w:tcBorders>
            <w:shd w:val="clear" w:color="000000" w:fill="333F4F"/>
            <w:noWrap/>
            <w:vAlign w:val="bottom"/>
            <w:hideMark/>
          </w:tcPr>
          <w:p w:rsidR="00F67705" w:rsidRPr="00F67705" w:rsidP="00F67705">
            <w:pPr>
              <w:jc w:val="right"/>
              <w:rPr>
                <w:rFonts w:cs="Arial"/>
                <w:b/>
                <w:bCs/>
                <w:i/>
                <w:iCs/>
                <w:color w:val="FFFFFF"/>
                <w:sz w:val="22"/>
                <w:szCs w:val="22"/>
              </w:rPr>
            </w:pPr>
            <w:r w:rsidRPr="00F67705">
              <w:rPr>
                <w:rFonts w:cs="Arial"/>
                <w:b/>
                <w:bCs/>
                <w:i/>
                <w:iCs/>
                <w:color w:val="FFFFFF"/>
                <w:sz w:val="22"/>
                <w:szCs w:val="22"/>
              </w:rPr>
              <w:t>£m</w:t>
            </w:r>
          </w:p>
        </w:tc>
        <w:tc>
          <w:tcPr>
            <w:tcW w:w="458" w:type="pct"/>
            <w:tcBorders>
              <w:top w:val="nil"/>
              <w:left w:val="nil"/>
              <w:bottom w:val="single" w:sz="4" w:space="0" w:color="auto"/>
              <w:right w:val="single" w:sz="4" w:space="0" w:color="auto"/>
            </w:tcBorders>
            <w:shd w:val="clear" w:color="000000" w:fill="333F4F"/>
            <w:noWrap/>
            <w:vAlign w:val="bottom"/>
            <w:hideMark/>
          </w:tcPr>
          <w:p w:rsidR="00F67705" w:rsidRPr="00F67705" w:rsidP="00F67705">
            <w:pPr>
              <w:jc w:val="right"/>
              <w:rPr>
                <w:rFonts w:cs="Arial"/>
                <w:b/>
                <w:bCs/>
                <w:i/>
                <w:iCs/>
                <w:color w:val="FFFFFF"/>
                <w:sz w:val="22"/>
                <w:szCs w:val="22"/>
              </w:rPr>
            </w:pPr>
            <w:r w:rsidRPr="00F67705">
              <w:rPr>
                <w:rFonts w:cs="Arial"/>
                <w:b/>
                <w:bCs/>
                <w:i/>
                <w:iCs/>
                <w:color w:val="FFFFFF"/>
                <w:sz w:val="22"/>
                <w:szCs w:val="22"/>
              </w:rPr>
              <w:t>%</w:t>
            </w:r>
          </w:p>
        </w:tc>
      </w:tr>
      <w:tr w:rsidTr="00012D47">
        <w:tblPrEx>
          <w:tblW w:w="5000" w:type="pct"/>
          <w:tblLook w:val="04A0"/>
        </w:tblPrEx>
        <w:trPr>
          <w:trHeight w:val="285"/>
        </w:trPr>
        <w:tc>
          <w:tcPr>
            <w:tcW w:w="945" w:type="pct"/>
            <w:tcBorders>
              <w:top w:val="nil"/>
              <w:left w:val="single" w:sz="4" w:space="0" w:color="auto"/>
              <w:bottom w:val="single" w:sz="4" w:space="0" w:color="auto"/>
              <w:right w:val="single" w:sz="4" w:space="0" w:color="auto"/>
            </w:tcBorders>
            <w:shd w:val="clear" w:color="auto" w:fill="auto"/>
            <w:vAlign w:val="center"/>
            <w:hideMark/>
          </w:tcPr>
          <w:p w:rsidR="00F67705" w:rsidRPr="00F67705" w:rsidP="00F67705">
            <w:pPr>
              <w:rPr>
                <w:rFonts w:cs="Arial"/>
                <w:color w:val="000000"/>
                <w:sz w:val="22"/>
                <w:szCs w:val="22"/>
              </w:rPr>
            </w:pPr>
            <w:r w:rsidRPr="00F67705">
              <w:rPr>
                <w:rFonts w:cs="Arial"/>
                <w:color w:val="000000"/>
                <w:sz w:val="22"/>
                <w:szCs w:val="22"/>
              </w:rPr>
              <w:t>ODA Total</w:t>
            </w:r>
          </w:p>
        </w:tc>
        <w:tc>
          <w:tcPr>
            <w:tcW w:w="696" w:type="pct"/>
            <w:tcBorders>
              <w:top w:val="nil"/>
              <w:left w:val="nil"/>
              <w:bottom w:val="single" w:sz="4" w:space="0" w:color="auto"/>
              <w:right w:val="single" w:sz="4" w:space="0" w:color="auto"/>
            </w:tcBorders>
            <w:shd w:val="clear" w:color="auto" w:fill="auto"/>
            <w:noWrap/>
            <w:vAlign w:val="center"/>
            <w:hideMark/>
          </w:tcPr>
          <w:p w:rsidR="00F67705" w:rsidRPr="00F67705" w:rsidP="00F67705">
            <w:pPr>
              <w:jc w:val="right"/>
              <w:rPr>
                <w:rFonts w:cs="Arial"/>
                <w:color w:val="000000"/>
                <w:sz w:val="22"/>
                <w:szCs w:val="22"/>
              </w:rPr>
            </w:pPr>
            <w:r w:rsidRPr="00F67705">
              <w:rPr>
                <w:rFonts w:cs="Arial"/>
                <w:color w:val="000000"/>
                <w:sz w:val="22"/>
                <w:szCs w:val="22"/>
              </w:rPr>
              <w:t>241</w:t>
            </w:r>
          </w:p>
        </w:tc>
        <w:tc>
          <w:tcPr>
            <w:tcW w:w="839" w:type="pct"/>
            <w:tcBorders>
              <w:top w:val="nil"/>
              <w:left w:val="nil"/>
              <w:bottom w:val="single" w:sz="4" w:space="0" w:color="auto"/>
              <w:right w:val="single" w:sz="4" w:space="0" w:color="auto"/>
            </w:tcBorders>
            <w:shd w:val="clear" w:color="auto" w:fill="auto"/>
            <w:noWrap/>
            <w:vAlign w:val="center"/>
            <w:hideMark/>
          </w:tcPr>
          <w:p w:rsidR="00F67705" w:rsidRPr="00F67705" w:rsidP="00F67705">
            <w:pPr>
              <w:jc w:val="right"/>
              <w:rPr>
                <w:rFonts w:cs="Arial"/>
                <w:color w:val="000000"/>
                <w:sz w:val="22"/>
                <w:szCs w:val="22"/>
              </w:rPr>
            </w:pPr>
            <w:r w:rsidRPr="00F67705">
              <w:rPr>
                <w:rFonts w:cs="Arial"/>
                <w:color w:val="000000"/>
                <w:sz w:val="22"/>
                <w:szCs w:val="22"/>
              </w:rPr>
              <w:t>160</w:t>
            </w:r>
          </w:p>
        </w:tc>
        <w:tc>
          <w:tcPr>
            <w:tcW w:w="482" w:type="pct"/>
            <w:tcBorders>
              <w:top w:val="nil"/>
              <w:left w:val="nil"/>
              <w:bottom w:val="single" w:sz="4" w:space="0" w:color="auto"/>
              <w:right w:val="single" w:sz="4" w:space="0" w:color="auto"/>
            </w:tcBorders>
            <w:shd w:val="clear" w:color="auto" w:fill="auto"/>
            <w:noWrap/>
            <w:vAlign w:val="center"/>
            <w:hideMark/>
          </w:tcPr>
          <w:p w:rsidR="00F67705" w:rsidRPr="00F67705" w:rsidP="00F67705">
            <w:pPr>
              <w:jc w:val="right"/>
              <w:rPr>
                <w:rFonts w:cs="Arial"/>
                <w:color w:val="000000"/>
                <w:sz w:val="22"/>
                <w:szCs w:val="22"/>
              </w:rPr>
            </w:pPr>
            <w:r w:rsidRPr="00F67705">
              <w:rPr>
                <w:rFonts w:cs="Arial"/>
                <w:color w:val="000000"/>
                <w:sz w:val="22"/>
                <w:szCs w:val="22"/>
              </w:rPr>
              <w:t>81</w:t>
            </w:r>
          </w:p>
        </w:tc>
        <w:tc>
          <w:tcPr>
            <w:tcW w:w="430" w:type="pct"/>
            <w:tcBorders>
              <w:top w:val="nil"/>
              <w:left w:val="nil"/>
              <w:bottom w:val="single" w:sz="4" w:space="0" w:color="auto"/>
              <w:right w:val="single" w:sz="4" w:space="0" w:color="auto"/>
            </w:tcBorders>
            <w:shd w:val="clear" w:color="auto" w:fill="auto"/>
            <w:noWrap/>
            <w:vAlign w:val="center"/>
            <w:hideMark/>
          </w:tcPr>
          <w:p w:rsidR="00F67705" w:rsidRPr="00F67705" w:rsidP="00F67705">
            <w:pPr>
              <w:jc w:val="right"/>
              <w:rPr>
                <w:rFonts w:cs="Arial"/>
                <w:i/>
                <w:iCs/>
                <w:color w:val="000000"/>
                <w:sz w:val="22"/>
                <w:szCs w:val="22"/>
              </w:rPr>
            </w:pPr>
            <w:r w:rsidRPr="00F67705">
              <w:rPr>
                <w:rFonts w:cs="Arial"/>
                <w:i/>
                <w:iCs/>
                <w:color w:val="000000"/>
                <w:sz w:val="22"/>
                <w:szCs w:val="22"/>
              </w:rPr>
              <w:t>51%</w:t>
            </w:r>
          </w:p>
        </w:tc>
        <w:tc>
          <w:tcPr>
            <w:tcW w:w="696" w:type="pct"/>
            <w:tcBorders>
              <w:top w:val="nil"/>
              <w:left w:val="nil"/>
              <w:bottom w:val="single" w:sz="4" w:space="0" w:color="auto"/>
              <w:right w:val="single" w:sz="4" w:space="0" w:color="auto"/>
            </w:tcBorders>
            <w:shd w:val="clear" w:color="auto" w:fill="auto"/>
            <w:noWrap/>
            <w:vAlign w:val="center"/>
            <w:hideMark/>
          </w:tcPr>
          <w:p w:rsidR="00F67705" w:rsidRPr="00F67705" w:rsidP="00F67705">
            <w:pPr>
              <w:jc w:val="right"/>
              <w:rPr>
                <w:rFonts w:cs="Arial"/>
                <w:color w:val="000000"/>
                <w:sz w:val="22"/>
                <w:szCs w:val="22"/>
              </w:rPr>
            </w:pPr>
            <w:r w:rsidRPr="00F67705">
              <w:rPr>
                <w:rFonts w:cs="Arial"/>
                <w:color w:val="000000"/>
                <w:sz w:val="22"/>
                <w:szCs w:val="22"/>
              </w:rPr>
              <w:t>160</w:t>
            </w:r>
          </w:p>
        </w:tc>
        <w:tc>
          <w:tcPr>
            <w:tcW w:w="454" w:type="pct"/>
            <w:tcBorders>
              <w:top w:val="nil"/>
              <w:left w:val="nil"/>
              <w:bottom w:val="single" w:sz="4" w:space="0" w:color="auto"/>
              <w:right w:val="single" w:sz="4" w:space="0" w:color="auto"/>
            </w:tcBorders>
            <w:shd w:val="clear" w:color="auto" w:fill="auto"/>
            <w:noWrap/>
            <w:vAlign w:val="center"/>
            <w:hideMark/>
          </w:tcPr>
          <w:p w:rsidR="00F67705" w:rsidRPr="00F67705" w:rsidP="00F67705">
            <w:pPr>
              <w:jc w:val="right"/>
              <w:rPr>
                <w:rFonts w:cs="Arial"/>
                <w:color w:val="000000"/>
                <w:sz w:val="22"/>
                <w:szCs w:val="22"/>
              </w:rPr>
            </w:pPr>
            <w:r w:rsidRPr="00F67705">
              <w:rPr>
                <w:rFonts w:cs="Arial"/>
                <w:color w:val="000000"/>
                <w:sz w:val="22"/>
                <w:szCs w:val="22"/>
              </w:rPr>
              <w:t>81</w:t>
            </w:r>
          </w:p>
        </w:tc>
        <w:tc>
          <w:tcPr>
            <w:tcW w:w="458" w:type="pct"/>
            <w:tcBorders>
              <w:top w:val="nil"/>
              <w:left w:val="nil"/>
              <w:bottom w:val="single" w:sz="4" w:space="0" w:color="auto"/>
              <w:right w:val="single" w:sz="4" w:space="0" w:color="auto"/>
            </w:tcBorders>
            <w:shd w:val="clear" w:color="auto" w:fill="auto"/>
            <w:noWrap/>
            <w:vAlign w:val="center"/>
            <w:hideMark/>
          </w:tcPr>
          <w:p w:rsidR="00F67705" w:rsidRPr="00F67705" w:rsidP="00F67705">
            <w:pPr>
              <w:jc w:val="right"/>
              <w:rPr>
                <w:rFonts w:cs="Arial"/>
                <w:i/>
                <w:iCs/>
                <w:color w:val="000000"/>
                <w:sz w:val="22"/>
                <w:szCs w:val="22"/>
              </w:rPr>
            </w:pPr>
            <w:r w:rsidRPr="00F67705">
              <w:rPr>
                <w:rFonts w:cs="Arial"/>
                <w:i/>
                <w:iCs/>
                <w:color w:val="000000"/>
                <w:sz w:val="22"/>
                <w:szCs w:val="22"/>
              </w:rPr>
              <w:t>51%</w:t>
            </w:r>
          </w:p>
        </w:tc>
      </w:tr>
      <w:tr w:rsidTr="00012D47">
        <w:tblPrEx>
          <w:tblW w:w="5000" w:type="pct"/>
          <w:tblLook w:val="04A0"/>
        </w:tblPrEx>
        <w:trPr>
          <w:trHeight w:val="285"/>
        </w:trPr>
        <w:tc>
          <w:tcPr>
            <w:tcW w:w="945" w:type="pct"/>
            <w:tcBorders>
              <w:top w:val="nil"/>
              <w:left w:val="single" w:sz="4" w:space="0" w:color="auto"/>
              <w:bottom w:val="single" w:sz="4" w:space="0" w:color="auto"/>
              <w:right w:val="single" w:sz="4" w:space="0" w:color="auto"/>
            </w:tcBorders>
            <w:shd w:val="clear" w:color="auto" w:fill="auto"/>
            <w:vAlign w:val="center"/>
            <w:hideMark/>
          </w:tcPr>
          <w:p w:rsidR="00F67705" w:rsidRPr="00F67705" w:rsidP="00F67705">
            <w:pPr>
              <w:rPr>
                <w:rFonts w:cs="Arial"/>
                <w:color w:val="000000"/>
                <w:sz w:val="22"/>
                <w:szCs w:val="22"/>
              </w:rPr>
            </w:pPr>
            <w:r w:rsidRPr="00F67705">
              <w:rPr>
                <w:rFonts w:cs="Arial"/>
                <w:color w:val="000000"/>
                <w:sz w:val="22"/>
                <w:szCs w:val="22"/>
              </w:rPr>
              <w:t>EU Exit</w:t>
            </w:r>
          </w:p>
        </w:tc>
        <w:tc>
          <w:tcPr>
            <w:tcW w:w="696" w:type="pct"/>
            <w:tcBorders>
              <w:top w:val="nil"/>
              <w:left w:val="nil"/>
              <w:bottom w:val="single" w:sz="4" w:space="0" w:color="auto"/>
              <w:right w:val="single" w:sz="4" w:space="0" w:color="auto"/>
            </w:tcBorders>
            <w:shd w:val="clear" w:color="auto" w:fill="auto"/>
            <w:noWrap/>
            <w:vAlign w:val="center"/>
            <w:hideMark/>
          </w:tcPr>
          <w:p w:rsidR="00F67705" w:rsidRPr="00F67705" w:rsidP="00F67705">
            <w:pPr>
              <w:jc w:val="right"/>
              <w:rPr>
                <w:rFonts w:cs="Arial"/>
                <w:color w:val="000000"/>
                <w:sz w:val="22"/>
                <w:szCs w:val="22"/>
              </w:rPr>
            </w:pPr>
            <w:r w:rsidRPr="00F67705">
              <w:rPr>
                <w:rFonts w:cs="Arial"/>
                <w:color w:val="000000"/>
                <w:sz w:val="22"/>
                <w:szCs w:val="22"/>
              </w:rPr>
              <w:t>0</w:t>
            </w:r>
          </w:p>
        </w:tc>
        <w:tc>
          <w:tcPr>
            <w:tcW w:w="839" w:type="pct"/>
            <w:tcBorders>
              <w:top w:val="nil"/>
              <w:left w:val="nil"/>
              <w:bottom w:val="single" w:sz="4" w:space="0" w:color="auto"/>
              <w:right w:val="single" w:sz="4" w:space="0" w:color="auto"/>
            </w:tcBorders>
            <w:shd w:val="clear" w:color="auto" w:fill="auto"/>
            <w:noWrap/>
            <w:vAlign w:val="center"/>
            <w:hideMark/>
          </w:tcPr>
          <w:p w:rsidR="00F67705" w:rsidRPr="00F67705" w:rsidP="00F67705">
            <w:pPr>
              <w:jc w:val="right"/>
              <w:rPr>
                <w:rFonts w:cs="Arial"/>
                <w:color w:val="000000"/>
                <w:sz w:val="22"/>
                <w:szCs w:val="22"/>
              </w:rPr>
            </w:pPr>
            <w:r w:rsidRPr="00F67705">
              <w:rPr>
                <w:rFonts w:cs="Arial"/>
                <w:color w:val="000000"/>
                <w:sz w:val="22"/>
                <w:szCs w:val="22"/>
              </w:rPr>
              <w:t>80</w:t>
            </w:r>
          </w:p>
        </w:tc>
        <w:tc>
          <w:tcPr>
            <w:tcW w:w="482" w:type="pct"/>
            <w:tcBorders>
              <w:top w:val="nil"/>
              <w:left w:val="nil"/>
              <w:bottom w:val="single" w:sz="4" w:space="0" w:color="auto"/>
              <w:right w:val="single" w:sz="4" w:space="0" w:color="auto"/>
            </w:tcBorders>
            <w:shd w:val="clear" w:color="auto" w:fill="auto"/>
            <w:noWrap/>
            <w:vAlign w:val="center"/>
            <w:hideMark/>
          </w:tcPr>
          <w:p w:rsidR="00F67705" w:rsidRPr="00F67705" w:rsidP="00F67705">
            <w:pPr>
              <w:jc w:val="right"/>
              <w:rPr>
                <w:rFonts w:cs="Arial"/>
                <w:color w:val="000000"/>
                <w:sz w:val="22"/>
                <w:szCs w:val="22"/>
              </w:rPr>
            </w:pPr>
            <w:r w:rsidRPr="00F67705">
              <w:rPr>
                <w:rFonts w:cs="Arial"/>
                <w:color w:val="FF0000"/>
                <w:sz w:val="22"/>
                <w:szCs w:val="22"/>
              </w:rPr>
              <w:t>(80)</w:t>
            </w:r>
          </w:p>
        </w:tc>
        <w:tc>
          <w:tcPr>
            <w:tcW w:w="430" w:type="pct"/>
            <w:tcBorders>
              <w:top w:val="nil"/>
              <w:left w:val="nil"/>
              <w:bottom w:val="single" w:sz="4" w:space="0" w:color="auto"/>
              <w:right w:val="single" w:sz="4" w:space="0" w:color="auto"/>
            </w:tcBorders>
            <w:shd w:val="clear" w:color="auto" w:fill="auto"/>
            <w:noWrap/>
            <w:vAlign w:val="center"/>
            <w:hideMark/>
          </w:tcPr>
          <w:p w:rsidR="00F67705" w:rsidRPr="00F67705" w:rsidP="00F67705">
            <w:pPr>
              <w:jc w:val="right"/>
              <w:rPr>
                <w:rFonts w:cs="Arial"/>
                <w:i/>
                <w:iCs/>
                <w:color w:val="000000"/>
                <w:sz w:val="22"/>
                <w:szCs w:val="22"/>
              </w:rPr>
            </w:pPr>
            <w:r w:rsidRPr="00F67705">
              <w:rPr>
                <w:rFonts w:cs="Arial"/>
                <w:i/>
                <w:iCs/>
                <w:color w:val="000000"/>
                <w:sz w:val="22"/>
                <w:szCs w:val="22"/>
              </w:rPr>
              <w:t>-100%</w:t>
            </w:r>
          </w:p>
        </w:tc>
        <w:tc>
          <w:tcPr>
            <w:tcW w:w="696" w:type="pct"/>
            <w:tcBorders>
              <w:top w:val="nil"/>
              <w:left w:val="nil"/>
              <w:bottom w:val="single" w:sz="4" w:space="0" w:color="auto"/>
              <w:right w:val="single" w:sz="4" w:space="0" w:color="auto"/>
            </w:tcBorders>
            <w:shd w:val="clear" w:color="auto" w:fill="auto"/>
            <w:noWrap/>
            <w:vAlign w:val="center"/>
            <w:hideMark/>
          </w:tcPr>
          <w:p w:rsidR="00F67705" w:rsidRPr="00F67705" w:rsidP="00F67705">
            <w:pPr>
              <w:jc w:val="right"/>
              <w:rPr>
                <w:rFonts w:cs="Arial"/>
                <w:color w:val="000000"/>
                <w:sz w:val="22"/>
                <w:szCs w:val="22"/>
              </w:rPr>
            </w:pPr>
            <w:r w:rsidRPr="00F67705">
              <w:rPr>
                <w:rFonts w:cs="Arial"/>
                <w:color w:val="000000"/>
                <w:sz w:val="22"/>
                <w:szCs w:val="22"/>
              </w:rPr>
              <w:t>95</w:t>
            </w:r>
          </w:p>
        </w:tc>
        <w:tc>
          <w:tcPr>
            <w:tcW w:w="454" w:type="pct"/>
            <w:tcBorders>
              <w:top w:val="nil"/>
              <w:left w:val="nil"/>
              <w:bottom w:val="single" w:sz="4" w:space="0" w:color="auto"/>
              <w:right w:val="single" w:sz="4" w:space="0" w:color="auto"/>
            </w:tcBorders>
            <w:shd w:val="clear" w:color="auto" w:fill="auto"/>
            <w:noWrap/>
            <w:vAlign w:val="center"/>
            <w:hideMark/>
          </w:tcPr>
          <w:p w:rsidR="00F67705" w:rsidRPr="00F67705" w:rsidP="00F67705">
            <w:pPr>
              <w:jc w:val="right"/>
              <w:rPr>
                <w:rFonts w:cs="Arial"/>
                <w:color w:val="000000"/>
                <w:sz w:val="22"/>
                <w:szCs w:val="22"/>
              </w:rPr>
            </w:pPr>
            <w:r w:rsidRPr="00F67705">
              <w:rPr>
                <w:rFonts w:cs="Arial"/>
                <w:color w:val="FF0000"/>
                <w:sz w:val="22"/>
                <w:szCs w:val="22"/>
              </w:rPr>
              <w:t>(95)</w:t>
            </w:r>
          </w:p>
        </w:tc>
        <w:tc>
          <w:tcPr>
            <w:tcW w:w="458" w:type="pct"/>
            <w:tcBorders>
              <w:top w:val="nil"/>
              <w:left w:val="nil"/>
              <w:bottom w:val="single" w:sz="4" w:space="0" w:color="auto"/>
              <w:right w:val="single" w:sz="4" w:space="0" w:color="auto"/>
            </w:tcBorders>
            <w:shd w:val="clear" w:color="auto" w:fill="auto"/>
            <w:noWrap/>
            <w:vAlign w:val="center"/>
            <w:hideMark/>
          </w:tcPr>
          <w:p w:rsidR="00F67705" w:rsidRPr="00F67705" w:rsidP="00F67705">
            <w:pPr>
              <w:jc w:val="right"/>
              <w:rPr>
                <w:rFonts w:cs="Arial"/>
                <w:i/>
                <w:iCs/>
                <w:color w:val="000000"/>
                <w:sz w:val="22"/>
                <w:szCs w:val="22"/>
              </w:rPr>
            </w:pPr>
            <w:r w:rsidRPr="00F67705">
              <w:rPr>
                <w:rFonts w:cs="Arial"/>
                <w:i/>
                <w:iCs/>
                <w:color w:val="000000"/>
                <w:sz w:val="22"/>
                <w:szCs w:val="22"/>
              </w:rPr>
              <w:t>-100%</w:t>
            </w:r>
          </w:p>
        </w:tc>
      </w:tr>
      <w:tr w:rsidTr="00012D47">
        <w:tblPrEx>
          <w:tblW w:w="5000" w:type="pct"/>
          <w:tblLook w:val="04A0"/>
        </w:tblPrEx>
        <w:trPr>
          <w:trHeight w:val="285"/>
        </w:trPr>
        <w:tc>
          <w:tcPr>
            <w:tcW w:w="945" w:type="pct"/>
            <w:tcBorders>
              <w:top w:val="nil"/>
              <w:left w:val="single" w:sz="4" w:space="0" w:color="auto"/>
              <w:bottom w:val="single" w:sz="4" w:space="0" w:color="auto"/>
              <w:right w:val="single" w:sz="4" w:space="0" w:color="auto"/>
            </w:tcBorders>
            <w:shd w:val="clear" w:color="auto" w:fill="auto"/>
            <w:vAlign w:val="center"/>
            <w:hideMark/>
          </w:tcPr>
          <w:p w:rsidR="00F67705" w:rsidRPr="00F67705" w:rsidP="00F67705">
            <w:pPr>
              <w:rPr>
                <w:rFonts w:cs="Arial"/>
                <w:color w:val="000000"/>
                <w:sz w:val="22"/>
                <w:szCs w:val="22"/>
              </w:rPr>
            </w:pPr>
            <w:r w:rsidRPr="00F67705">
              <w:rPr>
                <w:rFonts w:cs="Arial"/>
                <w:color w:val="000000"/>
                <w:sz w:val="22"/>
                <w:szCs w:val="22"/>
              </w:rPr>
              <w:t>Counter Terrorism Total</w:t>
            </w:r>
          </w:p>
        </w:tc>
        <w:tc>
          <w:tcPr>
            <w:tcW w:w="696" w:type="pct"/>
            <w:tcBorders>
              <w:top w:val="nil"/>
              <w:left w:val="nil"/>
              <w:bottom w:val="single" w:sz="4" w:space="0" w:color="auto"/>
              <w:right w:val="single" w:sz="4" w:space="0" w:color="auto"/>
            </w:tcBorders>
            <w:shd w:val="clear" w:color="auto" w:fill="auto"/>
            <w:noWrap/>
            <w:vAlign w:val="center"/>
            <w:hideMark/>
          </w:tcPr>
          <w:p w:rsidR="00F67705" w:rsidRPr="00F67705" w:rsidP="00F67705">
            <w:pPr>
              <w:jc w:val="right"/>
              <w:rPr>
                <w:rFonts w:cs="Arial"/>
                <w:color w:val="000000"/>
                <w:sz w:val="22"/>
                <w:szCs w:val="22"/>
              </w:rPr>
            </w:pPr>
            <w:r w:rsidRPr="00F67705">
              <w:rPr>
                <w:rFonts w:cs="Arial"/>
                <w:color w:val="000000"/>
                <w:sz w:val="22"/>
                <w:szCs w:val="22"/>
              </w:rPr>
              <w:t>106</w:t>
            </w:r>
          </w:p>
        </w:tc>
        <w:tc>
          <w:tcPr>
            <w:tcW w:w="839" w:type="pct"/>
            <w:tcBorders>
              <w:top w:val="nil"/>
              <w:left w:val="nil"/>
              <w:bottom w:val="single" w:sz="4" w:space="0" w:color="auto"/>
              <w:right w:val="single" w:sz="4" w:space="0" w:color="auto"/>
            </w:tcBorders>
            <w:shd w:val="clear" w:color="auto" w:fill="auto"/>
            <w:noWrap/>
            <w:vAlign w:val="center"/>
            <w:hideMark/>
          </w:tcPr>
          <w:p w:rsidR="00F67705" w:rsidRPr="00F67705" w:rsidP="00F67705">
            <w:pPr>
              <w:jc w:val="right"/>
              <w:rPr>
                <w:rFonts w:cs="Arial"/>
                <w:color w:val="000000"/>
                <w:sz w:val="22"/>
                <w:szCs w:val="22"/>
              </w:rPr>
            </w:pPr>
            <w:r w:rsidRPr="00F67705">
              <w:rPr>
                <w:rFonts w:cs="Arial"/>
                <w:color w:val="000000"/>
                <w:sz w:val="22"/>
                <w:szCs w:val="22"/>
              </w:rPr>
              <w:t>0</w:t>
            </w:r>
          </w:p>
        </w:tc>
        <w:tc>
          <w:tcPr>
            <w:tcW w:w="482" w:type="pct"/>
            <w:tcBorders>
              <w:top w:val="nil"/>
              <w:left w:val="nil"/>
              <w:bottom w:val="single" w:sz="4" w:space="0" w:color="auto"/>
              <w:right w:val="single" w:sz="4" w:space="0" w:color="auto"/>
            </w:tcBorders>
            <w:shd w:val="clear" w:color="auto" w:fill="auto"/>
            <w:noWrap/>
            <w:vAlign w:val="center"/>
            <w:hideMark/>
          </w:tcPr>
          <w:p w:rsidR="00F67705" w:rsidRPr="00F67705" w:rsidP="00F67705">
            <w:pPr>
              <w:jc w:val="right"/>
              <w:rPr>
                <w:rFonts w:cs="Arial"/>
                <w:color w:val="000000"/>
                <w:sz w:val="22"/>
                <w:szCs w:val="22"/>
              </w:rPr>
            </w:pPr>
            <w:r w:rsidRPr="00F67705">
              <w:rPr>
                <w:rFonts w:cs="Arial"/>
                <w:color w:val="000000"/>
                <w:sz w:val="22"/>
                <w:szCs w:val="22"/>
              </w:rPr>
              <w:t>106</w:t>
            </w:r>
          </w:p>
        </w:tc>
        <w:tc>
          <w:tcPr>
            <w:tcW w:w="430" w:type="pct"/>
            <w:tcBorders>
              <w:top w:val="nil"/>
              <w:left w:val="nil"/>
              <w:bottom w:val="single" w:sz="4" w:space="0" w:color="auto"/>
              <w:right w:val="single" w:sz="4" w:space="0" w:color="auto"/>
            </w:tcBorders>
            <w:shd w:val="clear" w:color="000000" w:fill="D9D9D9"/>
            <w:noWrap/>
            <w:vAlign w:val="center"/>
            <w:hideMark/>
          </w:tcPr>
          <w:p w:rsidR="00F67705" w:rsidRPr="00F67705" w:rsidP="00F67705">
            <w:pPr>
              <w:jc w:val="right"/>
              <w:rPr>
                <w:rFonts w:cs="Arial"/>
                <w:i/>
                <w:iCs/>
                <w:color w:val="000000"/>
                <w:sz w:val="22"/>
                <w:szCs w:val="22"/>
              </w:rPr>
            </w:pPr>
            <w:r w:rsidRPr="00F67705">
              <w:rPr>
                <w:rFonts w:cs="Arial"/>
                <w:i/>
                <w:iCs/>
                <w:color w:val="000000"/>
                <w:sz w:val="22"/>
                <w:szCs w:val="22"/>
              </w:rPr>
              <w:t> </w:t>
            </w:r>
          </w:p>
        </w:tc>
        <w:tc>
          <w:tcPr>
            <w:tcW w:w="696" w:type="pct"/>
            <w:tcBorders>
              <w:top w:val="nil"/>
              <w:left w:val="nil"/>
              <w:bottom w:val="single" w:sz="4" w:space="0" w:color="auto"/>
              <w:right w:val="single" w:sz="4" w:space="0" w:color="auto"/>
            </w:tcBorders>
            <w:shd w:val="clear" w:color="auto" w:fill="auto"/>
            <w:noWrap/>
            <w:vAlign w:val="center"/>
            <w:hideMark/>
          </w:tcPr>
          <w:p w:rsidR="00F67705" w:rsidRPr="00F67705" w:rsidP="00F67705">
            <w:pPr>
              <w:jc w:val="right"/>
              <w:rPr>
                <w:rFonts w:cs="Arial"/>
                <w:color w:val="000000"/>
                <w:sz w:val="22"/>
                <w:szCs w:val="22"/>
              </w:rPr>
            </w:pPr>
            <w:r w:rsidRPr="00F67705">
              <w:rPr>
                <w:rFonts w:cs="Arial"/>
                <w:color w:val="000000"/>
                <w:sz w:val="22"/>
                <w:szCs w:val="22"/>
              </w:rPr>
              <w:t>0</w:t>
            </w:r>
          </w:p>
        </w:tc>
        <w:tc>
          <w:tcPr>
            <w:tcW w:w="454" w:type="pct"/>
            <w:tcBorders>
              <w:top w:val="nil"/>
              <w:left w:val="nil"/>
              <w:bottom w:val="single" w:sz="4" w:space="0" w:color="auto"/>
              <w:right w:val="single" w:sz="4" w:space="0" w:color="auto"/>
            </w:tcBorders>
            <w:shd w:val="clear" w:color="auto" w:fill="auto"/>
            <w:noWrap/>
            <w:vAlign w:val="center"/>
            <w:hideMark/>
          </w:tcPr>
          <w:p w:rsidR="00F67705" w:rsidRPr="00F67705" w:rsidP="00F67705">
            <w:pPr>
              <w:jc w:val="right"/>
              <w:rPr>
                <w:rFonts w:cs="Arial"/>
                <w:color w:val="000000"/>
                <w:sz w:val="22"/>
                <w:szCs w:val="22"/>
              </w:rPr>
            </w:pPr>
            <w:r w:rsidRPr="00F67705">
              <w:rPr>
                <w:rFonts w:cs="Arial"/>
                <w:color w:val="000000"/>
                <w:sz w:val="22"/>
                <w:szCs w:val="22"/>
              </w:rPr>
              <w:t>106</w:t>
            </w:r>
          </w:p>
        </w:tc>
        <w:tc>
          <w:tcPr>
            <w:tcW w:w="458" w:type="pct"/>
            <w:tcBorders>
              <w:top w:val="nil"/>
              <w:left w:val="nil"/>
              <w:bottom w:val="single" w:sz="4" w:space="0" w:color="auto"/>
              <w:right w:val="single" w:sz="4" w:space="0" w:color="auto"/>
            </w:tcBorders>
            <w:shd w:val="clear" w:color="000000" w:fill="D9D9D9"/>
            <w:noWrap/>
            <w:vAlign w:val="center"/>
            <w:hideMark/>
          </w:tcPr>
          <w:p w:rsidR="00F67705" w:rsidRPr="00F67705" w:rsidP="00F67705">
            <w:pPr>
              <w:jc w:val="right"/>
              <w:rPr>
                <w:rFonts w:cs="Arial"/>
                <w:i/>
                <w:iCs/>
                <w:color w:val="000000"/>
                <w:sz w:val="22"/>
                <w:szCs w:val="22"/>
              </w:rPr>
            </w:pPr>
            <w:r w:rsidRPr="00F67705">
              <w:rPr>
                <w:rFonts w:cs="Arial"/>
                <w:i/>
                <w:iCs/>
                <w:color w:val="000000"/>
                <w:sz w:val="22"/>
                <w:szCs w:val="22"/>
              </w:rPr>
              <w:t> </w:t>
            </w:r>
          </w:p>
        </w:tc>
      </w:tr>
    </w:tbl>
    <w:p w:rsidR="004F64C1" w:rsidRPr="00FD7D3E" w:rsidP="004F64C1">
      <w:pPr>
        <w:ind w:left="567"/>
        <w:jc w:val="both"/>
        <w:rPr>
          <w:rFonts w:eastAsia="Calibri" w:cs="Arial"/>
          <w:sz w:val="22"/>
          <w:szCs w:val="22"/>
        </w:rPr>
      </w:pPr>
    </w:p>
    <w:p w:rsidR="004F64C1" w:rsidRPr="00FD7D3E" w:rsidP="004F64C1">
      <w:pPr>
        <w:ind w:left="567"/>
        <w:jc w:val="both"/>
        <w:rPr>
          <w:rFonts w:eastAsia="Calibri" w:cs="Arial"/>
          <w:sz w:val="22"/>
          <w:szCs w:val="22"/>
        </w:rPr>
      </w:pPr>
    </w:p>
    <w:p w:rsidR="004F64C1" w:rsidRPr="00E81D9C" w:rsidP="00E81D9C">
      <w:pPr>
        <w:numPr>
          <w:ilvl w:val="0"/>
          <w:numId w:val="1"/>
        </w:numPr>
        <w:spacing w:after="120"/>
        <w:jc w:val="both"/>
        <w:rPr>
          <w:rFonts w:eastAsia="Calibri" w:cs="Arial"/>
          <w:sz w:val="22"/>
          <w:szCs w:val="22"/>
        </w:rPr>
      </w:pPr>
      <w:r w:rsidRPr="00E81D9C">
        <w:rPr>
          <w:rFonts w:eastAsia="Calibri" w:cs="Arial"/>
          <w:b/>
          <w:sz w:val="22"/>
          <w:szCs w:val="22"/>
        </w:rPr>
        <w:t>Official Development Assistance</w:t>
      </w:r>
      <w:r w:rsidRPr="00E81D9C">
        <w:rPr>
          <w:rFonts w:eastAsia="Calibri" w:cs="Arial"/>
          <w:sz w:val="22"/>
          <w:szCs w:val="22"/>
        </w:rPr>
        <w:t xml:space="preserve"> (ODA) </w:t>
      </w:r>
      <w:r w:rsidRPr="00E81D9C" w:rsidR="001441F0">
        <w:rPr>
          <w:rFonts w:eastAsia="Calibri" w:cs="Arial"/>
          <w:sz w:val="22"/>
          <w:szCs w:val="22"/>
        </w:rPr>
        <w:t xml:space="preserve">- </w:t>
      </w:r>
      <w:r w:rsidRPr="00E81D9C">
        <w:rPr>
          <w:rFonts w:eastAsia="Calibri" w:cs="Arial"/>
          <w:sz w:val="22"/>
          <w:szCs w:val="22"/>
        </w:rPr>
        <w:t xml:space="preserve">For international comparability and consistency, the Organisation for Economic Co-operation and Development (OECD) and the Development Assistance Committee (DAC) requires ODA reporting to be on a cash and calendar year basis.  </w:t>
      </w:r>
    </w:p>
    <w:p w:rsidR="004F64C1" w:rsidRPr="00FD7D3E" w:rsidP="001F4DFB">
      <w:pPr>
        <w:numPr>
          <w:ilvl w:val="0"/>
          <w:numId w:val="1"/>
        </w:numPr>
        <w:spacing w:after="120"/>
        <w:ind w:left="924"/>
        <w:contextualSpacing/>
        <w:jc w:val="both"/>
        <w:rPr>
          <w:b/>
          <w:sz w:val="22"/>
          <w:szCs w:val="22"/>
        </w:rPr>
      </w:pPr>
      <w:r w:rsidRPr="00FD7D3E">
        <w:rPr>
          <w:rFonts w:eastAsia="Calibri" w:cs="Arial"/>
          <w:b/>
          <w:sz w:val="22"/>
          <w:szCs w:val="22"/>
        </w:rPr>
        <w:t>EU Exit</w:t>
      </w:r>
      <w:r w:rsidRPr="00FD7D3E">
        <w:rPr>
          <w:rFonts w:eastAsia="Calibri" w:cs="Arial"/>
          <w:sz w:val="22"/>
          <w:szCs w:val="22"/>
        </w:rPr>
        <w:t xml:space="preserve"> - </w:t>
      </w:r>
      <w:r w:rsidRPr="009C295A" w:rsidR="008557AD">
        <w:rPr>
          <w:rFonts w:eastAsia="Calibri" w:cs="Arial"/>
          <w:sz w:val="22"/>
          <w:szCs w:val="22"/>
        </w:rPr>
        <w:t>DHSC was allocated £95 million for EU Exit related spend for 2021-22 at Main Estimate</w:t>
      </w:r>
      <w:r w:rsidR="008557AD">
        <w:rPr>
          <w:rFonts w:eastAsia="Calibri" w:cs="Arial"/>
          <w:sz w:val="22"/>
          <w:szCs w:val="22"/>
        </w:rPr>
        <w:t>s</w:t>
      </w:r>
      <w:r w:rsidRPr="009C295A" w:rsidR="008557AD">
        <w:rPr>
          <w:rFonts w:eastAsia="Calibri" w:cs="Arial"/>
          <w:sz w:val="22"/>
          <w:szCs w:val="22"/>
        </w:rPr>
        <w:t xml:space="preserve"> this was based on the expected impact </w:t>
      </w:r>
      <w:r w:rsidR="008557AD">
        <w:rPr>
          <w:rFonts w:eastAsia="Calibri" w:cs="Arial"/>
          <w:sz w:val="22"/>
          <w:szCs w:val="22"/>
        </w:rPr>
        <w:t xml:space="preserve">of </w:t>
      </w:r>
      <w:r w:rsidRPr="009C295A" w:rsidR="008557AD">
        <w:rPr>
          <w:rFonts w:eastAsia="Calibri" w:cs="Arial"/>
          <w:sz w:val="22"/>
          <w:szCs w:val="22"/>
        </w:rPr>
        <w:t xml:space="preserve">exiting the EU at </w:t>
      </w:r>
      <w:r w:rsidR="008557AD">
        <w:rPr>
          <w:rFonts w:eastAsia="Calibri" w:cs="Arial"/>
          <w:sz w:val="22"/>
          <w:szCs w:val="22"/>
        </w:rPr>
        <w:t>that</w:t>
      </w:r>
      <w:r w:rsidRPr="009C295A" w:rsidR="008557AD">
        <w:rPr>
          <w:rFonts w:eastAsia="Calibri" w:cs="Arial"/>
          <w:sz w:val="22"/>
          <w:szCs w:val="22"/>
        </w:rPr>
        <w:t xml:space="preserve"> point in time. Savings </w:t>
      </w:r>
      <w:r w:rsidR="008557AD">
        <w:rPr>
          <w:rFonts w:eastAsia="Calibri" w:cs="Arial"/>
          <w:sz w:val="22"/>
          <w:szCs w:val="22"/>
        </w:rPr>
        <w:t>of</w:t>
      </w:r>
      <w:r w:rsidRPr="009C295A" w:rsidR="008557AD">
        <w:rPr>
          <w:rFonts w:eastAsia="Calibri" w:cs="Arial"/>
          <w:sz w:val="22"/>
          <w:szCs w:val="22"/>
        </w:rPr>
        <w:t xml:space="preserve"> £15 million </w:t>
      </w:r>
      <w:r w:rsidR="008557AD">
        <w:rPr>
          <w:rFonts w:eastAsia="Calibri" w:cs="Arial"/>
          <w:sz w:val="22"/>
          <w:szCs w:val="22"/>
        </w:rPr>
        <w:t xml:space="preserve">were </w:t>
      </w:r>
      <w:r w:rsidRPr="009C295A" w:rsidR="008557AD">
        <w:rPr>
          <w:rFonts w:eastAsia="Calibri" w:cs="Arial"/>
          <w:sz w:val="22"/>
          <w:szCs w:val="22"/>
        </w:rPr>
        <w:t xml:space="preserve">surrendered at Supplementary Supply Estimate. </w:t>
      </w:r>
      <w:r w:rsidR="008557AD">
        <w:rPr>
          <w:rFonts w:eastAsia="Calibri" w:cs="Arial"/>
          <w:sz w:val="22"/>
          <w:szCs w:val="22"/>
        </w:rPr>
        <w:t xml:space="preserve">DHSC does not have </w:t>
      </w:r>
      <w:r w:rsidR="00005A83">
        <w:rPr>
          <w:rFonts w:eastAsia="Calibri" w:cs="Arial"/>
          <w:sz w:val="22"/>
          <w:szCs w:val="22"/>
        </w:rPr>
        <w:t>ring-fenced funding for EU Exit in 2022-23</w:t>
      </w:r>
      <w:r w:rsidRPr="00FD7D3E">
        <w:rPr>
          <w:rFonts w:eastAsia="Calibri" w:cs="Arial"/>
          <w:sz w:val="22"/>
          <w:szCs w:val="22"/>
        </w:rPr>
        <w:t xml:space="preserve">. </w:t>
      </w:r>
    </w:p>
    <w:p w:rsidR="004F64C1" w:rsidRPr="00FD7D3E" w:rsidP="004F64C1">
      <w:pPr>
        <w:spacing w:after="120"/>
        <w:ind w:left="924"/>
        <w:contextualSpacing/>
        <w:jc w:val="both"/>
        <w:rPr>
          <w:b/>
          <w:sz w:val="22"/>
          <w:szCs w:val="22"/>
        </w:rPr>
      </w:pPr>
    </w:p>
    <w:p w:rsidR="004F64C1" w:rsidRPr="00FD7D3E" w:rsidP="001F4DFB">
      <w:pPr>
        <w:numPr>
          <w:ilvl w:val="0"/>
          <w:numId w:val="1"/>
        </w:numPr>
        <w:spacing w:after="120"/>
        <w:ind w:left="924"/>
        <w:contextualSpacing/>
        <w:jc w:val="both"/>
        <w:rPr>
          <w:b/>
          <w:sz w:val="22"/>
          <w:szCs w:val="22"/>
        </w:rPr>
      </w:pPr>
      <w:r>
        <w:rPr>
          <w:b/>
          <w:sz w:val="22"/>
          <w:szCs w:val="22"/>
        </w:rPr>
        <w:t>C</w:t>
      </w:r>
      <w:r w:rsidR="00072B55">
        <w:rPr>
          <w:b/>
          <w:sz w:val="22"/>
          <w:szCs w:val="22"/>
        </w:rPr>
        <w:t>o</w:t>
      </w:r>
      <w:r>
        <w:rPr>
          <w:b/>
          <w:sz w:val="22"/>
          <w:szCs w:val="22"/>
        </w:rPr>
        <w:t>unter Terrorism</w:t>
      </w:r>
      <w:r w:rsidR="00072B55">
        <w:rPr>
          <w:b/>
          <w:sz w:val="22"/>
          <w:szCs w:val="22"/>
        </w:rPr>
        <w:t xml:space="preserve"> - </w:t>
      </w:r>
      <w:r w:rsidRPr="00072B55" w:rsidR="00072B55">
        <w:rPr>
          <w:bCs/>
          <w:sz w:val="22"/>
          <w:szCs w:val="22"/>
        </w:rPr>
        <w:t>DHSC has been allocated</w:t>
      </w:r>
      <w:r w:rsidR="00072B55">
        <w:rPr>
          <w:b/>
          <w:sz w:val="22"/>
          <w:szCs w:val="22"/>
        </w:rPr>
        <w:t xml:space="preserve"> </w:t>
      </w:r>
      <w:r w:rsidR="00072B55">
        <w:rPr>
          <w:bCs/>
          <w:sz w:val="22"/>
          <w:szCs w:val="22"/>
        </w:rPr>
        <w:t>£106 million for counter terrorism. This is a new ring-fence for the Spending Review 21 period</w:t>
      </w:r>
    </w:p>
    <w:p w:rsidR="004F64C1" w:rsidRPr="005027EB" w:rsidP="004F64C1">
      <w:pPr>
        <w:ind w:left="567"/>
        <w:jc w:val="both"/>
        <w:rPr>
          <w:rFonts w:eastAsia="Calibri" w:cs="Arial"/>
          <w:sz w:val="22"/>
          <w:szCs w:val="22"/>
          <w:highlight w:val="yellow"/>
          <w:u w:val="single"/>
        </w:rPr>
      </w:pPr>
    </w:p>
    <w:p w:rsidR="004F64C1" w:rsidRPr="00666BE3" w:rsidP="001F4DFB">
      <w:pPr>
        <w:numPr>
          <w:ilvl w:val="1"/>
          <w:numId w:val="4"/>
        </w:numPr>
        <w:spacing w:after="120" w:line="276" w:lineRule="auto"/>
        <w:ind w:left="567" w:hanging="567"/>
        <w:jc w:val="both"/>
        <w:rPr>
          <w:rFonts w:eastAsia="Calibri" w:cs="Arial"/>
          <w:b/>
          <w:sz w:val="22"/>
          <w:szCs w:val="22"/>
        </w:rPr>
      </w:pPr>
      <w:r w:rsidRPr="00666BE3">
        <w:rPr>
          <w:rFonts w:eastAsia="Calibri" w:cs="Arial"/>
          <w:b/>
          <w:sz w:val="22"/>
          <w:szCs w:val="22"/>
        </w:rPr>
        <w:t xml:space="preserve">Changes to Contingent Liabilities </w:t>
      </w:r>
    </w:p>
    <w:p w:rsidR="004F64C1" w:rsidRPr="00A76876" w:rsidP="004F64C1">
      <w:pPr>
        <w:ind w:left="567"/>
        <w:jc w:val="both"/>
        <w:rPr>
          <w:rFonts w:cs="Arial"/>
        </w:rPr>
      </w:pPr>
      <w:r w:rsidRPr="00666BE3">
        <w:rPr>
          <w:rFonts w:eastAsia="Calibri" w:cs="Arial"/>
          <w:sz w:val="22"/>
          <w:szCs w:val="22"/>
        </w:rPr>
        <w:t>There are no updates to contingent liabilities in the 202</w:t>
      </w:r>
      <w:r w:rsidR="00666BE3">
        <w:rPr>
          <w:rFonts w:eastAsia="Calibri" w:cs="Arial"/>
          <w:sz w:val="22"/>
          <w:szCs w:val="22"/>
        </w:rPr>
        <w:t>2-23</w:t>
      </w:r>
      <w:r w:rsidRPr="00666BE3">
        <w:rPr>
          <w:rFonts w:eastAsia="Calibri" w:cs="Arial"/>
          <w:sz w:val="22"/>
          <w:szCs w:val="22"/>
        </w:rPr>
        <w:t xml:space="preserve"> Main Estimate. Contingent liabilities will be published in the DHSC 202</w:t>
      </w:r>
      <w:r w:rsidR="00666BE3">
        <w:rPr>
          <w:rFonts w:eastAsia="Calibri" w:cs="Arial"/>
          <w:sz w:val="22"/>
          <w:szCs w:val="22"/>
        </w:rPr>
        <w:t>1-22</w:t>
      </w:r>
      <w:r w:rsidRPr="00666BE3">
        <w:rPr>
          <w:rFonts w:eastAsia="Calibri" w:cs="Arial"/>
          <w:sz w:val="22"/>
          <w:szCs w:val="22"/>
        </w:rPr>
        <w:t xml:space="preserve"> Annual Report and Accounts, these will be reflected in the 202</w:t>
      </w:r>
      <w:r w:rsidR="00666BE3">
        <w:rPr>
          <w:rFonts w:eastAsia="Calibri" w:cs="Arial"/>
          <w:sz w:val="22"/>
          <w:szCs w:val="22"/>
        </w:rPr>
        <w:t>2-23</w:t>
      </w:r>
      <w:r w:rsidRPr="00666BE3">
        <w:rPr>
          <w:rFonts w:eastAsia="Calibri" w:cs="Arial"/>
          <w:sz w:val="22"/>
          <w:szCs w:val="22"/>
        </w:rPr>
        <w:t xml:space="preserve"> Supplementary </w:t>
      </w:r>
      <w:r w:rsidR="00666BE3">
        <w:rPr>
          <w:rFonts w:eastAsia="Calibri" w:cs="Arial"/>
          <w:sz w:val="22"/>
          <w:szCs w:val="22"/>
        </w:rPr>
        <w:t xml:space="preserve">Supply </w:t>
      </w:r>
      <w:r w:rsidRPr="00666BE3">
        <w:rPr>
          <w:rFonts w:eastAsia="Calibri" w:cs="Arial"/>
          <w:sz w:val="22"/>
          <w:szCs w:val="22"/>
        </w:rPr>
        <w:t>Estimate.</w:t>
      </w:r>
      <w:r>
        <w:rPr>
          <w:rFonts w:eastAsia="Calibri" w:cs="Arial"/>
          <w:sz w:val="22"/>
          <w:szCs w:val="22"/>
        </w:rPr>
        <w:t xml:space="preserve"> </w:t>
      </w:r>
    </w:p>
    <w:p w:rsidR="004F64C1" w:rsidRPr="00AC5C5A" w:rsidP="004F64C1">
      <w:pPr>
        <w:spacing w:after="120"/>
        <w:jc w:val="both"/>
        <w:rPr>
          <w:rFonts w:cs="Arial"/>
        </w:rPr>
      </w:pPr>
    </w:p>
    <w:p w:rsidR="004F64C1" w:rsidRPr="00565172" w:rsidP="004F64C1">
      <w:pPr>
        <w:ind w:left="567"/>
        <w:jc w:val="both"/>
        <w:rPr>
          <w:rFonts w:eastAsia="Calibri" w:cs="Arial"/>
          <w:sz w:val="22"/>
          <w:szCs w:val="22"/>
        </w:rPr>
      </w:pPr>
    </w:p>
    <w:p w:rsidR="004F64C1" w:rsidRPr="00565172" w:rsidP="004F64C1">
      <w:pPr>
        <w:ind w:left="567"/>
        <w:jc w:val="both"/>
        <w:rPr>
          <w:rFonts w:eastAsia="Calibri" w:cs="Arial"/>
          <w:sz w:val="22"/>
          <w:szCs w:val="22"/>
        </w:rPr>
      </w:pPr>
    </w:p>
    <w:p w:rsidR="004F64C1" w:rsidRPr="00565172" w:rsidP="004F64C1">
      <w:pPr>
        <w:ind w:left="567"/>
        <w:rPr>
          <w:rFonts w:eastAsia="Calibri" w:cs="Arial"/>
          <w:b/>
          <w:sz w:val="22"/>
          <w:szCs w:val="22"/>
        </w:rPr>
      </w:pPr>
    </w:p>
    <w:p w:rsidR="004F64C1" w:rsidRPr="00565172" w:rsidP="004F64C1">
      <w:pPr>
        <w:rPr>
          <w:rFonts w:eastAsia="Calibri" w:cs="Arial"/>
          <w:b/>
          <w:sz w:val="22"/>
          <w:szCs w:val="22"/>
        </w:rPr>
      </w:pPr>
      <w:r w:rsidRPr="00565172">
        <w:rPr>
          <w:rFonts w:eastAsia="Calibri" w:cs="Arial"/>
          <w:b/>
          <w:sz w:val="22"/>
          <w:szCs w:val="22"/>
        </w:rPr>
        <w:br w:type="page"/>
      </w:r>
    </w:p>
    <w:p w:rsidR="004F64C1" w:rsidRPr="00565172" w:rsidP="001F4DFB">
      <w:pPr>
        <w:numPr>
          <w:ilvl w:val="0"/>
          <w:numId w:val="4"/>
        </w:numPr>
        <w:spacing w:after="200" w:line="276" w:lineRule="auto"/>
        <w:ind w:left="567" w:hanging="567"/>
        <w:contextualSpacing/>
        <w:rPr>
          <w:rFonts w:eastAsiaTheme="minorHAnsi" w:cs="Arial"/>
          <w:b/>
          <w:sz w:val="22"/>
          <w:szCs w:val="22"/>
          <w:lang w:eastAsia="en-US"/>
        </w:rPr>
      </w:pPr>
      <w:r w:rsidRPr="00565172">
        <w:rPr>
          <w:rFonts w:eastAsiaTheme="minorHAnsi" w:cs="Arial"/>
          <w:b/>
          <w:sz w:val="22"/>
          <w:szCs w:val="22"/>
          <w:lang w:eastAsia="en-US"/>
        </w:rPr>
        <w:t>PRIORITIES AND PERFORMANCE</w:t>
      </w:r>
    </w:p>
    <w:p w:rsidR="004F64C1" w:rsidRPr="00565172" w:rsidP="004F64C1">
      <w:pPr>
        <w:spacing w:line="276" w:lineRule="auto"/>
        <w:ind w:left="567"/>
        <w:contextualSpacing/>
        <w:rPr>
          <w:rFonts w:eastAsiaTheme="minorHAnsi" w:cs="Arial"/>
          <w:b/>
          <w:sz w:val="22"/>
          <w:szCs w:val="22"/>
          <w:lang w:eastAsia="en-US"/>
        </w:rPr>
      </w:pPr>
    </w:p>
    <w:p w:rsidR="004F64C1" w:rsidRPr="00A77F08" w:rsidP="001F4DFB">
      <w:pPr>
        <w:numPr>
          <w:ilvl w:val="1"/>
          <w:numId w:val="4"/>
        </w:numPr>
        <w:spacing w:after="200" w:line="276" w:lineRule="auto"/>
        <w:ind w:left="567" w:hanging="567"/>
        <w:rPr>
          <w:rFonts w:eastAsia="Calibri" w:cs="Arial"/>
          <w:b/>
          <w:sz w:val="22"/>
          <w:szCs w:val="22"/>
        </w:rPr>
      </w:pPr>
      <w:r w:rsidRPr="00A77F08">
        <w:rPr>
          <w:rFonts w:eastAsia="Calibri" w:cs="Arial"/>
          <w:b/>
          <w:sz w:val="22"/>
          <w:szCs w:val="22"/>
        </w:rPr>
        <w:t>How Spending Relates to Objectives</w:t>
      </w:r>
    </w:p>
    <w:p w:rsidR="004F64C1" w:rsidP="004F64C1">
      <w:pPr>
        <w:ind w:left="567"/>
        <w:jc w:val="both"/>
        <w:rPr>
          <w:rFonts w:eastAsia="Calibri" w:cs="Arial"/>
          <w:sz w:val="22"/>
          <w:szCs w:val="22"/>
        </w:rPr>
      </w:pPr>
      <w:r>
        <w:rPr>
          <w:rFonts w:eastAsia="Calibri" w:cs="Arial"/>
          <w:sz w:val="22"/>
          <w:szCs w:val="22"/>
        </w:rPr>
        <w:t xml:space="preserve">See section 1.1. </w:t>
      </w:r>
    </w:p>
    <w:p w:rsidR="004F64C1" w:rsidP="004F64C1">
      <w:pPr>
        <w:ind w:left="567"/>
        <w:jc w:val="both"/>
        <w:rPr>
          <w:rFonts w:eastAsia="Calibri" w:cs="Arial"/>
          <w:sz w:val="22"/>
          <w:szCs w:val="22"/>
        </w:rPr>
      </w:pPr>
    </w:p>
    <w:p w:rsidR="004F64C1" w:rsidRPr="00A77F08" w:rsidP="004F64C1">
      <w:pPr>
        <w:rPr>
          <w:rFonts w:eastAsia="Calibri" w:cs="Arial"/>
          <w:sz w:val="22"/>
          <w:szCs w:val="22"/>
          <w:u w:val="single"/>
        </w:rPr>
      </w:pPr>
    </w:p>
    <w:p w:rsidR="004F64C1" w:rsidRPr="00A77F08" w:rsidP="001F4DFB">
      <w:pPr>
        <w:numPr>
          <w:ilvl w:val="1"/>
          <w:numId w:val="4"/>
        </w:numPr>
        <w:spacing w:after="200" w:line="276" w:lineRule="auto"/>
        <w:ind w:left="567" w:hanging="567"/>
        <w:rPr>
          <w:rFonts w:eastAsia="Calibri" w:cs="Arial"/>
          <w:b/>
          <w:sz w:val="22"/>
          <w:szCs w:val="22"/>
        </w:rPr>
      </w:pPr>
      <w:r w:rsidRPr="00A77F08">
        <w:rPr>
          <w:rFonts w:eastAsia="Calibri" w:cs="Arial"/>
          <w:b/>
          <w:sz w:val="22"/>
          <w:szCs w:val="22"/>
        </w:rPr>
        <w:t>Measures of Performance against each Priority</w:t>
      </w:r>
    </w:p>
    <w:p w:rsidR="004F64C1" w:rsidP="009E5B90">
      <w:pPr>
        <w:ind w:left="567"/>
        <w:jc w:val="both"/>
        <w:rPr>
          <w:rFonts w:eastAsiaTheme="minorHAnsi" w:cs="Arial"/>
          <w:sz w:val="22"/>
          <w:szCs w:val="22"/>
          <w:lang w:eastAsia="en-US"/>
        </w:rPr>
      </w:pPr>
      <w:r w:rsidRPr="00A77F08">
        <w:rPr>
          <w:rFonts w:eastAsiaTheme="minorHAnsi" w:cs="Arial"/>
          <w:sz w:val="22"/>
          <w:szCs w:val="22"/>
          <w:lang w:eastAsia="en-US"/>
        </w:rPr>
        <w:t xml:space="preserve">The Department’s priorities </w:t>
      </w:r>
      <w:r w:rsidR="00AA7240">
        <w:rPr>
          <w:rFonts w:eastAsiaTheme="minorHAnsi" w:cs="Arial"/>
          <w:sz w:val="22"/>
          <w:szCs w:val="22"/>
          <w:lang w:eastAsia="en-US"/>
        </w:rPr>
        <w:t xml:space="preserve">for 2022-23 </w:t>
      </w:r>
      <w:r w:rsidRPr="00A77F08">
        <w:rPr>
          <w:rFonts w:eastAsiaTheme="minorHAnsi" w:cs="Arial"/>
          <w:sz w:val="22"/>
          <w:szCs w:val="22"/>
          <w:lang w:eastAsia="en-US"/>
        </w:rPr>
        <w:t xml:space="preserve">are detailed in paragraph 1.1.  </w:t>
      </w:r>
    </w:p>
    <w:p w:rsidR="009E5B90" w:rsidP="009E5B90">
      <w:pPr>
        <w:ind w:left="567"/>
        <w:jc w:val="both"/>
        <w:rPr>
          <w:rFonts w:eastAsiaTheme="minorHAnsi" w:cs="Arial"/>
          <w:sz w:val="22"/>
          <w:szCs w:val="22"/>
          <w:lang w:eastAsia="en-US"/>
        </w:rPr>
      </w:pPr>
    </w:p>
    <w:p w:rsidR="009E5B90" w:rsidP="009E5B90">
      <w:pPr>
        <w:ind w:left="567"/>
        <w:jc w:val="both"/>
        <w:rPr>
          <w:rFonts w:eastAsiaTheme="minorHAnsi" w:cs="Arial"/>
          <w:sz w:val="22"/>
          <w:szCs w:val="22"/>
          <w:lang w:eastAsia="en-US"/>
        </w:rPr>
      </w:pPr>
      <w:r>
        <w:rPr>
          <w:rFonts w:eastAsiaTheme="minorHAnsi" w:cs="Arial"/>
          <w:sz w:val="22"/>
          <w:szCs w:val="22"/>
          <w:lang w:eastAsia="en-US"/>
        </w:rPr>
        <w:t xml:space="preserve">The </w:t>
      </w:r>
      <w:r w:rsidR="000B5A41">
        <w:rPr>
          <w:rFonts w:eastAsiaTheme="minorHAnsi" w:cs="Arial"/>
          <w:sz w:val="22"/>
          <w:szCs w:val="22"/>
          <w:lang w:eastAsia="en-US"/>
        </w:rPr>
        <w:t>Department’s</w:t>
      </w:r>
      <w:r>
        <w:rPr>
          <w:rFonts w:eastAsiaTheme="minorHAnsi" w:cs="Arial"/>
          <w:sz w:val="22"/>
          <w:szCs w:val="22"/>
          <w:lang w:eastAsia="en-US"/>
        </w:rPr>
        <w:t xml:space="preserve"> </w:t>
      </w:r>
      <w:r>
        <w:fldChar w:fldCharType="begin"/>
      </w:r>
      <w:r>
        <w:instrText xml:space="preserve"> HYPERLINK "https://assets.publishing.service.gov.uk/government/uploads/system/uploads/attachment_data/file/1052421/dhsc-annual-report-and-accounts-2020-2021-web-accessible..pdf" </w:instrText>
      </w:r>
      <w:r>
        <w:fldChar w:fldCharType="separate"/>
      </w:r>
      <w:r w:rsidRPr="006C59A8">
        <w:rPr>
          <w:rStyle w:val="Hyperlink"/>
          <w:rFonts w:eastAsiaTheme="minorHAnsi" w:cs="Arial"/>
          <w:sz w:val="22"/>
          <w:szCs w:val="22"/>
          <w:lang w:eastAsia="en-US"/>
        </w:rPr>
        <w:t>2020-21 Annual Report and Accounts</w:t>
      </w:r>
      <w:r>
        <w:fldChar w:fldCharType="end"/>
      </w:r>
      <w:r>
        <w:rPr>
          <w:rFonts w:eastAsiaTheme="minorHAnsi" w:cs="Arial"/>
          <w:sz w:val="22"/>
          <w:szCs w:val="22"/>
          <w:lang w:eastAsia="en-US"/>
        </w:rPr>
        <w:t xml:space="preserve"> details how </w:t>
      </w:r>
      <w:r w:rsidR="00EE37B4">
        <w:rPr>
          <w:rFonts w:eastAsiaTheme="minorHAnsi" w:cs="Arial"/>
          <w:sz w:val="22"/>
          <w:szCs w:val="22"/>
          <w:lang w:eastAsia="en-US"/>
        </w:rPr>
        <w:t>2020-21 expenditure related to 2020-21 strategic priorities.</w:t>
      </w:r>
    </w:p>
    <w:p w:rsidR="00395AE0" w:rsidP="009E5B90">
      <w:pPr>
        <w:ind w:left="567"/>
        <w:jc w:val="both"/>
        <w:rPr>
          <w:rFonts w:eastAsiaTheme="minorHAnsi" w:cs="Arial"/>
          <w:sz w:val="22"/>
          <w:szCs w:val="22"/>
          <w:lang w:eastAsia="en-US"/>
        </w:rPr>
      </w:pPr>
    </w:p>
    <w:p w:rsidR="00395AE0" w:rsidP="009E5B90">
      <w:pPr>
        <w:ind w:left="567"/>
        <w:jc w:val="both"/>
        <w:rPr>
          <w:rFonts w:eastAsiaTheme="minorHAnsi" w:cs="Arial"/>
          <w:sz w:val="22"/>
          <w:szCs w:val="22"/>
          <w:lang w:eastAsia="en-US"/>
        </w:rPr>
      </w:pPr>
      <w:r>
        <w:rPr>
          <w:rFonts w:eastAsiaTheme="minorHAnsi" w:cs="Arial"/>
          <w:sz w:val="22"/>
          <w:szCs w:val="22"/>
          <w:lang w:eastAsia="en-US"/>
        </w:rPr>
        <w:t xml:space="preserve">Information on 2021-22 expenditure relating to 2021-22 priorities will be published in the </w:t>
      </w:r>
      <w:r w:rsidR="004E05E2">
        <w:rPr>
          <w:rFonts w:eastAsiaTheme="minorHAnsi" w:cs="Arial"/>
          <w:sz w:val="22"/>
          <w:szCs w:val="22"/>
          <w:lang w:eastAsia="en-US"/>
        </w:rPr>
        <w:t xml:space="preserve">2021-22 Annual </w:t>
      </w:r>
      <w:r w:rsidR="000B5A41">
        <w:rPr>
          <w:rFonts w:eastAsiaTheme="minorHAnsi" w:cs="Arial"/>
          <w:sz w:val="22"/>
          <w:szCs w:val="22"/>
          <w:lang w:eastAsia="en-US"/>
        </w:rPr>
        <w:t>Report</w:t>
      </w:r>
      <w:r w:rsidR="004E05E2">
        <w:rPr>
          <w:rFonts w:eastAsiaTheme="minorHAnsi" w:cs="Arial"/>
          <w:sz w:val="22"/>
          <w:szCs w:val="22"/>
          <w:lang w:eastAsia="en-US"/>
        </w:rPr>
        <w:t xml:space="preserve"> and Accounts.</w:t>
      </w:r>
    </w:p>
    <w:p w:rsidR="00934164" w:rsidRPr="00A77F08" w:rsidP="009E5B90">
      <w:pPr>
        <w:ind w:left="567"/>
        <w:jc w:val="both"/>
        <w:rPr>
          <w:rFonts w:eastAsiaTheme="minorHAnsi" w:cs="Arial"/>
          <w:b/>
          <w:sz w:val="22"/>
          <w:szCs w:val="22"/>
          <w:lang w:eastAsia="en-US"/>
        </w:rPr>
      </w:pPr>
    </w:p>
    <w:p w:rsidR="004F64C1" w:rsidRPr="00A77F08" w:rsidP="004F64C1">
      <w:pPr>
        <w:ind w:left="567"/>
        <w:jc w:val="both"/>
        <w:rPr>
          <w:rFonts w:eastAsiaTheme="minorHAnsi" w:cs="Arial"/>
          <w:sz w:val="22"/>
          <w:szCs w:val="22"/>
          <w:lang w:eastAsia="en-US"/>
        </w:rPr>
      </w:pPr>
      <w:r w:rsidRPr="00A77F08">
        <w:rPr>
          <w:rFonts w:eastAsiaTheme="minorHAnsi" w:cs="Arial"/>
          <w:sz w:val="22"/>
          <w:szCs w:val="22"/>
          <w:lang w:eastAsia="en-US"/>
        </w:rPr>
        <w:t>The NHS Outcomes Framework (NHSOF) is a set of indicators developed to monitor the health outcomes of adults and children in England. The Framework provides an overview of how the NHS is performing.  The NHSOF comprises five domains: preventing people from dying prematurely, enhancing quality of life for people with long-term conditions; helping people to recover from episodes of ill-health or following injury; ensuring people have a positive experience of care; treating and caring for people in a safe environment and protecting them from avoidable harm.</w:t>
      </w:r>
    </w:p>
    <w:p w:rsidR="004F64C1" w:rsidRPr="00A77F08" w:rsidP="004F64C1">
      <w:pPr>
        <w:ind w:left="567"/>
        <w:jc w:val="both"/>
        <w:rPr>
          <w:rFonts w:eastAsiaTheme="minorHAnsi" w:cs="Arial"/>
          <w:sz w:val="22"/>
          <w:szCs w:val="22"/>
          <w:lang w:eastAsia="en-US"/>
        </w:rPr>
      </w:pPr>
    </w:p>
    <w:p w:rsidR="004F64C1" w:rsidRPr="00A77F08" w:rsidP="004F64C1">
      <w:pPr>
        <w:ind w:left="567"/>
        <w:jc w:val="both"/>
        <w:rPr>
          <w:rFonts w:eastAsiaTheme="minorHAnsi" w:cs="Arial"/>
          <w:sz w:val="22"/>
          <w:szCs w:val="22"/>
          <w:lang w:eastAsia="en-US"/>
        </w:rPr>
      </w:pPr>
      <w:r w:rsidRPr="00A77F08">
        <w:rPr>
          <w:rFonts w:eastAsiaTheme="minorHAnsi" w:cs="Arial"/>
          <w:sz w:val="22"/>
          <w:szCs w:val="22"/>
          <w:lang w:eastAsia="en-US"/>
        </w:rPr>
        <w:t xml:space="preserve">More information can be found on the NHS Digital website at </w:t>
      </w:r>
      <w:r>
        <w:fldChar w:fldCharType="begin"/>
      </w:r>
      <w:r>
        <w:instrText xml:space="preserve"> HYPERLINK "https://digital.nhs.uk/data-and-information/publications/ci-hub/nhs-outcomes-framework" </w:instrText>
      </w:r>
      <w:r>
        <w:fldChar w:fldCharType="separate"/>
      </w:r>
      <w:r w:rsidRPr="00A77F08">
        <w:rPr>
          <w:rFonts w:eastAsiaTheme="minorHAnsi" w:cs="Arial"/>
          <w:color w:val="0000FF" w:themeColor="hyperlink"/>
          <w:sz w:val="22"/>
          <w:szCs w:val="22"/>
          <w:u w:val="single"/>
          <w:lang w:eastAsia="en-US"/>
        </w:rPr>
        <w:t>Link to NHS Outcomes Framework</w:t>
      </w:r>
      <w:r>
        <w:fldChar w:fldCharType="end"/>
      </w:r>
      <w:r w:rsidRPr="00A77F08">
        <w:rPr>
          <w:rFonts w:eastAsiaTheme="minorHAnsi" w:cs="Arial"/>
          <w:sz w:val="22"/>
          <w:szCs w:val="22"/>
          <w:lang w:eastAsia="en-US"/>
        </w:rPr>
        <w:t>.</w:t>
      </w:r>
    </w:p>
    <w:p w:rsidR="004F64C1" w:rsidRPr="00A77F08" w:rsidP="004F64C1">
      <w:pPr>
        <w:ind w:left="567"/>
        <w:jc w:val="both"/>
        <w:rPr>
          <w:rFonts w:eastAsiaTheme="minorHAnsi" w:cs="Arial"/>
          <w:sz w:val="22"/>
          <w:szCs w:val="22"/>
          <w:lang w:eastAsia="en-US"/>
        </w:rPr>
      </w:pPr>
    </w:p>
    <w:p w:rsidR="004F64C1" w:rsidRPr="00FD5C3A" w:rsidP="004F64C1">
      <w:pPr>
        <w:ind w:left="567"/>
        <w:jc w:val="both"/>
      </w:pPr>
    </w:p>
    <w:p w:rsidR="004F64C1" w:rsidRPr="00A77F08" w:rsidP="004F64C1">
      <w:pPr>
        <w:ind w:left="1287"/>
        <w:jc w:val="both"/>
        <w:rPr>
          <w:rFonts w:eastAsia="Calibri" w:cs="Arial"/>
          <w:sz w:val="22"/>
          <w:szCs w:val="22"/>
          <w:u w:val="single"/>
        </w:rPr>
      </w:pPr>
    </w:p>
    <w:p w:rsidR="004F64C1" w:rsidRPr="00565172" w:rsidP="001F4DFB">
      <w:pPr>
        <w:numPr>
          <w:ilvl w:val="1"/>
          <w:numId w:val="4"/>
        </w:numPr>
        <w:spacing w:after="120" w:line="276" w:lineRule="auto"/>
        <w:jc w:val="both"/>
        <w:rPr>
          <w:rFonts w:eastAsia="Calibri" w:cs="Arial"/>
          <w:b/>
          <w:sz w:val="22"/>
          <w:szCs w:val="22"/>
        </w:rPr>
      </w:pPr>
      <w:r w:rsidRPr="00565172">
        <w:rPr>
          <w:rFonts w:eastAsia="Calibri" w:cs="Arial"/>
          <w:b/>
          <w:sz w:val="22"/>
          <w:szCs w:val="22"/>
        </w:rPr>
        <w:t>Major Projects</w:t>
      </w:r>
    </w:p>
    <w:p w:rsidR="004F64C1" w:rsidRPr="00565172" w:rsidP="004F64C1">
      <w:pPr>
        <w:ind w:left="567"/>
        <w:contextualSpacing/>
        <w:jc w:val="both"/>
        <w:rPr>
          <w:rFonts w:eastAsiaTheme="minorHAnsi" w:cs="Arial"/>
          <w:color w:val="0000FF" w:themeColor="hyperlink"/>
          <w:sz w:val="22"/>
          <w:szCs w:val="22"/>
          <w:u w:val="single"/>
          <w:lang w:eastAsia="en-US"/>
        </w:rPr>
      </w:pPr>
      <w:r w:rsidRPr="00565172">
        <w:rPr>
          <w:rFonts w:eastAsiaTheme="minorHAnsi" w:cs="Arial"/>
          <w:sz w:val="22"/>
          <w:szCs w:val="22"/>
          <w:lang w:eastAsia="en-US"/>
        </w:rPr>
        <w:t xml:space="preserve">The DHSC has several major projects which are financed from Resource and Capital DEL.  Details of the project aims, Departmental commentary on actions planned or taken and timescales for implementation can be found at </w:t>
      </w:r>
      <w:r>
        <w:fldChar w:fldCharType="begin"/>
      </w:r>
      <w:r>
        <w:instrText xml:space="preserve"> HYPERLINK "https://www.gov.uk/government/publications/dhsc-government-major-projects-portfolio-data-2020" </w:instrText>
      </w:r>
      <w:r>
        <w:fldChar w:fldCharType="separate"/>
      </w:r>
      <w:r w:rsidRPr="009E40BA">
        <w:rPr>
          <w:rStyle w:val="Hyperlink"/>
          <w:rFonts w:eastAsiaTheme="minorHAnsi" w:cs="Arial"/>
          <w:sz w:val="22"/>
          <w:szCs w:val="22"/>
          <w:lang w:eastAsia="en-US"/>
        </w:rPr>
        <w:t>DHSC Government Major Projects Portfolio data 2020.</w:t>
      </w:r>
      <w:r>
        <w:fldChar w:fldCharType="end"/>
      </w:r>
    </w:p>
    <w:p w:rsidR="004F64C1" w:rsidP="004F64C1">
      <w:pPr>
        <w:ind w:left="567"/>
        <w:jc w:val="both"/>
        <w:rPr>
          <w:rFonts w:eastAsiaTheme="minorHAnsi" w:cs="Arial"/>
          <w:b/>
          <w:sz w:val="22"/>
          <w:szCs w:val="22"/>
          <w:lang w:eastAsia="en-US"/>
        </w:rPr>
      </w:pPr>
    </w:p>
    <w:p w:rsidR="004F64C1" w:rsidP="004F64C1">
      <w:pPr>
        <w:ind w:left="567"/>
        <w:jc w:val="both"/>
        <w:rPr>
          <w:rFonts w:eastAsiaTheme="minorHAnsi" w:cs="Arial"/>
          <w:b/>
          <w:sz w:val="22"/>
          <w:szCs w:val="22"/>
          <w:lang w:eastAsia="en-US"/>
        </w:rPr>
      </w:pPr>
    </w:p>
    <w:p w:rsidR="004F64C1" w:rsidRPr="00F12EF0" w:rsidP="004F64C1">
      <w:pPr>
        <w:ind w:left="567"/>
        <w:jc w:val="both"/>
        <w:rPr>
          <w:rFonts w:eastAsiaTheme="minorHAnsi" w:cs="Arial"/>
          <w:bCs/>
          <w:sz w:val="22"/>
          <w:szCs w:val="22"/>
          <w:lang w:eastAsia="en-US"/>
        </w:rPr>
      </w:pPr>
    </w:p>
    <w:p w:rsidR="004F64C1" w:rsidRPr="00565172" w:rsidP="004F64C1">
      <w:pPr>
        <w:ind w:left="567"/>
        <w:jc w:val="both"/>
        <w:rPr>
          <w:rFonts w:eastAsiaTheme="minorHAnsi" w:cs="Arial"/>
          <w:b/>
          <w:sz w:val="22"/>
          <w:szCs w:val="22"/>
          <w:lang w:eastAsia="en-US"/>
        </w:rPr>
      </w:pPr>
      <w:r w:rsidRPr="00565172">
        <w:rPr>
          <w:rFonts w:eastAsiaTheme="minorHAnsi" w:cs="Arial"/>
          <w:b/>
          <w:sz w:val="22"/>
          <w:szCs w:val="22"/>
          <w:lang w:eastAsia="en-US"/>
        </w:rPr>
        <w:br w:type="page"/>
      </w:r>
    </w:p>
    <w:p w:rsidR="004F64C1" w:rsidRPr="00565172" w:rsidP="001F4DFB">
      <w:pPr>
        <w:numPr>
          <w:ilvl w:val="0"/>
          <w:numId w:val="4"/>
        </w:numPr>
        <w:spacing w:after="200" w:line="276" w:lineRule="auto"/>
        <w:ind w:left="567" w:hanging="567"/>
        <w:contextualSpacing/>
        <w:rPr>
          <w:rFonts w:eastAsiaTheme="minorHAnsi" w:cs="Arial"/>
          <w:b/>
          <w:sz w:val="22"/>
          <w:szCs w:val="22"/>
          <w:lang w:eastAsia="en-US"/>
        </w:rPr>
      </w:pPr>
      <w:r w:rsidRPr="00565172">
        <w:rPr>
          <w:rFonts w:eastAsiaTheme="minorHAnsi" w:cs="Arial"/>
          <w:b/>
          <w:sz w:val="22"/>
          <w:szCs w:val="22"/>
          <w:lang w:eastAsia="en-US"/>
        </w:rPr>
        <w:t>OTHER INFORMATION</w:t>
      </w:r>
    </w:p>
    <w:p w:rsidR="004F64C1" w:rsidRPr="00565172" w:rsidP="004F64C1">
      <w:pPr>
        <w:spacing w:line="276" w:lineRule="auto"/>
        <w:ind w:left="567"/>
        <w:contextualSpacing/>
        <w:rPr>
          <w:rFonts w:eastAsiaTheme="minorHAnsi" w:cs="Arial"/>
          <w:b/>
          <w:sz w:val="22"/>
          <w:szCs w:val="22"/>
          <w:lang w:eastAsia="en-US"/>
        </w:rPr>
      </w:pPr>
    </w:p>
    <w:p w:rsidR="004F64C1" w:rsidRPr="00565172" w:rsidP="001F4DFB">
      <w:pPr>
        <w:numPr>
          <w:ilvl w:val="1"/>
          <w:numId w:val="4"/>
        </w:numPr>
        <w:spacing w:after="120" w:line="276" w:lineRule="auto"/>
        <w:ind w:left="567" w:hanging="567"/>
        <w:rPr>
          <w:rFonts w:eastAsia="Calibri" w:cs="Arial"/>
          <w:b/>
          <w:sz w:val="22"/>
          <w:szCs w:val="22"/>
        </w:rPr>
      </w:pPr>
      <w:r w:rsidRPr="00565172">
        <w:rPr>
          <w:rFonts w:eastAsia="Calibri" w:cs="Arial"/>
          <w:b/>
          <w:sz w:val="22"/>
          <w:szCs w:val="22"/>
        </w:rPr>
        <w:t>NHS England</w:t>
      </w:r>
    </w:p>
    <w:p w:rsidR="004F64C1" w:rsidRPr="00522BD7" w:rsidP="004F64C1">
      <w:pPr>
        <w:ind w:left="567"/>
        <w:jc w:val="both"/>
        <w:rPr>
          <w:rFonts w:eastAsia="Calibri" w:cs="Arial"/>
          <w:bCs/>
          <w:sz w:val="22"/>
          <w:szCs w:val="22"/>
        </w:rPr>
      </w:pPr>
      <w:r w:rsidRPr="00AC5C5A">
        <w:rPr>
          <w:rFonts w:eastAsia="Calibri" w:cs="Arial"/>
          <w:bCs/>
          <w:sz w:val="22"/>
          <w:szCs w:val="22"/>
        </w:rPr>
        <w:t xml:space="preserve">The resources made available to NHSE in </w:t>
      </w:r>
      <w:r w:rsidR="000300A3">
        <w:rPr>
          <w:rFonts w:eastAsia="Calibri" w:cs="Arial"/>
          <w:bCs/>
          <w:sz w:val="22"/>
          <w:szCs w:val="22"/>
        </w:rPr>
        <w:t>2022-23</w:t>
      </w:r>
      <w:r w:rsidRPr="00AC5C5A">
        <w:rPr>
          <w:rFonts w:eastAsia="Calibri" w:cs="Arial"/>
          <w:bCs/>
          <w:sz w:val="22"/>
          <w:szCs w:val="22"/>
        </w:rPr>
        <w:t xml:space="preserve"> are set out in the Financial Directions to the </w:t>
      </w:r>
      <w:r w:rsidRPr="00522BD7">
        <w:rPr>
          <w:rFonts w:eastAsia="Calibri" w:cs="Arial"/>
          <w:bCs/>
          <w:sz w:val="22"/>
          <w:szCs w:val="22"/>
        </w:rPr>
        <w:t xml:space="preserve">Mandate to be published </w:t>
      </w:r>
      <w:r w:rsidR="0030554B">
        <w:rPr>
          <w:rFonts w:eastAsia="Calibri" w:cs="Arial"/>
          <w:bCs/>
          <w:sz w:val="22"/>
          <w:szCs w:val="22"/>
        </w:rPr>
        <w:t>in March 2022</w:t>
      </w:r>
      <w:r w:rsidRPr="00522BD7">
        <w:rPr>
          <w:rFonts w:eastAsia="Calibri" w:cs="Arial"/>
          <w:bCs/>
          <w:sz w:val="22"/>
          <w:szCs w:val="22"/>
        </w:rPr>
        <w:t xml:space="preserve">.  The figures in the </w:t>
      </w:r>
      <w:r w:rsidR="009C3896">
        <w:rPr>
          <w:rFonts w:eastAsia="Calibri" w:cs="Arial"/>
          <w:bCs/>
          <w:sz w:val="22"/>
          <w:szCs w:val="22"/>
        </w:rPr>
        <w:t>2022-23</w:t>
      </w:r>
      <w:r w:rsidRPr="00522BD7">
        <w:rPr>
          <w:rFonts w:eastAsia="Calibri" w:cs="Arial"/>
          <w:bCs/>
          <w:sz w:val="22"/>
          <w:szCs w:val="22"/>
        </w:rPr>
        <w:t xml:space="preserve"> Parliamentary Estimate will not reconcile to those in the Financial Directions for the following reasons:</w:t>
      </w:r>
    </w:p>
    <w:p w:rsidR="004F64C1" w:rsidRPr="00522BD7" w:rsidP="004F64C1">
      <w:pPr>
        <w:ind w:left="567"/>
        <w:jc w:val="both"/>
        <w:rPr>
          <w:rFonts w:eastAsia="Calibri" w:cs="Arial"/>
          <w:b/>
          <w:bCs/>
          <w:sz w:val="22"/>
          <w:szCs w:val="22"/>
        </w:rPr>
      </w:pPr>
    </w:p>
    <w:p w:rsidR="004F64C1" w:rsidRPr="00522BD7" w:rsidP="001F4DFB">
      <w:pPr>
        <w:numPr>
          <w:ilvl w:val="0"/>
          <w:numId w:val="2"/>
        </w:numPr>
        <w:spacing w:after="200" w:line="276" w:lineRule="auto"/>
        <w:ind w:left="925" w:hanging="357"/>
        <w:jc w:val="both"/>
        <w:rPr>
          <w:rFonts w:cs="Arial"/>
          <w:sz w:val="22"/>
          <w:szCs w:val="22"/>
        </w:rPr>
      </w:pPr>
      <w:r w:rsidRPr="00522BD7">
        <w:rPr>
          <w:rFonts w:cs="Arial"/>
          <w:sz w:val="22"/>
          <w:szCs w:val="22"/>
        </w:rPr>
        <w:t xml:space="preserve">In line with HM Treasury Estimates conventions, figures are presented on a consolidated basis i.e. adjusted for intra-group trading transactions; </w:t>
      </w:r>
    </w:p>
    <w:p w:rsidR="004F64C1" w:rsidRPr="00522BD7" w:rsidP="001F4DFB">
      <w:pPr>
        <w:numPr>
          <w:ilvl w:val="0"/>
          <w:numId w:val="2"/>
        </w:numPr>
        <w:spacing w:after="200" w:line="276" w:lineRule="auto"/>
        <w:ind w:left="925" w:hanging="357"/>
        <w:jc w:val="both"/>
        <w:rPr>
          <w:rFonts w:cs="Arial"/>
          <w:sz w:val="22"/>
          <w:szCs w:val="22"/>
        </w:rPr>
      </w:pPr>
      <w:r w:rsidRPr="00522BD7">
        <w:rPr>
          <w:rFonts w:cs="Arial"/>
          <w:sz w:val="22"/>
          <w:szCs w:val="22"/>
        </w:rPr>
        <w:t>NHSE expenditure is part-financed by non-voted National Insurance Contributions; and</w:t>
      </w:r>
    </w:p>
    <w:p w:rsidR="004F64C1" w:rsidRPr="00E015F8" w:rsidP="001F4DFB">
      <w:pPr>
        <w:numPr>
          <w:ilvl w:val="0"/>
          <w:numId w:val="2"/>
        </w:numPr>
        <w:spacing w:after="200" w:line="276" w:lineRule="auto"/>
        <w:ind w:left="925" w:hanging="357"/>
        <w:jc w:val="both"/>
        <w:rPr>
          <w:rFonts w:cs="Arial"/>
          <w:sz w:val="22"/>
          <w:szCs w:val="22"/>
        </w:rPr>
      </w:pPr>
      <w:r>
        <w:rPr>
          <w:rFonts w:cs="Arial"/>
          <w:sz w:val="22"/>
          <w:szCs w:val="22"/>
        </w:rPr>
        <w:t xml:space="preserve">A number of small changes were </w:t>
      </w:r>
      <w:r w:rsidR="00A42BB3">
        <w:rPr>
          <w:rFonts w:cs="Arial"/>
          <w:sz w:val="22"/>
          <w:szCs w:val="22"/>
        </w:rPr>
        <w:t>included</w:t>
      </w:r>
      <w:r>
        <w:rPr>
          <w:rFonts w:cs="Arial"/>
          <w:sz w:val="22"/>
          <w:szCs w:val="22"/>
        </w:rPr>
        <w:t xml:space="preserve"> in the 2022-23 NHSE Financial Directions af</w:t>
      </w:r>
      <w:r w:rsidR="008304F0">
        <w:rPr>
          <w:rFonts w:cs="Arial"/>
          <w:sz w:val="22"/>
          <w:szCs w:val="22"/>
        </w:rPr>
        <w:t xml:space="preserve">ter the figures had been pulled together for inclusion in the </w:t>
      </w:r>
      <w:r w:rsidR="00A42BB3">
        <w:rPr>
          <w:rFonts w:cs="Arial"/>
          <w:sz w:val="22"/>
          <w:szCs w:val="22"/>
        </w:rPr>
        <w:t>2022-23 Main Estimates</w:t>
      </w:r>
      <w:r w:rsidRPr="00E015F8">
        <w:rPr>
          <w:rFonts w:cs="Arial"/>
          <w:sz w:val="22"/>
          <w:szCs w:val="22"/>
        </w:rPr>
        <w:t>.</w:t>
      </w:r>
    </w:p>
    <w:p w:rsidR="004F64C1" w:rsidRPr="00E015F8" w:rsidP="004F64C1">
      <w:pPr>
        <w:ind w:left="567"/>
        <w:jc w:val="both"/>
        <w:rPr>
          <w:sz w:val="22"/>
          <w:szCs w:val="22"/>
        </w:rPr>
      </w:pPr>
      <w:r>
        <w:fldChar w:fldCharType="begin"/>
      </w:r>
      <w:r>
        <w:instrText xml:space="preserve"> HYPERLINK "https://assets.publishing.service.gov.uk/government/uploads/system/uploads/attachment_data/file/1065563/opening-2022-to-2023-nhs-financial-directions.pdf" </w:instrText>
      </w:r>
      <w:r>
        <w:fldChar w:fldCharType="separate"/>
      </w:r>
      <w:r w:rsidRPr="00BC2142">
        <w:rPr>
          <w:rStyle w:val="Hyperlink"/>
          <w:sz w:val="22"/>
          <w:szCs w:val="22"/>
        </w:rPr>
        <w:t>Link to the 202</w:t>
      </w:r>
      <w:r w:rsidRPr="00BC2142" w:rsidR="0030554B">
        <w:rPr>
          <w:rStyle w:val="Hyperlink"/>
          <w:sz w:val="22"/>
          <w:szCs w:val="22"/>
        </w:rPr>
        <w:t>2-23</w:t>
      </w:r>
      <w:r w:rsidRPr="00BC2142">
        <w:rPr>
          <w:rStyle w:val="Hyperlink"/>
          <w:sz w:val="22"/>
          <w:szCs w:val="22"/>
        </w:rPr>
        <w:t xml:space="preserve"> NHSE </w:t>
      </w:r>
      <w:r w:rsidRPr="00BC2142" w:rsidR="0030554B">
        <w:rPr>
          <w:rStyle w:val="Hyperlink"/>
          <w:sz w:val="22"/>
          <w:szCs w:val="22"/>
        </w:rPr>
        <w:t>Financial Directions</w:t>
      </w:r>
      <w:r w:rsidRPr="00BC2142">
        <w:rPr>
          <w:rStyle w:val="Hyperlink"/>
          <w:sz w:val="22"/>
          <w:szCs w:val="22"/>
        </w:rPr>
        <w:t xml:space="preserve"> </w:t>
      </w:r>
      <w:r>
        <w:fldChar w:fldCharType="end"/>
      </w:r>
      <w:r w:rsidRPr="00E015F8">
        <w:rPr>
          <w:color w:val="0000FF"/>
          <w:sz w:val="22"/>
          <w:szCs w:val="22"/>
          <w:u w:val="single"/>
        </w:rPr>
        <w:t xml:space="preserve"> </w:t>
      </w:r>
    </w:p>
    <w:p w:rsidR="004F64C1" w:rsidRPr="00565172" w:rsidP="004F64C1">
      <w:pPr>
        <w:ind w:left="567"/>
        <w:jc w:val="both"/>
        <w:rPr>
          <w:sz w:val="22"/>
          <w:szCs w:val="22"/>
        </w:rPr>
      </w:pPr>
    </w:p>
    <w:p w:rsidR="004F64C1" w:rsidP="004F64C1">
      <w:pPr>
        <w:ind w:left="567"/>
        <w:jc w:val="both"/>
        <w:rPr>
          <w:rFonts w:cs="Arial"/>
          <w:bCs/>
          <w:sz w:val="22"/>
          <w:szCs w:val="22"/>
        </w:rPr>
      </w:pPr>
      <w:r w:rsidRPr="00565172">
        <w:rPr>
          <w:rFonts w:cs="Arial"/>
          <w:bCs/>
          <w:sz w:val="22"/>
          <w:szCs w:val="22"/>
        </w:rPr>
        <w:t xml:space="preserve">The table below reconciles the NHSE </w:t>
      </w:r>
      <w:r w:rsidR="00BC2142">
        <w:rPr>
          <w:rFonts w:cs="Arial"/>
          <w:bCs/>
          <w:sz w:val="22"/>
          <w:szCs w:val="22"/>
        </w:rPr>
        <w:t xml:space="preserve">2022-23 Main </w:t>
      </w:r>
      <w:r w:rsidRPr="00565172">
        <w:rPr>
          <w:rFonts w:cs="Arial"/>
          <w:bCs/>
          <w:sz w:val="22"/>
          <w:szCs w:val="22"/>
        </w:rPr>
        <w:t xml:space="preserve">Estimate provision to </w:t>
      </w:r>
      <w:r w:rsidR="00BC2142">
        <w:rPr>
          <w:rFonts w:cs="Arial"/>
          <w:bCs/>
          <w:sz w:val="22"/>
          <w:szCs w:val="22"/>
        </w:rPr>
        <w:t>NHSE’s 2022-23 Financial Directions</w:t>
      </w:r>
    </w:p>
    <w:p w:rsidR="004F64C1" w:rsidP="004F64C1">
      <w:pPr>
        <w:ind w:left="567"/>
        <w:jc w:val="both"/>
        <w:rPr>
          <w:rFonts w:cs="Arial"/>
          <w:bCs/>
          <w:sz w:val="22"/>
          <w:szCs w:val="22"/>
        </w:rPr>
      </w:pPr>
    </w:p>
    <w:tbl>
      <w:tblPr>
        <w:tblW w:w="5000" w:type="pct"/>
        <w:tblLook w:val="04A0"/>
      </w:tblPr>
      <w:tblGrid>
        <w:gridCol w:w="493"/>
        <w:gridCol w:w="7353"/>
        <w:gridCol w:w="1459"/>
        <w:gridCol w:w="1457"/>
      </w:tblGrid>
      <w:tr w:rsidTr="004C13BB">
        <w:tblPrEx>
          <w:tblW w:w="5000" w:type="pct"/>
          <w:tblLook w:val="04A0"/>
        </w:tblPrEx>
        <w:trPr>
          <w:trHeight w:val="300"/>
        </w:trPr>
        <w:tc>
          <w:tcPr>
            <w:tcW w:w="3644" w:type="pct"/>
            <w:gridSpan w:val="2"/>
            <w:vMerge w:val="restart"/>
            <w:tcBorders>
              <w:top w:val="single" w:sz="4" w:space="0" w:color="auto"/>
              <w:left w:val="single" w:sz="4" w:space="0" w:color="auto"/>
              <w:bottom w:val="single" w:sz="4" w:space="0" w:color="000000"/>
              <w:right w:val="single" w:sz="4" w:space="0" w:color="000000"/>
            </w:tcBorders>
            <w:shd w:val="clear" w:color="000000" w:fill="333F4F"/>
            <w:vAlign w:val="center"/>
            <w:hideMark/>
          </w:tcPr>
          <w:p w:rsidR="004C13BB" w:rsidRPr="004C13BB" w:rsidP="004C13BB">
            <w:pPr>
              <w:rPr>
                <w:rFonts w:cs="Arial"/>
                <w:b/>
                <w:bCs/>
                <w:color w:val="FFFFFF"/>
                <w:sz w:val="22"/>
                <w:szCs w:val="22"/>
              </w:rPr>
            </w:pPr>
            <w:r w:rsidRPr="004C13BB">
              <w:rPr>
                <w:rFonts w:cs="Arial"/>
                <w:b/>
                <w:bCs/>
                <w:color w:val="FFFFFF"/>
                <w:sz w:val="22"/>
                <w:szCs w:val="22"/>
              </w:rPr>
              <w:t>Reconciliation between the Estimate and the Mandate</w:t>
            </w:r>
          </w:p>
        </w:tc>
        <w:tc>
          <w:tcPr>
            <w:tcW w:w="678" w:type="pct"/>
            <w:tcBorders>
              <w:top w:val="single" w:sz="4" w:space="0" w:color="auto"/>
              <w:left w:val="nil"/>
              <w:bottom w:val="single" w:sz="4" w:space="0" w:color="auto"/>
              <w:right w:val="single" w:sz="4" w:space="0" w:color="auto"/>
            </w:tcBorders>
            <w:shd w:val="clear" w:color="000000" w:fill="333F4F"/>
            <w:noWrap/>
            <w:vAlign w:val="bottom"/>
            <w:hideMark/>
          </w:tcPr>
          <w:p w:rsidR="004C13BB" w:rsidRPr="004C13BB" w:rsidP="004C13BB">
            <w:pPr>
              <w:jc w:val="right"/>
              <w:rPr>
                <w:rFonts w:cs="Arial"/>
                <w:b/>
                <w:bCs/>
                <w:color w:val="FFFFFF"/>
                <w:sz w:val="22"/>
                <w:szCs w:val="22"/>
              </w:rPr>
            </w:pPr>
            <w:r w:rsidRPr="004C13BB">
              <w:rPr>
                <w:rFonts w:cs="Arial"/>
                <w:b/>
                <w:bCs/>
                <w:color w:val="FFFFFF"/>
                <w:sz w:val="22"/>
                <w:szCs w:val="22"/>
              </w:rPr>
              <w:t>Resource</w:t>
            </w:r>
          </w:p>
        </w:tc>
        <w:tc>
          <w:tcPr>
            <w:tcW w:w="678" w:type="pct"/>
            <w:tcBorders>
              <w:top w:val="single" w:sz="4" w:space="0" w:color="auto"/>
              <w:left w:val="nil"/>
              <w:bottom w:val="single" w:sz="4" w:space="0" w:color="auto"/>
              <w:right w:val="single" w:sz="4" w:space="0" w:color="auto"/>
            </w:tcBorders>
            <w:shd w:val="clear" w:color="000000" w:fill="333F4F"/>
            <w:noWrap/>
            <w:vAlign w:val="bottom"/>
            <w:hideMark/>
          </w:tcPr>
          <w:p w:rsidR="004C13BB" w:rsidRPr="004C13BB" w:rsidP="004C13BB">
            <w:pPr>
              <w:jc w:val="right"/>
              <w:rPr>
                <w:rFonts w:cs="Arial"/>
                <w:b/>
                <w:bCs/>
                <w:color w:val="FFFFFF"/>
                <w:sz w:val="22"/>
                <w:szCs w:val="22"/>
              </w:rPr>
            </w:pPr>
            <w:r w:rsidRPr="004C13BB">
              <w:rPr>
                <w:rFonts w:cs="Arial"/>
                <w:b/>
                <w:bCs/>
                <w:color w:val="FFFFFF"/>
                <w:sz w:val="22"/>
                <w:szCs w:val="22"/>
              </w:rPr>
              <w:t>Capital</w:t>
            </w:r>
          </w:p>
        </w:tc>
      </w:tr>
      <w:tr w:rsidTr="004C13BB">
        <w:tblPrEx>
          <w:tblW w:w="5000" w:type="pct"/>
          <w:tblLook w:val="04A0"/>
        </w:tblPrEx>
        <w:trPr>
          <w:trHeight w:val="300"/>
        </w:trPr>
        <w:tc>
          <w:tcPr>
            <w:tcW w:w="3644" w:type="pct"/>
            <w:gridSpan w:val="2"/>
            <w:vMerge/>
            <w:tcBorders>
              <w:top w:val="single" w:sz="4" w:space="0" w:color="auto"/>
              <w:left w:val="single" w:sz="4" w:space="0" w:color="auto"/>
              <w:bottom w:val="single" w:sz="4" w:space="0" w:color="000000"/>
              <w:right w:val="single" w:sz="4" w:space="0" w:color="000000"/>
            </w:tcBorders>
            <w:vAlign w:val="center"/>
            <w:hideMark/>
          </w:tcPr>
          <w:p w:rsidR="004C13BB" w:rsidRPr="004C13BB" w:rsidP="004C13BB">
            <w:pPr>
              <w:rPr>
                <w:rFonts w:cs="Arial"/>
                <w:b/>
                <w:bCs/>
                <w:color w:val="FFFFFF"/>
                <w:sz w:val="22"/>
                <w:szCs w:val="22"/>
              </w:rPr>
            </w:pPr>
          </w:p>
        </w:tc>
        <w:tc>
          <w:tcPr>
            <w:tcW w:w="678" w:type="pct"/>
            <w:tcBorders>
              <w:top w:val="nil"/>
              <w:left w:val="nil"/>
              <w:bottom w:val="single" w:sz="4" w:space="0" w:color="auto"/>
              <w:right w:val="single" w:sz="4" w:space="0" w:color="auto"/>
            </w:tcBorders>
            <w:shd w:val="clear" w:color="000000" w:fill="333F4F"/>
            <w:noWrap/>
            <w:vAlign w:val="bottom"/>
            <w:hideMark/>
          </w:tcPr>
          <w:p w:rsidR="004C13BB" w:rsidRPr="004C13BB" w:rsidP="004C13BB">
            <w:pPr>
              <w:jc w:val="right"/>
              <w:rPr>
                <w:rFonts w:cs="Arial"/>
                <w:b/>
                <w:bCs/>
                <w:color w:val="FFFFFF"/>
                <w:sz w:val="22"/>
                <w:szCs w:val="22"/>
              </w:rPr>
            </w:pPr>
            <w:r w:rsidRPr="004C13BB">
              <w:rPr>
                <w:rFonts w:cs="Arial"/>
                <w:b/>
                <w:bCs/>
                <w:color w:val="FFFFFF"/>
                <w:sz w:val="22"/>
                <w:szCs w:val="22"/>
              </w:rPr>
              <w:t>£m</w:t>
            </w:r>
          </w:p>
        </w:tc>
        <w:tc>
          <w:tcPr>
            <w:tcW w:w="678" w:type="pct"/>
            <w:tcBorders>
              <w:top w:val="nil"/>
              <w:left w:val="nil"/>
              <w:bottom w:val="single" w:sz="4" w:space="0" w:color="auto"/>
              <w:right w:val="single" w:sz="4" w:space="0" w:color="auto"/>
            </w:tcBorders>
            <w:shd w:val="clear" w:color="000000" w:fill="333F4F"/>
            <w:noWrap/>
            <w:vAlign w:val="bottom"/>
            <w:hideMark/>
          </w:tcPr>
          <w:p w:rsidR="004C13BB" w:rsidRPr="004C13BB" w:rsidP="004C13BB">
            <w:pPr>
              <w:jc w:val="right"/>
              <w:rPr>
                <w:rFonts w:cs="Arial"/>
                <w:b/>
                <w:bCs/>
                <w:color w:val="FFFFFF"/>
                <w:sz w:val="22"/>
                <w:szCs w:val="22"/>
              </w:rPr>
            </w:pPr>
            <w:r w:rsidRPr="004C13BB">
              <w:rPr>
                <w:rFonts w:cs="Arial"/>
                <w:b/>
                <w:bCs/>
                <w:color w:val="FFFFFF"/>
                <w:sz w:val="22"/>
                <w:szCs w:val="22"/>
              </w:rPr>
              <w:t>£m</w:t>
            </w:r>
          </w:p>
        </w:tc>
      </w:tr>
      <w:tr w:rsidTr="004C13BB">
        <w:tblPrEx>
          <w:tblW w:w="5000" w:type="pct"/>
          <w:tblLook w:val="04A0"/>
        </w:tblPrEx>
        <w:trPr>
          <w:trHeight w:val="300"/>
        </w:trPr>
        <w:tc>
          <w:tcPr>
            <w:tcW w:w="3644" w:type="pct"/>
            <w:gridSpan w:val="2"/>
            <w:tcBorders>
              <w:top w:val="single" w:sz="4" w:space="0" w:color="auto"/>
              <w:left w:val="single" w:sz="4" w:space="0" w:color="auto"/>
              <w:bottom w:val="single" w:sz="4" w:space="0" w:color="auto"/>
              <w:right w:val="single" w:sz="4" w:space="0" w:color="000000"/>
            </w:tcBorders>
            <w:shd w:val="clear" w:color="000000" w:fill="B4C6E7"/>
            <w:vAlign w:val="center"/>
            <w:hideMark/>
          </w:tcPr>
          <w:p w:rsidR="004C13BB" w:rsidRPr="004C13BB" w:rsidP="004C13BB">
            <w:pPr>
              <w:rPr>
                <w:rFonts w:cs="Arial"/>
                <w:b/>
                <w:bCs/>
                <w:color w:val="000000"/>
                <w:sz w:val="22"/>
                <w:szCs w:val="22"/>
              </w:rPr>
            </w:pPr>
            <w:r w:rsidRPr="004C13BB">
              <w:rPr>
                <w:rFonts w:cs="Arial"/>
                <w:b/>
                <w:bCs/>
                <w:color w:val="000000"/>
                <w:sz w:val="22"/>
                <w:szCs w:val="22"/>
              </w:rPr>
              <w:t>Total Mandate</w:t>
            </w:r>
            <w:r w:rsidRPr="004C13BB">
              <w:rPr>
                <w:rFonts w:cs="Arial"/>
                <w:color w:val="000000"/>
                <w:sz w:val="22"/>
                <w:szCs w:val="22"/>
              </w:rPr>
              <w:t xml:space="preserve"> (sum of the below)</w:t>
            </w:r>
          </w:p>
        </w:tc>
        <w:tc>
          <w:tcPr>
            <w:tcW w:w="678" w:type="pct"/>
            <w:tcBorders>
              <w:top w:val="nil"/>
              <w:left w:val="nil"/>
              <w:bottom w:val="single" w:sz="4" w:space="0" w:color="auto"/>
              <w:right w:val="single" w:sz="4" w:space="0" w:color="auto"/>
            </w:tcBorders>
            <w:shd w:val="clear" w:color="000000" w:fill="B4C6E7"/>
            <w:vAlign w:val="center"/>
            <w:hideMark/>
          </w:tcPr>
          <w:p w:rsidR="004C13BB" w:rsidRPr="004C13BB" w:rsidP="004C13BB">
            <w:pPr>
              <w:jc w:val="right"/>
              <w:rPr>
                <w:rFonts w:cs="Arial"/>
                <w:b/>
                <w:bCs/>
                <w:color w:val="000000"/>
                <w:sz w:val="22"/>
                <w:szCs w:val="22"/>
              </w:rPr>
            </w:pPr>
            <w:r w:rsidRPr="004C13BB">
              <w:rPr>
                <w:rFonts w:cs="Arial"/>
                <w:b/>
                <w:bCs/>
                <w:color w:val="000000"/>
                <w:sz w:val="22"/>
                <w:szCs w:val="22"/>
              </w:rPr>
              <w:t>152,766</w:t>
            </w:r>
          </w:p>
        </w:tc>
        <w:tc>
          <w:tcPr>
            <w:tcW w:w="678" w:type="pct"/>
            <w:tcBorders>
              <w:top w:val="nil"/>
              <w:left w:val="nil"/>
              <w:bottom w:val="single" w:sz="4" w:space="0" w:color="auto"/>
              <w:right w:val="single" w:sz="4" w:space="0" w:color="auto"/>
            </w:tcBorders>
            <w:shd w:val="clear" w:color="000000" w:fill="B4C6E7"/>
            <w:vAlign w:val="center"/>
            <w:hideMark/>
          </w:tcPr>
          <w:p w:rsidR="004C13BB" w:rsidRPr="004C13BB" w:rsidP="004C13BB">
            <w:pPr>
              <w:jc w:val="right"/>
              <w:rPr>
                <w:rFonts w:cs="Arial"/>
                <w:b/>
                <w:bCs/>
                <w:color w:val="000000"/>
                <w:sz w:val="22"/>
                <w:szCs w:val="22"/>
              </w:rPr>
            </w:pPr>
            <w:r w:rsidRPr="004C13BB">
              <w:rPr>
                <w:rFonts w:cs="Arial"/>
                <w:b/>
                <w:bCs/>
                <w:color w:val="000000"/>
                <w:sz w:val="22"/>
                <w:szCs w:val="22"/>
              </w:rPr>
              <w:t>219</w:t>
            </w:r>
          </w:p>
        </w:tc>
      </w:tr>
      <w:tr w:rsidTr="004C13BB">
        <w:tblPrEx>
          <w:tblW w:w="5000" w:type="pct"/>
          <w:tblLook w:val="04A0"/>
        </w:tblPrEx>
        <w:trPr>
          <w:trHeight w:val="300"/>
        </w:trPr>
        <w:tc>
          <w:tcPr>
            <w:tcW w:w="3644" w:type="pct"/>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rsidR="004C13BB" w:rsidRPr="004C13BB" w:rsidP="004C13BB">
            <w:pPr>
              <w:rPr>
                <w:rFonts w:cs="Arial"/>
                <w:b/>
                <w:bCs/>
                <w:color w:val="000000"/>
                <w:sz w:val="22"/>
                <w:szCs w:val="22"/>
              </w:rPr>
            </w:pPr>
            <w:r w:rsidRPr="004C13BB">
              <w:rPr>
                <w:rFonts w:cs="Arial"/>
                <w:b/>
                <w:bCs/>
                <w:color w:val="000000"/>
                <w:sz w:val="22"/>
                <w:szCs w:val="22"/>
              </w:rPr>
              <w:t>Less:</w:t>
            </w:r>
          </w:p>
        </w:tc>
        <w:tc>
          <w:tcPr>
            <w:tcW w:w="678" w:type="pct"/>
            <w:tcBorders>
              <w:top w:val="nil"/>
              <w:left w:val="nil"/>
              <w:bottom w:val="single" w:sz="4" w:space="0" w:color="auto"/>
              <w:right w:val="single" w:sz="4" w:space="0" w:color="auto"/>
            </w:tcBorders>
            <w:shd w:val="clear" w:color="auto" w:fill="auto"/>
            <w:vAlign w:val="center"/>
            <w:hideMark/>
          </w:tcPr>
          <w:p w:rsidR="004C13BB" w:rsidRPr="004C13BB" w:rsidP="004C13BB">
            <w:pPr>
              <w:rPr>
                <w:rFonts w:cs="Arial"/>
                <w:color w:val="000000"/>
                <w:sz w:val="22"/>
                <w:szCs w:val="22"/>
              </w:rPr>
            </w:pPr>
            <w:r w:rsidRPr="004C13BB">
              <w:rPr>
                <w:rFonts w:cs="Arial"/>
                <w:color w:val="000000"/>
                <w:sz w:val="22"/>
                <w:szCs w:val="22"/>
              </w:rPr>
              <w:t> </w:t>
            </w:r>
          </w:p>
        </w:tc>
        <w:tc>
          <w:tcPr>
            <w:tcW w:w="678" w:type="pct"/>
            <w:tcBorders>
              <w:top w:val="nil"/>
              <w:left w:val="nil"/>
              <w:bottom w:val="single" w:sz="4" w:space="0" w:color="auto"/>
              <w:right w:val="single" w:sz="4" w:space="0" w:color="auto"/>
            </w:tcBorders>
            <w:shd w:val="clear" w:color="auto" w:fill="auto"/>
            <w:vAlign w:val="center"/>
            <w:hideMark/>
          </w:tcPr>
          <w:p w:rsidR="004C13BB" w:rsidRPr="004C13BB" w:rsidP="004C13BB">
            <w:pPr>
              <w:rPr>
                <w:rFonts w:cs="Arial"/>
                <w:color w:val="000000"/>
                <w:sz w:val="22"/>
                <w:szCs w:val="22"/>
              </w:rPr>
            </w:pPr>
            <w:r w:rsidRPr="004C13BB">
              <w:rPr>
                <w:rFonts w:cs="Arial"/>
                <w:color w:val="000000"/>
                <w:sz w:val="22"/>
                <w:szCs w:val="22"/>
              </w:rPr>
              <w:t> </w:t>
            </w:r>
          </w:p>
        </w:tc>
      </w:tr>
      <w:tr w:rsidTr="004C13BB">
        <w:tblPrEx>
          <w:tblW w:w="5000" w:type="pct"/>
          <w:tblLook w:val="04A0"/>
        </w:tblPrEx>
        <w:trPr>
          <w:trHeight w:val="285"/>
        </w:trPr>
        <w:tc>
          <w:tcPr>
            <w:tcW w:w="229" w:type="pct"/>
            <w:tcBorders>
              <w:top w:val="nil"/>
              <w:left w:val="single" w:sz="4" w:space="0" w:color="auto"/>
              <w:bottom w:val="single" w:sz="4" w:space="0" w:color="auto"/>
              <w:right w:val="nil"/>
            </w:tcBorders>
            <w:shd w:val="clear" w:color="auto" w:fill="auto"/>
            <w:vAlign w:val="center"/>
            <w:hideMark/>
          </w:tcPr>
          <w:p w:rsidR="004C13BB" w:rsidRPr="004C13BB" w:rsidP="004C13BB">
            <w:pPr>
              <w:rPr>
                <w:rFonts w:cs="Arial"/>
                <w:color w:val="000000"/>
                <w:sz w:val="22"/>
                <w:szCs w:val="22"/>
              </w:rPr>
            </w:pPr>
            <w:r w:rsidRPr="004C13BB">
              <w:rPr>
                <w:rFonts w:cs="Arial"/>
                <w:color w:val="000000"/>
                <w:sz w:val="22"/>
                <w:szCs w:val="22"/>
              </w:rPr>
              <w:t>a)</w:t>
            </w:r>
          </w:p>
        </w:tc>
        <w:tc>
          <w:tcPr>
            <w:tcW w:w="3416" w:type="pct"/>
            <w:tcBorders>
              <w:top w:val="nil"/>
              <w:left w:val="nil"/>
              <w:bottom w:val="single" w:sz="4" w:space="0" w:color="auto"/>
              <w:right w:val="single" w:sz="4" w:space="0" w:color="auto"/>
            </w:tcBorders>
            <w:shd w:val="clear" w:color="auto" w:fill="auto"/>
            <w:vAlign w:val="center"/>
            <w:hideMark/>
          </w:tcPr>
          <w:p w:rsidR="004C13BB" w:rsidRPr="004C13BB" w:rsidP="004C13BB">
            <w:pPr>
              <w:rPr>
                <w:rFonts w:cs="Arial"/>
                <w:color w:val="000000"/>
                <w:sz w:val="22"/>
                <w:szCs w:val="22"/>
              </w:rPr>
            </w:pPr>
            <w:r w:rsidRPr="004C13BB">
              <w:rPr>
                <w:rFonts w:cs="Arial"/>
                <w:color w:val="000000"/>
                <w:sz w:val="22"/>
                <w:szCs w:val="22"/>
              </w:rPr>
              <w:t>Transactions with other bodies within the group</w:t>
            </w:r>
          </w:p>
        </w:tc>
        <w:tc>
          <w:tcPr>
            <w:tcW w:w="678" w:type="pct"/>
            <w:tcBorders>
              <w:top w:val="nil"/>
              <w:left w:val="nil"/>
              <w:bottom w:val="single" w:sz="4" w:space="0" w:color="auto"/>
              <w:right w:val="single" w:sz="4" w:space="0" w:color="auto"/>
            </w:tcBorders>
            <w:shd w:val="clear" w:color="auto" w:fill="auto"/>
            <w:vAlign w:val="center"/>
            <w:hideMark/>
          </w:tcPr>
          <w:p w:rsidR="004C13BB" w:rsidRPr="004C13BB" w:rsidP="004C13BB">
            <w:pPr>
              <w:jc w:val="right"/>
              <w:rPr>
                <w:rFonts w:cs="Arial"/>
                <w:color w:val="000000"/>
                <w:sz w:val="22"/>
                <w:szCs w:val="22"/>
              </w:rPr>
            </w:pPr>
            <w:r w:rsidRPr="004C13BB">
              <w:rPr>
                <w:rFonts w:cs="Arial"/>
                <w:color w:val="000000"/>
                <w:sz w:val="22"/>
                <w:szCs w:val="22"/>
              </w:rPr>
              <w:t>97,500</w:t>
            </w:r>
          </w:p>
        </w:tc>
        <w:tc>
          <w:tcPr>
            <w:tcW w:w="678" w:type="pct"/>
            <w:tcBorders>
              <w:top w:val="nil"/>
              <w:left w:val="nil"/>
              <w:bottom w:val="single" w:sz="4" w:space="0" w:color="auto"/>
              <w:right w:val="single" w:sz="4" w:space="0" w:color="auto"/>
            </w:tcBorders>
            <w:shd w:val="clear" w:color="auto" w:fill="auto"/>
            <w:vAlign w:val="center"/>
            <w:hideMark/>
          </w:tcPr>
          <w:p w:rsidR="004C13BB" w:rsidRPr="004C13BB" w:rsidP="004C13BB">
            <w:pPr>
              <w:rPr>
                <w:rFonts w:cs="Arial"/>
                <w:color w:val="000000"/>
                <w:sz w:val="22"/>
                <w:szCs w:val="22"/>
              </w:rPr>
            </w:pPr>
            <w:r w:rsidRPr="004C13BB">
              <w:rPr>
                <w:rFonts w:cs="Arial"/>
                <w:color w:val="000000"/>
                <w:sz w:val="22"/>
                <w:szCs w:val="22"/>
              </w:rPr>
              <w:t> </w:t>
            </w:r>
          </w:p>
        </w:tc>
      </w:tr>
      <w:tr w:rsidTr="004C13BB">
        <w:tblPrEx>
          <w:tblW w:w="5000" w:type="pct"/>
          <w:tblLook w:val="04A0"/>
        </w:tblPrEx>
        <w:trPr>
          <w:trHeight w:val="690"/>
        </w:trPr>
        <w:tc>
          <w:tcPr>
            <w:tcW w:w="229" w:type="pct"/>
            <w:tcBorders>
              <w:top w:val="nil"/>
              <w:left w:val="single" w:sz="4" w:space="0" w:color="auto"/>
              <w:bottom w:val="single" w:sz="4" w:space="0" w:color="auto"/>
              <w:right w:val="nil"/>
            </w:tcBorders>
            <w:shd w:val="clear" w:color="auto" w:fill="auto"/>
            <w:hideMark/>
          </w:tcPr>
          <w:p w:rsidR="004C13BB" w:rsidRPr="004C13BB" w:rsidP="004C13BB">
            <w:pPr>
              <w:rPr>
                <w:rFonts w:cs="Arial"/>
                <w:color w:val="000000"/>
                <w:sz w:val="22"/>
                <w:szCs w:val="22"/>
              </w:rPr>
            </w:pPr>
            <w:r w:rsidRPr="004C13BB">
              <w:rPr>
                <w:rFonts w:cs="Arial"/>
                <w:color w:val="000000"/>
                <w:sz w:val="22"/>
                <w:szCs w:val="22"/>
              </w:rPr>
              <w:t>b)</w:t>
            </w:r>
          </w:p>
        </w:tc>
        <w:tc>
          <w:tcPr>
            <w:tcW w:w="3416" w:type="pct"/>
            <w:tcBorders>
              <w:top w:val="nil"/>
              <w:left w:val="nil"/>
              <w:bottom w:val="single" w:sz="4" w:space="0" w:color="auto"/>
              <w:right w:val="single" w:sz="4" w:space="0" w:color="auto"/>
            </w:tcBorders>
            <w:shd w:val="clear" w:color="auto" w:fill="auto"/>
            <w:vAlign w:val="center"/>
            <w:hideMark/>
          </w:tcPr>
          <w:p w:rsidR="004C13BB" w:rsidRPr="004C13BB" w:rsidP="004C13BB">
            <w:pPr>
              <w:rPr>
                <w:rFonts w:cs="Arial"/>
                <w:color w:val="000000"/>
                <w:sz w:val="22"/>
                <w:szCs w:val="22"/>
              </w:rPr>
            </w:pPr>
            <w:r w:rsidRPr="004C13BB">
              <w:rPr>
                <w:rFonts w:cs="Arial"/>
                <w:color w:val="000000"/>
                <w:sz w:val="22"/>
                <w:szCs w:val="22"/>
              </w:rPr>
              <w:t>NHSE net expenditure financed from National Insurance Contributions (non-voted) - Estimate line J</w:t>
            </w:r>
          </w:p>
        </w:tc>
        <w:tc>
          <w:tcPr>
            <w:tcW w:w="678" w:type="pct"/>
            <w:tcBorders>
              <w:top w:val="nil"/>
              <w:left w:val="nil"/>
              <w:bottom w:val="single" w:sz="4" w:space="0" w:color="auto"/>
              <w:right w:val="single" w:sz="4" w:space="0" w:color="auto"/>
            </w:tcBorders>
            <w:shd w:val="clear" w:color="auto" w:fill="auto"/>
            <w:vAlign w:val="center"/>
            <w:hideMark/>
          </w:tcPr>
          <w:p w:rsidR="004C13BB" w:rsidRPr="004C13BB" w:rsidP="004C13BB">
            <w:pPr>
              <w:jc w:val="right"/>
              <w:rPr>
                <w:rFonts w:cs="Arial"/>
                <w:color w:val="000000"/>
                <w:sz w:val="22"/>
                <w:szCs w:val="22"/>
              </w:rPr>
            </w:pPr>
            <w:r w:rsidRPr="004C13BB">
              <w:rPr>
                <w:rFonts w:cs="Arial"/>
                <w:color w:val="000000"/>
                <w:sz w:val="22"/>
                <w:szCs w:val="22"/>
              </w:rPr>
              <w:t>41,735</w:t>
            </w:r>
          </w:p>
        </w:tc>
        <w:tc>
          <w:tcPr>
            <w:tcW w:w="678" w:type="pct"/>
            <w:tcBorders>
              <w:top w:val="nil"/>
              <w:left w:val="nil"/>
              <w:bottom w:val="single" w:sz="4" w:space="0" w:color="auto"/>
              <w:right w:val="single" w:sz="4" w:space="0" w:color="auto"/>
            </w:tcBorders>
            <w:shd w:val="clear" w:color="auto" w:fill="auto"/>
            <w:vAlign w:val="center"/>
            <w:hideMark/>
          </w:tcPr>
          <w:p w:rsidR="004C13BB" w:rsidRPr="004C13BB" w:rsidP="004C13BB">
            <w:pPr>
              <w:rPr>
                <w:rFonts w:cs="Arial"/>
                <w:color w:val="000000"/>
                <w:sz w:val="22"/>
                <w:szCs w:val="22"/>
              </w:rPr>
            </w:pPr>
            <w:r w:rsidRPr="004C13BB">
              <w:rPr>
                <w:rFonts w:cs="Arial"/>
                <w:color w:val="000000"/>
                <w:sz w:val="22"/>
                <w:szCs w:val="22"/>
              </w:rPr>
              <w:t> </w:t>
            </w:r>
          </w:p>
        </w:tc>
      </w:tr>
      <w:tr w:rsidTr="004C13BB">
        <w:tblPrEx>
          <w:tblW w:w="5000" w:type="pct"/>
          <w:tblLook w:val="04A0"/>
        </w:tblPrEx>
        <w:trPr>
          <w:trHeight w:val="285"/>
        </w:trPr>
        <w:tc>
          <w:tcPr>
            <w:tcW w:w="229" w:type="pct"/>
            <w:tcBorders>
              <w:top w:val="nil"/>
              <w:left w:val="single" w:sz="4" w:space="0" w:color="auto"/>
              <w:bottom w:val="single" w:sz="4" w:space="0" w:color="auto"/>
              <w:right w:val="nil"/>
            </w:tcBorders>
            <w:shd w:val="clear" w:color="auto" w:fill="auto"/>
            <w:hideMark/>
          </w:tcPr>
          <w:p w:rsidR="004C13BB" w:rsidRPr="004C13BB" w:rsidP="004C13BB">
            <w:pPr>
              <w:rPr>
                <w:rFonts w:cs="Arial"/>
                <w:color w:val="000000"/>
                <w:sz w:val="22"/>
                <w:szCs w:val="22"/>
              </w:rPr>
            </w:pPr>
            <w:r w:rsidRPr="004C13BB">
              <w:rPr>
                <w:rFonts w:cs="Arial"/>
                <w:color w:val="000000"/>
                <w:sz w:val="22"/>
                <w:szCs w:val="22"/>
              </w:rPr>
              <w:t>c)</w:t>
            </w:r>
          </w:p>
        </w:tc>
        <w:tc>
          <w:tcPr>
            <w:tcW w:w="3416" w:type="pct"/>
            <w:tcBorders>
              <w:top w:val="nil"/>
              <w:left w:val="nil"/>
              <w:bottom w:val="single" w:sz="4" w:space="0" w:color="auto"/>
              <w:right w:val="single" w:sz="4" w:space="0" w:color="auto"/>
            </w:tcBorders>
            <w:shd w:val="clear" w:color="auto" w:fill="auto"/>
            <w:vAlign w:val="center"/>
            <w:hideMark/>
          </w:tcPr>
          <w:p w:rsidR="004C13BB" w:rsidRPr="004C13BB" w:rsidP="004C13BB">
            <w:pPr>
              <w:rPr>
                <w:rFonts w:cs="Arial"/>
                <w:color w:val="000000"/>
                <w:sz w:val="22"/>
                <w:szCs w:val="22"/>
              </w:rPr>
            </w:pPr>
            <w:r w:rsidRPr="004C13BB">
              <w:rPr>
                <w:rFonts w:cs="Arial"/>
                <w:color w:val="000000"/>
                <w:sz w:val="22"/>
                <w:szCs w:val="22"/>
              </w:rPr>
              <w:t>Timing difference</w:t>
            </w:r>
          </w:p>
        </w:tc>
        <w:tc>
          <w:tcPr>
            <w:tcW w:w="678" w:type="pct"/>
            <w:tcBorders>
              <w:top w:val="nil"/>
              <w:left w:val="nil"/>
              <w:bottom w:val="single" w:sz="4" w:space="0" w:color="auto"/>
              <w:right w:val="single" w:sz="4" w:space="0" w:color="auto"/>
            </w:tcBorders>
            <w:shd w:val="clear" w:color="auto" w:fill="auto"/>
            <w:vAlign w:val="center"/>
            <w:hideMark/>
          </w:tcPr>
          <w:p w:rsidR="004C13BB" w:rsidRPr="004C13BB" w:rsidP="004C13BB">
            <w:pPr>
              <w:jc w:val="right"/>
              <w:rPr>
                <w:rFonts w:cs="Arial"/>
                <w:color w:val="000000"/>
                <w:sz w:val="22"/>
                <w:szCs w:val="22"/>
              </w:rPr>
            </w:pPr>
            <w:r w:rsidRPr="004C13BB">
              <w:rPr>
                <w:rFonts w:cs="Arial"/>
                <w:color w:val="FF0000"/>
                <w:sz w:val="22"/>
                <w:szCs w:val="22"/>
              </w:rPr>
              <w:t>(40)</w:t>
            </w:r>
          </w:p>
        </w:tc>
        <w:tc>
          <w:tcPr>
            <w:tcW w:w="678" w:type="pct"/>
            <w:tcBorders>
              <w:top w:val="nil"/>
              <w:left w:val="nil"/>
              <w:bottom w:val="single" w:sz="4" w:space="0" w:color="auto"/>
              <w:right w:val="single" w:sz="4" w:space="0" w:color="auto"/>
            </w:tcBorders>
            <w:shd w:val="clear" w:color="auto" w:fill="auto"/>
            <w:vAlign w:val="center"/>
            <w:hideMark/>
          </w:tcPr>
          <w:p w:rsidR="004C13BB" w:rsidRPr="004C13BB" w:rsidP="004C13BB">
            <w:pPr>
              <w:rPr>
                <w:rFonts w:cs="Arial"/>
                <w:color w:val="000000"/>
                <w:sz w:val="22"/>
                <w:szCs w:val="22"/>
              </w:rPr>
            </w:pPr>
            <w:r w:rsidRPr="004C13BB">
              <w:rPr>
                <w:rFonts w:cs="Arial"/>
                <w:color w:val="000000"/>
                <w:sz w:val="22"/>
                <w:szCs w:val="22"/>
              </w:rPr>
              <w:t> </w:t>
            </w:r>
          </w:p>
        </w:tc>
      </w:tr>
      <w:tr w:rsidTr="004C13BB">
        <w:tblPrEx>
          <w:tblW w:w="5000" w:type="pct"/>
          <w:tblLook w:val="04A0"/>
        </w:tblPrEx>
        <w:trPr>
          <w:trHeight w:val="300"/>
        </w:trPr>
        <w:tc>
          <w:tcPr>
            <w:tcW w:w="3644" w:type="pct"/>
            <w:gridSpan w:val="2"/>
            <w:tcBorders>
              <w:top w:val="single" w:sz="4" w:space="0" w:color="auto"/>
              <w:left w:val="single" w:sz="4" w:space="0" w:color="auto"/>
              <w:bottom w:val="single" w:sz="4" w:space="0" w:color="auto"/>
              <w:right w:val="single" w:sz="4" w:space="0" w:color="000000"/>
            </w:tcBorders>
            <w:shd w:val="clear" w:color="000000" w:fill="B4C6E7"/>
            <w:vAlign w:val="center"/>
            <w:hideMark/>
          </w:tcPr>
          <w:p w:rsidR="004C13BB" w:rsidRPr="004C13BB" w:rsidP="004C13BB">
            <w:pPr>
              <w:rPr>
                <w:rFonts w:cs="Arial"/>
                <w:b/>
                <w:bCs/>
                <w:color w:val="000000"/>
                <w:sz w:val="22"/>
                <w:szCs w:val="22"/>
              </w:rPr>
            </w:pPr>
            <w:r w:rsidRPr="004C13BB">
              <w:rPr>
                <w:rFonts w:cs="Arial"/>
                <w:b/>
                <w:bCs/>
                <w:color w:val="000000"/>
                <w:sz w:val="22"/>
                <w:szCs w:val="22"/>
              </w:rPr>
              <w:t>NHSE net expenditure - estimate line A</w:t>
            </w:r>
          </w:p>
        </w:tc>
        <w:tc>
          <w:tcPr>
            <w:tcW w:w="678" w:type="pct"/>
            <w:tcBorders>
              <w:top w:val="nil"/>
              <w:left w:val="nil"/>
              <w:bottom w:val="single" w:sz="4" w:space="0" w:color="auto"/>
              <w:right w:val="single" w:sz="4" w:space="0" w:color="auto"/>
            </w:tcBorders>
            <w:shd w:val="clear" w:color="000000" w:fill="B4C6E7"/>
            <w:vAlign w:val="center"/>
            <w:hideMark/>
          </w:tcPr>
          <w:p w:rsidR="004C13BB" w:rsidRPr="004C13BB" w:rsidP="004C13BB">
            <w:pPr>
              <w:jc w:val="right"/>
              <w:rPr>
                <w:rFonts w:cs="Arial"/>
                <w:b/>
                <w:bCs/>
                <w:color w:val="000000"/>
                <w:sz w:val="22"/>
                <w:szCs w:val="22"/>
              </w:rPr>
            </w:pPr>
            <w:r w:rsidRPr="004C13BB">
              <w:rPr>
                <w:rFonts w:cs="Arial"/>
                <w:b/>
                <w:bCs/>
                <w:color w:val="000000"/>
                <w:sz w:val="22"/>
                <w:szCs w:val="22"/>
              </w:rPr>
              <w:t>13,571</w:t>
            </w:r>
          </w:p>
        </w:tc>
        <w:tc>
          <w:tcPr>
            <w:tcW w:w="678" w:type="pct"/>
            <w:tcBorders>
              <w:top w:val="nil"/>
              <w:left w:val="nil"/>
              <w:bottom w:val="single" w:sz="4" w:space="0" w:color="auto"/>
              <w:right w:val="single" w:sz="4" w:space="0" w:color="auto"/>
            </w:tcBorders>
            <w:shd w:val="clear" w:color="000000" w:fill="B4C6E7"/>
            <w:vAlign w:val="center"/>
            <w:hideMark/>
          </w:tcPr>
          <w:p w:rsidR="004C13BB" w:rsidRPr="004C13BB" w:rsidP="004C13BB">
            <w:pPr>
              <w:jc w:val="right"/>
              <w:rPr>
                <w:rFonts w:cs="Arial"/>
                <w:b/>
                <w:bCs/>
                <w:color w:val="000000"/>
                <w:sz w:val="22"/>
                <w:szCs w:val="22"/>
              </w:rPr>
            </w:pPr>
            <w:r w:rsidRPr="004C13BB">
              <w:rPr>
                <w:rFonts w:cs="Arial"/>
                <w:b/>
                <w:bCs/>
                <w:color w:val="000000"/>
                <w:sz w:val="22"/>
                <w:szCs w:val="22"/>
              </w:rPr>
              <w:t>219</w:t>
            </w:r>
          </w:p>
        </w:tc>
      </w:tr>
    </w:tbl>
    <w:p w:rsidR="00157786" w:rsidP="004F64C1">
      <w:pPr>
        <w:spacing w:after="200" w:line="276" w:lineRule="auto"/>
        <w:rPr>
          <w:rFonts w:eastAsia="Calibri" w:cs="Arial"/>
          <w:b/>
        </w:rPr>
      </w:pPr>
    </w:p>
    <w:p w:rsidR="00157786">
      <w:pPr>
        <w:rPr>
          <w:rFonts w:eastAsia="Calibri" w:cs="Arial"/>
          <w:b/>
        </w:rPr>
      </w:pPr>
    </w:p>
    <w:p w:rsidR="004F64C1" w:rsidP="004F64C1">
      <w:pPr>
        <w:spacing w:after="200" w:line="276" w:lineRule="auto"/>
        <w:rPr>
          <w:rFonts w:eastAsia="Calibri" w:cs="Arial"/>
          <w:b/>
        </w:rPr>
      </w:pPr>
    </w:p>
    <w:p w:rsidR="00386166" w:rsidP="001F4DFB">
      <w:pPr>
        <w:numPr>
          <w:ilvl w:val="1"/>
          <w:numId w:val="4"/>
        </w:numPr>
        <w:spacing w:after="120" w:line="276" w:lineRule="auto"/>
        <w:ind w:left="567" w:hanging="567"/>
        <w:rPr>
          <w:rFonts w:eastAsia="Calibri" w:cs="Arial"/>
          <w:b/>
          <w:sz w:val="22"/>
          <w:szCs w:val="22"/>
        </w:rPr>
        <w:sectPr w:rsidSect="00207561">
          <w:headerReference w:type="even" r:id="rId16"/>
          <w:headerReference w:type="default" r:id="rId17"/>
          <w:footerReference w:type="even" r:id="rId18"/>
          <w:footerReference w:type="default" r:id="rId19"/>
          <w:headerReference w:type="first" r:id="rId20"/>
          <w:footerReference w:type="first" r:id="rId21"/>
          <w:pgSz w:w="11906" w:h="16838"/>
          <w:pgMar w:top="567" w:right="567" w:bottom="567" w:left="567" w:header="709" w:footer="709" w:gutter="0"/>
          <w:pgNumType w:start="1"/>
          <w:cols w:space="708"/>
          <w:titlePg/>
          <w:docGrid w:linePitch="360"/>
        </w:sectPr>
      </w:pPr>
    </w:p>
    <w:p w:rsidR="004F64C1" w:rsidRPr="00565172" w:rsidP="001F4DFB">
      <w:pPr>
        <w:numPr>
          <w:ilvl w:val="1"/>
          <w:numId w:val="4"/>
        </w:numPr>
        <w:spacing w:after="120" w:line="276" w:lineRule="auto"/>
        <w:ind w:left="567" w:hanging="567"/>
        <w:rPr>
          <w:rFonts w:eastAsia="Calibri" w:cs="Arial"/>
          <w:b/>
          <w:sz w:val="22"/>
          <w:szCs w:val="22"/>
        </w:rPr>
      </w:pPr>
      <w:r w:rsidRPr="00565172">
        <w:rPr>
          <w:rFonts w:eastAsia="Calibri" w:cs="Arial"/>
          <w:b/>
          <w:sz w:val="22"/>
          <w:szCs w:val="22"/>
        </w:rPr>
        <w:t>DHSC Inter-Group Transactions</w:t>
      </w:r>
    </w:p>
    <w:p w:rsidR="004F64C1" w:rsidRPr="00565172" w:rsidP="004F64C1">
      <w:pPr>
        <w:ind w:left="567"/>
        <w:jc w:val="both"/>
        <w:rPr>
          <w:rFonts w:eastAsiaTheme="minorHAnsi" w:cs="Arial"/>
          <w:sz w:val="22"/>
          <w:szCs w:val="22"/>
          <w:lang w:eastAsia="en-US"/>
        </w:rPr>
      </w:pPr>
      <w:r w:rsidRPr="00565172">
        <w:rPr>
          <w:rFonts w:eastAsiaTheme="minorHAnsi" w:cs="Arial"/>
          <w:sz w:val="22"/>
          <w:szCs w:val="22"/>
          <w:lang w:eastAsia="en-US"/>
        </w:rPr>
        <w:t xml:space="preserve">HM Treasury designates that Estimates are prepared on a consolidated basis, meaning that all intra-group transactions are removed.  </w:t>
      </w:r>
    </w:p>
    <w:p w:rsidR="004F64C1" w:rsidRPr="00565172" w:rsidP="004F64C1">
      <w:pPr>
        <w:ind w:left="567"/>
        <w:jc w:val="both"/>
        <w:rPr>
          <w:rFonts w:eastAsiaTheme="minorHAnsi" w:cs="Arial"/>
          <w:sz w:val="22"/>
          <w:szCs w:val="22"/>
          <w:lang w:eastAsia="en-US"/>
        </w:rPr>
      </w:pPr>
    </w:p>
    <w:p w:rsidR="004F64C1" w:rsidRPr="00565172" w:rsidP="004F64C1">
      <w:pPr>
        <w:ind w:left="567"/>
        <w:jc w:val="both"/>
        <w:rPr>
          <w:rFonts w:eastAsiaTheme="minorHAnsi" w:cs="Arial"/>
          <w:sz w:val="22"/>
          <w:szCs w:val="22"/>
          <w:lang w:eastAsia="en-US"/>
        </w:rPr>
      </w:pPr>
      <w:r w:rsidRPr="00565172">
        <w:rPr>
          <w:rFonts w:eastAsia="Calibri" w:cs="Arial"/>
          <w:sz w:val="22"/>
          <w:szCs w:val="22"/>
        </w:rPr>
        <w:t>Across Government, the DHSC ‘Internal Market’ of circa £</w:t>
      </w:r>
      <w:r>
        <w:rPr>
          <w:rFonts w:eastAsia="Calibri" w:cs="Arial"/>
          <w:sz w:val="22"/>
          <w:szCs w:val="22"/>
        </w:rPr>
        <w:t>95</w:t>
      </w:r>
      <w:r w:rsidRPr="00565172">
        <w:rPr>
          <w:rFonts w:eastAsia="Calibri" w:cs="Arial"/>
          <w:sz w:val="22"/>
          <w:szCs w:val="22"/>
        </w:rPr>
        <w:t xml:space="preserve"> billion is unique to the DHSC and adds an additional layer of complexity, as all inter-group trading needs to be eliminated on consolidation when preparing the DHSC Estimate.  </w:t>
      </w:r>
      <w:r w:rsidRPr="00565172">
        <w:rPr>
          <w:rFonts w:eastAsiaTheme="minorHAnsi" w:cs="Arial"/>
          <w:sz w:val="22"/>
          <w:szCs w:val="22"/>
          <w:lang w:eastAsia="en-US"/>
        </w:rPr>
        <w:t>These mainly relate to transactions between NHS Commissioners and NHS Providers.</w:t>
      </w:r>
    </w:p>
    <w:p w:rsidR="004F64C1" w:rsidRPr="00565172" w:rsidP="004F64C1">
      <w:pPr>
        <w:ind w:left="567"/>
        <w:jc w:val="both"/>
        <w:rPr>
          <w:rFonts w:eastAsia="Calibri" w:cs="Arial"/>
          <w:sz w:val="22"/>
          <w:szCs w:val="22"/>
        </w:rPr>
      </w:pPr>
    </w:p>
    <w:p w:rsidR="004F64C1" w:rsidRPr="00565172" w:rsidP="004F64C1">
      <w:pPr>
        <w:ind w:left="567"/>
        <w:jc w:val="both"/>
        <w:rPr>
          <w:rFonts w:eastAsia="Calibri" w:cs="Arial"/>
          <w:sz w:val="22"/>
          <w:szCs w:val="22"/>
        </w:rPr>
      </w:pPr>
      <w:r w:rsidRPr="00565172">
        <w:rPr>
          <w:rFonts w:eastAsia="Calibri" w:cs="Arial"/>
          <w:sz w:val="22"/>
          <w:szCs w:val="22"/>
        </w:rPr>
        <w:t xml:space="preserve">NHS Providers are not directly funded, instead they generate income to cover their spending via trading activity with Commissioners.  Commissioners pay Providers for each patient seen or treated, considering the complexity of the patient's healthcare needs, under a national tariff system.  </w:t>
      </w:r>
    </w:p>
    <w:p w:rsidR="004F64C1" w:rsidRPr="00565172" w:rsidP="004F64C1">
      <w:pPr>
        <w:ind w:left="567"/>
        <w:jc w:val="both"/>
        <w:rPr>
          <w:rFonts w:eastAsia="Calibri" w:cs="Arial"/>
          <w:sz w:val="22"/>
          <w:szCs w:val="22"/>
        </w:rPr>
      </w:pPr>
    </w:p>
    <w:p w:rsidR="004F64C1" w:rsidP="004F64C1">
      <w:pPr>
        <w:ind w:left="567"/>
        <w:jc w:val="both"/>
        <w:rPr>
          <w:rFonts w:eastAsia="Calibri" w:cs="Arial"/>
          <w:sz w:val="22"/>
          <w:szCs w:val="22"/>
        </w:rPr>
      </w:pPr>
      <w:r w:rsidRPr="00565172">
        <w:rPr>
          <w:rFonts w:eastAsia="Calibri" w:cs="Arial"/>
          <w:sz w:val="22"/>
          <w:szCs w:val="22"/>
        </w:rPr>
        <w:t>The DHSC takes a pragmatic approach and eliminates only the material transactions between Departmental group bodies.  The table below illustrates how the funds flow between the different bodies within the DHSC Group.</w:t>
      </w:r>
    </w:p>
    <w:tbl>
      <w:tblPr>
        <w:tblW w:w="5000" w:type="pct"/>
        <w:tblLook w:val="04A0"/>
      </w:tblPr>
      <w:tblGrid>
        <w:gridCol w:w="540"/>
        <w:gridCol w:w="3368"/>
        <w:gridCol w:w="1861"/>
        <w:gridCol w:w="1359"/>
        <w:gridCol w:w="1359"/>
        <w:gridCol w:w="1359"/>
        <w:gridCol w:w="1347"/>
        <w:gridCol w:w="1359"/>
        <w:gridCol w:w="1365"/>
        <w:gridCol w:w="1777"/>
      </w:tblGrid>
      <w:tr w:rsidTr="00386166">
        <w:tblPrEx>
          <w:tblW w:w="5000" w:type="pct"/>
          <w:tblLook w:val="04A0"/>
        </w:tblPrEx>
        <w:trPr>
          <w:trHeight w:val="282"/>
        </w:trPr>
        <w:tc>
          <w:tcPr>
            <w:tcW w:w="1245" w:type="pct"/>
            <w:gridSpan w:val="2"/>
            <w:vMerge w:val="restart"/>
            <w:tcBorders>
              <w:top w:val="single" w:sz="4" w:space="0" w:color="auto"/>
              <w:left w:val="single" w:sz="4" w:space="0" w:color="auto"/>
              <w:bottom w:val="single" w:sz="4" w:space="0" w:color="auto"/>
              <w:right w:val="single" w:sz="4" w:space="0" w:color="auto"/>
            </w:tcBorders>
            <w:shd w:val="clear" w:color="000000" w:fill="333F4F"/>
            <w:vAlign w:val="center"/>
            <w:hideMark/>
          </w:tcPr>
          <w:p w:rsidR="00386166" w:rsidRPr="00386166" w:rsidP="00386166">
            <w:pPr>
              <w:rPr>
                <w:rFonts w:cs="Arial"/>
                <w:b/>
                <w:bCs/>
                <w:color w:val="FFFFFF"/>
                <w:sz w:val="22"/>
                <w:szCs w:val="22"/>
              </w:rPr>
            </w:pPr>
            <w:r w:rsidRPr="00386166">
              <w:rPr>
                <w:rFonts w:cs="Arial"/>
                <w:b/>
                <w:bCs/>
                <w:color w:val="FFFFFF"/>
                <w:sz w:val="22"/>
                <w:szCs w:val="22"/>
              </w:rPr>
              <w:t>Estimate Line</w:t>
            </w:r>
          </w:p>
        </w:tc>
        <w:tc>
          <w:tcPr>
            <w:tcW w:w="593" w:type="pct"/>
            <w:vMerge w:val="restart"/>
            <w:tcBorders>
              <w:top w:val="single" w:sz="4" w:space="0" w:color="auto"/>
              <w:left w:val="single" w:sz="4" w:space="0" w:color="auto"/>
              <w:bottom w:val="single" w:sz="4" w:space="0" w:color="auto"/>
              <w:right w:val="single" w:sz="4" w:space="0" w:color="auto"/>
            </w:tcBorders>
            <w:shd w:val="clear" w:color="000000" w:fill="333F4F"/>
            <w:vAlign w:val="center"/>
            <w:hideMark/>
          </w:tcPr>
          <w:p w:rsidR="00386166" w:rsidRPr="00386166" w:rsidP="00386166">
            <w:pPr>
              <w:jc w:val="right"/>
              <w:rPr>
                <w:rFonts w:cs="Arial"/>
                <w:b/>
                <w:bCs/>
                <w:color w:val="FFFFFF"/>
                <w:sz w:val="22"/>
                <w:szCs w:val="22"/>
              </w:rPr>
            </w:pPr>
            <w:r w:rsidRPr="00386166">
              <w:rPr>
                <w:rFonts w:cs="Arial"/>
                <w:b/>
                <w:bCs/>
                <w:color w:val="FFFFFF"/>
                <w:sz w:val="22"/>
                <w:szCs w:val="22"/>
              </w:rPr>
              <w:t>Before Consolidation</w:t>
            </w:r>
          </w:p>
        </w:tc>
        <w:tc>
          <w:tcPr>
            <w:tcW w:w="2596" w:type="pct"/>
            <w:gridSpan w:val="6"/>
            <w:tcBorders>
              <w:top w:val="single" w:sz="4" w:space="0" w:color="auto"/>
              <w:left w:val="nil"/>
              <w:bottom w:val="single" w:sz="4" w:space="0" w:color="auto"/>
              <w:right w:val="single" w:sz="4" w:space="0" w:color="auto"/>
            </w:tcBorders>
            <w:shd w:val="clear" w:color="000000" w:fill="333F4F"/>
            <w:vAlign w:val="bottom"/>
            <w:hideMark/>
          </w:tcPr>
          <w:p w:rsidR="00386166" w:rsidRPr="00386166" w:rsidP="00386166">
            <w:pPr>
              <w:jc w:val="center"/>
              <w:rPr>
                <w:rFonts w:cs="Arial"/>
                <w:b/>
                <w:bCs/>
                <w:color w:val="FFFFFF"/>
                <w:sz w:val="22"/>
                <w:szCs w:val="22"/>
              </w:rPr>
            </w:pPr>
            <w:r w:rsidRPr="00386166">
              <w:rPr>
                <w:rFonts w:cs="Arial"/>
                <w:b/>
                <w:bCs/>
                <w:color w:val="FFFFFF"/>
                <w:sz w:val="22"/>
                <w:szCs w:val="22"/>
              </w:rPr>
              <w:t>ELIMINATIONS</w:t>
            </w:r>
          </w:p>
        </w:tc>
        <w:tc>
          <w:tcPr>
            <w:tcW w:w="566" w:type="pct"/>
            <w:vMerge w:val="restart"/>
            <w:tcBorders>
              <w:top w:val="single" w:sz="4" w:space="0" w:color="auto"/>
              <w:left w:val="single" w:sz="4" w:space="0" w:color="auto"/>
              <w:bottom w:val="single" w:sz="4" w:space="0" w:color="000000"/>
              <w:right w:val="single" w:sz="4" w:space="0" w:color="auto"/>
            </w:tcBorders>
            <w:shd w:val="clear" w:color="000000" w:fill="333F4F"/>
            <w:vAlign w:val="center"/>
            <w:hideMark/>
          </w:tcPr>
          <w:p w:rsidR="00386166" w:rsidRPr="00386166" w:rsidP="00386166">
            <w:pPr>
              <w:jc w:val="right"/>
              <w:rPr>
                <w:rFonts w:cs="Arial"/>
                <w:b/>
                <w:bCs/>
                <w:color w:val="FFFFFF"/>
                <w:sz w:val="22"/>
                <w:szCs w:val="22"/>
              </w:rPr>
            </w:pPr>
            <w:r w:rsidRPr="00386166">
              <w:rPr>
                <w:rFonts w:cs="Arial"/>
                <w:b/>
                <w:bCs/>
                <w:color w:val="FFFFFF"/>
                <w:sz w:val="22"/>
                <w:szCs w:val="22"/>
              </w:rPr>
              <w:t>Consolidated</w:t>
            </w:r>
          </w:p>
        </w:tc>
      </w:tr>
      <w:tr w:rsidTr="00386166">
        <w:tblPrEx>
          <w:tblW w:w="5000" w:type="pct"/>
          <w:tblLook w:val="04A0"/>
        </w:tblPrEx>
        <w:trPr>
          <w:trHeight w:val="1200"/>
        </w:trPr>
        <w:tc>
          <w:tcPr>
            <w:tcW w:w="1245" w:type="pct"/>
            <w:gridSpan w:val="2"/>
            <w:vMerge/>
            <w:tcBorders>
              <w:top w:val="single" w:sz="4" w:space="0" w:color="auto"/>
              <w:left w:val="single" w:sz="4" w:space="0" w:color="auto"/>
              <w:bottom w:val="single" w:sz="4" w:space="0" w:color="auto"/>
              <w:right w:val="single" w:sz="4" w:space="0" w:color="auto"/>
            </w:tcBorders>
            <w:vAlign w:val="center"/>
            <w:hideMark/>
          </w:tcPr>
          <w:p w:rsidR="00386166" w:rsidRPr="00386166" w:rsidP="00386166">
            <w:pPr>
              <w:rPr>
                <w:rFonts w:cs="Arial"/>
                <w:b/>
                <w:bCs/>
                <w:color w:val="FFFFFF"/>
                <w:sz w:val="22"/>
                <w:szCs w:val="22"/>
              </w:rPr>
            </w:pPr>
          </w:p>
        </w:tc>
        <w:tc>
          <w:tcPr>
            <w:tcW w:w="593" w:type="pct"/>
            <w:vMerge/>
            <w:tcBorders>
              <w:top w:val="single" w:sz="4" w:space="0" w:color="auto"/>
              <w:left w:val="single" w:sz="4" w:space="0" w:color="auto"/>
              <w:bottom w:val="single" w:sz="4" w:space="0" w:color="auto"/>
              <w:right w:val="single" w:sz="4" w:space="0" w:color="auto"/>
            </w:tcBorders>
            <w:vAlign w:val="center"/>
            <w:hideMark/>
          </w:tcPr>
          <w:p w:rsidR="00386166" w:rsidRPr="00386166" w:rsidP="00386166">
            <w:pPr>
              <w:rPr>
                <w:rFonts w:cs="Arial"/>
                <w:b/>
                <w:bCs/>
                <w:color w:val="FFFFFF"/>
                <w:sz w:val="22"/>
                <w:szCs w:val="22"/>
              </w:rPr>
            </w:pPr>
          </w:p>
        </w:tc>
        <w:tc>
          <w:tcPr>
            <w:tcW w:w="433" w:type="pct"/>
            <w:tcBorders>
              <w:top w:val="nil"/>
              <w:left w:val="nil"/>
              <w:bottom w:val="single" w:sz="4" w:space="0" w:color="auto"/>
              <w:right w:val="single" w:sz="4" w:space="0" w:color="auto"/>
            </w:tcBorders>
            <w:shd w:val="clear" w:color="000000" w:fill="333F4F"/>
            <w:vAlign w:val="center"/>
            <w:hideMark/>
          </w:tcPr>
          <w:p w:rsidR="00386166" w:rsidRPr="00386166" w:rsidP="00386166">
            <w:pPr>
              <w:jc w:val="right"/>
              <w:rPr>
                <w:rFonts w:cs="Arial"/>
                <w:b/>
                <w:bCs/>
                <w:color w:val="FFFFFF"/>
                <w:sz w:val="22"/>
                <w:szCs w:val="22"/>
              </w:rPr>
            </w:pPr>
            <w:r w:rsidRPr="00386166">
              <w:rPr>
                <w:rFonts w:cs="Arial"/>
                <w:b/>
                <w:bCs/>
                <w:color w:val="FFFFFF"/>
                <w:sz w:val="22"/>
                <w:szCs w:val="22"/>
              </w:rPr>
              <w:t>NHSE with Providers</w:t>
            </w:r>
          </w:p>
        </w:tc>
        <w:tc>
          <w:tcPr>
            <w:tcW w:w="433" w:type="pct"/>
            <w:tcBorders>
              <w:top w:val="nil"/>
              <w:left w:val="nil"/>
              <w:bottom w:val="single" w:sz="4" w:space="0" w:color="auto"/>
              <w:right w:val="single" w:sz="4" w:space="0" w:color="auto"/>
            </w:tcBorders>
            <w:shd w:val="clear" w:color="000000" w:fill="333F4F"/>
            <w:vAlign w:val="center"/>
            <w:hideMark/>
          </w:tcPr>
          <w:p w:rsidR="00386166" w:rsidRPr="00386166" w:rsidP="00386166">
            <w:pPr>
              <w:jc w:val="right"/>
              <w:rPr>
                <w:rFonts w:cs="Arial"/>
                <w:b/>
                <w:bCs/>
                <w:color w:val="FFFFFF"/>
                <w:sz w:val="22"/>
                <w:szCs w:val="22"/>
              </w:rPr>
            </w:pPr>
            <w:r w:rsidRPr="00386166">
              <w:rPr>
                <w:rFonts w:cs="Arial"/>
                <w:b/>
                <w:bCs/>
                <w:color w:val="FFFFFF"/>
                <w:sz w:val="22"/>
                <w:szCs w:val="22"/>
              </w:rPr>
              <w:t>Providers with SpHAs</w:t>
            </w:r>
          </w:p>
        </w:tc>
        <w:tc>
          <w:tcPr>
            <w:tcW w:w="433" w:type="pct"/>
            <w:tcBorders>
              <w:top w:val="nil"/>
              <w:left w:val="nil"/>
              <w:bottom w:val="single" w:sz="4" w:space="0" w:color="auto"/>
              <w:right w:val="single" w:sz="4" w:space="0" w:color="auto"/>
            </w:tcBorders>
            <w:shd w:val="clear" w:color="000000" w:fill="333F4F"/>
            <w:vAlign w:val="center"/>
            <w:hideMark/>
          </w:tcPr>
          <w:p w:rsidR="00386166" w:rsidRPr="00386166" w:rsidP="00386166">
            <w:pPr>
              <w:jc w:val="right"/>
              <w:rPr>
                <w:rFonts w:cs="Arial"/>
                <w:b/>
                <w:bCs/>
                <w:color w:val="FFFFFF"/>
                <w:sz w:val="22"/>
                <w:szCs w:val="22"/>
              </w:rPr>
            </w:pPr>
            <w:r w:rsidRPr="00386166">
              <w:rPr>
                <w:rFonts w:cs="Arial"/>
                <w:b/>
                <w:bCs/>
                <w:color w:val="FFFFFF"/>
                <w:sz w:val="22"/>
                <w:szCs w:val="22"/>
              </w:rPr>
              <w:t>HEE with Providers</w:t>
            </w:r>
          </w:p>
        </w:tc>
        <w:tc>
          <w:tcPr>
            <w:tcW w:w="429" w:type="pct"/>
            <w:tcBorders>
              <w:top w:val="nil"/>
              <w:left w:val="nil"/>
              <w:bottom w:val="single" w:sz="4" w:space="0" w:color="auto"/>
              <w:right w:val="single" w:sz="4" w:space="0" w:color="auto"/>
            </w:tcBorders>
            <w:shd w:val="clear" w:color="000000" w:fill="333F4F"/>
            <w:vAlign w:val="center"/>
            <w:hideMark/>
          </w:tcPr>
          <w:p w:rsidR="00386166" w:rsidRPr="00386166" w:rsidP="00386166">
            <w:pPr>
              <w:jc w:val="right"/>
              <w:rPr>
                <w:rFonts w:cs="Arial"/>
                <w:b/>
                <w:bCs/>
                <w:color w:val="FFFFFF"/>
                <w:sz w:val="22"/>
                <w:szCs w:val="22"/>
              </w:rPr>
            </w:pPr>
            <w:r w:rsidRPr="00386166">
              <w:rPr>
                <w:rFonts w:cs="Arial"/>
                <w:b/>
                <w:bCs/>
                <w:color w:val="FFFFFF"/>
                <w:sz w:val="22"/>
                <w:szCs w:val="22"/>
              </w:rPr>
              <w:t>Exec Agencies with DHSC</w:t>
            </w:r>
          </w:p>
        </w:tc>
        <w:tc>
          <w:tcPr>
            <w:tcW w:w="433" w:type="pct"/>
            <w:tcBorders>
              <w:top w:val="nil"/>
              <w:left w:val="nil"/>
              <w:bottom w:val="single" w:sz="4" w:space="0" w:color="auto"/>
              <w:right w:val="single" w:sz="4" w:space="0" w:color="auto"/>
            </w:tcBorders>
            <w:shd w:val="clear" w:color="000000" w:fill="333F4F"/>
            <w:vAlign w:val="center"/>
            <w:hideMark/>
          </w:tcPr>
          <w:p w:rsidR="00386166" w:rsidRPr="00386166" w:rsidP="00386166">
            <w:pPr>
              <w:jc w:val="right"/>
              <w:rPr>
                <w:rFonts w:cs="Arial"/>
                <w:b/>
                <w:bCs/>
                <w:color w:val="FFFFFF"/>
                <w:sz w:val="22"/>
                <w:szCs w:val="22"/>
              </w:rPr>
            </w:pPr>
            <w:r w:rsidRPr="00386166">
              <w:rPr>
                <w:rFonts w:cs="Arial"/>
                <w:b/>
                <w:bCs/>
                <w:color w:val="FFFFFF"/>
                <w:sz w:val="22"/>
                <w:szCs w:val="22"/>
              </w:rPr>
              <w:t>Providers with ALBs and Other Bodies</w:t>
            </w:r>
          </w:p>
        </w:tc>
        <w:tc>
          <w:tcPr>
            <w:tcW w:w="435" w:type="pct"/>
            <w:tcBorders>
              <w:top w:val="nil"/>
              <w:left w:val="nil"/>
              <w:bottom w:val="single" w:sz="4" w:space="0" w:color="auto"/>
              <w:right w:val="single" w:sz="4" w:space="0" w:color="auto"/>
            </w:tcBorders>
            <w:shd w:val="clear" w:color="000000" w:fill="333F4F"/>
            <w:vAlign w:val="center"/>
            <w:hideMark/>
          </w:tcPr>
          <w:p w:rsidR="00386166" w:rsidRPr="00386166" w:rsidP="00386166">
            <w:pPr>
              <w:jc w:val="right"/>
              <w:rPr>
                <w:rFonts w:cs="Arial"/>
                <w:b/>
                <w:bCs/>
                <w:color w:val="FFFFFF"/>
                <w:sz w:val="22"/>
                <w:szCs w:val="22"/>
              </w:rPr>
            </w:pPr>
            <w:r w:rsidRPr="00386166">
              <w:rPr>
                <w:rFonts w:cs="Arial"/>
                <w:b/>
                <w:bCs/>
                <w:color w:val="FFFFFF"/>
                <w:sz w:val="22"/>
                <w:szCs w:val="22"/>
              </w:rPr>
              <w:t>Providers with DHSC</w:t>
            </w:r>
          </w:p>
        </w:tc>
        <w:tc>
          <w:tcPr>
            <w:tcW w:w="566" w:type="pct"/>
            <w:vMerge/>
            <w:tcBorders>
              <w:top w:val="single" w:sz="4" w:space="0" w:color="auto"/>
              <w:left w:val="single" w:sz="4" w:space="0" w:color="auto"/>
              <w:bottom w:val="single" w:sz="4" w:space="0" w:color="000000"/>
              <w:right w:val="single" w:sz="4" w:space="0" w:color="auto"/>
            </w:tcBorders>
            <w:vAlign w:val="center"/>
            <w:hideMark/>
          </w:tcPr>
          <w:p w:rsidR="00386166" w:rsidRPr="00386166" w:rsidP="00386166">
            <w:pPr>
              <w:rPr>
                <w:rFonts w:cs="Arial"/>
                <w:b/>
                <w:bCs/>
                <w:color w:val="FFFFFF"/>
                <w:sz w:val="22"/>
                <w:szCs w:val="22"/>
              </w:rPr>
            </w:pPr>
          </w:p>
        </w:tc>
      </w:tr>
      <w:tr w:rsidTr="00386166">
        <w:tblPrEx>
          <w:tblW w:w="5000" w:type="pct"/>
          <w:tblLook w:val="04A0"/>
        </w:tblPrEx>
        <w:trPr>
          <w:trHeight w:val="300"/>
        </w:trPr>
        <w:tc>
          <w:tcPr>
            <w:tcW w:w="1245" w:type="pct"/>
            <w:gridSpan w:val="2"/>
            <w:vMerge/>
            <w:tcBorders>
              <w:top w:val="single" w:sz="4" w:space="0" w:color="auto"/>
              <w:left w:val="single" w:sz="4" w:space="0" w:color="auto"/>
              <w:bottom w:val="single" w:sz="4" w:space="0" w:color="auto"/>
              <w:right w:val="single" w:sz="4" w:space="0" w:color="auto"/>
            </w:tcBorders>
            <w:vAlign w:val="center"/>
            <w:hideMark/>
          </w:tcPr>
          <w:p w:rsidR="00386166" w:rsidRPr="00386166" w:rsidP="00386166">
            <w:pPr>
              <w:rPr>
                <w:rFonts w:cs="Arial"/>
                <w:b/>
                <w:bCs/>
                <w:color w:val="FFFFFF"/>
                <w:sz w:val="22"/>
                <w:szCs w:val="22"/>
              </w:rPr>
            </w:pPr>
          </w:p>
        </w:tc>
        <w:tc>
          <w:tcPr>
            <w:tcW w:w="593" w:type="pct"/>
            <w:tcBorders>
              <w:top w:val="nil"/>
              <w:left w:val="nil"/>
              <w:bottom w:val="single" w:sz="4" w:space="0" w:color="auto"/>
              <w:right w:val="single" w:sz="4" w:space="0" w:color="auto"/>
            </w:tcBorders>
            <w:shd w:val="clear" w:color="000000" w:fill="333F4F"/>
            <w:vAlign w:val="center"/>
            <w:hideMark/>
          </w:tcPr>
          <w:p w:rsidR="00386166" w:rsidRPr="00386166" w:rsidP="00386166">
            <w:pPr>
              <w:jc w:val="right"/>
              <w:rPr>
                <w:rFonts w:cs="Arial"/>
                <w:b/>
                <w:bCs/>
                <w:color w:val="FFFFFF"/>
                <w:sz w:val="22"/>
                <w:szCs w:val="22"/>
              </w:rPr>
            </w:pPr>
            <w:r w:rsidRPr="00386166">
              <w:rPr>
                <w:rFonts w:cs="Arial"/>
                <w:b/>
                <w:bCs/>
                <w:color w:val="FFFFFF"/>
                <w:sz w:val="22"/>
                <w:szCs w:val="22"/>
              </w:rPr>
              <w:t>£m</w:t>
            </w:r>
          </w:p>
        </w:tc>
        <w:tc>
          <w:tcPr>
            <w:tcW w:w="433" w:type="pct"/>
            <w:tcBorders>
              <w:top w:val="nil"/>
              <w:left w:val="nil"/>
              <w:bottom w:val="single" w:sz="4" w:space="0" w:color="auto"/>
              <w:right w:val="single" w:sz="4" w:space="0" w:color="auto"/>
            </w:tcBorders>
            <w:shd w:val="clear" w:color="000000" w:fill="333F4F"/>
            <w:vAlign w:val="center"/>
            <w:hideMark/>
          </w:tcPr>
          <w:p w:rsidR="00386166" w:rsidRPr="00386166" w:rsidP="00386166">
            <w:pPr>
              <w:jc w:val="right"/>
              <w:rPr>
                <w:rFonts w:cs="Arial"/>
                <w:b/>
                <w:bCs/>
                <w:color w:val="FFFFFF"/>
                <w:sz w:val="22"/>
                <w:szCs w:val="22"/>
              </w:rPr>
            </w:pPr>
            <w:r w:rsidRPr="00386166">
              <w:rPr>
                <w:rFonts w:cs="Arial"/>
                <w:b/>
                <w:bCs/>
                <w:color w:val="FFFFFF"/>
                <w:sz w:val="22"/>
                <w:szCs w:val="22"/>
              </w:rPr>
              <w:t>£m</w:t>
            </w:r>
          </w:p>
        </w:tc>
        <w:tc>
          <w:tcPr>
            <w:tcW w:w="433" w:type="pct"/>
            <w:tcBorders>
              <w:top w:val="nil"/>
              <w:left w:val="nil"/>
              <w:bottom w:val="single" w:sz="4" w:space="0" w:color="auto"/>
              <w:right w:val="single" w:sz="4" w:space="0" w:color="auto"/>
            </w:tcBorders>
            <w:shd w:val="clear" w:color="000000" w:fill="333F4F"/>
            <w:vAlign w:val="center"/>
            <w:hideMark/>
          </w:tcPr>
          <w:p w:rsidR="00386166" w:rsidRPr="00386166" w:rsidP="00386166">
            <w:pPr>
              <w:jc w:val="right"/>
              <w:rPr>
                <w:rFonts w:cs="Arial"/>
                <w:b/>
                <w:bCs/>
                <w:color w:val="FFFFFF"/>
                <w:sz w:val="22"/>
                <w:szCs w:val="22"/>
              </w:rPr>
            </w:pPr>
            <w:r w:rsidRPr="00386166">
              <w:rPr>
                <w:rFonts w:cs="Arial"/>
                <w:b/>
                <w:bCs/>
                <w:color w:val="FFFFFF"/>
                <w:sz w:val="22"/>
                <w:szCs w:val="22"/>
              </w:rPr>
              <w:t>£m</w:t>
            </w:r>
          </w:p>
        </w:tc>
        <w:tc>
          <w:tcPr>
            <w:tcW w:w="433" w:type="pct"/>
            <w:tcBorders>
              <w:top w:val="nil"/>
              <w:left w:val="nil"/>
              <w:bottom w:val="single" w:sz="4" w:space="0" w:color="auto"/>
              <w:right w:val="single" w:sz="4" w:space="0" w:color="auto"/>
            </w:tcBorders>
            <w:shd w:val="clear" w:color="000000" w:fill="333F4F"/>
            <w:vAlign w:val="center"/>
            <w:hideMark/>
          </w:tcPr>
          <w:p w:rsidR="00386166" w:rsidRPr="00386166" w:rsidP="00386166">
            <w:pPr>
              <w:jc w:val="right"/>
              <w:rPr>
                <w:rFonts w:cs="Arial"/>
                <w:b/>
                <w:bCs/>
                <w:color w:val="FFFFFF"/>
                <w:sz w:val="22"/>
                <w:szCs w:val="22"/>
              </w:rPr>
            </w:pPr>
            <w:r w:rsidRPr="00386166">
              <w:rPr>
                <w:rFonts w:cs="Arial"/>
                <w:b/>
                <w:bCs/>
                <w:color w:val="FFFFFF"/>
                <w:sz w:val="22"/>
                <w:szCs w:val="22"/>
              </w:rPr>
              <w:t>£m</w:t>
            </w:r>
          </w:p>
        </w:tc>
        <w:tc>
          <w:tcPr>
            <w:tcW w:w="429" w:type="pct"/>
            <w:tcBorders>
              <w:top w:val="nil"/>
              <w:left w:val="nil"/>
              <w:bottom w:val="single" w:sz="4" w:space="0" w:color="auto"/>
              <w:right w:val="single" w:sz="4" w:space="0" w:color="auto"/>
            </w:tcBorders>
            <w:shd w:val="clear" w:color="000000" w:fill="333F4F"/>
            <w:vAlign w:val="center"/>
            <w:hideMark/>
          </w:tcPr>
          <w:p w:rsidR="00386166" w:rsidRPr="00386166" w:rsidP="00386166">
            <w:pPr>
              <w:jc w:val="right"/>
              <w:rPr>
                <w:rFonts w:cs="Arial"/>
                <w:b/>
                <w:bCs/>
                <w:color w:val="FFFFFF"/>
                <w:sz w:val="22"/>
                <w:szCs w:val="22"/>
              </w:rPr>
            </w:pPr>
            <w:r w:rsidRPr="00386166">
              <w:rPr>
                <w:rFonts w:cs="Arial"/>
                <w:b/>
                <w:bCs/>
                <w:color w:val="FFFFFF"/>
                <w:sz w:val="22"/>
                <w:szCs w:val="22"/>
              </w:rPr>
              <w:t>£m</w:t>
            </w:r>
          </w:p>
        </w:tc>
        <w:tc>
          <w:tcPr>
            <w:tcW w:w="433" w:type="pct"/>
            <w:tcBorders>
              <w:top w:val="nil"/>
              <w:left w:val="nil"/>
              <w:bottom w:val="single" w:sz="4" w:space="0" w:color="auto"/>
              <w:right w:val="single" w:sz="4" w:space="0" w:color="auto"/>
            </w:tcBorders>
            <w:shd w:val="clear" w:color="000000" w:fill="333F4F"/>
            <w:vAlign w:val="center"/>
            <w:hideMark/>
          </w:tcPr>
          <w:p w:rsidR="00386166" w:rsidRPr="00386166" w:rsidP="00386166">
            <w:pPr>
              <w:jc w:val="right"/>
              <w:rPr>
                <w:rFonts w:cs="Arial"/>
                <w:b/>
                <w:bCs/>
                <w:color w:val="FFFFFF"/>
                <w:sz w:val="22"/>
                <w:szCs w:val="22"/>
              </w:rPr>
            </w:pPr>
            <w:r w:rsidRPr="00386166">
              <w:rPr>
                <w:rFonts w:cs="Arial"/>
                <w:b/>
                <w:bCs/>
                <w:color w:val="FFFFFF"/>
                <w:sz w:val="22"/>
                <w:szCs w:val="22"/>
              </w:rPr>
              <w:t>£m</w:t>
            </w:r>
          </w:p>
        </w:tc>
        <w:tc>
          <w:tcPr>
            <w:tcW w:w="435" w:type="pct"/>
            <w:tcBorders>
              <w:top w:val="nil"/>
              <w:left w:val="nil"/>
              <w:bottom w:val="single" w:sz="4" w:space="0" w:color="auto"/>
              <w:right w:val="single" w:sz="4" w:space="0" w:color="auto"/>
            </w:tcBorders>
            <w:shd w:val="clear" w:color="000000" w:fill="333F4F"/>
            <w:vAlign w:val="center"/>
            <w:hideMark/>
          </w:tcPr>
          <w:p w:rsidR="00386166" w:rsidRPr="00386166" w:rsidP="00386166">
            <w:pPr>
              <w:jc w:val="right"/>
              <w:rPr>
                <w:rFonts w:cs="Arial"/>
                <w:b/>
                <w:bCs/>
                <w:color w:val="FFFFFF"/>
                <w:sz w:val="22"/>
                <w:szCs w:val="22"/>
              </w:rPr>
            </w:pPr>
            <w:r w:rsidRPr="00386166">
              <w:rPr>
                <w:rFonts w:cs="Arial"/>
                <w:b/>
                <w:bCs/>
                <w:color w:val="FFFFFF"/>
                <w:sz w:val="22"/>
                <w:szCs w:val="22"/>
              </w:rPr>
              <w:t>£m</w:t>
            </w:r>
          </w:p>
        </w:tc>
        <w:tc>
          <w:tcPr>
            <w:tcW w:w="566" w:type="pct"/>
            <w:tcBorders>
              <w:top w:val="nil"/>
              <w:left w:val="nil"/>
              <w:bottom w:val="single" w:sz="4" w:space="0" w:color="auto"/>
              <w:right w:val="single" w:sz="4" w:space="0" w:color="auto"/>
            </w:tcBorders>
            <w:shd w:val="clear" w:color="000000" w:fill="333F4F"/>
            <w:vAlign w:val="center"/>
            <w:hideMark/>
          </w:tcPr>
          <w:p w:rsidR="00386166" w:rsidRPr="00386166" w:rsidP="00386166">
            <w:pPr>
              <w:jc w:val="right"/>
              <w:rPr>
                <w:rFonts w:cs="Arial"/>
                <w:b/>
                <w:bCs/>
                <w:color w:val="FFFFFF"/>
                <w:sz w:val="22"/>
                <w:szCs w:val="22"/>
              </w:rPr>
            </w:pPr>
            <w:r w:rsidRPr="00386166">
              <w:rPr>
                <w:rFonts w:cs="Arial"/>
                <w:b/>
                <w:bCs/>
                <w:color w:val="FFFFFF"/>
                <w:sz w:val="22"/>
                <w:szCs w:val="22"/>
              </w:rPr>
              <w:t>£m</w:t>
            </w:r>
          </w:p>
        </w:tc>
      </w:tr>
      <w:tr w:rsidTr="00386166">
        <w:tblPrEx>
          <w:tblW w:w="5000" w:type="pct"/>
          <w:tblLook w:val="04A0"/>
        </w:tblPrEx>
        <w:trPr>
          <w:trHeight w:val="285"/>
        </w:trPr>
        <w:tc>
          <w:tcPr>
            <w:tcW w:w="172" w:type="pct"/>
            <w:tcBorders>
              <w:top w:val="nil"/>
              <w:left w:val="single" w:sz="4" w:space="0" w:color="auto"/>
              <w:bottom w:val="single" w:sz="4" w:space="0" w:color="auto"/>
              <w:right w:val="single" w:sz="4" w:space="0" w:color="auto"/>
            </w:tcBorders>
            <w:shd w:val="clear" w:color="auto" w:fill="auto"/>
            <w:vAlign w:val="center"/>
            <w:hideMark/>
          </w:tcPr>
          <w:p w:rsidR="00386166" w:rsidRPr="00386166" w:rsidP="00386166">
            <w:pPr>
              <w:jc w:val="center"/>
              <w:rPr>
                <w:rFonts w:cs="Arial"/>
                <w:color w:val="000000"/>
                <w:sz w:val="22"/>
                <w:szCs w:val="22"/>
              </w:rPr>
            </w:pPr>
            <w:r w:rsidRPr="00386166">
              <w:rPr>
                <w:rFonts w:cs="Arial"/>
                <w:color w:val="000000"/>
                <w:sz w:val="22"/>
                <w:szCs w:val="22"/>
              </w:rPr>
              <w:t>A</w:t>
            </w:r>
          </w:p>
        </w:tc>
        <w:tc>
          <w:tcPr>
            <w:tcW w:w="1073" w:type="pct"/>
            <w:tcBorders>
              <w:top w:val="nil"/>
              <w:left w:val="nil"/>
              <w:bottom w:val="single" w:sz="4" w:space="0" w:color="auto"/>
              <w:right w:val="single" w:sz="4" w:space="0" w:color="auto"/>
            </w:tcBorders>
            <w:shd w:val="clear" w:color="auto" w:fill="auto"/>
            <w:vAlign w:val="center"/>
            <w:hideMark/>
          </w:tcPr>
          <w:p w:rsidR="00386166" w:rsidRPr="00386166" w:rsidP="00386166">
            <w:pPr>
              <w:rPr>
                <w:rFonts w:cs="Arial"/>
                <w:color w:val="000000"/>
                <w:sz w:val="22"/>
                <w:szCs w:val="22"/>
              </w:rPr>
            </w:pPr>
            <w:r w:rsidRPr="00386166">
              <w:rPr>
                <w:rFonts w:cs="Arial"/>
                <w:color w:val="000000"/>
                <w:sz w:val="22"/>
                <w:szCs w:val="22"/>
              </w:rPr>
              <w:t>NHS England</w:t>
            </w:r>
          </w:p>
        </w:tc>
        <w:tc>
          <w:tcPr>
            <w:tcW w:w="593" w:type="pct"/>
            <w:tcBorders>
              <w:top w:val="nil"/>
              <w:left w:val="nil"/>
              <w:bottom w:val="single" w:sz="4" w:space="0" w:color="auto"/>
              <w:right w:val="single" w:sz="4" w:space="0" w:color="auto"/>
            </w:tcBorders>
            <w:shd w:val="clear" w:color="auto" w:fill="auto"/>
            <w:vAlign w:val="center"/>
            <w:hideMark/>
          </w:tcPr>
          <w:p w:rsidR="00386166" w:rsidRPr="00386166" w:rsidP="00386166">
            <w:pPr>
              <w:jc w:val="right"/>
              <w:rPr>
                <w:rFonts w:cs="Arial"/>
                <w:color w:val="000000"/>
                <w:sz w:val="22"/>
                <w:szCs w:val="22"/>
              </w:rPr>
            </w:pPr>
            <w:r w:rsidRPr="00386166">
              <w:rPr>
                <w:rFonts w:cs="Arial"/>
                <w:color w:val="000000"/>
                <w:sz w:val="22"/>
                <w:szCs w:val="22"/>
              </w:rPr>
              <w:t>111,071</w:t>
            </w:r>
          </w:p>
        </w:tc>
        <w:tc>
          <w:tcPr>
            <w:tcW w:w="433" w:type="pct"/>
            <w:tcBorders>
              <w:top w:val="nil"/>
              <w:left w:val="nil"/>
              <w:bottom w:val="single" w:sz="4" w:space="0" w:color="auto"/>
              <w:right w:val="single" w:sz="4" w:space="0" w:color="auto"/>
            </w:tcBorders>
            <w:shd w:val="clear" w:color="auto" w:fill="auto"/>
            <w:vAlign w:val="center"/>
            <w:hideMark/>
          </w:tcPr>
          <w:p w:rsidR="00386166" w:rsidRPr="00386166" w:rsidP="00386166">
            <w:pPr>
              <w:jc w:val="right"/>
              <w:rPr>
                <w:rFonts w:cs="Arial"/>
                <w:color w:val="000000"/>
                <w:sz w:val="22"/>
                <w:szCs w:val="22"/>
              </w:rPr>
            </w:pPr>
            <w:r w:rsidRPr="00386166">
              <w:rPr>
                <w:rFonts w:cs="Arial"/>
                <w:color w:val="FF0000"/>
                <w:sz w:val="22"/>
                <w:szCs w:val="22"/>
              </w:rPr>
              <w:t>(97,500)</w:t>
            </w:r>
          </w:p>
        </w:tc>
        <w:tc>
          <w:tcPr>
            <w:tcW w:w="433" w:type="pct"/>
            <w:tcBorders>
              <w:top w:val="nil"/>
              <w:left w:val="nil"/>
              <w:bottom w:val="single" w:sz="4" w:space="0" w:color="auto"/>
              <w:right w:val="single" w:sz="4" w:space="0" w:color="auto"/>
            </w:tcBorders>
            <w:shd w:val="clear" w:color="auto" w:fill="auto"/>
            <w:vAlign w:val="center"/>
            <w:hideMark/>
          </w:tcPr>
          <w:p w:rsidR="00386166" w:rsidRPr="00386166" w:rsidP="00386166">
            <w:pPr>
              <w:rPr>
                <w:rFonts w:cs="Arial"/>
                <w:color w:val="000000"/>
                <w:sz w:val="22"/>
                <w:szCs w:val="22"/>
              </w:rPr>
            </w:pPr>
            <w:r w:rsidRPr="00386166">
              <w:rPr>
                <w:rFonts w:cs="Arial"/>
                <w:color w:val="000000"/>
                <w:sz w:val="22"/>
                <w:szCs w:val="22"/>
              </w:rPr>
              <w:t> </w:t>
            </w:r>
          </w:p>
        </w:tc>
        <w:tc>
          <w:tcPr>
            <w:tcW w:w="433" w:type="pct"/>
            <w:tcBorders>
              <w:top w:val="nil"/>
              <w:left w:val="nil"/>
              <w:bottom w:val="single" w:sz="4" w:space="0" w:color="auto"/>
              <w:right w:val="single" w:sz="4" w:space="0" w:color="auto"/>
            </w:tcBorders>
            <w:shd w:val="clear" w:color="auto" w:fill="auto"/>
            <w:vAlign w:val="center"/>
            <w:hideMark/>
          </w:tcPr>
          <w:p w:rsidR="00386166" w:rsidRPr="00386166" w:rsidP="00386166">
            <w:pPr>
              <w:rPr>
                <w:rFonts w:cs="Arial"/>
                <w:color w:val="000000"/>
                <w:sz w:val="22"/>
                <w:szCs w:val="22"/>
              </w:rPr>
            </w:pPr>
            <w:r w:rsidRPr="00386166">
              <w:rPr>
                <w:rFonts w:cs="Arial"/>
                <w:color w:val="000000"/>
                <w:sz w:val="22"/>
                <w:szCs w:val="22"/>
              </w:rPr>
              <w:t> </w:t>
            </w:r>
          </w:p>
        </w:tc>
        <w:tc>
          <w:tcPr>
            <w:tcW w:w="429" w:type="pct"/>
            <w:tcBorders>
              <w:top w:val="nil"/>
              <w:left w:val="nil"/>
              <w:bottom w:val="single" w:sz="4" w:space="0" w:color="auto"/>
              <w:right w:val="single" w:sz="4" w:space="0" w:color="auto"/>
            </w:tcBorders>
            <w:shd w:val="clear" w:color="auto" w:fill="auto"/>
            <w:vAlign w:val="center"/>
            <w:hideMark/>
          </w:tcPr>
          <w:p w:rsidR="00386166" w:rsidRPr="00386166" w:rsidP="00386166">
            <w:pPr>
              <w:rPr>
                <w:rFonts w:cs="Arial"/>
                <w:color w:val="000000"/>
                <w:sz w:val="22"/>
                <w:szCs w:val="22"/>
              </w:rPr>
            </w:pPr>
            <w:r w:rsidRPr="00386166">
              <w:rPr>
                <w:rFonts w:cs="Arial"/>
                <w:color w:val="000000"/>
                <w:sz w:val="22"/>
                <w:szCs w:val="22"/>
              </w:rPr>
              <w:t> </w:t>
            </w:r>
          </w:p>
        </w:tc>
        <w:tc>
          <w:tcPr>
            <w:tcW w:w="433" w:type="pct"/>
            <w:tcBorders>
              <w:top w:val="nil"/>
              <w:left w:val="nil"/>
              <w:bottom w:val="single" w:sz="4" w:space="0" w:color="auto"/>
              <w:right w:val="single" w:sz="4" w:space="0" w:color="auto"/>
            </w:tcBorders>
            <w:shd w:val="clear" w:color="auto" w:fill="auto"/>
            <w:vAlign w:val="center"/>
            <w:hideMark/>
          </w:tcPr>
          <w:p w:rsidR="00386166" w:rsidRPr="00386166" w:rsidP="00386166">
            <w:pPr>
              <w:rPr>
                <w:rFonts w:cs="Arial"/>
                <w:color w:val="000000"/>
                <w:sz w:val="22"/>
                <w:szCs w:val="22"/>
              </w:rPr>
            </w:pPr>
            <w:r w:rsidRPr="00386166">
              <w:rPr>
                <w:rFonts w:cs="Arial"/>
                <w:color w:val="000000"/>
                <w:sz w:val="22"/>
                <w:szCs w:val="22"/>
              </w:rPr>
              <w:t> </w:t>
            </w:r>
          </w:p>
        </w:tc>
        <w:tc>
          <w:tcPr>
            <w:tcW w:w="435" w:type="pct"/>
            <w:tcBorders>
              <w:top w:val="nil"/>
              <w:left w:val="nil"/>
              <w:bottom w:val="single" w:sz="4" w:space="0" w:color="auto"/>
              <w:right w:val="single" w:sz="4" w:space="0" w:color="auto"/>
            </w:tcBorders>
            <w:shd w:val="clear" w:color="auto" w:fill="auto"/>
            <w:vAlign w:val="center"/>
            <w:hideMark/>
          </w:tcPr>
          <w:p w:rsidR="00386166" w:rsidRPr="00386166" w:rsidP="00386166">
            <w:pPr>
              <w:rPr>
                <w:rFonts w:cs="Arial"/>
                <w:color w:val="000000"/>
                <w:sz w:val="22"/>
                <w:szCs w:val="22"/>
              </w:rPr>
            </w:pPr>
            <w:r w:rsidRPr="00386166">
              <w:rPr>
                <w:rFonts w:cs="Arial"/>
                <w:color w:val="000000"/>
                <w:sz w:val="22"/>
                <w:szCs w:val="22"/>
              </w:rPr>
              <w:t> </w:t>
            </w:r>
          </w:p>
        </w:tc>
        <w:tc>
          <w:tcPr>
            <w:tcW w:w="566" w:type="pct"/>
            <w:tcBorders>
              <w:top w:val="nil"/>
              <w:left w:val="nil"/>
              <w:bottom w:val="single" w:sz="4" w:space="0" w:color="auto"/>
              <w:right w:val="single" w:sz="4" w:space="0" w:color="auto"/>
            </w:tcBorders>
            <w:shd w:val="clear" w:color="auto" w:fill="auto"/>
            <w:vAlign w:val="center"/>
            <w:hideMark/>
          </w:tcPr>
          <w:p w:rsidR="00386166" w:rsidRPr="00386166" w:rsidP="00386166">
            <w:pPr>
              <w:jc w:val="right"/>
              <w:rPr>
                <w:rFonts w:cs="Arial"/>
                <w:color w:val="000000"/>
                <w:sz w:val="22"/>
                <w:szCs w:val="22"/>
              </w:rPr>
            </w:pPr>
            <w:r w:rsidRPr="00386166">
              <w:rPr>
                <w:rFonts w:cs="Arial"/>
                <w:color w:val="000000"/>
                <w:sz w:val="22"/>
                <w:szCs w:val="22"/>
              </w:rPr>
              <w:t>13,571</w:t>
            </w:r>
          </w:p>
        </w:tc>
      </w:tr>
      <w:tr w:rsidTr="00386166">
        <w:tblPrEx>
          <w:tblW w:w="5000" w:type="pct"/>
          <w:tblLook w:val="04A0"/>
        </w:tblPrEx>
        <w:trPr>
          <w:trHeight w:val="285"/>
        </w:trPr>
        <w:tc>
          <w:tcPr>
            <w:tcW w:w="172" w:type="pct"/>
            <w:tcBorders>
              <w:top w:val="nil"/>
              <w:left w:val="single" w:sz="4" w:space="0" w:color="auto"/>
              <w:bottom w:val="single" w:sz="4" w:space="0" w:color="auto"/>
              <w:right w:val="single" w:sz="4" w:space="0" w:color="auto"/>
            </w:tcBorders>
            <w:shd w:val="clear" w:color="auto" w:fill="auto"/>
            <w:vAlign w:val="center"/>
            <w:hideMark/>
          </w:tcPr>
          <w:p w:rsidR="00386166" w:rsidRPr="00386166" w:rsidP="00386166">
            <w:pPr>
              <w:jc w:val="center"/>
              <w:rPr>
                <w:rFonts w:cs="Arial"/>
                <w:color w:val="000000"/>
                <w:sz w:val="22"/>
                <w:szCs w:val="22"/>
              </w:rPr>
            </w:pPr>
            <w:r w:rsidRPr="00386166">
              <w:rPr>
                <w:rFonts w:cs="Arial"/>
                <w:color w:val="000000"/>
                <w:sz w:val="22"/>
                <w:szCs w:val="22"/>
              </w:rPr>
              <w:t>B</w:t>
            </w:r>
          </w:p>
        </w:tc>
        <w:tc>
          <w:tcPr>
            <w:tcW w:w="1073" w:type="pct"/>
            <w:tcBorders>
              <w:top w:val="nil"/>
              <w:left w:val="nil"/>
              <w:bottom w:val="single" w:sz="4" w:space="0" w:color="auto"/>
              <w:right w:val="single" w:sz="4" w:space="0" w:color="auto"/>
            </w:tcBorders>
            <w:shd w:val="clear" w:color="auto" w:fill="auto"/>
            <w:vAlign w:val="center"/>
            <w:hideMark/>
          </w:tcPr>
          <w:p w:rsidR="00386166" w:rsidRPr="00386166" w:rsidP="00386166">
            <w:pPr>
              <w:rPr>
                <w:rFonts w:cs="Arial"/>
                <w:color w:val="000000"/>
                <w:sz w:val="22"/>
                <w:szCs w:val="22"/>
              </w:rPr>
            </w:pPr>
            <w:r w:rsidRPr="00386166">
              <w:rPr>
                <w:rFonts w:cs="Arial"/>
                <w:color w:val="000000"/>
                <w:sz w:val="22"/>
                <w:szCs w:val="22"/>
              </w:rPr>
              <w:t>NHS Providers</w:t>
            </w:r>
          </w:p>
        </w:tc>
        <w:tc>
          <w:tcPr>
            <w:tcW w:w="593" w:type="pct"/>
            <w:tcBorders>
              <w:top w:val="nil"/>
              <w:left w:val="nil"/>
              <w:bottom w:val="single" w:sz="4" w:space="0" w:color="auto"/>
              <w:right w:val="single" w:sz="4" w:space="0" w:color="auto"/>
            </w:tcBorders>
            <w:shd w:val="clear" w:color="auto" w:fill="auto"/>
            <w:vAlign w:val="center"/>
            <w:hideMark/>
          </w:tcPr>
          <w:p w:rsidR="00386166" w:rsidRPr="00386166" w:rsidP="00386166">
            <w:pPr>
              <w:jc w:val="right"/>
              <w:rPr>
                <w:rFonts w:cs="Arial"/>
                <w:color w:val="000000"/>
                <w:sz w:val="22"/>
                <w:szCs w:val="22"/>
              </w:rPr>
            </w:pPr>
            <w:r w:rsidRPr="00386166">
              <w:rPr>
                <w:rFonts w:cs="Arial"/>
                <w:color w:val="000000"/>
                <w:sz w:val="22"/>
                <w:szCs w:val="22"/>
              </w:rPr>
              <w:t>95</w:t>
            </w:r>
          </w:p>
        </w:tc>
        <w:tc>
          <w:tcPr>
            <w:tcW w:w="433" w:type="pct"/>
            <w:tcBorders>
              <w:top w:val="nil"/>
              <w:left w:val="nil"/>
              <w:bottom w:val="single" w:sz="4" w:space="0" w:color="auto"/>
              <w:right w:val="single" w:sz="4" w:space="0" w:color="auto"/>
            </w:tcBorders>
            <w:shd w:val="clear" w:color="auto" w:fill="auto"/>
            <w:vAlign w:val="center"/>
            <w:hideMark/>
          </w:tcPr>
          <w:p w:rsidR="00386166" w:rsidRPr="00386166" w:rsidP="00386166">
            <w:pPr>
              <w:jc w:val="right"/>
              <w:rPr>
                <w:rFonts w:cs="Arial"/>
                <w:color w:val="000000"/>
                <w:sz w:val="22"/>
                <w:szCs w:val="22"/>
              </w:rPr>
            </w:pPr>
            <w:r w:rsidRPr="00386166">
              <w:rPr>
                <w:rFonts w:cs="Arial"/>
                <w:color w:val="000000"/>
                <w:sz w:val="22"/>
                <w:szCs w:val="22"/>
              </w:rPr>
              <w:t>97,500</w:t>
            </w:r>
          </w:p>
        </w:tc>
        <w:tc>
          <w:tcPr>
            <w:tcW w:w="433" w:type="pct"/>
            <w:tcBorders>
              <w:top w:val="nil"/>
              <w:left w:val="nil"/>
              <w:bottom w:val="single" w:sz="4" w:space="0" w:color="auto"/>
              <w:right w:val="single" w:sz="4" w:space="0" w:color="auto"/>
            </w:tcBorders>
            <w:shd w:val="clear" w:color="auto" w:fill="auto"/>
            <w:vAlign w:val="center"/>
            <w:hideMark/>
          </w:tcPr>
          <w:p w:rsidR="00386166" w:rsidRPr="00386166" w:rsidP="00386166">
            <w:pPr>
              <w:jc w:val="right"/>
              <w:rPr>
                <w:rFonts w:cs="Arial"/>
                <w:color w:val="000000"/>
                <w:sz w:val="22"/>
                <w:szCs w:val="22"/>
              </w:rPr>
            </w:pPr>
            <w:r w:rsidRPr="00386166">
              <w:rPr>
                <w:rFonts w:cs="Arial"/>
                <w:color w:val="FF0000"/>
                <w:sz w:val="22"/>
                <w:szCs w:val="22"/>
              </w:rPr>
              <w:t>(2,485)</w:t>
            </w:r>
          </w:p>
        </w:tc>
        <w:tc>
          <w:tcPr>
            <w:tcW w:w="433" w:type="pct"/>
            <w:tcBorders>
              <w:top w:val="nil"/>
              <w:left w:val="nil"/>
              <w:bottom w:val="single" w:sz="4" w:space="0" w:color="auto"/>
              <w:right w:val="single" w:sz="4" w:space="0" w:color="auto"/>
            </w:tcBorders>
            <w:shd w:val="clear" w:color="auto" w:fill="auto"/>
            <w:vAlign w:val="center"/>
            <w:hideMark/>
          </w:tcPr>
          <w:p w:rsidR="00386166" w:rsidRPr="00386166" w:rsidP="00386166">
            <w:pPr>
              <w:jc w:val="right"/>
              <w:rPr>
                <w:rFonts w:cs="Arial"/>
                <w:color w:val="000000"/>
                <w:sz w:val="22"/>
                <w:szCs w:val="22"/>
              </w:rPr>
            </w:pPr>
            <w:r w:rsidRPr="00386166">
              <w:rPr>
                <w:rFonts w:cs="Arial"/>
                <w:color w:val="000000"/>
                <w:sz w:val="22"/>
                <w:szCs w:val="22"/>
              </w:rPr>
              <w:t>3,200</w:t>
            </w:r>
          </w:p>
        </w:tc>
        <w:tc>
          <w:tcPr>
            <w:tcW w:w="429" w:type="pct"/>
            <w:tcBorders>
              <w:top w:val="nil"/>
              <w:left w:val="nil"/>
              <w:bottom w:val="single" w:sz="4" w:space="0" w:color="auto"/>
              <w:right w:val="single" w:sz="4" w:space="0" w:color="auto"/>
            </w:tcBorders>
            <w:shd w:val="clear" w:color="auto" w:fill="auto"/>
            <w:vAlign w:val="center"/>
            <w:hideMark/>
          </w:tcPr>
          <w:p w:rsidR="00386166" w:rsidRPr="00386166" w:rsidP="00386166">
            <w:pPr>
              <w:rPr>
                <w:rFonts w:cs="Arial"/>
                <w:color w:val="000000"/>
                <w:sz w:val="22"/>
                <w:szCs w:val="22"/>
              </w:rPr>
            </w:pPr>
            <w:r w:rsidRPr="00386166">
              <w:rPr>
                <w:rFonts w:cs="Arial"/>
                <w:color w:val="000000"/>
                <w:sz w:val="22"/>
                <w:szCs w:val="22"/>
              </w:rPr>
              <w:t> </w:t>
            </w:r>
          </w:p>
        </w:tc>
        <w:tc>
          <w:tcPr>
            <w:tcW w:w="433" w:type="pct"/>
            <w:tcBorders>
              <w:top w:val="nil"/>
              <w:left w:val="nil"/>
              <w:bottom w:val="single" w:sz="4" w:space="0" w:color="auto"/>
              <w:right w:val="single" w:sz="4" w:space="0" w:color="auto"/>
            </w:tcBorders>
            <w:shd w:val="clear" w:color="auto" w:fill="auto"/>
            <w:vAlign w:val="center"/>
            <w:hideMark/>
          </w:tcPr>
          <w:p w:rsidR="00386166" w:rsidRPr="00386166" w:rsidP="00386166">
            <w:pPr>
              <w:jc w:val="right"/>
              <w:rPr>
                <w:rFonts w:cs="Arial"/>
                <w:color w:val="000000"/>
                <w:sz w:val="22"/>
                <w:szCs w:val="22"/>
              </w:rPr>
            </w:pPr>
            <w:r w:rsidRPr="00386166">
              <w:rPr>
                <w:rFonts w:cs="Arial"/>
                <w:color w:val="FF0000"/>
                <w:sz w:val="22"/>
                <w:szCs w:val="22"/>
              </w:rPr>
              <w:t>(871)</w:t>
            </w:r>
          </w:p>
        </w:tc>
        <w:tc>
          <w:tcPr>
            <w:tcW w:w="435" w:type="pct"/>
            <w:tcBorders>
              <w:top w:val="nil"/>
              <w:left w:val="nil"/>
              <w:bottom w:val="single" w:sz="4" w:space="0" w:color="auto"/>
              <w:right w:val="single" w:sz="4" w:space="0" w:color="auto"/>
            </w:tcBorders>
            <w:shd w:val="clear" w:color="auto" w:fill="auto"/>
            <w:vAlign w:val="center"/>
            <w:hideMark/>
          </w:tcPr>
          <w:p w:rsidR="00386166" w:rsidRPr="00386166" w:rsidP="00386166">
            <w:pPr>
              <w:jc w:val="right"/>
              <w:rPr>
                <w:rFonts w:cs="Arial"/>
                <w:color w:val="000000"/>
                <w:sz w:val="22"/>
                <w:szCs w:val="22"/>
              </w:rPr>
            </w:pPr>
            <w:r w:rsidRPr="00386166">
              <w:rPr>
                <w:rFonts w:cs="Arial"/>
                <w:color w:val="FF0000"/>
                <w:sz w:val="22"/>
                <w:szCs w:val="22"/>
              </w:rPr>
              <w:t>(154)</w:t>
            </w:r>
          </w:p>
        </w:tc>
        <w:tc>
          <w:tcPr>
            <w:tcW w:w="566" w:type="pct"/>
            <w:tcBorders>
              <w:top w:val="nil"/>
              <w:left w:val="nil"/>
              <w:bottom w:val="single" w:sz="4" w:space="0" w:color="auto"/>
              <w:right w:val="single" w:sz="4" w:space="0" w:color="auto"/>
            </w:tcBorders>
            <w:shd w:val="clear" w:color="auto" w:fill="auto"/>
            <w:vAlign w:val="center"/>
            <w:hideMark/>
          </w:tcPr>
          <w:p w:rsidR="00386166" w:rsidRPr="00386166" w:rsidP="00386166">
            <w:pPr>
              <w:jc w:val="right"/>
              <w:rPr>
                <w:rFonts w:cs="Arial"/>
                <w:color w:val="000000"/>
                <w:sz w:val="22"/>
                <w:szCs w:val="22"/>
              </w:rPr>
            </w:pPr>
            <w:r w:rsidRPr="00386166">
              <w:rPr>
                <w:rFonts w:cs="Arial"/>
                <w:color w:val="000000"/>
                <w:sz w:val="22"/>
                <w:szCs w:val="22"/>
              </w:rPr>
              <w:t>97,285</w:t>
            </w:r>
          </w:p>
        </w:tc>
      </w:tr>
      <w:tr w:rsidTr="00386166">
        <w:tblPrEx>
          <w:tblW w:w="5000" w:type="pct"/>
          <w:tblLook w:val="04A0"/>
        </w:tblPrEx>
        <w:trPr>
          <w:trHeight w:val="285"/>
        </w:trPr>
        <w:tc>
          <w:tcPr>
            <w:tcW w:w="172" w:type="pct"/>
            <w:tcBorders>
              <w:top w:val="nil"/>
              <w:left w:val="single" w:sz="4" w:space="0" w:color="auto"/>
              <w:bottom w:val="single" w:sz="4" w:space="0" w:color="auto"/>
              <w:right w:val="single" w:sz="4" w:space="0" w:color="auto"/>
            </w:tcBorders>
            <w:shd w:val="clear" w:color="auto" w:fill="auto"/>
            <w:vAlign w:val="center"/>
            <w:hideMark/>
          </w:tcPr>
          <w:p w:rsidR="00386166" w:rsidRPr="00386166" w:rsidP="00386166">
            <w:pPr>
              <w:jc w:val="center"/>
              <w:rPr>
                <w:rFonts w:cs="Arial"/>
                <w:color w:val="000000"/>
                <w:sz w:val="22"/>
                <w:szCs w:val="22"/>
              </w:rPr>
            </w:pPr>
            <w:r w:rsidRPr="00386166">
              <w:rPr>
                <w:rFonts w:cs="Arial"/>
                <w:color w:val="000000"/>
                <w:sz w:val="22"/>
                <w:szCs w:val="22"/>
              </w:rPr>
              <w:t>C</w:t>
            </w:r>
          </w:p>
        </w:tc>
        <w:tc>
          <w:tcPr>
            <w:tcW w:w="1073" w:type="pct"/>
            <w:tcBorders>
              <w:top w:val="nil"/>
              <w:left w:val="nil"/>
              <w:bottom w:val="single" w:sz="4" w:space="0" w:color="auto"/>
              <w:right w:val="single" w:sz="4" w:space="0" w:color="auto"/>
            </w:tcBorders>
            <w:shd w:val="clear" w:color="auto" w:fill="auto"/>
            <w:vAlign w:val="center"/>
            <w:hideMark/>
          </w:tcPr>
          <w:p w:rsidR="00386166" w:rsidRPr="00386166" w:rsidP="00386166">
            <w:pPr>
              <w:rPr>
                <w:rFonts w:cs="Arial"/>
                <w:color w:val="000000"/>
                <w:sz w:val="22"/>
                <w:szCs w:val="22"/>
              </w:rPr>
            </w:pPr>
            <w:r w:rsidRPr="00386166">
              <w:rPr>
                <w:rFonts w:cs="Arial"/>
                <w:color w:val="000000"/>
                <w:sz w:val="22"/>
                <w:szCs w:val="22"/>
              </w:rPr>
              <w:t xml:space="preserve">DHSC </w:t>
            </w:r>
          </w:p>
        </w:tc>
        <w:tc>
          <w:tcPr>
            <w:tcW w:w="593" w:type="pct"/>
            <w:tcBorders>
              <w:top w:val="nil"/>
              <w:left w:val="nil"/>
              <w:bottom w:val="single" w:sz="4" w:space="0" w:color="auto"/>
              <w:right w:val="single" w:sz="4" w:space="0" w:color="auto"/>
            </w:tcBorders>
            <w:shd w:val="clear" w:color="auto" w:fill="auto"/>
            <w:vAlign w:val="center"/>
            <w:hideMark/>
          </w:tcPr>
          <w:p w:rsidR="00386166" w:rsidRPr="00386166" w:rsidP="00386166">
            <w:pPr>
              <w:jc w:val="right"/>
              <w:rPr>
                <w:rFonts w:cs="Arial"/>
                <w:color w:val="000000"/>
                <w:sz w:val="22"/>
                <w:szCs w:val="22"/>
              </w:rPr>
            </w:pPr>
            <w:r w:rsidRPr="00386166">
              <w:rPr>
                <w:rFonts w:cs="Arial"/>
                <w:color w:val="000000"/>
                <w:sz w:val="22"/>
                <w:szCs w:val="22"/>
              </w:rPr>
              <w:t>4,301</w:t>
            </w:r>
          </w:p>
        </w:tc>
        <w:tc>
          <w:tcPr>
            <w:tcW w:w="433" w:type="pct"/>
            <w:tcBorders>
              <w:top w:val="nil"/>
              <w:left w:val="nil"/>
              <w:bottom w:val="single" w:sz="4" w:space="0" w:color="auto"/>
              <w:right w:val="single" w:sz="4" w:space="0" w:color="auto"/>
            </w:tcBorders>
            <w:shd w:val="clear" w:color="auto" w:fill="auto"/>
            <w:vAlign w:val="center"/>
            <w:hideMark/>
          </w:tcPr>
          <w:p w:rsidR="00386166" w:rsidRPr="00386166" w:rsidP="00386166">
            <w:pPr>
              <w:rPr>
                <w:rFonts w:cs="Arial"/>
                <w:color w:val="000000"/>
                <w:sz w:val="22"/>
                <w:szCs w:val="22"/>
              </w:rPr>
            </w:pPr>
            <w:r w:rsidRPr="00386166">
              <w:rPr>
                <w:rFonts w:cs="Arial"/>
                <w:color w:val="000000"/>
                <w:sz w:val="22"/>
                <w:szCs w:val="22"/>
              </w:rPr>
              <w:t> </w:t>
            </w:r>
          </w:p>
        </w:tc>
        <w:tc>
          <w:tcPr>
            <w:tcW w:w="433" w:type="pct"/>
            <w:tcBorders>
              <w:top w:val="nil"/>
              <w:left w:val="nil"/>
              <w:bottom w:val="single" w:sz="4" w:space="0" w:color="auto"/>
              <w:right w:val="single" w:sz="4" w:space="0" w:color="auto"/>
            </w:tcBorders>
            <w:shd w:val="clear" w:color="auto" w:fill="auto"/>
            <w:vAlign w:val="center"/>
            <w:hideMark/>
          </w:tcPr>
          <w:p w:rsidR="00386166" w:rsidRPr="00386166" w:rsidP="00386166">
            <w:pPr>
              <w:rPr>
                <w:rFonts w:cs="Arial"/>
                <w:color w:val="000000"/>
                <w:sz w:val="22"/>
                <w:szCs w:val="22"/>
              </w:rPr>
            </w:pPr>
            <w:r w:rsidRPr="00386166">
              <w:rPr>
                <w:rFonts w:cs="Arial"/>
                <w:color w:val="000000"/>
                <w:sz w:val="22"/>
                <w:szCs w:val="22"/>
              </w:rPr>
              <w:t> </w:t>
            </w:r>
          </w:p>
        </w:tc>
        <w:tc>
          <w:tcPr>
            <w:tcW w:w="433" w:type="pct"/>
            <w:tcBorders>
              <w:top w:val="nil"/>
              <w:left w:val="nil"/>
              <w:bottom w:val="single" w:sz="4" w:space="0" w:color="auto"/>
              <w:right w:val="single" w:sz="4" w:space="0" w:color="auto"/>
            </w:tcBorders>
            <w:shd w:val="clear" w:color="auto" w:fill="auto"/>
            <w:vAlign w:val="center"/>
            <w:hideMark/>
          </w:tcPr>
          <w:p w:rsidR="00386166" w:rsidRPr="00386166" w:rsidP="00386166">
            <w:pPr>
              <w:rPr>
                <w:rFonts w:cs="Arial"/>
                <w:color w:val="000000"/>
                <w:sz w:val="22"/>
                <w:szCs w:val="22"/>
              </w:rPr>
            </w:pPr>
            <w:r w:rsidRPr="00386166">
              <w:rPr>
                <w:rFonts w:cs="Arial"/>
                <w:color w:val="000000"/>
                <w:sz w:val="22"/>
                <w:szCs w:val="22"/>
              </w:rPr>
              <w:t> </w:t>
            </w:r>
          </w:p>
        </w:tc>
        <w:tc>
          <w:tcPr>
            <w:tcW w:w="429" w:type="pct"/>
            <w:tcBorders>
              <w:top w:val="nil"/>
              <w:left w:val="nil"/>
              <w:bottom w:val="single" w:sz="4" w:space="0" w:color="auto"/>
              <w:right w:val="single" w:sz="4" w:space="0" w:color="auto"/>
            </w:tcBorders>
            <w:shd w:val="clear" w:color="auto" w:fill="auto"/>
            <w:vAlign w:val="center"/>
            <w:hideMark/>
          </w:tcPr>
          <w:p w:rsidR="00386166" w:rsidRPr="00386166" w:rsidP="00386166">
            <w:pPr>
              <w:jc w:val="right"/>
              <w:rPr>
                <w:rFonts w:cs="Arial"/>
                <w:color w:val="000000"/>
                <w:sz w:val="22"/>
                <w:szCs w:val="22"/>
              </w:rPr>
            </w:pPr>
            <w:r w:rsidRPr="00386166">
              <w:rPr>
                <w:rFonts w:cs="Arial"/>
                <w:color w:val="FF0000"/>
                <w:sz w:val="22"/>
                <w:szCs w:val="22"/>
              </w:rPr>
              <w:t>(900)</w:t>
            </w:r>
          </w:p>
        </w:tc>
        <w:tc>
          <w:tcPr>
            <w:tcW w:w="433" w:type="pct"/>
            <w:tcBorders>
              <w:top w:val="nil"/>
              <w:left w:val="nil"/>
              <w:bottom w:val="single" w:sz="4" w:space="0" w:color="auto"/>
              <w:right w:val="single" w:sz="4" w:space="0" w:color="auto"/>
            </w:tcBorders>
            <w:shd w:val="clear" w:color="auto" w:fill="auto"/>
            <w:vAlign w:val="center"/>
            <w:hideMark/>
          </w:tcPr>
          <w:p w:rsidR="00386166" w:rsidRPr="00386166" w:rsidP="00386166">
            <w:pPr>
              <w:rPr>
                <w:rFonts w:cs="Arial"/>
                <w:color w:val="000000"/>
                <w:sz w:val="22"/>
                <w:szCs w:val="22"/>
              </w:rPr>
            </w:pPr>
            <w:r w:rsidRPr="00386166">
              <w:rPr>
                <w:rFonts w:cs="Arial"/>
                <w:color w:val="000000"/>
                <w:sz w:val="22"/>
                <w:szCs w:val="22"/>
              </w:rPr>
              <w:t> </w:t>
            </w:r>
          </w:p>
        </w:tc>
        <w:tc>
          <w:tcPr>
            <w:tcW w:w="435" w:type="pct"/>
            <w:tcBorders>
              <w:top w:val="nil"/>
              <w:left w:val="nil"/>
              <w:bottom w:val="single" w:sz="4" w:space="0" w:color="auto"/>
              <w:right w:val="single" w:sz="4" w:space="0" w:color="auto"/>
            </w:tcBorders>
            <w:shd w:val="clear" w:color="auto" w:fill="auto"/>
            <w:vAlign w:val="center"/>
            <w:hideMark/>
          </w:tcPr>
          <w:p w:rsidR="00386166" w:rsidRPr="00386166" w:rsidP="00386166">
            <w:pPr>
              <w:jc w:val="right"/>
              <w:rPr>
                <w:rFonts w:cs="Arial"/>
                <w:color w:val="000000"/>
                <w:sz w:val="22"/>
                <w:szCs w:val="22"/>
              </w:rPr>
            </w:pPr>
            <w:r w:rsidRPr="00386166">
              <w:rPr>
                <w:rFonts w:cs="Arial"/>
                <w:color w:val="000000"/>
                <w:sz w:val="22"/>
                <w:szCs w:val="22"/>
              </w:rPr>
              <w:t>154</w:t>
            </w:r>
          </w:p>
        </w:tc>
        <w:tc>
          <w:tcPr>
            <w:tcW w:w="566" w:type="pct"/>
            <w:tcBorders>
              <w:top w:val="nil"/>
              <w:left w:val="nil"/>
              <w:bottom w:val="single" w:sz="4" w:space="0" w:color="auto"/>
              <w:right w:val="single" w:sz="4" w:space="0" w:color="auto"/>
            </w:tcBorders>
            <w:shd w:val="clear" w:color="auto" w:fill="auto"/>
            <w:vAlign w:val="center"/>
            <w:hideMark/>
          </w:tcPr>
          <w:p w:rsidR="00386166" w:rsidRPr="00386166" w:rsidP="00386166">
            <w:pPr>
              <w:jc w:val="right"/>
              <w:rPr>
                <w:rFonts w:cs="Arial"/>
                <w:color w:val="000000"/>
                <w:sz w:val="22"/>
                <w:szCs w:val="22"/>
              </w:rPr>
            </w:pPr>
            <w:r w:rsidRPr="00386166">
              <w:rPr>
                <w:rFonts w:cs="Arial"/>
                <w:color w:val="000000"/>
                <w:sz w:val="22"/>
                <w:szCs w:val="22"/>
              </w:rPr>
              <w:t>3,555</w:t>
            </w:r>
          </w:p>
        </w:tc>
      </w:tr>
      <w:tr w:rsidTr="00386166">
        <w:tblPrEx>
          <w:tblW w:w="5000" w:type="pct"/>
          <w:tblLook w:val="04A0"/>
        </w:tblPrEx>
        <w:trPr>
          <w:trHeight w:val="570"/>
        </w:trPr>
        <w:tc>
          <w:tcPr>
            <w:tcW w:w="172" w:type="pct"/>
            <w:tcBorders>
              <w:top w:val="nil"/>
              <w:left w:val="single" w:sz="4" w:space="0" w:color="auto"/>
              <w:bottom w:val="single" w:sz="4" w:space="0" w:color="auto"/>
              <w:right w:val="single" w:sz="4" w:space="0" w:color="auto"/>
            </w:tcBorders>
            <w:shd w:val="clear" w:color="auto" w:fill="auto"/>
            <w:vAlign w:val="center"/>
            <w:hideMark/>
          </w:tcPr>
          <w:p w:rsidR="00386166" w:rsidRPr="00386166" w:rsidP="00386166">
            <w:pPr>
              <w:jc w:val="center"/>
              <w:rPr>
                <w:rFonts w:cs="Arial"/>
                <w:color w:val="000000"/>
                <w:sz w:val="22"/>
                <w:szCs w:val="22"/>
              </w:rPr>
            </w:pPr>
            <w:r w:rsidRPr="00386166">
              <w:rPr>
                <w:rFonts w:cs="Arial"/>
                <w:color w:val="000000"/>
                <w:sz w:val="22"/>
                <w:szCs w:val="22"/>
              </w:rPr>
              <w:t>D</w:t>
            </w:r>
          </w:p>
        </w:tc>
        <w:tc>
          <w:tcPr>
            <w:tcW w:w="1073" w:type="pct"/>
            <w:tcBorders>
              <w:top w:val="nil"/>
              <w:left w:val="nil"/>
              <w:bottom w:val="single" w:sz="4" w:space="0" w:color="auto"/>
              <w:right w:val="single" w:sz="4" w:space="0" w:color="auto"/>
            </w:tcBorders>
            <w:shd w:val="clear" w:color="auto" w:fill="auto"/>
            <w:vAlign w:val="center"/>
            <w:hideMark/>
          </w:tcPr>
          <w:p w:rsidR="00386166" w:rsidRPr="00386166" w:rsidP="00386166">
            <w:pPr>
              <w:rPr>
                <w:rFonts w:cs="Arial"/>
                <w:color w:val="000000"/>
                <w:sz w:val="22"/>
                <w:szCs w:val="22"/>
              </w:rPr>
            </w:pPr>
            <w:r w:rsidRPr="00386166">
              <w:rPr>
                <w:rFonts w:cs="Arial"/>
                <w:color w:val="000000"/>
                <w:sz w:val="22"/>
                <w:szCs w:val="22"/>
              </w:rPr>
              <w:t>Local Authorities (Public Health)</w:t>
            </w:r>
          </w:p>
        </w:tc>
        <w:tc>
          <w:tcPr>
            <w:tcW w:w="593" w:type="pct"/>
            <w:tcBorders>
              <w:top w:val="nil"/>
              <w:left w:val="nil"/>
              <w:bottom w:val="single" w:sz="4" w:space="0" w:color="auto"/>
              <w:right w:val="single" w:sz="4" w:space="0" w:color="auto"/>
            </w:tcBorders>
            <w:shd w:val="clear" w:color="auto" w:fill="auto"/>
            <w:vAlign w:val="center"/>
            <w:hideMark/>
          </w:tcPr>
          <w:p w:rsidR="00386166" w:rsidRPr="00386166" w:rsidP="00386166">
            <w:pPr>
              <w:jc w:val="right"/>
              <w:rPr>
                <w:rFonts w:cs="Arial"/>
                <w:color w:val="000000"/>
                <w:sz w:val="22"/>
                <w:szCs w:val="22"/>
              </w:rPr>
            </w:pPr>
            <w:r w:rsidRPr="00386166">
              <w:rPr>
                <w:rFonts w:cs="Arial"/>
                <w:color w:val="000000"/>
                <w:sz w:val="22"/>
                <w:szCs w:val="22"/>
              </w:rPr>
              <w:t>3,202</w:t>
            </w:r>
          </w:p>
        </w:tc>
        <w:tc>
          <w:tcPr>
            <w:tcW w:w="433" w:type="pct"/>
            <w:tcBorders>
              <w:top w:val="nil"/>
              <w:left w:val="nil"/>
              <w:bottom w:val="single" w:sz="4" w:space="0" w:color="auto"/>
              <w:right w:val="single" w:sz="4" w:space="0" w:color="auto"/>
            </w:tcBorders>
            <w:shd w:val="clear" w:color="auto" w:fill="auto"/>
            <w:vAlign w:val="center"/>
            <w:hideMark/>
          </w:tcPr>
          <w:p w:rsidR="00386166" w:rsidRPr="00386166" w:rsidP="00386166">
            <w:pPr>
              <w:rPr>
                <w:rFonts w:cs="Arial"/>
                <w:color w:val="000000"/>
                <w:sz w:val="22"/>
                <w:szCs w:val="22"/>
              </w:rPr>
            </w:pPr>
            <w:r w:rsidRPr="00386166">
              <w:rPr>
                <w:rFonts w:cs="Arial"/>
                <w:color w:val="000000"/>
                <w:sz w:val="22"/>
                <w:szCs w:val="22"/>
              </w:rPr>
              <w:t> </w:t>
            </w:r>
          </w:p>
        </w:tc>
        <w:tc>
          <w:tcPr>
            <w:tcW w:w="433" w:type="pct"/>
            <w:tcBorders>
              <w:top w:val="nil"/>
              <w:left w:val="nil"/>
              <w:bottom w:val="single" w:sz="4" w:space="0" w:color="auto"/>
              <w:right w:val="single" w:sz="4" w:space="0" w:color="auto"/>
            </w:tcBorders>
            <w:shd w:val="clear" w:color="auto" w:fill="auto"/>
            <w:vAlign w:val="center"/>
            <w:hideMark/>
          </w:tcPr>
          <w:p w:rsidR="00386166" w:rsidRPr="00386166" w:rsidP="00386166">
            <w:pPr>
              <w:rPr>
                <w:rFonts w:cs="Arial"/>
                <w:color w:val="000000"/>
                <w:sz w:val="22"/>
                <w:szCs w:val="22"/>
              </w:rPr>
            </w:pPr>
            <w:r w:rsidRPr="00386166">
              <w:rPr>
                <w:rFonts w:cs="Arial"/>
                <w:color w:val="000000"/>
                <w:sz w:val="22"/>
                <w:szCs w:val="22"/>
              </w:rPr>
              <w:t> </w:t>
            </w:r>
          </w:p>
        </w:tc>
        <w:tc>
          <w:tcPr>
            <w:tcW w:w="433" w:type="pct"/>
            <w:tcBorders>
              <w:top w:val="nil"/>
              <w:left w:val="nil"/>
              <w:bottom w:val="single" w:sz="4" w:space="0" w:color="auto"/>
              <w:right w:val="single" w:sz="4" w:space="0" w:color="auto"/>
            </w:tcBorders>
            <w:shd w:val="clear" w:color="auto" w:fill="auto"/>
            <w:vAlign w:val="center"/>
            <w:hideMark/>
          </w:tcPr>
          <w:p w:rsidR="00386166" w:rsidRPr="00386166" w:rsidP="00386166">
            <w:pPr>
              <w:rPr>
                <w:rFonts w:cs="Arial"/>
                <w:color w:val="000000"/>
                <w:sz w:val="22"/>
                <w:szCs w:val="22"/>
              </w:rPr>
            </w:pPr>
            <w:r w:rsidRPr="00386166">
              <w:rPr>
                <w:rFonts w:cs="Arial"/>
                <w:color w:val="000000"/>
                <w:sz w:val="22"/>
                <w:szCs w:val="22"/>
              </w:rPr>
              <w:t> </w:t>
            </w:r>
          </w:p>
        </w:tc>
        <w:tc>
          <w:tcPr>
            <w:tcW w:w="429" w:type="pct"/>
            <w:tcBorders>
              <w:top w:val="nil"/>
              <w:left w:val="nil"/>
              <w:bottom w:val="single" w:sz="4" w:space="0" w:color="auto"/>
              <w:right w:val="single" w:sz="4" w:space="0" w:color="auto"/>
            </w:tcBorders>
            <w:shd w:val="clear" w:color="auto" w:fill="auto"/>
            <w:vAlign w:val="center"/>
            <w:hideMark/>
          </w:tcPr>
          <w:p w:rsidR="00386166" w:rsidRPr="00386166" w:rsidP="00386166">
            <w:pPr>
              <w:rPr>
                <w:rFonts w:cs="Arial"/>
                <w:color w:val="000000"/>
                <w:sz w:val="22"/>
                <w:szCs w:val="22"/>
              </w:rPr>
            </w:pPr>
            <w:r w:rsidRPr="00386166">
              <w:rPr>
                <w:rFonts w:cs="Arial"/>
                <w:color w:val="000000"/>
                <w:sz w:val="22"/>
                <w:szCs w:val="22"/>
              </w:rPr>
              <w:t> </w:t>
            </w:r>
          </w:p>
        </w:tc>
        <w:tc>
          <w:tcPr>
            <w:tcW w:w="433" w:type="pct"/>
            <w:tcBorders>
              <w:top w:val="nil"/>
              <w:left w:val="nil"/>
              <w:bottom w:val="single" w:sz="4" w:space="0" w:color="auto"/>
              <w:right w:val="single" w:sz="4" w:space="0" w:color="auto"/>
            </w:tcBorders>
            <w:shd w:val="clear" w:color="auto" w:fill="auto"/>
            <w:vAlign w:val="center"/>
            <w:hideMark/>
          </w:tcPr>
          <w:p w:rsidR="00386166" w:rsidRPr="00386166" w:rsidP="00386166">
            <w:pPr>
              <w:rPr>
                <w:rFonts w:cs="Arial"/>
                <w:color w:val="000000"/>
                <w:sz w:val="22"/>
                <w:szCs w:val="22"/>
              </w:rPr>
            </w:pPr>
            <w:r w:rsidRPr="00386166">
              <w:rPr>
                <w:rFonts w:cs="Arial"/>
                <w:color w:val="000000"/>
                <w:sz w:val="22"/>
                <w:szCs w:val="22"/>
              </w:rPr>
              <w:t> </w:t>
            </w:r>
          </w:p>
        </w:tc>
        <w:tc>
          <w:tcPr>
            <w:tcW w:w="435" w:type="pct"/>
            <w:tcBorders>
              <w:top w:val="nil"/>
              <w:left w:val="nil"/>
              <w:bottom w:val="single" w:sz="4" w:space="0" w:color="auto"/>
              <w:right w:val="single" w:sz="4" w:space="0" w:color="auto"/>
            </w:tcBorders>
            <w:shd w:val="clear" w:color="auto" w:fill="auto"/>
            <w:vAlign w:val="center"/>
            <w:hideMark/>
          </w:tcPr>
          <w:p w:rsidR="00386166" w:rsidRPr="00386166" w:rsidP="00386166">
            <w:pPr>
              <w:rPr>
                <w:rFonts w:cs="Arial"/>
                <w:color w:val="000000"/>
                <w:sz w:val="22"/>
                <w:szCs w:val="22"/>
              </w:rPr>
            </w:pPr>
            <w:r w:rsidRPr="00386166">
              <w:rPr>
                <w:rFonts w:cs="Arial"/>
                <w:color w:val="000000"/>
                <w:sz w:val="22"/>
                <w:szCs w:val="22"/>
              </w:rPr>
              <w:t> </w:t>
            </w:r>
          </w:p>
        </w:tc>
        <w:tc>
          <w:tcPr>
            <w:tcW w:w="566" w:type="pct"/>
            <w:tcBorders>
              <w:top w:val="nil"/>
              <w:left w:val="nil"/>
              <w:bottom w:val="single" w:sz="4" w:space="0" w:color="auto"/>
              <w:right w:val="single" w:sz="4" w:space="0" w:color="auto"/>
            </w:tcBorders>
            <w:shd w:val="clear" w:color="auto" w:fill="auto"/>
            <w:vAlign w:val="center"/>
            <w:hideMark/>
          </w:tcPr>
          <w:p w:rsidR="00386166" w:rsidRPr="00386166" w:rsidP="00386166">
            <w:pPr>
              <w:jc w:val="right"/>
              <w:rPr>
                <w:rFonts w:cs="Arial"/>
                <w:color w:val="000000"/>
                <w:sz w:val="22"/>
                <w:szCs w:val="22"/>
              </w:rPr>
            </w:pPr>
            <w:r w:rsidRPr="00386166">
              <w:rPr>
                <w:rFonts w:cs="Arial"/>
                <w:color w:val="000000"/>
                <w:sz w:val="22"/>
                <w:szCs w:val="22"/>
              </w:rPr>
              <w:t>3,202</w:t>
            </w:r>
          </w:p>
        </w:tc>
      </w:tr>
      <w:tr w:rsidTr="00386166">
        <w:tblPrEx>
          <w:tblW w:w="5000" w:type="pct"/>
          <w:tblLook w:val="04A0"/>
        </w:tblPrEx>
        <w:trPr>
          <w:trHeight w:val="285"/>
        </w:trPr>
        <w:tc>
          <w:tcPr>
            <w:tcW w:w="172" w:type="pct"/>
            <w:tcBorders>
              <w:top w:val="nil"/>
              <w:left w:val="single" w:sz="4" w:space="0" w:color="auto"/>
              <w:bottom w:val="single" w:sz="4" w:space="0" w:color="auto"/>
              <w:right w:val="single" w:sz="4" w:space="0" w:color="auto"/>
            </w:tcBorders>
            <w:shd w:val="clear" w:color="auto" w:fill="auto"/>
            <w:vAlign w:val="center"/>
            <w:hideMark/>
          </w:tcPr>
          <w:p w:rsidR="00386166" w:rsidRPr="00386166" w:rsidP="00386166">
            <w:pPr>
              <w:jc w:val="center"/>
              <w:rPr>
                <w:rFonts w:cs="Arial"/>
                <w:color w:val="000000"/>
                <w:sz w:val="22"/>
                <w:szCs w:val="22"/>
              </w:rPr>
            </w:pPr>
            <w:r w:rsidRPr="00386166">
              <w:rPr>
                <w:rFonts w:cs="Arial"/>
                <w:color w:val="000000"/>
                <w:sz w:val="22"/>
                <w:szCs w:val="22"/>
              </w:rPr>
              <w:t>E</w:t>
            </w:r>
          </w:p>
        </w:tc>
        <w:tc>
          <w:tcPr>
            <w:tcW w:w="1073" w:type="pct"/>
            <w:tcBorders>
              <w:top w:val="nil"/>
              <w:left w:val="nil"/>
              <w:bottom w:val="single" w:sz="4" w:space="0" w:color="auto"/>
              <w:right w:val="single" w:sz="4" w:space="0" w:color="auto"/>
            </w:tcBorders>
            <w:shd w:val="clear" w:color="auto" w:fill="auto"/>
            <w:vAlign w:val="center"/>
            <w:hideMark/>
          </w:tcPr>
          <w:p w:rsidR="00386166" w:rsidRPr="00386166" w:rsidP="00386166">
            <w:pPr>
              <w:rPr>
                <w:rFonts w:cs="Arial"/>
                <w:color w:val="000000"/>
                <w:sz w:val="22"/>
                <w:szCs w:val="22"/>
              </w:rPr>
            </w:pPr>
            <w:r w:rsidRPr="00386166">
              <w:rPr>
                <w:rFonts w:cs="Arial"/>
                <w:color w:val="000000"/>
                <w:sz w:val="22"/>
                <w:szCs w:val="22"/>
              </w:rPr>
              <w:t>Executive Agencies</w:t>
            </w:r>
          </w:p>
        </w:tc>
        <w:tc>
          <w:tcPr>
            <w:tcW w:w="593" w:type="pct"/>
            <w:tcBorders>
              <w:top w:val="nil"/>
              <w:left w:val="nil"/>
              <w:bottom w:val="single" w:sz="4" w:space="0" w:color="auto"/>
              <w:right w:val="single" w:sz="4" w:space="0" w:color="auto"/>
            </w:tcBorders>
            <w:shd w:val="clear" w:color="auto" w:fill="auto"/>
            <w:vAlign w:val="center"/>
            <w:hideMark/>
          </w:tcPr>
          <w:p w:rsidR="00386166" w:rsidRPr="00386166" w:rsidP="00386166">
            <w:pPr>
              <w:jc w:val="right"/>
              <w:rPr>
                <w:rFonts w:cs="Arial"/>
                <w:color w:val="000000"/>
                <w:sz w:val="22"/>
                <w:szCs w:val="22"/>
              </w:rPr>
            </w:pPr>
            <w:r w:rsidRPr="00386166">
              <w:rPr>
                <w:rFonts w:cs="Arial"/>
                <w:color w:val="000000"/>
                <w:sz w:val="22"/>
                <w:szCs w:val="22"/>
              </w:rPr>
              <w:t>3,249</w:t>
            </w:r>
          </w:p>
        </w:tc>
        <w:tc>
          <w:tcPr>
            <w:tcW w:w="433" w:type="pct"/>
            <w:tcBorders>
              <w:top w:val="nil"/>
              <w:left w:val="nil"/>
              <w:bottom w:val="single" w:sz="4" w:space="0" w:color="auto"/>
              <w:right w:val="single" w:sz="4" w:space="0" w:color="auto"/>
            </w:tcBorders>
            <w:shd w:val="clear" w:color="auto" w:fill="auto"/>
            <w:vAlign w:val="center"/>
            <w:hideMark/>
          </w:tcPr>
          <w:p w:rsidR="00386166" w:rsidRPr="00386166" w:rsidP="00386166">
            <w:pPr>
              <w:rPr>
                <w:rFonts w:cs="Arial"/>
                <w:color w:val="000000"/>
                <w:sz w:val="22"/>
                <w:szCs w:val="22"/>
              </w:rPr>
            </w:pPr>
            <w:r w:rsidRPr="00386166">
              <w:rPr>
                <w:rFonts w:cs="Arial"/>
                <w:color w:val="000000"/>
                <w:sz w:val="22"/>
                <w:szCs w:val="22"/>
              </w:rPr>
              <w:t> </w:t>
            </w:r>
          </w:p>
        </w:tc>
        <w:tc>
          <w:tcPr>
            <w:tcW w:w="433" w:type="pct"/>
            <w:tcBorders>
              <w:top w:val="nil"/>
              <w:left w:val="nil"/>
              <w:bottom w:val="single" w:sz="4" w:space="0" w:color="auto"/>
              <w:right w:val="single" w:sz="4" w:space="0" w:color="auto"/>
            </w:tcBorders>
            <w:shd w:val="clear" w:color="auto" w:fill="auto"/>
            <w:vAlign w:val="center"/>
            <w:hideMark/>
          </w:tcPr>
          <w:p w:rsidR="00386166" w:rsidRPr="00386166" w:rsidP="00386166">
            <w:pPr>
              <w:rPr>
                <w:rFonts w:cs="Arial"/>
                <w:color w:val="000000"/>
                <w:sz w:val="22"/>
                <w:szCs w:val="22"/>
              </w:rPr>
            </w:pPr>
            <w:r w:rsidRPr="00386166">
              <w:rPr>
                <w:rFonts w:cs="Arial"/>
                <w:color w:val="000000"/>
                <w:sz w:val="22"/>
                <w:szCs w:val="22"/>
              </w:rPr>
              <w:t> </w:t>
            </w:r>
          </w:p>
        </w:tc>
        <w:tc>
          <w:tcPr>
            <w:tcW w:w="433" w:type="pct"/>
            <w:tcBorders>
              <w:top w:val="nil"/>
              <w:left w:val="nil"/>
              <w:bottom w:val="single" w:sz="4" w:space="0" w:color="auto"/>
              <w:right w:val="single" w:sz="4" w:space="0" w:color="auto"/>
            </w:tcBorders>
            <w:shd w:val="clear" w:color="auto" w:fill="auto"/>
            <w:vAlign w:val="center"/>
            <w:hideMark/>
          </w:tcPr>
          <w:p w:rsidR="00386166" w:rsidRPr="00386166" w:rsidP="00386166">
            <w:pPr>
              <w:rPr>
                <w:rFonts w:cs="Arial"/>
                <w:color w:val="000000"/>
                <w:sz w:val="22"/>
                <w:szCs w:val="22"/>
              </w:rPr>
            </w:pPr>
            <w:r w:rsidRPr="00386166">
              <w:rPr>
                <w:rFonts w:cs="Arial"/>
                <w:color w:val="000000"/>
                <w:sz w:val="22"/>
                <w:szCs w:val="22"/>
              </w:rPr>
              <w:t> </w:t>
            </w:r>
          </w:p>
        </w:tc>
        <w:tc>
          <w:tcPr>
            <w:tcW w:w="429" w:type="pct"/>
            <w:tcBorders>
              <w:top w:val="nil"/>
              <w:left w:val="nil"/>
              <w:bottom w:val="single" w:sz="4" w:space="0" w:color="auto"/>
              <w:right w:val="single" w:sz="4" w:space="0" w:color="auto"/>
            </w:tcBorders>
            <w:shd w:val="clear" w:color="auto" w:fill="auto"/>
            <w:vAlign w:val="center"/>
            <w:hideMark/>
          </w:tcPr>
          <w:p w:rsidR="00386166" w:rsidRPr="00386166" w:rsidP="00386166">
            <w:pPr>
              <w:jc w:val="right"/>
              <w:rPr>
                <w:rFonts w:cs="Arial"/>
                <w:color w:val="000000"/>
                <w:sz w:val="22"/>
                <w:szCs w:val="22"/>
              </w:rPr>
            </w:pPr>
            <w:r w:rsidRPr="00386166">
              <w:rPr>
                <w:rFonts w:cs="Arial"/>
                <w:color w:val="000000"/>
                <w:sz w:val="22"/>
                <w:szCs w:val="22"/>
              </w:rPr>
              <w:t>900</w:t>
            </w:r>
          </w:p>
        </w:tc>
        <w:tc>
          <w:tcPr>
            <w:tcW w:w="433" w:type="pct"/>
            <w:tcBorders>
              <w:top w:val="nil"/>
              <w:left w:val="nil"/>
              <w:bottom w:val="single" w:sz="4" w:space="0" w:color="auto"/>
              <w:right w:val="single" w:sz="4" w:space="0" w:color="auto"/>
            </w:tcBorders>
            <w:shd w:val="clear" w:color="auto" w:fill="auto"/>
            <w:vAlign w:val="center"/>
            <w:hideMark/>
          </w:tcPr>
          <w:p w:rsidR="00386166" w:rsidRPr="00386166" w:rsidP="00386166">
            <w:pPr>
              <w:rPr>
                <w:rFonts w:cs="Arial"/>
                <w:color w:val="000000"/>
                <w:sz w:val="22"/>
                <w:szCs w:val="22"/>
              </w:rPr>
            </w:pPr>
            <w:r w:rsidRPr="00386166">
              <w:rPr>
                <w:rFonts w:cs="Arial"/>
                <w:color w:val="000000"/>
                <w:sz w:val="22"/>
                <w:szCs w:val="22"/>
              </w:rPr>
              <w:t> </w:t>
            </w:r>
          </w:p>
        </w:tc>
        <w:tc>
          <w:tcPr>
            <w:tcW w:w="435" w:type="pct"/>
            <w:tcBorders>
              <w:top w:val="nil"/>
              <w:left w:val="nil"/>
              <w:bottom w:val="single" w:sz="4" w:space="0" w:color="auto"/>
              <w:right w:val="single" w:sz="4" w:space="0" w:color="auto"/>
            </w:tcBorders>
            <w:shd w:val="clear" w:color="auto" w:fill="auto"/>
            <w:vAlign w:val="center"/>
            <w:hideMark/>
          </w:tcPr>
          <w:p w:rsidR="00386166" w:rsidRPr="00386166" w:rsidP="00386166">
            <w:pPr>
              <w:rPr>
                <w:rFonts w:cs="Arial"/>
                <w:color w:val="000000"/>
                <w:sz w:val="22"/>
                <w:szCs w:val="22"/>
              </w:rPr>
            </w:pPr>
            <w:r w:rsidRPr="00386166">
              <w:rPr>
                <w:rFonts w:cs="Arial"/>
                <w:color w:val="000000"/>
                <w:sz w:val="22"/>
                <w:szCs w:val="22"/>
              </w:rPr>
              <w:t> </w:t>
            </w:r>
          </w:p>
        </w:tc>
        <w:tc>
          <w:tcPr>
            <w:tcW w:w="566" w:type="pct"/>
            <w:tcBorders>
              <w:top w:val="nil"/>
              <w:left w:val="nil"/>
              <w:bottom w:val="single" w:sz="4" w:space="0" w:color="auto"/>
              <w:right w:val="single" w:sz="4" w:space="0" w:color="auto"/>
            </w:tcBorders>
            <w:shd w:val="clear" w:color="auto" w:fill="auto"/>
            <w:vAlign w:val="center"/>
            <w:hideMark/>
          </w:tcPr>
          <w:p w:rsidR="00386166" w:rsidRPr="00386166" w:rsidP="00386166">
            <w:pPr>
              <w:jc w:val="right"/>
              <w:rPr>
                <w:rFonts w:cs="Arial"/>
                <w:color w:val="000000"/>
                <w:sz w:val="22"/>
                <w:szCs w:val="22"/>
              </w:rPr>
            </w:pPr>
            <w:r w:rsidRPr="00386166">
              <w:rPr>
                <w:rFonts w:cs="Arial"/>
                <w:color w:val="000000"/>
                <w:sz w:val="22"/>
                <w:szCs w:val="22"/>
              </w:rPr>
              <w:t>4,149</w:t>
            </w:r>
          </w:p>
        </w:tc>
      </w:tr>
      <w:tr w:rsidTr="00386166">
        <w:tblPrEx>
          <w:tblW w:w="5000" w:type="pct"/>
          <w:tblLook w:val="04A0"/>
        </w:tblPrEx>
        <w:trPr>
          <w:trHeight w:val="285"/>
        </w:trPr>
        <w:tc>
          <w:tcPr>
            <w:tcW w:w="172" w:type="pct"/>
            <w:tcBorders>
              <w:top w:val="nil"/>
              <w:left w:val="single" w:sz="4" w:space="0" w:color="auto"/>
              <w:bottom w:val="single" w:sz="4" w:space="0" w:color="auto"/>
              <w:right w:val="single" w:sz="4" w:space="0" w:color="auto"/>
            </w:tcBorders>
            <w:shd w:val="clear" w:color="auto" w:fill="auto"/>
            <w:vAlign w:val="center"/>
            <w:hideMark/>
          </w:tcPr>
          <w:p w:rsidR="00386166" w:rsidRPr="00386166" w:rsidP="00386166">
            <w:pPr>
              <w:jc w:val="center"/>
              <w:rPr>
                <w:rFonts w:cs="Arial"/>
                <w:color w:val="000000"/>
                <w:sz w:val="22"/>
                <w:szCs w:val="22"/>
              </w:rPr>
            </w:pPr>
            <w:r w:rsidRPr="00386166">
              <w:rPr>
                <w:rFonts w:cs="Arial"/>
                <w:color w:val="000000"/>
                <w:sz w:val="22"/>
                <w:szCs w:val="22"/>
              </w:rPr>
              <w:t>F</w:t>
            </w:r>
          </w:p>
        </w:tc>
        <w:tc>
          <w:tcPr>
            <w:tcW w:w="1073" w:type="pct"/>
            <w:tcBorders>
              <w:top w:val="nil"/>
              <w:left w:val="nil"/>
              <w:bottom w:val="single" w:sz="4" w:space="0" w:color="auto"/>
              <w:right w:val="single" w:sz="4" w:space="0" w:color="auto"/>
            </w:tcBorders>
            <w:shd w:val="clear" w:color="auto" w:fill="auto"/>
            <w:vAlign w:val="center"/>
            <w:hideMark/>
          </w:tcPr>
          <w:p w:rsidR="00386166" w:rsidRPr="00386166" w:rsidP="00386166">
            <w:pPr>
              <w:rPr>
                <w:rFonts w:cs="Arial"/>
                <w:color w:val="000000"/>
                <w:sz w:val="22"/>
                <w:szCs w:val="22"/>
              </w:rPr>
            </w:pPr>
            <w:r w:rsidRPr="00386166">
              <w:rPr>
                <w:rFonts w:cs="Arial"/>
                <w:color w:val="000000"/>
                <w:sz w:val="22"/>
                <w:szCs w:val="22"/>
              </w:rPr>
              <w:t>Health Education England</w:t>
            </w:r>
          </w:p>
        </w:tc>
        <w:tc>
          <w:tcPr>
            <w:tcW w:w="593" w:type="pct"/>
            <w:tcBorders>
              <w:top w:val="nil"/>
              <w:left w:val="nil"/>
              <w:bottom w:val="single" w:sz="4" w:space="0" w:color="auto"/>
              <w:right w:val="single" w:sz="4" w:space="0" w:color="auto"/>
            </w:tcBorders>
            <w:shd w:val="clear" w:color="auto" w:fill="auto"/>
            <w:vAlign w:val="center"/>
            <w:hideMark/>
          </w:tcPr>
          <w:p w:rsidR="00386166" w:rsidRPr="00386166" w:rsidP="00386166">
            <w:pPr>
              <w:jc w:val="right"/>
              <w:rPr>
                <w:rFonts w:cs="Arial"/>
                <w:color w:val="000000"/>
                <w:sz w:val="22"/>
                <w:szCs w:val="22"/>
              </w:rPr>
            </w:pPr>
            <w:r w:rsidRPr="00386166">
              <w:rPr>
                <w:rFonts w:cs="Arial"/>
                <w:color w:val="000000"/>
                <w:sz w:val="22"/>
                <w:szCs w:val="22"/>
              </w:rPr>
              <w:t>5,142</w:t>
            </w:r>
          </w:p>
        </w:tc>
        <w:tc>
          <w:tcPr>
            <w:tcW w:w="433" w:type="pct"/>
            <w:tcBorders>
              <w:top w:val="nil"/>
              <w:left w:val="nil"/>
              <w:bottom w:val="single" w:sz="4" w:space="0" w:color="auto"/>
              <w:right w:val="single" w:sz="4" w:space="0" w:color="auto"/>
            </w:tcBorders>
            <w:shd w:val="clear" w:color="auto" w:fill="auto"/>
            <w:vAlign w:val="center"/>
            <w:hideMark/>
          </w:tcPr>
          <w:p w:rsidR="00386166" w:rsidRPr="00386166" w:rsidP="00386166">
            <w:pPr>
              <w:rPr>
                <w:rFonts w:cs="Arial"/>
                <w:color w:val="000000"/>
                <w:sz w:val="22"/>
                <w:szCs w:val="22"/>
              </w:rPr>
            </w:pPr>
            <w:r w:rsidRPr="00386166">
              <w:rPr>
                <w:rFonts w:cs="Arial"/>
                <w:color w:val="000000"/>
                <w:sz w:val="22"/>
                <w:szCs w:val="22"/>
              </w:rPr>
              <w:t> </w:t>
            </w:r>
          </w:p>
        </w:tc>
        <w:tc>
          <w:tcPr>
            <w:tcW w:w="433" w:type="pct"/>
            <w:tcBorders>
              <w:top w:val="nil"/>
              <w:left w:val="nil"/>
              <w:bottom w:val="single" w:sz="4" w:space="0" w:color="auto"/>
              <w:right w:val="single" w:sz="4" w:space="0" w:color="auto"/>
            </w:tcBorders>
            <w:shd w:val="clear" w:color="auto" w:fill="auto"/>
            <w:vAlign w:val="center"/>
            <w:hideMark/>
          </w:tcPr>
          <w:p w:rsidR="00386166" w:rsidRPr="00386166" w:rsidP="00386166">
            <w:pPr>
              <w:rPr>
                <w:rFonts w:cs="Arial"/>
                <w:color w:val="000000"/>
                <w:sz w:val="22"/>
                <w:szCs w:val="22"/>
              </w:rPr>
            </w:pPr>
            <w:r w:rsidRPr="00386166">
              <w:rPr>
                <w:rFonts w:cs="Arial"/>
                <w:color w:val="000000"/>
                <w:sz w:val="22"/>
                <w:szCs w:val="22"/>
              </w:rPr>
              <w:t> </w:t>
            </w:r>
          </w:p>
        </w:tc>
        <w:tc>
          <w:tcPr>
            <w:tcW w:w="433" w:type="pct"/>
            <w:tcBorders>
              <w:top w:val="nil"/>
              <w:left w:val="nil"/>
              <w:bottom w:val="single" w:sz="4" w:space="0" w:color="auto"/>
              <w:right w:val="single" w:sz="4" w:space="0" w:color="auto"/>
            </w:tcBorders>
            <w:shd w:val="clear" w:color="auto" w:fill="auto"/>
            <w:vAlign w:val="center"/>
            <w:hideMark/>
          </w:tcPr>
          <w:p w:rsidR="00386166" w:rsidRPr="00386166" w:rsidP="00386166">
            <w:pPr>
              <w:jc w:val="right"/>
              <w:rPr>
                <w:rFonts w:cs="Arial"/>
                <w:color w:val="000000"/>
                <w:sz w:val="22"/>
                <w:szCs w:val="22"/>
              </w:rPr>
            </w:pPr>
            <w:r w:rsidRPr="00386166">
              <w:rPr>
                <w:rFonts w:cs="Arial"/>
                <w:color w:val="FF0000"/>
                <w:sz w:val="22"/>
                <w:szCs w:val="22"/>
              </w:rPr>
              <w:t>(3,200)</w:t>
            </w:r>
          </w:p>
        </w:tc>
        <w:tc>
          <w:tcPr>
            <w:tcW w:w="429" w:type="pct"/>
            <w:tcBorders>
              <w:top w:val="nil"/>
              <w:left w:val="nil"/>
              <w:bottom w:val="single" w:sz="4" w:space="0" w:color="auto"/>
              <w:right w:val="single" w:sz="4" w:space="0" w:color="auto"/>
            </w:tcBorders>
            <w:shd w:val="clear" w:color="auto" w:fill="auto"/>
            <w:vAlign w:val="center"/>
            <w:hideMark/>
          </w:tcPr>
          <w:p w:rsidR="00386166" w:rsidRPr="00386166" w:rsidP="00386166">
            <w:pPr>
              <w:rPr>
                <w:rFonts w:cs="Arial"/>
                <w:color w:val="000000"/>
                <w:sz w:val="22"/>
                <w:szCs w:val="22"/>
              </w:rPr>
            </w:pPr>
            <w:r w:rsidRPr="00386166">
              <w:rPr>
                <w:rFonts w:cs="Arial"/>
                <w:color w:val="000000"/>
                <w:sz w:val="22"/>
                <w:szCs w:val="22"/>
              </w:rPr>
              <w:t> </w:t>
            </w:r>
          </w:p>
        </w:tc>
        <w:tc>
          <w:tcPr>
            <w:tcW w:w="433" w:type="pct"/>
            <w:tcBorders>
              <w:top w:val="nil"/>
              <w:left w:val="nil"/>
              <w:bottom w:val="single" w:sz="4" w:space="0" w:color="auto"/>
              <w:right w:val="single" w:sz="4" w:space="0" w:color="auto"/>
            </w:tcBorders>
            <w:shd w:val="clear" w:color="auto" w:fill="auto"/>
            <w:vAlign w:val="center"/>
            <w:hideMark/>
          </w:tcPr>
          <w:p w:rsidR="00386166" w:rsidRPr="00386166" w:rsidP="00386166">
            <w:pPr>
              <w:rPr>
                <w:rFonts w:cs="Arial"/>
                <w:color w:val="000000"/>
                <w:sz w:val="22"/>
                <w:szCs w:val="22"/>
              </w:rPr>
            </w:pPr>
            <w:r w:rsidRPr="00386166">
              <w:rPr>
                <w:rFonts w:cs="Arial"/>
                <w:color w:val="000000"/>
                <w:sz w:val="22"/>
                <w:szCs w:val="22"/>
              </w:rPr>
              <w:t> </w:t>
            </w:r>
          </w:p>
        </w:tc>
        <w:tc>
          <w:tcPr>
            <w:tcW w:w="435" w:type="pct"/>
            <w:tcBorders>
              <w:top w:val="nil"/>
              <w:left w:val="nil"/>
              <w:bottom w:val="single" w:sz="4" w:space="0" w:color="auto"/>
              <w:right w:val="single" w:sz="4" w:space="0" w:color="auto"/>
            </w:tcBorders>
            <w:shd w:val="clear" w:color="auto" w:fill="auto"/>
            <w:vAlign w:val="center"/>
            <w:hideMark/>
          </w:tcPr>
          <w:p w:rsidR="00386166" w:rsidRPr="00386166" w:rsidP="00386166">
            <w:pPr>
              <w:rPr>
                <w:rFonts w:cs="Arial"/>
                <w:color w:val="000000"/>
                <w:sz w:val="22"/>
                <w:szCs w:val="22"/>
              </w:rPr>
            </w:pPr>
            <w:r w:rsidRPr="00386166">
              <w:rPr>
                <w:rFonts w:cs="Arial"/>
                <w:color w:val="000000"/>
                <w:sz w:val="22"/>
                <w:szCs w:val="22"/>
              </w:rPr>
              <w:t> </w:t>
            </w:r>
          </w:p>
        </w:tc>
        <w:tc>
          <w:tcPr>
            <w:tcW w:w="566" w:type="pct"/>
            <w:tcBorders>
              <w:top w:val="nil"/>
              <w:left w:val="nil"/>
              <w:bottom w:val="single" w:sz="4" w:space="0" w:color="auto"/>
              <w:right w:val="single" w:sz="4" w:space="0" w:color="auto"/>
            </w:tcBorders>
            <w:shd w:val="clear" w:color="auto" w:fill="auto"/>
            <w:vAlign w:val="center"/>
            <w:hideMark/>
          </w:tcPr>
          <w:p w:rsidR="00386166" w:rsidRPr="00386166" w:rsidP="00386166">
            <w:pPr>
              <w:jc w:val="right"/>
              <w:rPr>
                <w:rFonts w:cs="Arial"/>
                <w:color w:val="000000"/>
                <w:sz w:val="22"/>
                <w:szCs w:val="22"/>
              </w:rPr>
            </w:pPr>
            <w:r w:rsidRPr="00386166">
              <w:rPr>
                <w:rFonts w:cs="Arial"/>
                <w:color w:val="000000"/>
                <w:sz w:val="22"/>
                <w:szCs w:val="22"/>
              </w:rPr>
              <w:t>1,942</w:t>
            </w:r>
          </w:p>
        </w:tc>
      </w:tr>
      <w:tr w:rsidTr="00386166">
        <w:tblPrEx>
          <w:tblW w:w="5000" w:type="pct"/>
          <w:tblLook w:val="04A0"/>
        </w:tblPrEx>
        <w:trPr>
          <w:trHeight w:val="570"/>
        </w:trPr>
        <w:tc>
          <w:tcPr>
            <w:tcW w:w="172" w:type="pct"/>
            <w:tcBorders>
              <w:top w:val="nil"/>
              <w:left w:val="single" w:sz="4" w:space="0" w:color="auto"/>
              <w:bottom w:val="single" w:sz="4" w:space="0" w:color="auto"/>
              <w:right w:val="single" w:sz="4" w:space="0" w:color="auto"/>
            </w:tcBorders>
            <w:shd w:val="clear" w:color="auto" w:fill="auto"/>
            <w:vAlign w:val="center"/>
            <w:hideMark/>
          </w:tcPr>
          <w:p w:rsidR="00386166" w:rsidRPr="00386166" w:rsidP="00386166">
            <w:pPr>
              <w:jc w:val="center"/>
              <w:rPr>
                <w:rFonts w:cs="Arial"/>
                <w:color w:val="000000"/>
                <w:sz w:val="22"/>
                <w:szCs w:val="22"/>
              </w:rPr>
            </w:pPr>
            <w:r w:rsidRPr="00386166">
              <w:rPr>
                <w:rFonts w:cs="Arial"/>
                <w:color w:val="000000"/>
                <w:sz w:val="22"/>
                <w:szCs w:val="22"/>
              </w:rPr>
              <w:t>G</w:t>
            </w:r>
          </w:p>
        </w:tc>
        <w:tc>
          <w:tcPr>
            <w:tcW w:w="1073" w:type="pct"/>
            <w:tcBorders>
              <w:top w:val="nil"/>
              <w:left w:val="nil"/>
              <w:bottom w:val="single" w:sz="4" w:space="0" w:color="auto"/>
              <w:right w:val="single" w:sz="4" w:space="0" w:color="auto"/>
            </w:tcBorders>
            <w:shd w:val="clear" w:color="auto" w:fill="auto"/>
            <w:vAlign w:val="center"/>
            <w:hideMark/>
          </w:tcPr>
          <w:p w:rsidR="00386166" w:rsidRPr="00386166" w:rsidP="00386166">
            <w:pPr>
              <w:rPr>
                <w:rFonts w:cs="Arial"/>
                <w:color w:val="000000"/>
                <w:sz w:val="22"/>
                <w:szCs w:val="22"/>
              </w:rPr>
            </w:pPr>
            <w:r w:rsidRPr="00386166">
              <w:rPr>
                <w:rFonts w:cs="Arial"/>
                <w:color w:val="000000"/>
                <w:sz w:val="22"/>
                <w:szCs w:val="22"/>
              </w:rPr>
              <w:t>Special Health Authorities expenditure</w:t>
            </w:r>
          </w:p>
        </w:tc>
        <w:tc>
          <w:tcPr>
            <w:tcW w:w="593" w:type="pct"/>
            <w:tcBorders>
              <w:top w:val="nil"/>
              <w:left w:val="nil"/>
              <w:bottom w:val="single" w:sz="4" w:space="0" w:color="auto"/>
              <w:right w:val="single" w:sz="4" w:space="0" w:color="auto"/>
            </w:tcBorders>
            <w:shd w:val="clear" w:color="auto" w:fill="auto"/>
            <w:vAlign w:val="center"/>
            <w:hideMark/>
          </w:tcPr>
          <w:p w:rsidR="00386166" w:rsidRPr="00386166" w:rsidP="00386166">
            <w:pPr>
              <w:jc w:val="right"/>
              <w:rPr>
                <w:rFonts w:cs="Arial"/>
                <w:color w:val="000000"/>
                <w:sz w:val="22"/>
                <w:szCs w:val="22"/>
              </w:rPr>
            </w:pPr>
            <w:r w:rsidRPr="00386166">
              <w:rPr>
                <w:rFonts w:cs="Arial"/>
                <w:color w:val="000000"/>
                <w:sz w:val="22"/>
                <w:szCs w:val="22"/>
              </w:rPr>
              <w:t>541</w:t>
            </w:r>
          </w:p>
        </w:tc>
        <w:tc>
          <w:tcPr>
            <w:tcW w:w="433" w:type="pct"/>
            <w:tcBorders>
              <w:top w:val="nil"/>
              <w:left w:val="nil"/>
              <w:bottom w:val="single" w:sz="4" w:space="0" w:color="auto"/>
              <w:right w:val="single" w:sz="4" w:space="0" w:color="auto"/>
            </w:tcBorders>
            <w:shd w:val="clear" w:color="auto" w:fill="auto"/>
            <w:vAlign w:val="center"/>
            <w:hideMark/>
          </w:tcPr>
          <w:p w:rsidR="00386166" w:rsidRPr="00386166" w:rsidP="00386166">
            <w:pPr>
              <w:rPr>
                <w:rFonts w:cs="Arial"/>
                <w:color w:val="000000"/>
                <w:sz w:val="22"/>
                <w:szCs w:val="22"/>
              </w:rPr>
            </w:pPr>
            <w:r w:rsidRPr="00386166">
              <w:rPr>
                <w:rFonts w:cs="Arial"/>
                <w:color w:val="000000"/>
                <w:sz w:val="22"/>
                <w:szCs w:val="22"/>
              </w:rPr>
              <w:t> </w:t>
            </w:r>
          </w:p>
        </w:tc>
        <w:tc>
          <w:tcPr>
            <w:tcW w:w="433" w:type="pct"/>
            <w:tcBorders>
              <w:top w:val="nil"/>
              <w:left w:val="nil"/>
              <w:bottom w:val="single" w:sz="4" w:space="0" w:color="auto"/>
              <w:right w:val="single" w:sz="4" w:space="0" w:color="auto"/>
            </w:tcBorders>
            <w:shd w:val="clear" w:color="auto" w:fill="auto"/>
            <w:vAlign w:val="center"/>
            <w:hideMark/>
          </w:tcPr>
          <w:p w:rsidR="00386166" w:rsidRPr="00386166" w:rsidP="00386166">
            <w:pPr>
              <w:jc w:val="right"/>
              <w:rPr>
                <w:rFonts w:cs="Arial"/>
                <w:color w:val="000000"/>
                <w:sz w:val="22"/>
                <w:szCs w:val="22"/>
              </w:rPr>
            </w:pPr>
            <w:r w:rsidRPr="00386166">
              <w:rPr>
                <w:rFonts w:cs="Arial"/>
                <w:color w:val="000000"/>
                <w:sz w:val="22"/>
                <w:szCs w:val="22"/>
              </w:rPr>
              <w:t>2,485</w:t>
            </w:r>
          </w:p>
        </w:tc>
        <w:tc>
          <w:tcPr>
            <w:tcW w:w="433" w:type="pct"/>
            <w:tcBorders>
              <w:top w:val="nil"/>
              <w:left w:val="nil"/>
              <w:bottom w:val="single" w:sz="4" w:space="0" w:color="auto"/>
              <w:right w:val="single" w:sz="4" w:space="0" w:color="auto"/>
            </w:tcBorders>
            <w:shd w:val="clear" w:color="auto" w:fill="auto"/>
            <w:vAlign w:val="center"/>
            <w:hideMark/>
          </w:tcPr>
          <w:p w:rsidR="00386166" w:rsidRPr="00386166" w:rsidP="00386166">
            <w:pPr>
              <w:rPr>
                <w:rFonts w:cs="Arial"/>
                <w:color w:val="000000"/>
                <w:sz w:val="22"/>
                <w:szCs w:val="22"/>
              </w:rPr>
            </w:pPr>
            <w:r w:rsidRPr="00386166">
              <w:rPr>
                <w:rFonts w:cs="Arial"/>
                <w:color w:val="000000"/>
                <w:sz w:val="22"/>
                <w:szCs w:val="22"/>
              </w:rPr>
              <w:t> </w:t>
            </w:r>
          </w:p>
        </w:tc>
        <w:tc>
          <w:tcPr>
            <w:tcW w:w="429" w:type="pct"/>
            <w:tcBorders>
              <w:top w:val="nil"/>
              <w:left w:val="nil"/>
              <w:bottom w:val="single" w:sz="4" w:space="0" w:color="auto"/>
              <w:right w:val="single" w:sz="4" w:space="0" w:color="auto"/>
            </w:tcBorders>
            <w:shd w:val="clear" w:color="auto" w:fill="auto"/>
            <w:vAlign w:val="center"/>
            <w:hideMark/>
          </w:tcPr>
          <w:p w:rsidR="00386166" w:rsidRPr="00386166" w:rsidP="00386166">
            <w:pPr>
              <w:rPr>
                <w:rFonts w:cs="Arial"/>
                <w:color w:val="000000"/>
                <w:sz w:val="22"/>
                <w:szCs w:val="22"/>
              </w:rPr>
            </w:pPr>
            <w:r w:rsidRPr="00386166">
              <w:rPr>
                <w:rFonts w:cs="Arial"/>
                <w:color w:val="000000"/>
                <w:sz w:val="22"/>
                <w:szCs w:val="22"/>
              </w:rPr>
              <w:t> </w:t>
            </w:r>
          </w:p>
        </w:tc>
        <w:tc>
          <w:tcPr>
            <w:tcW w:w="433" w:type="pct"/>
            <w:tcBorders>
              <w:top w:val="nil"/>
              <w:left w:val="nil"/>
              <w:bottom w:val="single" w:sz="4" w:space="0" w:color="auto"/>
              <w:right w:val="single" w:sz="4" w:space="0" w:color="auto"/>
            </w:tcBorders>
            <w:shd w:val="clear" w:color="auto" w:fill="auto"/>
            <w:vAlign w:val="center"/>
            <w:hideMark/>
          </w:tcPr>
          <w:p w:rsidR="00386166" w:rsidRPr="00386166" w:rsidP="00386166">
            <w:pPr>
              <w:rPr>
                <w:rFonts w:cs="Arial"/>
                <w:color w:val="000000"/>
                <w:sz w:val="22"/>
                <w:szCs w:val="22"/>
              </w:rPr>
            </w:pPr>
            <w:r w:rsidRPr="00386166">
              <w:rPr>
                <w:rFonts w:cs="Arial"/>
                <w:color w:val="000000"/>
                <w:sz w:val="22"/>
                <w:szCs w:val="22"/>
              </w:rPr>
              <w:t> </w:t>
            </w:r>
          </w:p>
        </w:tc>
        <w:tc>
          <w:tcPr>
            <w:tcW w:w="435" w:type="pct"/>
            <w:tcBorders>
              <w:top w:val="nil"/>
              <w:left w:val="nil"/>
              <w:bottom w:val="single" w:sz="4" w:space="0" w:color="auto"/>
              <w:right w:val="single" w:sz="4" w:space="0" w:color="auto"/>
            </w:tcBorders>
            <w:shd w:val="clear" w:color="auto" w:fill="auto"/>
            <w:vAlign w:val="center"/>
            <w:hideMark/>
          </w:tcPr>
          <w:p w:rsidR="00386166" w:rsidRPr="00386166" w:rsidP="00386166">
            <w:pPr>
              <w:rPr>
                <w:rFonts w:cs="Arial"/>
                <w:color w:val="000000"/>
                <w:sz w:val="22"/>
                <w:szCs w:val="22"/>
              </w:rPr>
            </w:pPr>
            <w:r w:rsidRPr="00386166">
              <w:rPr>
                <w:rFonts w:cs="Arial"/>
                <w:color w:val="000000"/>
                <w:sz w:val="22"/>
                <w:szCs w:val="22"/>
              </w:rPr>
              <w:t> </w:t>
            </w:r>
          </w:p>
        </w:tc>
        <w:tc>
          <w:tcPr>
            <w:tcW w:w="566" w:type="pct"/>
            <w:tcBorders>
              <w:top w:val="nil"/>
              <w:left w:val="nil"/>
              <w:bottom w:val="single" w:sz="4" w:space="0" w:color="auto"/>
              <w:right w:val="single" w:sz="4" w:space="0" w:color="auto"/>
            </w:tcBorders>
            <w:shd w:val="clear" w:color="auto" w:fill="auto"/>
            <w:vAlign w:val="center"/>
            <w:hideMark/>
          </w:tcPr>
          <w:p w:rsidR="00386166" w:rsidRPr="00386166" w:rsidP="00386166">
            <w:pPr>
              <w:jc w:val="right"/>
              <w:rPr>
                <w:rFonts w:cs="Arial"/>
                <w:color w:val="000000"/>
                <w:sz w:val="22"/>
                <w:szCs w:val="22"/>
              </w:rPr>
            </w:pPr>
            <w:r w:rsidRPr="00386166">
              <w:rPr>
                <w:rFonts w:cs="Arial"/>
                <w:color w:val="000000"/>
                <w:sz w:val="22"/>
                <w:szCs w:val="22"/>
              </w:rPr>
              <w:t>3,026</w:t>
            </w:r>
          </w:p>
        </w:tc>
      </w:tr>
      <w:tr w:rsidTr="00386166">
        <w:tblPrEx>
          <w:tblW w:w="5000" w:type="pct"/>
          <w:tblLook w:val="04A0"/>
        </w:tblPrEx>
        <w:trPr>
          <w:trHeight w:val="570"/>
        </w:trPr>
        <w:tc>
          <w:tcPr>
            <w:tcW w:w="172" w:type="pct"/>
            <w:tcBorders>
              <w:top w:val="nil"/>
              <w:left w:val="single" w:sz="4" w:space="0" w:color="auto"/>
              <w:bottom w:val="single" w:sz="4" w:space="0" w:color="auto"/>
              <w:right w:val="single" w:sz="4" w:space="0" w:color="auto"/>
            </w:tcBorders>
            <w:shd w:val="clear" w:color="auto" w:fill="auto"/>
            <w:vAlign w:val="center"/>
            <w:hideMark/>
          </w:tcPr>
          <w:p w:rsidR="00386166" w:rsidRPr="00386166" w:rsidP="00386166">
            <w:pPr>
              <w:jc w:val="center"/>
              <w:rPr>
                <w:rFonts w:cs="Arial"/>
                <w:color w:val="000000"/>
                <w:sz w:val="22"/>
                <w:szCs w:val="22"/>
              </w:rPr>
            </w:pPr>
            <w:r w:rsidRPr="00386166">
              <w:rPr>
                <w:rFonts w:cs="Arial"/>
                <w:color w:val="000000"/>
                <w:sz w:val="22"/>
                <w:szCs w:val="22"/>
              </w:rPr>
              <w:t>H</w:t>
            </w:r>
          </w:p>
        </w:tc>
        <w:tc>
          <w:tcPr>
            <w:tcW w:w="1073" w:type="pct"/>
            <w:tcBorders>
              <w:top w:val="nil"/>
              <w:left w:val="nil"/>
              <w:bottom w:val="single" w:sz="4" w:space="0" w:color="auto"/>
              <w:right w:val="single" w:sz="4" w:space="0" w:color="auto"/>
            </w:tcBorders>
            <w:shd w:val="clear" w:color="auto" w:fill="auto"/>
            <w:vAlign w:val="center"/>
            <w:hideMark/>
          </w:tcPr>
          <w:p w:rsidR="00386166" w:rsidRPr="00386166" w:rsidP="00386166">
            <w:pPr>
              <w:rPr>
                <w:rFonts w:cs="Arial"/>
                <w:color w:val="000000"/>
                <w:sz w:val="22"/>
                <w:szCs w:val="22"/>
              </w:rPr>
            </w:pPr>
            <w:r w:rsidRPr="00386166">
              <w:rPr>
                <w:rFonts w:cs="Arial"/>
                <w:color w:val="000000"/>
                <w:sz w:val="22"/>
                <w:szCs w:val="22"/>
              </w:rPr>
              <w:t>Non Departmental Public Bodies</w:t>
            </w:r>
          </w:p>
        </w:tc>
        <w:tc>
          <w:tcPr>
            <w:tcW w:w="593" w:type="pct"/>
            <w:tcBorders>
              <w:top w:val="nil"/>
              <w:left w:val="nil"/>
              <w:bottom w:val="single" w:sz="4" w:space="0" w:color="auto"/>
              <w:right w:val="single" w:sz="4" w:space="0" w:color="auto"/>
            </w:tcBorders>
            <w:shd w:val="clear" w:color="auto" w:fill="auto"/>
            <w:vAlign w:val="center"/>
            <w:hideMark/>
          </w:tcPr>
          <w:p w:rsidR="00386166" w:rsidRPr="00386166" w:rsidP="00386166">
            <w:pPr>
              <w:jc w:val="right"/>
              <w:rPr>
                <w:rFonts w:cs="Arial"/>
                <w:color w:val="000000"/>
                <w:sz w:val="22"/>
                <w:szCs w:val="22"/>
              </w:rPr>
            </w:pPr>
            <w:r w:rsidRPr="00386166">
              <w:rPr>
                <w:rFonts w:cs="Arial"/>
                <w:color w:val="000000"/>
                <w:sz w:val="22"/>
                <w:szCs w:val="22"/>
              </w:rPr>
              <w:t>495</w:t>
            </w:r>
          </w:p>
        </w:tc>
        <w:tc>
          <w:tcPr>
            <w:tcW w:w="433" w:type="pct"/>
            <w:tcBorders>
              <w:top w:val="nil"/>
              <w:left w:val="nil"/>
              <w:bottom w:val="single" w:sz="4" w:space="0" w:color="auto"/>
              <w:right w:val="single" w:sz="4" w:space="0" w:color="auto"/>
            </w:tcBorders>
            <w:shd w:val="clear" w:color="auto" w:fill="auto"/>
            <w:vAlign w:val="center"/>
            <w:hideMark/>
          </w:tcPr>
          <w:p w:rsidR="00386166" w:rsidRPr="00386166" w:rsidP="00386166">
            <w:pPr>
              <w:rPr>
                <w:rFonts w:cs="Arial"/>
                <w:color w:val="000000"/>
                <w:sz w:val="22"/>
                <w:szCs w:val="22"/>
              </w:rPr>
            </w:pPr>
            <w:r w:rsidRPr="00386166">
              <w:rPr>
                <w:rFonts w:cs="Arial"/>
                <w:color w:val="000000"/>
                <w:sz w:val="22"/>
                <w:szCs w:val="22"/>
              </w:rPr>
              <w:t> </w:t>
            </w:r>
          </w:p>
        </w:tc>
        <w:tc>
          <w:tcPr>
            <w:tcW w:w="433" w:type="pct"/>
            <w:tcBorders>
              <w:top w:val="nil"/>
              <w:left w:val="nil"/>
              <w:bottom w:val="single" w:sz="4" w:space="0" w:color="auto"/>
              <w:right w:val="single" w:sz="4" w:space="0" w:color="auto"/>
            </w:tcBorders>
            <w:shd w:val="clear" w:color="auto" w:fill="auto"/>
            <w:vAlign w:val="center"/>
            <w:hideMark/>
          </w:tcPr>
          <w:p w:rsidR="00386166" w:rsidRPr="00386166" w:rsidP="00386166">
            <w:pPr>
              <w:rPr>
                <w:rFonts w:cs="Arial"/>
                <w:color w:val="000000"/>
                <w:sz w:val="22"/>
                <w:szCs w:val="22"/>
              </w:rPr>
            </w:pPr>
            <w:r w:rsidRPr="00386166">
              <w:rPr>
                <w:rFonts w:cs="Arial"/>
                <w:color w:val="000000"/>
                <w:sz w:val="22"/>
                <w:szCs w:val="22"/>
              </w:rPr>
              <w:t> </w:t>
            </w:r>
          </w:p>
        </w:tc>
        <w:tc>
          <w:tcPr>
            <w:tcW w:w="433" w:type="pct"/>
            <w:tcBorders>
              <w:top w:val="nil"/>
              <w:left w:val="nil"/>
              <w:bottom w:val="single" w:sz="4" w:space="0" w:color="auto"/>
              <w:right w:val="single" w:sz="4" w:space="0" w:color="auto"/>
            </w:tcBorders>
            <w:shd w:val="clear" w:color="auto" w:fill="auto"/>
            <w:vAlign w:val="center"/>
            <w:hideMark/>
          </w:tcPr>
          <w:p w:rsidR="00386166" w:rsidRPr="00386166" w:rsidP="00386166">
            <w:pPr>
              <w:rPr>
                <w:rFonts w:cs="Arial"/>
                <w:color w:val="000000"/>
                <w:sz w:val="22"/>
                <w:szCs w:val="22"/>
              </w:rPr>
            </w:pPr>
            <w:r w:rsidRPr="00386166">
              <w:rPr>
                <w:rFonts w:cs="Arial"/>
                <w:color w:val="000000"/>
                <w:sz w:val="22"/>
                <w:szCs w:val="22"/>
              </w:rPr>
              <w:t> </w:t>
            </w:r>
          </w:p>
        </w:tc>
        <w:tc>
          <w:tcPr>
            <w:tcW w:w="429" w:type="pct"/>
            <w:tcBorders>
              <w:top w:val="nil"/>
              <w:left w:val="nil"/>
              <w:bottom w:val="single" w:sz="4" w:space="0" w:color="auto"/>
              <w:right w:val="single" w:sz="4" w:space="0" w:color="auto"/>
            </w:tcBorders>
            <w:shd w:val="clear" w:color="auto" w:fill="auto"/>
            <w:vAlign w:val="center"/>
            <w:hideMark/>
          </w:tcPr>
          <w:p w:rsidR="00386166" w:rsidRPr="00386166" w:rsidP="00386166">
            <w:pPr>
              <w:rPr>
                <w:rFonts w:cs="Arial"/>
                <w:color w:val="000000"/>
                <w:sz w:val="22"/>
                <w:szCs w:val="22"/>
              </w:rPr>
            </w:pPr>
            <w:r w:rsidRPr="00386166">
              <w:rPr>
                <w:rFonts w:cs="Arial"/>
                <w:color w:val="000000"/>
                <w:sz w:val="22"/>
                <w:szCs w:val="22"/>
              </w:rPr>
              <w:t> </w:t>
            </w:r>
          </w:p>
        </w:tc>
        <w:tc>
          <w:tcPr>
            <w:tcW w:w="433" w:type="pct"/>
            <w:tcBorders>
              <w:top w:val="nil"/>
              <w:left w:val="nil"/>
              <w:bottom w:val="single" w:sz="4" w:space="0" w:color="auto"/>
              <w:right w:val="single" w:sz="4" w:space="0" w:color="auto"/>
            </w:tcBorders>
            <w:shd w:val="clear" w:color="auto" w:fill="auto"/>
            <w:vAlign w:val="center"/>
            <w:hideMark/>
          </w:tcPr>
          <w:p w:rsidR="00386166" w:rsidRPr="00386166" w:rsidP="00386166">
            <w:pPr>
              <w:rPr>
                <w:rFonts w:cs="Arial"/>
                <w:color w:val="000000"/>
                <w:sz w:val="22"/>
                <w:szCs w:val="22"/>
              </w:rPr>
            </w:pPr>
            <w:r w:rsidRPr="00386166">
              <w:rPr>
                <w:rFonts w:cs="Arial"/>
                <w:color w:val="000000"/>
                <w:sz w:val="22"/>
                <w:szCs w:val="22"/>
              </w:rPr>
              <w:t> </w:t>
            </w:r>
          </w:p>
        </w:tc>
        <w:tc>
          <w:tcPr>
            <w:tcW w:w="435" w:type="pct"/>
            <w:tcBorders>
              <w:top w:val="nil"/>
              <w:left w:val="nil"/>
              <w:bottom w:val="single" w:sz="4" w:space="0" w:color="auto"/>
              <w:right w:val="single" w:sz="4" w:space="0" w:color="auto"/>
            </w:tcBorders>
            <w:shd w:val="clear" w:color="auto" w:fill="auto"/>
            <w:vAlign w:val="center"/>
            <w:hideMark/>
          </w:tcPr>
          <w:p w:rsidR="00386166" w:rsidRPr="00386166" w:rsidP="00386166">
            <w:pPr>
              <w:rPr>
                <w:rFonts w:cs="Arial"/>
                <w:color w:val="000000"/>
                <w:sz w:val="22"/>
                <w:szCs w:val="22"/>
              </w:rPr>
            </w:pPr>
            <w:r w:rsidRPr="00386166">
              <w:rPr>
                <w:rFonts w:cs="Arial"/>
                <w:color w:val="000000"/>
                <w:sz w:val="22"/>
                <w:szCs w:val="22"/>
              </w:rPr>
              <w:t> </w:t>
            </w:r>
          </w:p>
        </w:tc>
        <w:tc>
          <w:tcPr>
            <w:tcW w:w="566" w:type="pct"/>
            <w:tcBorders>
              <w:top w:val="nil"/>
              <w:left w:val="nil"/>
              <w:bottom w:val="single" w:sz="4" w:space="0" w:color="auto"/>
              <w:right w:val="single" w:sz="4" w:space="0" w:color="auto"/>
            </w:tcBorders>
            <w:shd w:val="clear" w:color="auto" w:fill="auto"/>
            <w:vAlign w:val="center"/>
            <w:hideMark/>
          </w:tcPr>
          <w:p w:rsidR="00386166" w:rsidRPr="00386166" w:rsidP="00386166">
            <w:pPr>
              <w:jc w:val="right"/>
              <w:rPr>
                <w:rFonts w:cs="Arial"/>
                <w:color w:val="000000"/>
                <w:sz w:val="22"/>
                <w:szCs w:val="22"/>
              </w:rPr>
            </w:pPr>
            <w:r w:rsidRPr="00386166">
              <w:rPr>
                <w:rFonts w:cs="Arial"/>
                <w:color w:val="000000"/>
                <w:sz w:val="22"/>
                <w:szCs w:val="22"/>
              </w:rPr>
              <w:t>495</w:t>
            </w:r>
          </w:p>
        </w:tc>
      </w:tr>
      <w:tr w:rsidTr="00386166">
        <w:tblPrEx>
          <w:tblW w:w="5000" w:type="pct"/>
          <w:tblLook w:val="04A0"/>
        </w:tblPrEx>
        <w:trPr>
          <w:trHeight w:val="570"/>
        </w:trPr>
        <w:tc>
          <w:tcPr>
            <w:tcW w:w="172" w:type="pct"/>
            <w:tcBorders>
              <w:top w:val="nil"/>
              <w:left w:val="single" w:sz="4" w:space="0" w:color="auto"/>
              <w:bottom w:val="single" w:sz="4" w:space="0" w:color="auto"/>
              <w:right w:val="single" w:sz="4" w:space="0" w:color="auto"/>
            </w:tcBorders>
            <w:shd w:val="clear" w:color="auto" w:fill="auto"/>
            <w:vAlign w:val="center"/>
            <w:hideMark/>
          </w:tcPr>
          <w:p w:rsidR="00386166" w:rsidRPr="00386166" w:rsidP="00386166">
            <w:pPr>
              <w:jc w:val="center"/>
              <w:rPr>
                <w:rFonts w:cs="Arial"/>
                <w:color w:val="000000"/>
                <w:sz w:val="22"/>
                <w:szCs w:val="22"/>
              </w:rPr>
            </w:pPr>
            <w:r w:rsidRPr="00386166">
              <w:rPr>
                <w:rFonts w:cs="Arial"/>
                <w:color w:val="000000"/>
                <w:sz w:val="22"/>
                <w:szCs w:val="22"/>
              </w:rPr>
              <w:t>I</w:t>
            </w:r>
          </w:p>
        </w:tc>
        <w:tc>
          <w:tcPr>
            <w:tcW w:w="1073" w:type="pct"/>
            <w:tcBorders>
              <w:top w:val="nil"/>
              <w:left w:val="nil"/>
              <w:bottom w:val="single" w:sz="4" w:space="0" w:color="auto"/>
              <w:right w:val="single" w:sz="4" w:space="0" w:color="auto"/>
            </w:tcBorders>
            <w:shd w:val="clear" w:color="auto" w:fill="auto"/>
            <w:vAlign w:val="center"/>
            <w:hideMark/>
          </w:tcPr>
          <w:p w:rsidR="00386166" w:rsidRPr="00386166" w:rsidP="00386166">
            <w:pPr>
              <w:rPr>
                <w:rFonts w:cs="Arial"/>
                <w:color w:val="000000"/>
                <w:sz w:val="22"/>
                <w:szCs w:val="22"/>
              </w:rPr>
            </w:pPr>
            <w:r w:rsidRPr="00386166">
              <w:rPr>
                <w:rFonts w:cs="Arial"/>
                <w:color w:val="000000"/>
                <w:sz w:val="22"/>
                <w:szCs w:val="22"/>
              </w:rPr>
              <w:t>Arm's Length and Other Bodies</w:t>
            </w:r>
          </w:p>
        </w:tc>
        <w:tc>
          <w:tcPr>
            <w:tcW w:w="593" w:type="pct"/>
            <w:tcBorders>
              <w:top w:val="nil"/>
              <w:left w:val="nil"/>
              <w:bottom w:val="single" w:sz="4" w:space="0" w:color="auto"/>
              <w:right w:val="single" w:sz="4" w:space="0" w:color="auto"/>
            </w:tcBorders>
            <w:shd w:val="clear" w:color="auto" w:fill="auto"/>
            <w:vAlign w:val="center"/>
            <w:hideMark/>
          </w:tcPr>
          <w:p w:rsidR="00386166" w:rsidRPr="00386166" w:rsidP="00386166">
            <w:pPr>
              <w:jc w:val="right"/>
              <w:rPr>
                <w:rFonts w:cs="Arial"/>
                <w:color w:val="000000"/>
                <w:sz w:val="22"/>
                <w:szCs w:val="22"/>
              </w:rPr>
            </w:pPr>
            <w:r w:rsidRPr="00386166">
              <w:rPr>
                <w:rFonts w:cs="Arial"/>
                <w:color w:val="000000"/>
                <w:sz w:val="22"/>
                <w:szCs w:val="22"/>
              </w:rPr>
              <w:t>117</w:t>
            </w:r>
          </w:p>
        </w:tc>
        <w:tc>
          <w:tcPr>
            <w:tcW w:w="433" w:type="pct"/>
            <w:tcBorders>
              <w:top w:val="nil"/>
              <w:left w:val="nil"/>
              <w:bottom w:val="single" w:sz="4" w:space="0" w:color="auto"/>
              <w:right w:val="single" w:sz="4" w:space="0" w:color="auto"/>
            </w:tcBorders>
            <w:shd w:val="clear" w:color="auto" w:fill="auto"/>
            <w:vAlign w:val="center"/>
            <w:hideMark/>
          </w:tcPr>
          <w:p w:rsidR="00386166" w:rsidRPr="00386166" w:rsidP="00386166">
            <w:pPr>
              <w:rPr>
                <w:rFonts w:cs="Arial"/>
                <w:color w:val="000000"/>
                <w:sz w:val="22"/>
                <w:szCs w:val="22"/>
              </w:rPr>
            </w:pPr>
            <w:r w:rsidRPr="00386166">
              <w:rPr>
                <w:rFonts w:cs="Arial"/>
                <w:color w:val="000000"/>
                <w:sz w:val="22"/>
                <w:szCs w:val="22"/>
              </w:rPr>
              <w:t> </w:t>
            </w:r>
          </w:p>
        </w:tc>
        <w:tc>
          <w:tcPr>
            <w:tcW w:w="433" w:type="pct"/>
            <w:tcBorders>
              <w:top w:val="nil"/>
              <w:left w:val="nil"/>
              <w:bottom w:val="single" w:sz="4" w:space="0" w:color="auto"/>
              <w:right w:val="single" w:sz="4" w:space="0" w:color="auto"/>
            </w:tcBorders>
            <w:shd w:val="clear" w:color="auto" w:fill="auto"/>
            <w:vAlign w:val="center"/>
            <w:hideMark/>
          </w:tcPr>
          <w:p w:rsidR="00386166" w:rsidRPr="00386166" w:rsidP="00386166">
            <w:pPr>
              <w:rPr>
                <w:rFonts w:cs="Arial"/>
                <w:color w:val="000000"/>
                <w:sz w:val="22"/>
                <w:szCs w:val="22"/>
              </w:rPr>
            </w:pPr>
            <w:r w:rsidRPr="00386166">
              <w:rPr>
                <w:rFonts w:cs="Arial"/>
                <w:color w:val="000000"/>
                <w:sz w:val="22"/>
                <w:szCs w:val="22"/>
              </w:rPr>
              <w:t> </w:t>
            </w:r>
          </w:p>
        </w:tc>
        <w:tc>
          <w:tcPr>
            <w:tcW w:w="433" w:type="pct"/>
            <w:tcBorders>
              <w:top w:val="nil"/>
              <w:left w:val="nil"/>
              <w:bottom w:val="single" w:sz="4" w:space="0" w:color="auto"/>
              <w:right w:val="single" w:sz="4" w:space="0" w:color="auto"/>
            </w:tcBorders>
            <w:shd w:val="clear" w:color="auto" w:fill="auto"/>
            <w:vAlign w:val="center"/>
            <w:hideMark/>
          </w:tcPr>
          <w:p w:rsidR="00386166" w:rsidRPr="00386166" w:rsidP="00386166">
            <w:pPr>
              <w:rPr>
                <w:rFonts w:cs="Arial"/>
                <w:color w:val="000000"/>
                <w:sz w:val="22"/>
                <w:szCs w:val="22"/>
              </w:rPr>
            </w:pPr>
            <w:r w:rsidRPr="00386166">
              <w:rPr>
                <w:rFonts w:cs="Arial"/>
                <w:color w:val="000000"/>
                <w:sz w:val="22"/>
                <w:szCs w:val="22"/>
              </w:rPr>
              <w:t> </w:t>
            </w:r>
          </w:p>
        </w:tc>
        <w:tc>
          <w:tcPr>
            <w:tcW w:w="429" w:type="pct"/>
            <w:tcBorders>
              <w:top w:val="nil"/>
              <w:left w:val="nil"/>
              <w:bottom w:val="single" w:sz="4" w:space="0" w:color="auto"/>
              <w:right w:val="single" w:sz="4" w:space="0" w:color="auto"/>
            </w:tcBorders>
            <w:shd w:val="clear" w:color="auto" w:fill="auto"/>
            <w:vAlign w:val="center"/>
            <w:hideMark/>
          </w:tcPr>
          <w:p w:rsidR="00386166" w:rsidRPr="00386166" w:rsidP="00386166">
            <w:pPr>
              <w:rPr>
                <w:rFonts w:cs="Arial"/>
                <w:color w:val="000000"/>
                <w:sz w:val="22"/>
                <w:szCs w:val="22"/>
              </w:rPr>
            </w:pPr>
            <w:r w:rsidRPr="00386166">
              <w:rPr>
                <w:rFonts w:cs="Arial"/>
                <w:color w:val="000000"/>
                <w:sz w:val="22"/>
                <w:szCs w:val="22"/>
              </w:rPr>
              <w:t> </w:t>
            </w:r>
          </w:p>
        </w:tc>
        <w:tc>
          <w:tcPr>
            <w:tcW w:w="433" w:type="pct"/>
            <w:tcBorders>
              <w:top w:val="nil"/>
              <w:left w:val="nil"/>
              <w:bottom w:val="single" w:sz="4" w:space="0" w:color="auto"/>
              <w:right w:val="single" w:sz="4" w:space="0" w:color="auto"/>
            </w:tcBorders>
            <w:shd w:val="clear" w:color="auto" w:fill="auto"/>
            <w:vAlign w:val="center"/>
            <w:hideMark/>
          </w:tcPr>
          <w:p w:rsidR="00386166" w:rsidRPr="00386166" w:rsidP="00386166">
            <w:pPr>
              <w:jc w:val="right"/>
              <w:rPr>
                <w:rFonts w:cs="Arial"/>
                <w:color w:val="000000"/>
                <w:sz w:val="22"/>
                <w:szCs w:val="22"/>
              </w:rPr>
            </w:pPr>
            <w:r w:rsidRPr="00386166">
              <w:rPr>
                <w:rFonts w:cs="Arial"/>
                <w:color w:val="000000"/>
                <w:sz w:val="22"/>
                <w:szCs w:val="22"/>
              </w:rPr>
              <w:t>871</w:t>
            </w:r>
          </w:p>
        </w:tc>
        <w:tc>
          <w:tcPr>
            <w:tcW w:w="435" w:type="pct"/>
            <w:tcBorders>
              <w:top w:val="nil"/>
              <w:left w:val="nil"/>
              <w:bottom w:val="single" w:sz="4" w:space="0" w:color="auto"/>
              <w:right w:val="single" w:sz="4" w:space="0" w:color="auto"/>
            </w:tcBorders>
            <w:shd w:val="clear" w:color="auto" w:fill="auto"/>
            <w:vAlign w:val="center"/>
            <w:hideMark/>
          </w:tcPr>
          <w:p w:rsidR="00386166" w:rsidRPr="00386166" w:rsidP="00386166">
            <w:pPr>
              <w:rPr>
                <w:rFonts w:cs="Arial"/>
                <w:color w:val="000000"/>
                <w:sz w:val="22"/>
                <w:szCs w:val="22"/>
              </w:rPr>
            </w:pPr>
            <w:r w:rsidRPr="00386166">
              <w:rPr>
                <w:rFonts w:cs="Arial"/>
                <w:color w:val="000000"/>
                <w:sz w:val="22"/>
                <w:szCs w:val="22"/>
              </w:rPr>
              <w:t> </w:t>
            </w:r>
          </w:p>
        </w:tc>
        <w:tc>
          <w:tcPr>
            <w:tcW w:w="566" w:type="pct"/>
            <w:tcBorders>
              <w:top w:val="nil"/>
              <w:left w:val="nil"/>
              <w:bottom w:val="single" w:sz="4" w:space="0" w:color="auto"/>
              <w:right w:val="single" w:sz="4" w:space="0" w:color="auto"/>
            </w:tcBorders>
            <w:shd w:val="clear" w:color="auto" w:fill="auto"/>
            <w:vAlign w:val="center"/>
            <w:hideMark/>
          </w:tcPr>
          <w:p w:rsidR="00386166" w:rsidRPr="00386166" w:rsidP="00386166">
            <w:pPr>
              <w:jc w:val="right"/>
              <w:rPr>
                <w:rFonts w:cs="Arial"/>
                <w:color w:val="000000"/>
                <w:sz w:val="22"/>
                <w:szCs w:val="22"/>
              </w:rPr>
            </w:pPr>
            <w:r w:rsidRPr="00386166">
              <w:rPr>
                <w:rFonts w:cs="Arial"/>
                <w:color w:val="000000"/>
                <w:sz w:val="22"/>
                <w:szCs w:val="22"/>
              </w:rPr>
              <w:t>988</w:t>
            </w:r>
          </w:p>
        </w:tc>
      </w:tr>
      <w:tr w:rsidTr="00386166">
        <w:tblPrEx>
          <w:tblW w:w="5000" w:type="pct"/>
          <w:tblLook w:val="04A0"/>
        </w:tblPrEx>
        <w:trPr>
          <w:trHeight w:val="570"/>
        </w:trPr>
        <w:tc>
          <w:tcPr>
            <w:tcW w:w="172" w:type="pct"/>
            <w:tcBorders>
              <w:top w:val="nil"/>
              <w:left w:val="single" w:sz="4" w:space="0" w:color="auto"/>
              <w:bottom w:val="single" w:sz="4" w:space="0" w:color="auto"/>
              <w:right w:val="single" w:sz="4" w:space="0" w:color="auto"/>
            </w:tcBorders>
            <w:shd w:val="clear" w:color="auto" w:fill="auto"/>
            <w:vAlign w:val="center"/>
            <w:hideMark/>
          </w:tcPr>
          <w:p w:rsidR="00386166" w:rsidRPr="00386166" w:rsidP="00386166">
            <w:pPr>
              <w:jc w:val="center"/>
              <w:rPr>
                <w:rFonts w:cs="Arial"/>
                <w:color w:val="000000"/>
                <w:sz w:val="22"/>
                <w:szCs w:val="22"/>
              </w:rPr>
            </w:pPr>
            <w:r w:rsidRPr="00386166">
              <w:rPr>
                <w:rFonts w:cs="Arial"/>
                <w:color w:val="000000"/>
                <w:sz w:val="22"/>
                <w:szCs w:val="22"/>
              </w:rPr>
              <w:t>J</w:t>
            </w:r>
          </w:p>
        </w:tc>
        <w:tc>
          <w:tcPr>
            <w:tcW w:w="1073" w:type="pct"/>
            <w:tcBorders>
              <w:top w:val="nil"/>
              <w:left w:val="nil"/>
              <w:bottom w:val="single" w:sz="4" w:space="0" w:color="auto"/>
              <w:right w:val="single" w:sz="4" w:space="0" w:color="auto"/>
            </w:tcBorders>
            <w:shd w:val="clear" w:color="auto" w:fill="auto"/>
            <w:vAlign w:val="center"/>
            <w:hideMark/>
          </w:tcPr>
          <w:p w:rsidR="00386166" w:rsidRPr="00386166" w:rsidP="00386166">
            <w:pPr>
              <w:rPr>
                <w:rFonts w:cs="Arial"/>
                <w:color w:val="000000"/>
                <w:sz w:val="22"/>
                <w:szCs w:val="22"/>
              </w:rPr>
            </w:pPr>
            <w:r w:rsidRPr="00386166">
              <w:rPr>
                <w:rFonts w:cs="Arial"/>
                <w:color w:val="000000"/>
                <w:sz w:val="22"/>
                <w:szCs w:val="22"/>
              </w:rPr>
              <w:t>National Insurance Contributions</w:t>
            </w:r>
          </w:p>
        </w:tc>
        <w:tc>
          <w:tcPr>
            <w:tcW w:w="593" w:type="pct"/>
            <w:tcBorders>
              <w:top w:val="nil"/>
              <w:left w:val="nil"/>
              <w:bottom w:val="single" w:sz="4" w:space="0" w:color="auto"/>
              <w:right w:val="single" w:sz="4" w:space="0" w:color="auto"/>
            </w:tcBorders>
            <w:shd w:val="clear" w:color="auto" w:fill="auto"/>
            <w:vAlign w:val="center"/>
            <w:hideMark/>
          </w:tcPr>
          <w:p w:rsidR="00386166" w:rsidRPr="00386166" w:rsidP="00386166">
            <w:pPr>
              <w:jc w:val="right"/>
              <w:rPr>
                <w:rFonts w:cs="Arial"/>
                <w:color w:val="000000"/>
                <w:sz w:val="22"/>
                <w:szCs w:val="22"/>
              </w:rPr>
            </w:pPr>
            <w:r w:rsidRPr="00386166">
              <w:rPr>
                <w:rFonts w:cs="Arial"/>
                <w:color w:val="000000"/>
                <w:sz w:val="22"/>
                <w:szCs w:val="22"/>
              </w:rPr>
              <w:t>41,735</w:t>
            </w:r>
          </w:p>
        </w:tc>
        <w:tc>
          <w:tcPr>
            <w:tcW w:w="433" w:type="pct"/>
            <w:tcBorders>
              <w:top w:val="nil"/>
              <w:left w:val="nil"/>
              <w:bottom w:val="single" w:sz="4" w:space="0" w:color="auto"/>
              <w:right w:val="single" w:sz="4" w:space="0" w:color="auto"/>
            </w:tcBorders>
            <w:shd w:val="clear" w:color="auto" w:fill="auto"/>
            <w:vAlign w:val="center"/>
            <w:hideMark/>
          </w:tcPr>
          <w:p w:rsidR="00386166" w:rsidRPr="00386166" w:rsidP="00386166">
            <w:pPr>
              <w:rPr>
                <w:rFonts w:cs="Arial"/>
                <w:color w:val="000000"/>
                <w:sz w:val="22"/>
                <w:szCs w:val="22"/>
              </w:rPr>
            </w:pPr>
            <w:r w:rsidRPr="00386166">
              <w:rPr>
                <w:rFonts w:cs="Arial"/>
                <w:color w:val="000000"/>
                <w:sz w:val="22"/>
                <w:szCs w:val="22"/>
              </w:rPr>
              <w:t> </w:t>
            </w:r>
          </w:p>
        </w:tc>
        <w:tc>
          <w:tcPr>
            <w:tcW w:w="433" w:type="pct"/>
            <w:tcBorders>
              <w:top w:val="nil"/>
              <w:left w:val="nil"/>
              <w:bottom w:val="single" w:sz="4" w:space="0" w:color="auto"/>
              <w:right w:val="single" w:sz="4" w:space="0" w:color="auto"/>
            </w:tcBorders>
            <w:shd w:val="clear" w:color="auto" w:fill="auto"/>
            <w:vAlign w:val="center"/>
            <w:hideMark/>
          </w:tcPr>
          <w:p w:rsidR="00386166" w:rsidRPr="00386166" w:rsidP="00386166">
            <w:pPr>
              <w:rPr>
                <w:rFonts w:cs="Arial"/>
                <w:color w:val="000000"/>
                <w:sz w:val="22"/>
                <w:szCs w:val="22"/>
              </w:rPr>
            </w:pPr>
            <w:r w:rsidRPr="00386166">
              <w:rPr>
                <w:rFonts w:cs="Arial"/>
                <w:color w:val="000000"/>
                <w:sz w:val="22"/>
                <w:szCs w:val="22"/>
              </w:rPr>
              <w:t> </w:t>
            </w:r>
          </w:p>
        </w:tc>
        <w:tc>
          <w:tcPr>
            <w:tcW w:w="433" w:type="pct"/>
            <w:tcBorders>
              <w:top w:val="nil"/>
              <w:left w:val="nil"/>
              <w:bottom w:val="single" w:sz="4" w:space="0" w:color="auto"/>
              <w:right w:val="single" w:sz="4" w:space="0" w:color="auto"/>
            </w:tcBorders>
            <w:shd w:val="clear" w:color="auto" w:fill="auto"/>
            <w:vAlign w:val="center"/>
            <w:hideMark/>
          </w:tcPr>
          <w:p w:rsidR="00386166" w:rsidRPr="00386166" w:rsidP="00386166">
            <w:pPr>
              <w:rPr>
                <w:rFonts w:cs="Arial"/>
                <w:color w:val="000000"/>
                <w:sz w:val="22"/>
                <w:szCs w:val="22"/>
              </w:rPr>
            </w:pPr>
            <w:r w:rsidRPr="00386166">
              <w:rPr>
                <w:rFonts w:cs="Arial"/>
                <w:color w:val="000000"/>
                <w:sz w:val="22"/>
                <w:szCs w:val="22"/>
              </w:rPr>
              <w:t> </w:t>
            </w:r>
          </w:p>
        </w:tc>
        <w:tc>
          <w:tcPr>
            <w:tcW w:w="429" w:type="pct"/>
            <w:tcBorders>
              <w:top w:val="nil"/>
              <w:left w:val="nil"/>
              <w:bottom w:val="single" w:sz="4" w:space="0" w:color="auto"/>
              <w:right w:val="single" w:sz="4" w:space="0" w:color="auto"/>
            </w:tcBorders>
            <w:shd w:val="clear" w:color="auto" w:fill="auto"/>
            <w:vAlign w:val="center"/>
            <w:hideMark/>
          </w:tcPr>
          <w:p w:rsidR="00386166" w:rsidRPr="00386166" w:rsidP="00386166">
            <w:pPr>
              <w:rPr>
                <w:rFonts w:cs="Arial"/>
                <w:color w:val="000000"/>
                <w:sz w:val="22"/>
                <w:szCs w:val="22"/>
              </w:rPr>
            </w:pPr>
            <w:r w:rsidRPr="00386166">
              <w:rPr>
                <w:rFonts w:cs="Arial"/>
                <w:color w:val="000000"/>
                <w:sz w:val="22"/>
                <w:szCs w:val="22"/>
              </w:rPr>
              <w:t> </w:t>
            </w:r>
          </w:p>
        </w:tc>
        <w:tc>
          <w:tcPr>
            <w:tcW w:w="433" w:type="pct"/>
            <w:tcBorders>
              <w:top w:val="nil"/>
              <w:left w:val="nil"/>
              <w:bottom w:val="single" w:sz="4" w:space="0" w:color="auto"/>
              <w:right w:val="single" w:sz="4" w:space="0" w:color="auto"/>
            </w:tcBorders>
            <w:shd w:val="clear" w:color="auto" w:fill="auto"/>
            <w:vAlign w:val="center"/>
            <w:hideMark/>
          </w:tcPr>
          <w:p w:rsidR="00386166" w:rsidRPr="00386166" w:rsidP="00386166">
            <w:pPr>
              <w:rPr>
                <w:rFonts w:cs="Arial"/>
                <w:color w:val="000000"/>
                <w:sz w:val="22"/>
                <w:szCs w:val="22"/>
              </w:rPr>
            </w:pPr>
            <w:r w:rsidRPr="00386166">
              <w:rPr>
                <w:rFonts w:cs="Arial"/>
                <w:color w:val="000000"/>
                <w:sz w:val="22"/>
                <w:szCs w:val="22"/>
              </w:rPr>
              <w:t> </w:t>
            </w:r>
          </w:p>
        </w:tc>
        <w:tc>
          <w:tcPr>
            <w:tcW w:w="435" w:type="pct"/>
            <w:tcBorders>
              <w:top w:val="nil"/>
              <w:left w:val="nil"/>
              <w:bottom w:val="single" w:sz="4" w:space="0" w:color="auto"/>
              <w:right w:val="single" w:sz="4" w:space="0" w:color="auto"/>
            </w:tcBorders>
            <w:shd w:val="clear" w:color="auto" w:fill="auto"/>
            <w:vAlign w:val="center"/>
            <w:hideMark/>
          </w:tcPr>
          <w:p w:rsidR="00386166" w:rsidRPr="00386166" w:rsidP="00386166">
            <w:pPr>
              <w:rPr>
                <w:rFonts w:cs="Arial"/>
                <w:color w:val="000000"/>
                <w:sz w:val="22"/>
                <w:szCs w:val="22"/>
              </w:rPr>
            </w:pPr>
            <w:r w:rsidRPr="00386166">
              <w:rPr>
                <w:rFonts w:cs="Arial"/>
                <w:color w:val="000000"/>
                <w:sz w:val="22"/>
                <w:szCs w:val="22"/>
              </w:rPr>
              <w:t> </w:t>
            </w:r>
          </w:p>
        </w:tc>
        <w:tc>
          <w:tcPr>
            <w:tcW w:w="566" w:type="pct"/>
            <w:tcBorders>
              <w:top w:val="nil"/>
              <w:left w:val="nil"/>
              <w:bottom w:val="single" w:sz="4" w:space="0" w:color="auto"/>
              <w:right w:val="single" w:sz="4" w:space="0" w:color="auto"/>
            </w:tcBorders>
            <w:shd w:val="clear" w:color="auto" w:fill="auto"/>
            <w:vAlign w:val="center"/>
            <w:hideMark/>
          </w:tcPr>
          <w:p w:rsidR="00386166" w:rsidRPr="00386166" w:rsidP="00386166">
            <w:pPr>
              <w:jc w:val="right"/>
              <w:rPr>
                <w:rFonts w:cs="Arial"/>
                <w:color w:val="000000"/>
                <w:sz w:val="22"/>
                <w:szCs w:val="22"/>
              </w:rPr>
            </w:pPr>
            <w:r w:rsidRPr="00386166">
              <w:rPr>
                <w:rFonts w:cs="Arial"/>
                <w:color w:val="000000"/>
                <w:sz w:val="22"/>
                <w:szCs w:val="22"/>
              </w:rPr>
              <w:t>41,735</w:t>
            </w:r>
          </w:p>
        </w:tc>
      </w:tr>
      <w:tr w:rsidTr="00386166">
        <w:tblPrEx>
          <w:tblW w:w="5000" w:type="pct"/>
          <w:tblLook w:val="04A0"/>
        </w:tblPrEx>
        <w:trPr>
          <w:trHeight w:val="282"/>
        </w:trPr>
        <w:tc>
          <w:tcPr>
            <w:tcW w:w="1245" w:type="pct"/>
            <w:gridSpan w:val="2"/>
            <w:tcBorders>
              <w:top w:val="single" w:sz="4" w:space="0" w:color="auto"/>
              <w:left w:val="single" w:sz="4" w:space="0" w:color="auto"/>
              <w:bottom w:val="single" w:sz="4" w:space="0" w:color="auto"/>
              <w:right w:val="single" w:sz="4" w:space="0" w:color="auto"/>
            </w:tcBorders>
            <w:shd w:val="clear" w:color="000000" w:fill="B4C6E7"/>
            <w:vAlign w:val="bottom"/>
            <w:hideMark/>
          </w:tcPr>
          <w:p w:rsidR="00386166" w:rsidRPr="00386166" w:rsidP="00386166">
            <w:pPr>
              <w:rPr>
                <w:rFonts w:cs="Arial"/>
                <w:b/>
                <w:bCs/>
                <w:color w:val="000000"/>
                <w:sz w:val="22"/>
                <w:szCs w:val="22"/>
              </w:rPr>
            </w:pPr>
            <w:r w:rsidRPr="00386166">
              <w:rPr>
                <w:rFonts w:cs="Arial"/>
                <w:b/>
                <w:bCs/>
                <w:color w:val="000000"/>
                <w:sz w:val="22"/>
                <w:szCs w:val="22"/>
              </w:rPr>
              <w:t>TOTAL</w:t>
            </w:r>
          </w:p>
        </w:tc>
        <w:tc>
          <w:tcPr>
            <w:tcW w:w="593" w:type="pct"/>
            <w:tcBorders>
              <w:top w:val="nil"/>
              <w:left w:val="nil"/>
              <w:bottom w:val="single" w:sz="4" w:space="0" w:color="auto"/>
              <w:right w:val="single" w:sz="4" w:space="0" w:color="auto"/>
            </w:tcBorders>
            <w:shd w:val="clear" w:color="000000" w:fill="B4C6E7"/>
            <w:vAlign w:val="bottom"/>
            <w:hideMark/>
          </w:tcPr>
          <w:p w:rsidR="00386166" w:rsidRPr="00386166" w:rsidP="00386166">
            <w:pPr>
              <w:jc w:val="right"/>
              <w:rPr>
                <w:rFonts w:cs="Arial"/>
                <w:b/>
                <w:bCs/>
                <w:color w:val="000000"/>
                <w:sz w:val="22"/>
                <w:szCs w:val="22"/>
              </w:rPr>
            </w:pPr>
            <w:r w:rsidRPr="00386166">
              <w:rPr>
                <w:rFonts w:cs="Arial"/>
                <w:b/>
                <w:bCs/>
                <w:color w:val="000000"/>
                <w:sz w:val="22"/>
                <w:szCs w:val="22"/>
              </w:rPr>
              <w:t>169,948</w:t>
            </w:r>
          </w:p>
        </w:tc>
        <w:tc>
          <w:tcPr>
            <w:tcW w:w="433" w:type="pct"/>
            <w:tcBorders>
              <w:top w:val="nil"/>
              <w:left w:val="nil"/>
              <w:bottom w:val="single" w:sz="4" w:space="0" w:color="auto"/>
              <w:right w:val="single" w:sz="4" w:space="0" w:color="auto"/>
            </w:tcBorders>
            <w:shd w:val="clear" w:color="000000" w:fill="B4C6E7"/>
            <w:vAlign w:val="bottom"/>
            <w:hideMark/>
          </w:tcPr>
          <w:p w:rsidR="00386166" w:rsidRPr="00386166" w:rsidP="00386166">
            <w:pPr>
              <w:jc w:val="right"/>
              <w:rPr>
                <w:rFonts w:cs="Arial"/>
                <w:b/>
                <w:bCs/>
                <w:color w:val="000000"/>
                <w:sz w:val="22"/>
                <w:szCs w:val="22"/>
              </w:rPr>
            </w:pPr>
            <w:r w:rsidRPr="00386166">
              <w:rPr>
                <w:rFonts w:cs="Arial"/>
                <w:b/>
                <w:bCs/>
                <w:color w:val="000000"/>
                <w:sz w:val="22"/>
                <w:szCs w:val="22"/>
              </w:rPr>
              <w:t>0</w:t>
            </w:r>
          </w:p>
        </w:tc>
        <w:tc>
          <w:tcPr>
            <w:tcW w:w="433" w:type="pct"/>
            <w:tcBorders>
              <w:top w:val="nil"/>
              <w:left w:val="nil"/>
              <w:bottom w:val="single" w:sz="4" w:space="0" w:color="auto"/>
              <w:right w:val="single" w:sz="4" w:space="0" w:color="auto"/>
            </w:tcBorders>
            <w:shd w:val="clear" w:color="000000" w:fill="B4C6E7"/>
            <w:vAlign w:val="bottom"/>
            <w:hideMark/>
          </w:tcPr>
          <w:p w:rsidR="00386166" w:rsidRPr="00386166" w:rsidP="00386166">
            <w:pPr>
              <w:jc w:val="right"/>
              <w:rPr>
                <w:rFonts w:cs="Arial"/>
                <w:b/>
                <w:bCs/>
                <w:color w:val="000000"/>
                <w:sz w:val="22"/>
                <w:szCs w:val="22"/>
              </w:rPr>
            </w:pPr>
            <w:r w:rsidRPr="00386166">
              <w:rPr>
                <w:rFonts w:cs="Arial"/>
                <w:b/>
                <w:bCs/>
                <w:color w:val="000000"/>
                <w:sz w:val="22"/>
                <w:szCs w:val="22"/>
              </w:rPr>
              <w:t>0</w:t>
            </w:r>
          </w:p>
        </w:tc>
        <w:tc>
          <w:tcPr>
            <w:tcW w:w="433" w:type="pct"/>
            <w:tcBorders>
              <w:top w:val="nil"/>
              <w:left w:val="nil"/>
              <w:bottom w:val="single" w:sz="4" w:space="0" w:color="auto"/>
              <w:right w:val="single" w:sz="4" w:space="0" w:color="auto"/>
            </w:tcBorders>
            <w:shd w:val="clear" w:color="000000" w:fill="B4C6E7"/>
            <w:vAlign w:val="bottom"/>
            <w:hideMark/>
          </w:tcPr>
          <w:p w:rsidR="00386166" w:rsidRPr="00386166" w:rsidP="00386166">
            <w:pPr>
              <w:jc w:val="right"/>
              <w:rPr>
                <w:rFonts w:cs="Arial"/>
                <w:b/>
                <w:bCs/>
                <w:color w:val="000000"/>
                <w:sz w:val="22"/>
                <w:szCs w:val="22"/>
              </w:rPr>
            </w:pPr>
            <w:r w:rsidRPr="00386166">
              <w:rPr>
                <w:rFonts w:cs="Arial"/>
                <w:b/>
                <w:bCs/>
                <w:color w:val="000000"/>
                <w:sz w:val="22"/>
                <w:szCs w:val="22"/>
              </w:rPr>
              <w:t>0</w:t>
            </w:r>
          </w:p>
        </w:tc>
        <w:tc>
          <w:tcPr>
            <w:tcW w:w="429" w:type="pct"/>
            <w:tcBorders>
              <w:top w:val="nil"/>
              <w:left w:val="nil"/>
              <w:bottom w:val="single" w:sz="4" w:space="0" w:color="auto"/>
              <w:right w:val="single" w:sz="4" w:space="0" w:color="auto"/>
            </w:tcBorders>
            <w:shd w:val="clear" w:color="000000" w:fill="B4C6E7"/>
            <w:vAlign w:val="bottom"/>
            <w:hideMark/>
          </w:tcPr>
          <w:p w:rsidR="00386166" w:rsidRPr="00386166" w:rsidP="00386166">
            <w:pPr>
              <w:jc w:val="right"/>
              <w:rPr>
                <w:rFonts w:cs="Arial"/>
                <w:b/>
                <w:bCs/>
                <w:color w:val="000000"/>
                <w:sz w:val="22"/>
                <w:szCs w:val="22"/>
              </w:rPr>
            </w:pPr>
            <w:r w:rsidRPr="00386166">
              <w:rPr>
                <w:rFonts w:cs="Arial"/>
                <w:b/>
                <w:bCs/>
                <w:color w:val="000000"/>
                <w:sz w:val="22"/>
                <w:szCs w:val="22"/>
              </w:rPr>
              <w:t>0</w:t>
            </w:r>
          </w:p>
        </w:tc>
        <w:tc>
          <w:tcPr>
            <w:tcW w:w="433" w:type="pct"/>
            <w:tcBorders>
              <w:top w:val="nil"/>
              <w:left w:val="nil"/>
              <w:bottom w:val="single" w:sz="4" w:space="0" w:color="auto"/>
              <w:right w:val="single" w:sz="4" w:space="0" w:color="auto"/>
            </w:tcBorders>
            <w:shd w:val="clear" w:color="000000" w:fill="B4C6E7"/>
            <w:vAlign w:val="bottom"/>
            <w:hideMark/>
          </w:tcPr>
          <w:p w:rsidR="00386166" w:rsidRPr="00386166" w:rsidP="00386166">
            <w:pPr>
              <w:jc w:val="right"/>
              <w:rPr>
                <w:rFonts w:cs="Arial"/>
                <w:b/>
                <w:bCs/>
                <w:color w:val="000000"/>
                <w:sz w:val="22"/>
                <w:szCs w:val="22"/>
              </w:rPr>
            </w:pPr>
            <w:r w:rsidRPr="00386166">
              <w:rPr>
                <w:rFonts w:cs="Arial"/>
                <w:b/>
                <w:bCs/>
                <w:color w:val="000000"/>
                <w:sz w:val="22"/>
                <w:szCs w:val="22"/>
              </w:rPr>
              <w:t>0</w:t>
            </w:r>
          </w:p>
        </w:tc>
        <w:tc>
          <w:tcPr>
            <w:tcW w:w="435" w:type="pct"/>
            <w:tcBorders>
              <w:top w:val="nil"/>
              <w:left w:val="nil"/>
              <w:bottom w:val="single" w:sz="4" w:space="0" w:color="auto"/>
              <w:right w:val="single" w:sz="4" w:space="0" w:color="auto"/>
            </w:tcBorders>
            <w:shd w:val="clear" w:color="000000" w:fill="B4C6E7"/>
            <w:vAlign w:val="bottom"/>
            <w:hideMark/>
          </w:tcPr>
          <w:p w:rsidR="00386166" w:rsidRPr="00386166" w:rsidP="00386166">
            <w:pPr>
              <w:jc w:val="right"/>
              <w:rPr>
                <w:rFonts w:cs="Arial"/>
                <w:b/>
                <w:bCs/>
                <w:color w:val="000000"/>
                <w:sz w:val="22"/>
                <w:szCs w:val="22"/>
              </w:rPr>
            </w:pPr>
            <w:r w:rsidRPr="00386166">
              <w:rPr>
                <w:rFonts w:cs="Arial"/>
                <w:b/>
                <w:bCs/>
                <w:color w:val="000000"/>
                <w:sz w:val="22"/>
                <w:szCs w:val="22"/>
              </w:rPr>
              <w:t>0</w:t>
            </w:r>
          </w:p>
        </w:tc>
        <w:tc>
          <w:tcPr>
            <w:tcW w:w="566" w:type="pct"/>
            <w:tcBorders>
              <w:top w:val="nil"/>
              <w:left w:val="nil"/>
              <w:bottom w:val="single" w:sz="4" w:space="0" w:color="auto"/>
              <w:right w:val="single" w:sz="4" w:space="0" w:color="auto"/>
            </w:tcBorders>
            <w:shd w:val="clear" w:color="000000" w:fill="B4C6E7"/>
            <w:vAlign w:val="bottom"/>
            <w:hideMark/>
          </w:tcPr>
          <w:p w:rsidR="00386166" w:rsidRPr="00386166" w:rsidP="00386166">
            <w:pPr>
              <w:jc w:val="right"/>
              <w:rPr>
                <w:rFonts w:cs="Arial"/>
                <w:b/>
                <w:bCs/>
                <w:color w:val="000000"/>
                <w:sz w:val="22"/>
                <w:szCs w:val="22"/>
              </w:rPr>
            </w:pPr>
            <w:r w:rsidRPr="00386166">
              <w:rPr>
                <w:rFonts w:cs="Arial"/>
                <w:b/>
                <w:bCs/>
                <w:color w:val="000000"/>
                <w:sz w:val="22"/>
                <w:szCs w:val="22"/>
              </w:rPr>
              <w:t>169,948</w:t>
            </w:r>
          </w:p>
        </w:tc>
      </w:tr>
    </w:tbl>
    <w:p w:rsidR="00386166" w:rsidRPr="00565172" w:rsidP="00386166">
      <w:pPr>
        <w:ind w:left="567"/>
        <w:rPr>
          <w:rFonts w:eastAsiaTheme="minorHAnsi" w:cs="Arial"/>
          <w:i/>
          <w:sz w:val="18"/>
          <w:szCs w:val="18"/>
          <w:lang w:eastAsia="en-US"/>
        </w:rPr>
      </w:pPr>
      <w:r w:rsidRPr="00565172">
        <w:rPr>
          <w:rFonts w:eastAsiaTheme="minorHAnsi" w:cs="Arial"/>
          <w:i/>
          <w:sz w:val="18"/>
          <w:szCs w:val="18"/>
          <w:lang w:eastAsia="en-US"/>
        </w:rPr>
        <w:t>Please note – this table does not include the funding that flows to NHS Providers from the Public Health Grant, as that funding is allocated to Local Authorities (outside the DHSC Group)</w:t>
      </w:r>
    </w:p>
    <w:p w:rsidR="00386166" w:rsidP="004F64C1">
      <w:pPr>
        <w:ind w:left="567"/>
        <w:jc w:val="both"/>
        <w:rPr>
          <w:rFonts w:eastAsia="Calibri" w:cs="Arial"/>
          <w:sz w:val="22"/>
          <w:szCs w:val="22"/>
        </w:rPr>
        <w:sectPr w:rsidSect="00386166">
          <w:pgSz w:w="16838" w:h="11906" w:orient="landscape"/>
          <w:pgMar w:top="567" w:right="567" w:bottom="567" w:left="567" w:header="709" w:footer="709" w:gutter="0"/>
          <w:pgNumType w:start="1"/>
          <w:cols w:space="708"/>
          <w:titlePg/>
          <w:docGrid w:linePitch="360"/>
        </w:sectPr>
      </w:pPr>
    </w:p>
    <w:p w:rsidR="004F64C1" w:rsidRPr="00565172" w:rsidP="001F4DFB">
      <w:pPr>
        <w:numPr>
          <w:ilvl w:val="1"/>
          <w:numId w:val="4"/>
        </w:numPr>
        <w:spacing w:after="120" w:line="276" w:lineRule="auto"/>
        <w:ind w:left="567" w:hanging="567"/>
        <w:rPr>
          <w:rFonts w:eastAsia="Calibri" w:cs="Arial"/>
          <w:b/>
          <w:sz w:val="22"/>
          <w:szCs w:val="22"/>
        </w:rPr>
      </w:pPr>
      <w:r w:rsidRPr="00565172">
        <w:rPr>
          <w:rFonts w:eastAsia="Calibri" w:cs="Arial"/>
          <w:b/>
          <w:sz w:val="22"/>
          <w:szCs w:val="22"/>
        </w:rPr>
        <w:t>DHSC Re</w:t>
      </w:r>
      <w:r w:rsidR="00020A7A">
        <w:rPr>
          <w:rFonts w:eastAsia="Calibri" w:cs="Arial"/>
          <w:b/>
          <w:sz w:val="22"/>
          <w:szCs w:val="22"/>
        </w:rPr>
        <w:t>source</w:t>
      </w:r>
      <w:r w:rsidRPr="00565172">
        <w:rPr>
          <w:rFonts w:eastAsia="Calibri" w:cs="Arial"/>
          <w:b/>
          <w:sz w:val="22"/>
          <w:szCs w:val="22"/>
        </w:rPr>
        <w:t xml:space="preserve"> Expenditure Analysis</w:t>
      </w:r>
    </w:p>
    <w:p w:rsidR="001127BB" w:rsidRPr="001127BB" w:rsidP="001127BB">
      <w:pPr>
        <w:ind w:left="567"/>
        <w:rPr>
          <w:rFonts w:eastAsia="Calibri" w:cs="Arial"/>
          <w:sz w:val="22"/>
          <w:szCs w:val="22"/>
        </w:rPr>
      </w:pPr>
      <w:r w:rsidRPr="001127BB">
        <w:rPr>
          <w:rFonts w:eastAsia="Calibri" w:cs="Arial"/>
          <w:sz w:val="22"/>
          <w:szCs w:val="22"/>
        </w:rPr>
        <w:t>The majority of the DHSC’s budget is allocated to fund the NHS.  Circa £105 billion of re</w:t>
      </w:r>
      <w:r w:rsidR="00020A7A">
        <w:rPr>
          <w:rFonts w:eastAsia="Calibri" w:cs="Arial"/>
          <w:sz w:val="22"/>
          <w:szCs w:val="22"/>
        </w:rPr>
        <w:t>source</w:t>
      </w:r>
      <w:r w:rsidRPr="001127BB">
        <w:rPr>
          <w:rFonts w:eastAsia="Calibri" w:cs="Arial"/>
          <w:sz w:val="22"/>
          <w:szCs w:val="22"/>
        </w:rPr>
        <w:t xml:space="preserve"> expenditure in the Departmental group sits in the NHS Provider sector, spent on staff costs, drugs and procurement of supplies and services to deliver healthcare.  Other significant expenditure includes primary care (including general practice, dentistry, ophthalmology, pharmaceutical) and prescribing costs.</w:t>
      </w:r>
    </w:p>
    <w:p w:rsidR="001127BB" w:rsidRPr="001127BB" w:rsidP="001127BB">
      <w:pPr>
        <w:ind w:left="567"/>
        <w:rPr>
          <w:rFonts w:eastAsia="Calibri" w:cs="Arial"/>
          <w:sz w:val="22"/>
          <w:szCs w:val="22"/>
        </w:rPr>
      </w:pPr>
    </w:p>
    <w:p w:rsidR="001127BB" w:rsidRPr="001127BB" w:rsidP="001127BB">
      <w:pPr>
        <w:ind w:left="567"/>
        <w:rPr>
          <w:rFonts w:eastAsia="Calibri" w:cs="Arial"/>
          <w:sz w:val="22"/>
          <w:szCs w:val="22"/>
        </w:rPr>
      </w:pPr>
      <w:r w:rsidRPr="001127BB">
        <w:rPr>
          <w:rFonts w:eastAsia="Calibri" w:cs="Arial"/>
          <w:sz w:val="22"/>
          <w:szCs w:val="22"/>
        </w:rPr>
        <w:t xml:space="preserve">Further information on the NHS Provider sector can be found in the 2020-21 Provider consolidated accounts; and NHSE/NHSI now issue combined Board Reports.  </w:t>
      </w:r>
    </w:p>
    <w:p w:rsidR="001127BB" w:rsidRPr="001127BB" w:rsidP="001127BB">
      <w:pPr>
        <w:ind w:left="567"/>
        <w:rPr>
          <w:rFonts w:eastAsia="Calibri" w:cs="Arial"/>
          <w:sz w:val="22"/>
          <w:szCs w:val="22"/>
        </w:rPr>
      </w:pPr>
    </w:p>
    <w:p w:rsidR="001127BB" w:rsidRPr="001127BB" w:rsidP="001127BB">
      <w:pPr>
        <w:ind w:left="567"/>
        <w:rPr>
          <w:rFonts w:eastAsia="Calibri" w:cs="Arial"/>
          <w:sz w:val="22"/>
          <w:szCs w:val="22"/>
        </w:rPr>
      </w:pPr>
      <w:r w:rsidRPr="001127BB">
        <w:rPr>
          <w:rFonts w:eastAsia="Calibri" w:cs="Arial"/>
          <w:sz w:val="22"/>
          <w:szCs w:val="22"/>
        </w:rPr>
        <w:t>The chart below shows the 2017-18 to 202</w:t>
      </w:r>
      <w:r w:rsidR="00AD28DF">
        <w:rPr>
          <w:rFonts w:eastAsia="Calibri" w:cs="Arial"/>
          <w:sz w:val="22"/>
          <w:szCs w:val="22"/>
        </w:rPr>
        <w:t>0-21</w:t>
      </w:r>
      <w:r w:rsidRPr="001127BB">
        <w:rPr>
          <w:rFonts w:eastAsia="Calibri" w:cs="Arial"/>
          <w:sz w:val="22"/>
          <w:szCs w:val="22"/>
        </w:rPr>
        <w:t xml:space="preserve"> re</w:t>
      </w:r>
      <w:r w:rsidR="00020A7A">
        <w:rPr>
          <w:rFonts w:eastAsia="Calibri" w:cs="Arial"/>
          <w:sz w:val="22"/>
          <w:szCs w:val="22"/>
        </w:rPr>
        <w:t>source</w:t>
      </w:r>
      <w:r w:rsidRPr="001127BB">
        <w:rPr>
          <w:rFonts w:eastAsia="Calibri" w:cs="Arial"/>
          <w:sz w:val="22"/>
          <w:szCs w:val="22"/>
        </w:rPr>
        <w:t xml:space="preserve"> expenditure broken down to show the material categories as per the DHSC Annual Report in the Departmental Group Summary tables (2.2 Expenditure and 2.3 Income) for the relevant financial year. </w:t>
      </w:r>
    </w:p>
    <w:p w:rsidR="001127BB" w:rsidRPr="001127BB" w:rsidP="001127BB">
      <w:pPr>
        <w:ind w:left="567"/>
        <w:rPr>
          <w:rFonts w:eastAsia="Calibri" w:cs="Arial"/>
          <w:sz w:val="22"/>
          <w:szCs w:val="22"/>
        </w:rPr>
      </w:pPr>
    </w:p>
    <w:p w:rsidR="004F64C1" w:rsidP="001127BB">
      <w:pPr>
        <w:ind w:left="567"/>
        <w:rPr>
          <w:rFonts w:cs="Arial"/>
          <w:b/>
          <w:bCs/>
          <w:color w:val="17365D" w:themeColor="text2" w:themeShade="BF"/>
          <w:sz w:val="22"/>
          <w:szCs w:val="22"/>
        </w:rPr>
      </w:pPr>
      <w:r w:rsidRPr="001127BB">
        <w:rPr>
          <w:rFonts w:eastAsia="Calibri" w:cs="Arial"/>
          <w:sz w:val="22"/>
          <w:szCs w:val="22"/>
        </w:rPr>
        <w:t>Re</w:t>
      </w:r>
      <w:r w:rsidR="00020A7A">
        <w:rPr>
          <w:rFonts w:eastAsia="Calibri" w:cs="Arial"/>
          <w:sz w:val="22"/>
          <w:szCs w:val="22"/>
        </w:rPr>
        <w:t>source</w:t>
      </w:r>
      <w:r w:rsidRPr="001127BB">
        <w:rPr>
          <w:rFonts w:eastAsia="Calibri" w:cs="Arial"/>
          <w:sz w:val="22"/>
          <w:szCs w:val="22"/>
        </w:rPr>
        <w:t xml:space="preserve"> expenditure increased from £134.6 billion in 2019-20 to £180.2 billion in 2020-21, circa £43.0 billion of this increase related to Covid-19 expenditure. Inventory costs scoring to the re</w:t>
      </w:r>
      <w:r w:rsidR="00020A7A">
        <w:rPr>
          <w:rFonts w:eastAsia="Calibri" w:cs="Arial"/>
          <w:sz w:val="22"/>
          <w:szCs w:val="22"/>
        </w:rPr>
        <w:t>source</w:t>
      </w:r>
      <w:r w:rsidRPr="001127BB">
        <w:rPr>
          <w:rFonts w:eastAsia="Calibri" w:cs="Arial"/>
          <w:sz w:val="22"/>
          <w:szCs w:val="22"/>
        </w:rPr>
        <w:t xml:space="preserve"> budget have been shown separately, however the rest of the Covid-19 expenditure is included within all of the other categories detailed within the chart.</w:t>
      </w:r>
    </w:p>
    <w:p w:rsidR="004F64C1" w:rsidRPr="00565172" w:rsidP="004F64C1">
      <w:pPr>
        <w:spacing w:after="160" w:line="259" w:lineRule="auto"/>
        <w:contextualSpacing/>
        <w:jc w:val="center"/>
        <w:rPr>
          <w:rFonts w:cs="Arial"/>
          <w:b/>
          <w:bCs/>
          <w:sz w:val="22"/>
          <w:szCs w:val="22"/>
        </w:rPr>
      </w:pPr>
    </w:p>
    <w:p w:rsidR="004F64C1" w:rsidP="004F64C1">
      <w:pPr>
        <w:keepNext/>
        <w:keepLines/>
      </w:pPr>
      <w:r>
        <w:rPr>
          <w:rFonts w:eastAsiaTheme="minorHAnsi" w:cs="Arial"/>
          <w:noProof/>
          <w:sz w:val="22"/>
          <w:szCs w:val="22"/>
          <w:highlight w:val="yellow"/>
          <w:lang w:eastAsia="en-US"/>
        </w:rPr>
        <w:drawing>
          <wp:inline distT="0" distB="0" distL="0" distR="0">
            <wp:extent cx="6517005" cy="541401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xmlns:r="http://schemas.openxmlformats.org/officeDocument/2006/relationships" r:embed="rId22">
                      <a:extLst>
                        <a:ext uri="{28A0092B-C50C-407E-A947-70E740481C1C}">
                          <a14:useLocalDpi xmlns:a14="http://schemas.microsoft.com/office/drawing/2010/main" val="0"/>
                        </a:ext>
                      </a:extLst>
                    </a:blip>
                    <a:srcRect/>
                    <a:stretch>
                      <a:fillRect/>
                    </a:stretch>
                  </pic:blipFill>
                  <pic:spPr bwMode="auto">
                    <a:xfrm>
                      <a:off x="0" y="0"/>
                      <a:ext cx="6517005" cy="5414010"/>
                    </a:xfrm>
                    <a:prstGeom prst="rect">
                      <a:avLst/>
                    </a:prstGeom>
                    <a:noFill/>
                  </pic:spPr>
                </pic:pic>
              </a:graphicData>
            </a:graphic>
          </wp:inline>
        </w:drawing>
      </w:r>
    </w:p>
    <w:p w:rsidR="004F64C1" w:rsidRPr="004C4DED" w:rsidP="004F64C1">
      <w:pPr>
        <w:ind w:left="567"/>
        <w:jc w:val="both"/>
        <w:rPr>
          <w:rFonts w:eastAsiaTheme="minorHAnsi" w:cs="Arial"/>
          <w:sz w:val="22"/>
          <w:szCs w:val="22"/>
          <w:highlight w:val="yellow"/>
          <w:lang w:eastAsia="en-US"/>
        </w:rPr>
      </w:pPr>
    </w:p>
    <w:p w:rsidR="004F64C1" w:rsidP="004F64C1">
      <w:pPr>
        <w:jc w:val="both"/>
        <w:rPr>
          <w:rFonts w:eastAsiaTheme="minorHAnsi" w:cs="Arial"/>
          <w:sz w:val="22"/>
          <w:szCs w:val="22"/>
          <w:lang w:eastAsia="en-US"/>
        </w:rPr>
      </w:pPr>
    </w:p>
    <w:p w:rsidR="004F64C1" w:rsidRPr="008721D1" w:rsidP="004F64C1">
      <w:pPr>
        <w:ind w:left="720"/>
        <w:rPr>
          <w:rFonts w:cs="Arial"/>
          <w:b/>
          <w:bCs/>
          <w:color w:val="17365D" w:themeColor="text2" w:themeShade="BF"/>
          <w:sz w:val="22"/>
          <w:szCs w:val="22"/>
        </w:rPr>
      </w:pPr>
      <w:r w:rsidRPr="00565172">
        <w:rPr>
          <w:rFonts w:eastAsiaTheme="minorHAnsi" w:cs="Arial"/>
          <w:i/>
          <w:sz w:val="18"/>
          <w:szCs w:val="18"/>
          <w:lang w:eastAsia="en-US"/>
        </w:rPr>
        <w:t>*These figures are net of income.</w:t>
      </w:r>
    </w:p>
    <w:p w:rsidR="004F64C1" w:rsidRPr="00565172" w:rsidP="004F64C1">
      <w:pPr>
        <w:contextualSpacing/>
        <w:jc w:val="center"/>
        <w:rPr>
          <w:rFonts w:cs="Arial"/>
          <w:b/>
          <w:bCs/>
          <w:sz w:val="28"/>
          <w:szCs w:val="28"/>
        </w:rPr>
      </w:pPr>
    </w:p>
    <w:p w:rsidR="004F64C1" w:rsidP="004F64C1">
      <w:pPr>
        <w:ind w:left="720"/>
        <w:rPr>
          <w:rFonts w:eastAsiaTheme="minorHAnsi" w:cs="Arial"/>
          <w:i/>
          <w:sz w:val="18"/>
          <w:szCs w:val="18"/>
          <w:lang w:eastAsia="en-US"/>
        </w:rPr>
        <w:sectPr w:rsidSect="00207561">
          <w:pgSz w:w="11906" w:h="16838"/>
          <w:pgMar w:top="567" w:right="567" w:bottom="567" w:left="567" w:header="709" w:footer="709" w:gutter="0"/>
          <w:pgNumType w:start="1"/>
          <w:cols w:space="708"/>
          <w:titlePg/>
          <w:docGrid w:linePitch="360"/>
        </w:sectPr>
      </w:pPr>
    </w:p>
    <w:p w:rsidR="000F1545" w:rsidRPr="00C12BEE" w:rsidP="000F1545">
      <w:pPr>
        <w:pStyle w:val="ListParagraph"/>
        <w:ind w:left="360"/>
        <w:jc w:val="both"/>
        <w:rPr>
          <w:rFonts w:ascii="Arial" w:eastAsia="Times New Roman" w:hAnsi="Arial" w:cs="Arial"/>
          <w:bCs/>
        </w:rPr>
      </w:pPr>
    </w:p>
    <w:sectPr w:rsidSect="009977AA">
      <w:headerReference w:type="default" r:id="rId23"/>
      <w:footerReference w:type="even" r:id="rId24"/>
      <w:footerReference w:type="default" r:id="rId25"/>
      <w:footerReference w:type="first" r:id="rId26"/>
      <w:type w:val="continuous"/>
      <w:pgSz w:w="11906" w:h="16838"/>
      <w:pgMar w:top="1103" w:right="1800" w:bottom="1440" w:left="1800" w:header="708" w:footer="708" w:gutter="0"/>
      <w:pgNumType w:start="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Humnst777 Lt BT">
    <w:charset w:val="00"/>
    <w:family w:val="swiss"/>
    <w:pitch w:val="variable"/>
    <w:sig w:usb0="800000AF" w:usb1="1000204A" w:usb2="00000000" w:usb3="00000000" w:csb0="0000001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16B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127659453"/>
      <w:docPartObj>
        <w:docPartGallery w:val="Page Numbers (Bottom of Page)"/>
        <w:docPartUnique/>
      </w:docPartObj>
    </w:sdtPr>
    <w:sdtEndPr>
      <w:rPr>
        <w:noProof/>
      </w:rPr>
    </w:sdtEndPr>
    <w:sdtContent>
      <w:p w:rsidR="00CF16B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rsidR="00CF16B4">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16B4">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18C9" w:rsidP="0002138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C18C9">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484694033"/>
      <w:docPartObj>
        <w:docPartGallery w:val="Page Numbers (Bottom of Page)"/>
        <w:docPartUnique/>
      </w:docPartObj>
    </w:sdtPr>
    <w:sdtEndPr>
      <w:rPr>
        <w:noProof/>
      </w:rPr>
    </w:sdtEndPr>
    <w:sdtContent>
      <w:p w:rsidR="004C18C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rsidR="004C18C9" w:rsidRPr="002C47D6" w:rsidP="002E5BE4">
    <w:pPr>
      <w:pStyle w:val="Footer"/>
      <w:rPr>
        <w:rFonts w:ascii="Times New Roman" w:hAnsi="Times New Roman"/>
        <w:color w:val="808080"/>
        <w:sz w:val="20"/>
        <w:szCs w:val="20"/>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18C9">
    <w:pPr>
      <w:pStyle w:val="Footer"/>
      <w:jc w:val="center"/>
    </w:pPr>
    <w:r>
      <w:fldChar w:fldCharType="begin"/>
    </w:r>
    <w:r>
      <w:instrText xml:space="preserve"> PAGE   \* MERGEFORMAT </w:instrText>
    </w:r>
    <w:r>
      <w:fldChar w:fldCharType="separate"/>
    </w:r>
    <w:r>
      <w:rPr>
        <w:noProof/>
      </w:rPr>
      <w:t>0</w:t>
    </w:r>
    <w:r>
      <w:rPr>
        <w:noProof/>
      </w:rPr>
      <w:fldChar w:fldCharType="end"/>
    </w:r>
  </w:p>
  <w:p w:rsidR="004C18C9">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16B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16B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16B4">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18C9" w:rsidRPr="00EA517C" w:rsidP="00CF4153">
    <w:pPr>
      <w:jc w:val="center"/>
      <w:rPr>
        <w:rStyle w:val="ClassificationText"/>
        <w:rFonts w:cs="Arial"/>
        <w:b/>
        <w:color w:val="FF0000"/>
      </w:rPr>
    </w:pPr>
    <w:r w:rsidRPr="00EA517C">
      <w:rPr>
        <w:rStyle w:val="ClassificationText"/>
        <w:rFonts w:cs="Arial"/>
        <w:b/>
        <w:color w:val="FF0000"/>
      </w:rPr>
      <w:t xml:space="preserve">DRAFT </w:t>
    </w:r>
  </w:p>
  <w:p w:rsidR="004C18C9" w:rsidRPr="00CF4153" w:rsidP="00CF4153">
    <w:pPr>
      <w:jc w:val="center"/>
      <w:rPr>
        <w:rFonts w:cs="Arial"/>
        <w:i/>
        <w:sz w:val="18"/>
        <w:szCs w:val="20"/>
      </w:rPr>
    </w:pPr>
    <w:r w:rsidRPr="00EA517C">
      <w:rPr>
        <w:rStyle w:val="ClassificationText"/>
        <w:rFonts w:cs="Arial"/>
        <w:i/>
        <w:sz w:val="18"/>
        <w:szCs w:val="20"/>
      </w:rPr>
      <w:t xml:space="preserve">Keep the ‘draft’ marking until you’re ready to send to Private Office then delete it, and these instructions. Add a </w:t>
    </w:r>
    <w:r>
      <w:fldChar w:fldCharType="begin"/>
    </w:r>
    <w:r>
      <w:instrText xml:space="preserve"> HYPERLINK "https://in.dh.gov.uk/how-to/manage-information/government-security-classifications-gsc/" </w:instrText>
    </w:r>
    <w:r>
      <w:fldChar w:fldCharType="separate"/>
    </w:r>
    <w:r w:rsidRPr="00EA517C">
      <w:rPr>
        <w:rStyle w:val="Hyperlink"/>
        <w:rFonts w:cs="Arial"/>
        <w:i/>
        <w:sz w:val="18"/>
        <w:szCs w:val="20"/>
      </w:rPr>
      <w:t>security marking</w:t>
    </w:r>
    <w:r>
      <w:fldChar w:fldCharType="end"/>
    </w:r>
    <w:r w:rsidRPr="00EA517C">
      <w:rPr>
        <w:rStyle w:val="ClassificationText"/>
        <w:rFonts w:cs="Arial"/>
        <w:i/>
        <w:sz w:val="18"/>
        <w:szCs w:val="20"/>
      </w:rPr>
      <w:t xml:space="preserve"> if your advice is </w:t>
    </w:r>
    <w:r w:rsidRPr="00A905ED">
      <w:rPr>
        <w:rStyle w:val="ClassificationText"/>
        <w:rFonts w:cs="Arial"/>
        <w:b/>
        <w:i/>
        <w:color w:val="FF0000"/>
        <w:sz w:val="18"/>
        <w:szCs w:val="20"/>
      </w:rPr>
      <w:t>OFFICIAL-SENSITIVE</w:t>
    </w:r>
    <w:r w:rsidRPr="00A905ED">
      <w:rPr>
        <w:rStyle w:val="ClassificationText"/>
        <w:rFonts w:cs="Arial"/>
        <w:i/>
        <w:color w:val="FF0000"/>
        <w:sz w:val="18"/>
        <w:szCs w:val="20"/>
      </w:rPr>
      <w:t xml:space="preserve"> </w:t>
    </w:r>
    <w:r w:rsidRPr="00EA517C">
      <w:rPr>
        <w:rStyle w:val="ClassificationText"/>
        <w:rFonts w:cs="Arial"/>
        <w:i/>
        <w:sz w:val="18"/>
        <w:szCs w:val="20"/>
      </w:rPr>
      <w:t xml:space="preserve">or </w:t>
    </w:r>
    <w:r w:rsidRPr="00A905ED">
      <w:rPr>
        <w:rStyle w:val="ClassificationText"/>
        <w:rFonts w:cs="Arial"/>
        <w:b/>
        <w:i/>
        <w:color w:val="FF0000"/>
        <w:sz w:val="18"/>
        <w:szCs w:val="20"/>
      </w:rPr>
      <w:t>SECRET</w:t>
    </w:r>
    <w:r w:rsidRPr="005203AE">
      <w:rPr>
        <w:rStyle w:val="ClassificationText"/>
        <w:rFonts w:cs="Arial"/>
        <w:b/>
        <w:i/>
        <w:sz w:val="18"/>
        <w:szCs w:val="20"/>
      </w:rPr>
      <w:t xml:space="preserve"> </w:t>
    </w:r>
    <w:r w:rsidRPr="00EA517C">
      <w:rPr>
        <w:rStyle w:val="ClassificationText"/>
        <w:rFonts w:cs="Arial"/>
        <w:i/>
        <w:sz w:val="18"/>
        <w:szCs w:val="20"/>
      </w:rPr>
      <w:t>(no need if OFFICIAL).</w:t>
    </w:r>
  </w:p>
  <w:p w:rsidR="004C18C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2EE0D31"/>
    <w:multiLevelType w:val="hybridMultilevel"/>
    <w:tmpl w:val="B54EE2FE"/>
    <w:lvl w:ilvl="0">
      <w:start w:val="1"/>
      <w:numFmt w:val="lowerLetter"/>
      <w:lvlText w:val="%1)"/>
      <w:lvlJc w:val="left"/>
      <w:pPr>
        <w:ind w:left="1080" w:hanging="360"/>
      </w:pPr>
      <w:rPr>
        <w:rFonts w:hint="default"/>
      </w:rPr>
    </w:lvl>
    <w:lvl w:ilvl="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
    <w:nsid w:val="0E1F64E9"/>
    <w:multiLevelType w:val="hybridMultilevel"/>
    <w:tmpl w:val="A2CAA082"/>
    <w:lvl w:ilvl="0">
      <w:start w:val="1"/>
      <w:numFmt w:val="lowerLetter"/>
      <w:lvlText w:val="%1)"/>
      <w:lvlJc w:val="left"/>
      <w:pPr>
        <w:ind w:left="720" w:hanging="360"/>
      </w:pPr>
    </w:lvl>
    <w:lvl w:ilvl="1">
      <w:start w:val="1"/>
      <w:numFmt w:val="bullet"/>
      <w:lvlText w:val=""/>
      <w:lvlJc w:val="left"/>
      <w:pPr>
        <w:ind w:left="1440" w:hanging="360"/>
      </w:pPr>
      <w:rPr>
        <w:rFonts w:ascii="Symbol" w:hAnsi="Symbol" w:hint="default"/>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nsid w:val="14972AAF"/>
    <w:multiLevelType w:val="hybridMultilevel"/>
    <w:tmpl w:val="559000BA"/>
    <w:lvl w:ilvl="0">
      <w:start w:val="1"/>
      <w:numFmt w:val="lowerLetter"/>
      <w:lvlText w:val="%1)"/>
      <w:lvlJc w:val="left"/>
      <w:pPr>
        <w:ind w:left="1080" w:hanging="360"/>
      </w:pPr>
      <w:rPr>
        <w:rFonts w:hint="default"/>
      </w:rPr>
    </w:lvl>
    <w:lvl w:ilvl="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3">
    <w:nsid w:val="179E3E58"/>
    <w:multiLevelType w:val="multilevel"/>
    <w:tmpl w:val="E2625EAA"/>
    <w:lvl w:ilvl="0">
      <w:start w:val="1"/>
      <w:numFmt w:val="decimal"/>
      <w:lvlText w:val="%1."/>
      <w:lvlJc w:val="left"/>
      <w:pPr>
        <w:ind w:left="720" w:hanging="360"/>
      </w:pPr>
      <w:rPr>
        <w:rFonts w:hint="default"/>
        <w:b/>
      </w:rPr>
    </w:lvl>
    <w:lvl w:ilvl="1">
      <w:start w:val="9"/>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
    <w:nsid w:val="29D50E5F"/>
    <w:multiLevelType w:val="hybridMultilevel"/>
    <w:tmpl w:val="BDA2849C"/>
    <w:lvl w:ilvl="0">
      <w:start w:val="1"/>
      <w:numFmt w:val="lowerRoman"/>
      <w:lvlText w:val="%1)"/>
      <w:lvlJc w:val="right"/>
      <w:pPr>
        <w:ind w:left="1080" w:hanging="360"/>
      </w:pPr>
      <w:rPr>
        <w:rFonts w:hint="default"/>
      </w:rPr>
    </w:lvl>
    <w:lvl w:ilvl="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5">
    <w:nsid w:val="2B796CDA"/>
    <w:multiLevelType w:val="hybridMultilevel"/>
    <w:tmpl w:val="6F3854A2"/>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6">
    <w:nsid w:val="2F3C5D7E"/>
    <w:multiLevelType w:val="hybridMultilevel"/>
    <w:tmpl w:val="0868D42C"/>
    <w:lvl w:ilvl="0">
      <w:start w:val="1"/>
      <w:numFmt w:val="bullet"/>
      <w:lvlText w:val=""/>
      <w:lvlJc w:val="left"/>
      <w:pPr>
        <w:ind w:left="1284" w:hanging="360"/>
      </w:pPr>
      <w:rPr>
        <w:rFonts w:ascii="Symbol" w:hAnsi="Symbol" w:hint="default"/>
      </w:rPr>
    </w:lvl>
    <w:lvl w:ilvl="1" w:tentative="1">
      <w:start w:val="1"/>
      <w:numFmt w:val="lowerLetter"/>
      <w:lvlText w:val="%2."/>
      <w:lvlJc w:val="left"/>
      <w:pPr>
        <w:ind w:left="2004" w:hanging="360"/>
      </w:pPr>
    </w:lvl>
    <w:lvl w:ilvl="2" w:tentative="1">
      <w:start w:val="1"/>
      <w:numFmt w:val="lowerRoman"/>
      <w:lvlText w:val="%3."/>
      <w:lvlJc w:val="right"/>
      <w:pPr>
        <w:ind w:left="2724" w:hanging="180"/>
      </w:pPr>
    </w:lvl>
    <w:lvl w:ilvl="3" w:tentative="1">
      <w:start w:val="1"/>
      <w:numFmt w:val="decimal"/>
      <w:lvlText w:val="%4."/>
      <w:lvlJc w:val="left"/>
      <w:pPr>
        <w:ind w:left="3444" w:hanging="360"/>
      </w:pPr>
    </w:lvl>
    <w:lvl w:ilvl="4" w:tentative="1">
      <w:start w:val="1"/>
      <w:numFmt w:val="lowerLetter"/>
      <w:lvlText w:val="%5."/>
      <w:lvlJc w:val="left"/>
      <w:pPr>
        <w:ind w:left="4164" w:hanging="360"/>
      </w:pPr>
    </w:lvl>
    <w:lvl w:ilvl="5" w:tentative="1">
      <w:start w:val="1"/>
      <w:numFmt w:val="lowerRoman"/>
      <w:lvlText w:val="%6."/>
      <w:lvlJc w:val="right"/>
      <w:pPr>
        <w:ind w:left="4884" w:hanging="180"/>
      </w:pPr>
    </w:lvl>
    <w:lvl w:ilvl="6" w:tentative="1">
      <w:start w:val="1"/>
      <w:numFmt w:val="decimal"/>
      <w:lvlText w:val="%7."/>
      <w:lvlJc w:val="left"/>
      <w:pPr>
        <w:ind w:left="5604" w:hanging="360"/>
      </w:pPr>
    </w:lvl>
    <w:lvl w:ilvl="7" w:tentative="1">
      <w:start w:val="1"/>
      <w:numFmt w:val="lowerLetter"/>
      <w:lvlText w:val="%8."/>
      <w:lvlJc w:val="left"/>
      <w:pPr>
        <w:ind w:left="6324" w:hanging="360"/>
      </w:pPr>
    </w:lvl>
    <w:lvl w:ilvl="8" w:tentative="1">
      <w:start w:val="1"/>
      <w:numFmt w:val="lowerRoman"/>
      <w:lvlText w:val="%9."/>
      <w:lvlJc w:val="right"/>
      <w:pPr>
        <w:ind w:left="7044" w:hanging="180"/>
      </w:pPr>
    </w:lvl>
  </w:abstractNum>
  <w:abstractNum w:abstractNumId="7">
    <w:nsid w:val="31844AC9"/>
    <w:multiLevelType w:val="multilevel"/>
    <w:tmpl w:val="863C0C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nsid w:val="32AB0BE8"/>
    <w:multiLevelType w:val="hybridMultilevel"/>
    <w:tmpl w:val="03E267E6"/>
    <w:lvl w:ilvl="0">
      <w:start w:val="1"/>
      <w:numFmt w:val="decimal"/>
      <w:lvlText w:val="%1."/>
      <w:lvlJc w:val="left"/>
      <w:pPr>
        <w:tabs>
          <w:tab w:val="num" w:pos="360"/>
        </w:tabs>
        <w:ind w:left="360" w:hanging="360"/>
      </w:pPr>
      <w:rPr>
        <w:rFonts w:ascii="Arial" w:hAnsi="Arial" w:cs="Arial" w:hint="default"/>
        <w:b w:val="0"/>
        <w:i w:val="0"/>
        <w:color w:val="auto"/>
      </w:rPr>
    </w:lvl>
    <w:lvl w:ilvl="1">
      <w:start w:val="1"/>
      <w:numFmt w:val="lowerLetter"/>
      <w:lvlText w:val="%2)"/>
      <w:lvlJc w:val="left"/>
      <w:pPr>
        <w:tabs>
          <w:tab w:val="num" w:pos="1080"/>
        </w:tabs>
        <w:ind w:left="1080" w:hanging="360"/>
      </w:pPr>
      <w:rPr>
        <w:rFonts w:hint="default"/>
        <w:b w:val="0"/>
        <w:bCs w:val="0"/>
        <w:i w:val="0"/>
        <w:iCs w:val="0"/>
      </w:rPr>
    </w:lvl>
    <w:lvl w:ilvl="2">
      <w:start w:val="9"/>
      <w:numFmt w:val="bullet"/>
      <w:lvlText w:val="-"/>
      <w:lvlJc w:val="left"/>
      <w:pPr>
        <w:tabs>
          <w:tab w:val="num" w:pos="1980"/>
        </w:tabs>
        <w:ind w:left="1980" w:hanging="360"/>
      </w:pPr>
      <w:rPr>
        <w:rFonts w:ascii="Arial" w:eastAsia="Times New Roman" w:hAnsi="Arial" w:cs="Times New Roman" w:hint="default"/>
      </w:rPr>
    </w:lvl>
    <w:lvl w:ilvl="3">
      <w:start w:val="1"/>
      <w:numFmt w:val="bullet"/>
      <w:lvlText w:val=""/>
      <w:lvlJc w:val="left"/>
      <w:pPr>
        <w:tabs>
          <w:tab w:val="num" w:pos="2520"/>
        </w:tabs>
        <w:ind w:left="2520" w:hanging="360"/>
      </w:pPr>
      <w:rPr>
        <w:rFonts w:ascii="Symbol" w:hAnsi="Symbol" w:hint="default"/>
        <w:color w:val="auto"/>
      </w:r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9">
    <w:nsid w:val="36A34A67"/>
    <w:multiLevelType w:val="hybridMultilevel"/>
    <w:tmpl w:val="3D508624"/>
    <w:lvl w:ilvl="0">
      <w:start w:val="1"/>
      <w:numFmt w:val="lowerLetter"/>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0">
    <w:nsid w:val="38C06A3A"/>
    <w:multiLevelType w:val="hybridMultilevel"/>
    <w:tmpl w:val="2C5C1FC6"/>
    <w:lvl w:ilvl="0">
      <w:start w:val="1"/>
      <w:numFmt w:val="decimal"/>
      <w:lvlText w:val="%1."/>
      <w:lvlJc w:val="left"/>
      <w:pPr>
        <w:tabs>
          <w:tab w:val="num" w:pos="360"/>
        </w:tabs>
        <w:ind w:left="360" w:hanging="360"/>
      </w:pPr>
      <w:rPr>
        <w:b w:val="0"/>
        <w:i w:val="0"/>
        <w:color w:val="auto"/>
      </w:rPr>
    </w:lvl>
    <w:lvl w:ilvl="1">
      <w:start w:val="1"/>
      <w:numFmt w:val="lowerLetter"/>
      <w:lvlText w:val="%2."/>
      <w:lvlJc w:val="left"/>
      <w:pPr>
        <w:tabs>
          <w:tab w:val="num" w:pos="1080"/>
        </w:tabs>
        <w:ind w:left="1080" w:hanging="360"/>
      </w:pPr>
      <w:rPr>
        <w:rFonts w:hint="default"/>
        <w:b w:val="0"/>
        <w:bCs w:val="0"/>
        <w:i w:val="0"/>
        <w:iCs w:val="0"/>
      </w:rPr>
    </w:lvl>
    <w:lvl w:ilvl="2">
      <w:start w:val="9"/>
      <w:numFmt w:val="bullet"/>
      <w:lvlText w:val="-"/>
      <w:lvlJc w:val="left"/>
      <w:pPr>
        <w:tabs>
          <w:tab w:val="num" w:pos="1980"/>
        </w:tabs>
        <w:ind w:left="1980" w:hanging="360"/>
      </w:pPr>
      <w:rPr>
        <w:rFonts w:ascii="Arial" w:eastAsia="Times New Roman" w:hAnsi="Arial" w:cs="Times New Roman" w:hint="default"/>
      </w:rPr>
    </w:lvl>
    <w:lvl w:ilvl="3">
      <w:start w:val="1"/>
      <w:numFmt w:val="bullet"/>
      <w:lvlText w:val=""/>
      <w:lvlJc w:val="left"/>
      <w:pPr>
        <w:tabs>
          <w:tab w:val="num" w:pos="2520"/>
        </w:tabs>
        <w:ind w:left="2520" w:hanging="360"/>
      </w:pPr>
      <w:rPr>
        <w:rFonts w:ascii="Symbol" w:hAnsi="Symbol" w:hint="default"/>
        <w:color w:val="auto"/>
      </w:r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11">
    <w:nsid w:val="3AD11791"/>
    <w:multiLevelType w:val="multilevel"/>
    <w:tmpl w:val="713ED042"/>
    <w:lvl w:ilvl="0">
      <w:start w:val="1"/>
      <w:numFmt w:val="decimal"/>
      <w:lvlText w:val="%1."/>
      <w:lvlJc w:val="left"/>
      <w:pPr>
        <w:ind w:left="360" w:hanging="360"/>
      </w:pPr>
      <w:rPr>
        <w:rFonts w:hint="default"/>
      </w:rPr>
    </w:lvl>
    <w:lvl w:ilvl="1">
      <w:start w:val="1"/>
      <w:numFmt w:val="decimal"/>
      <w:lvlText w:val="%1.%2."/>
      <w:lvlJc w:val="left"/>
      <w:pPr>
        <w:ind w:left="792" w:hanging="79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nsid w:val="3D44191F"/>
    <w:multiLevelType w:val="hybridMultilevel"/>
    <w:tmpl w:val="4F4812B4"/>
    <w:lvl w:ilvl="0">
      <w:start w:val="1"/>
      <w:numFmt w:val="bullet"/>
      <w:lvlText w:val=""/>
      <w:lvlJc w:val="left"/>
      <w:pPr>
        <w:ind w:left="1287" w:hanging="360"/>
      </w:pPr>
      <w:rPr>
        <w:rFonts w:ascii="Symbol" w:hAnsi="Symbol" w:hint="default"/>
      </w:rPr>
    </w:lvl>
    <w:lvl w:ilvl="1">
      <w:start w:val="1"/>
      <w:numFmt w:val="bullet"/>
      <w:lvlText w:val="o"/>
      <w:lvlJc w:val="left"/>
      <w:pPr>
        <w:ind w:left="2007" w:hanging="360"/>
      </w:pPr>
      <w:rPr>
        <w:rFonts w:ascii="Courier New" w:hAnsi="Courier New" w:cs="Courier New" w:hint="default"/>
      </w:rPr>
    </w:lvl>
    <w:lvl w:ilvl="2" w:tentative="1">
      <w:start w:val="1"/>
      <w:numFmt w:val="bullet"/>
      <w:lvlText w:val=""/>
      <w:lvlJc w:val="left"/>
      <w:pPr>
        <w:ind w:left="2727" w:hanging="360"/>
      </w:pPr>
      <w:rPr>
        <w:rFonts w:ascii="Wingdings" w:hAnsi="Wingdings" w:hint="default"/>
      </w:rPr>
    </w:lvl>
    <w:lvl w:ilvl="3" w:tentative="1">
      <w:start w:val="1"/>
      <w:numFmt w:val="bullet"/>
      <w:lvlText w:val=""/>
      <w:lvlJc w:val="left"/>
      <w:pPr>
        <w:ind w:left="3447" w:hanging="360"/>
      </w:pPr>
      <w:rPr>
        <w:rFonts w:ascii="Symbol" w:hAnsi="Symbol" w:hint="default"/>
      </w:rPr>
    </w:lvl>
    <w:lvl w:ilvl="4" w:tentative="1">
      <w:start w:val="1"/>
      <w:numFmt w:val="bullet"/>
      <w:lvlText w:val="o"/>
      <w:lvlJc w:val="left"/>
      <w:pPr>
        <w:ind w:left="4167" w:hanging="360"/>
      </w:pPr>
      <w:rPr>
        <w:rFonts w:ascii="Courier New" w:hAnsi="Courier New" w:cs="Courier New" w:hint="default"/>
      </w:rPr>
    </w:lvl>
    <w:lvl w:ilvl="5" w:tentative="1">
      <w:start w:val="1"/>
      <w:numFmt w:val="bullet"/>
      <w:lvlText w:val=""/>
      <w:lvlJc w:val="left"/>
      <w:pPr>
        <w:ind w:left="4887" w:hanging="360"/>
      </w:pPr>
      <w:rPr>
        <w:rFonts w:ascii="Wingdings" w:hAnsi="Wingdings" w:hint="default"/>
      </w:rPr>
    </w:lvl>
    <w:lvl w:ilvl="6" w:tentative="1">
      <w:start w:val="1"/>
      <w:numFmt w:val="bullet"/>
      <w:lvlText w:val=""/>
      <w:lvlJc w:val="left"/>
      <w:pPr>
        <w:ind w:left="5607" w:hanging="360"/>
      </w:pPr>
      <w:rPr>
        <w:rFonts w:ascii="Symbol" w:hAnsi="Symbol" w:hint="default"/>
      </w:rPr>
    </w:lvl>
    <w:lvl w:ilvl="7" w:tentative="1">
      <w:start w:val="1"/>
      <w:numFmt w:val="bullet"/>
      <w:lvlText w:val="o"/>
      <w:lvlJc w:val="left"/>
      <w:pPr>
        <w:ind w:left="6327" w:hanging="360"/>
      </w:pPr>
      <w:rPr>
        <w:rFonts w:ascii="Courier New" w:hAnsi="Courier New" w:cs="Courier New" w:hint="default"/>
      </w:rPr>
    </w:lvl>
    <w:lvl w:ilvl="8" w:tentative="1">
      <w:start w:val="1"/>
      <w:numFmt w:val="bullet"/>
      <w:lvlText w:val=""/>
      <w:lvlJc w:val="left"/>
      <w:pPr>
        <w:ind w:left="7047" w:hanging="360"/>
      </w:pPr>
      <w:rPr>
        <w:rFonts w:ascii="Wingdings" w:hAnsi="Wingdings" w:hint="default"/>
      </w:rPr>
    </w:lvl>
  </w:abstractNum>
  <w:abstractNum w:abstractNumId="13">
    <w:nsid w:val="3E493EB4"/>
    <w:multiLevelType w:val="multilevel"/>
    <w:tmpl w:val="A1E8E1A8"/>
    <w:lvl w:ilvl="0">
      <w:start w:val="1"/>
      <w:numFmt w:val="bullet"/>
      <w:lvlText w:val=""/>
      <w:lvlJc w:val="left"/>
      <w:pPr>
        <w:tabs>
          <w:tab w:val="num" w:pos="1644"/>
        </w:tabs>
        <w:ind w:left="1644" w:hanging="360"/>
      </w:pPr>
      <w:rPr>
        <w:rFonts w:ascii="Symbol" w:hAnsi="Symbol" w:hint="default"/>
        <w:sz w:val="20"/>
      </w:rPr>
    </w:lvl>
    <w:lvl w:ilvl="1" w:tentative="1">
      <w:start w:val="1"/>
      <w:numFmt w:val="bullet"/>
      <w:lvlText w:val="o"/>
      <w:lvlJc w:val="left"/>
      <w:pPr>
        <w:tabs>
          <w:tab w:val="num" w:pos="2364"/>
        </w:tabs>
        <w:ind w:left="2364" w:hanging="360"/>
      </w:pPr>
      <w:rPr>
        <w:rFonts w:ascii="Courier New" w:hAnsi="Courier New" w:hint="default"/>
        <w:sz w:val="20"/>
      </w:rPr>
    </w:lvl>
    <w:lvl w:ilvl="2" w:tentative="1">
      <w:start w:val="1"/>
      <w:numFmt w:val="bullet"/>
      <w:lvlText w:val=""/>
      <w:lvlJc w:val="left"/>
      <w:pPr>
        <w:tabs>
          <w:tab w:val="num" w:pos="3084"/>
        </w:tabs>
        <w:ind w:left="3084" w:hanging="360"/>
      </w:pPr>
      <w:rPr>
        <w:rFonts w:ascii="Wingdings" w:hAnsi="Wingdings" w:hint="default"/>
        <w:sz w:val="20"/>
      </w:rPr>
    </w:lvl>
    <w:lvl w:ilvl="3" w:tentative="1">
      <w:start w:val="1"/>
      <w:numFmt w:val="bullet"/>
      <w:lvlText w:val=""/>
      <w:lvlJc w:val="left"/>
      <w:pPr>
        <w:tabs>
          <w:tab w:val="num" w:pos="3804"/>
        </w:tabs>
        <w:ind w:left="3804" w:hanging="360"/>
      </w:pPr>
      <w:rPr>
        <w:rFonts w:ascii="Wingdings" w:hAnsi="Wingdings" w:hint="default"/>
        <w:sz w:val="20"/>
      </w:rPr>
    </w:lvl>
    <w:lvl w:ilvl="4" w:tentative="1">
      <w:start w:val="1"/>
      <w:numFmt w:val="bullet"/>
      <w:lvlText w:val=""/>
      <w:lvlJc w:val="left"/>
      <w:pPr>
        <w:tabs>
          <w:tab w:val="num" w:pos="4524"/>
        </w:tabs>
        <w:ind w:left="4524" w:hanging="360"/>
      </w:pPr>
      <w:rPr>
        <w:rFonts w:ascii="Wingdings" w:hAnsi="Wingdings" w:hint="default"/>
        <w:sz w:val="20"/>
      </w:rPr>
    </w:lvl>
    <w:lvl w:ilvl="5" w:tentative="1">
      <w:start w:val="1"/>
      <w:numFmt w:val="bullet"/>
      <w:lvlText w:val=""/>
      <w:lvlJc w:val="left"/>
      <w:pPr>
        <w:tabs>
          <w:tab w:val="num" w:pos="5244"/>
        </w:tabs>
        <w:ind w:left="5244" w:hanging="360"/>
      </w:pPr>
      <w:rPr>
        <w:rFonts w:ascii="Wingdings" w:hAnsi="Wingdings" w:hint="default"/>
        <w:sz w:val="20"/>
      </w:rPr>
    </w:lvl>
    <w:lvl w:ilvl="6" w:tentative="1">
      <w:start w:val="1"/>
      <w:numFmt w:val="bullet"/>
      <w:lvlText w:val=""/>
      <w:lvlJc w:val="left"/>
      <w:pPr>
        <w:tabs>
          <w:tab w:val="num" w:pos="5964"/>
        </w:tabs>
        <w:ind w:left="5964" w:hanging="360"/>
      </w:pPr>
      <w:rPr>
        <w:rFonts w:ascii="Wingdings" w:hAnsi="Wingdings" w:hint="default"/>
        <w:sz w:val="20"/>
      </w:rPr>
    </w:lvl>
    <w:lvl w:ilvl="7" w:tentative="1">
      <w:start w:val="1"/>
      <w:numFmt w:val="bullet"/>
      <w:lvlText w:val=""/>
      <w:lvlJc w:val="left"/>
      <w:pPr>
        <w:tabs>
          <w:tab w:val="num" w:pos="6684"/>
        </w:tabs>
        <w:ind w:left="6684" w:hanging="360"/>
      </w:pPr>
      <w:rPr>
        <w:rFonts w:ascii="Wingdings" w:hAnsi="Wingdings" w:hint="default"/>
        <w:sz w:val="20"/>
      </w:rPr>
    </w:lvl>
    <w:lvl w:ilvl="8" w:tentative="1">
      <w:start w:val="1"/>
      <w:numFmt w:val="bullet"/>
      <w:lvlText w:val=""/>
      <w:lvlJc w:val="left"/>
      <w:pPr>
        <w:tabs>
          <w:tab w:val="num" w:pos="7404"/>
        </w:tabs>
        <w:ind w:left="7404" w:hanging="360"/>
      </w:pPr>
      <w:rPr>
        <w:rFonts w:ascii="Wingdings" w:hAnsi="Wingdings" w:hint="default"/>
        <w:sz w:val="20"/>
      </w:rPr>
    </w:lvl>
  </w:abstractNum>
  <w:abstractNum w:abstractNumId="14">
    <w:nsid w:val="42A167B8"/>
    <w:multiLevelType w:val="hybridMultilevel"/>
    <w:tmpl w:val="78A6E88C"/>
    <w:lvl w:ilvl="0">
      <w:start w:val="1"/>
      <w:numFmt w:val="bullet"/>
      <w:lvlText w:val=""/>
      <w:lvlJc w:val="left"/>
      <w:pPr>
        <w:ind w:left="1287" w:hanging="360"/>
      </w:pPr>
      <w:rPr>
        <w:rFonts w:ascii="Symbol" w:hAnsi="Symbol" w:hint="default"/>
      </w:rPr>
    </w:lvl>
    <w:lvl w:ilvl="1" w:tentative="1">
      <w:start w:val="1"/>
      <w:numFmt w:val="bullet"/>
      <w:lvlText w:val="o"/>
      <w:lvlJc w:val="left"/>
      <w:pPr>
        <w:ind w:left="2007" w:hanging="360"/>
      </w:pPr>
      <w:rPr>
        <w:rFonts w:ascii="Courier New" w:hAnsi="Courier New" w:cs="Courier New" w:hint="default"/>
      </w:rPr>
    </w:lvl>
    <w:lvl w:ilvl="2" w:tentative="1">
      <w:start w:val="1"/>
      <w:numFmt w:val="bullet"/>
      <w:lvlText w:val=""/>
      <w:lvlJc w:val="left"/>
      <w:pPr>
        <w:ind w:left="2727" w:hanging="360"/>
      </w:pPr>
      <w:rPr>
        <w:rFonts w:ascii="Wingdings" w:hAnsi="Wingdings" w:hint="default"/>
      </w:rPr>
    </w:lvl>
    <w:lvl w:ilvl="3" w:tentative="1">
      <w:start w:val="1"/>
      <w:numFmt w:val="bullet"/>
      <w:lvlText w:val=""/>
      <w:lvlJc w:val="left"/>
      <w:pPr>
        <w:ind w:left="3447" w:hanging="360"/>
      </w:pPr>
      <w:rPr>
        <w:rFonts w:ascii="Symbol" w:hAnsi="Symbol" w:hint="default"/>
      </w:rPr>
    </w:lvl>
    <w:lvl w:ilvl="4" w:tentative="1">
      <w:start w:val="1"/>
      <w:numFmt w:val="bullet"/>
      <w:lvlText w:val="o"/>
      <w:lvlJc w:val="left"/>
      <w:pPr>
        <w:ind w:left="4167" w:hanging="360"/>
      </w:pPr>
      <w:rPr>
        <w:rFonts w:ascii="Courier New" w:hAnsi="Courier New" w:cs="Courier New" w:hint="default"/>
      </w:rPr>
    </w:lvl>
    <w:lvl w:ilvl="5" w:tentative="1">
      <w:start w:val="1"/>
      <w:numFmt w:val="bullet"/>
      <w:lvlText w:val=""/>
      <w:lvlJc w:val="left"/>
      <w:pPr>
        <w:ind w:left="4887" w:hanging="360"/>
      </w:pPr>
      <w:rPr>
        <w:rFonts w:ascii="Wingdings" w:hAnsi="Wingdings" w:hint="default"/>
      </w:rPr>
    </w:lvl>
    <w:lvl w:ilvl="6" w:tentative="1">
      <w:start w:val="1"/>
      <w:numFmt w:val="bullet"/>
      <w:lvlText w:val=""/>
      <w:lvlJc w:val="left"/>
      <w:pPr>
        <w:ind w:left="5607" w:hanging="360"/>
      </w:pPr>
      <w:rPr>
        <w:rFonts w:ascii="Symbol" w:hAnsi="Symbol" w:hint="default"/>
      </w:rPr>
    </w:lvl>
    <w:lvl w:ilvl="7" w:tentative="1">
      <w:start w:val="1"/>
      <w:numFmt w:val="bullet"/>
      <w:lvlText w:val="o"/>
      <w:lvlJc w:val="left"/>
      <w:pPr>
        <w:ind w:left="6327" w:hanging="360"/>
      </w:pPr>
      <w:rPr>
        <w:rFonts w:ascii="Courier New" w:hAnsi="Courier New" w:cs="Courier New" w:hint="default"/>
      </w:rPr>
    </w:lvl>
    <w:lvl w:ilvl="8" w:tentative="1">
      <w:start w:val="1"/>
      <w:numFmt w:val="bullet"/>
      <w:lvlText w:val=""/>
      <w:lvlJc w:val="left"/>
      <w:pPr>
        <w:ind w:left="7047" w:hanging="360"/>
      </w:pPr>
      <w:rPr>
        <w:rFonts w:ascii="Wingdings" w:hAnsi="Wingdings" w:hint="default"/>
      </w:rPr>
    </w:lvl>
  </w:abstractNum>
  <w:abstractNum w:abstractNumId="15">
    <w:nsid w:val="42F86C62"/>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5BC86390"/>
    <w:multiLevelType w:val="hybridMultilevel"/>
    <w:tmpl w:val="04987D96"/>
    <w:lvl w:ilvl="0">
      <w:start w:val="1"/>
      <w:numFmt w:val="lowerLetter"/>
      <w:lvlText w:val="%1)"/>
      <w:lvlJc w:val="left"/>
      <w:pPr>
        <w:ind w:left="720" w:hanging="36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nsid w:val="65292984"/>
    <w:multiLevelType w:val="hybridMultilevel"/>
    <w:tmpl w:val="50D46D86"/>
    <w:lvl w:ilvl="0">
      <w:start w:val="1"/>
      <w:numFmt w:val="lowerLetter"/>
      <w:lvlText w:val="%1)"/>
      <w:lvlJc w:val="left"/>
      <w:pPr>
        <w:ind w:left="927" w:hanging="360"/>
      </w:pPr>
      <w:rPr>
        <w:rFonts w:hint="default"/>
      </w:rPr>
    </w:lvl>
    <w:lvl w:ilvl="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18">
    <w:nsid w:val="67A44E96"/>
    <w:multiLevelType w:val="hybridMultilevel"/>
    <w:tmpl w:val="3400634C"/>
    <w:lvl w:ilvl="0">
      <w:start w:val="1"/>
      <w:numFmt w:val="bullet"/>
      <w:lvlText w:val=""/>
      <w:lvlJc w:val="left"/>
      <w:pPr>
        <w:ind w:left="1284" w:hanging="360"/>
      </w:pPr>
      <w:rPr>
        <w:rFonts w:ascii="Symbol" w:hAnsi="Symbol" w:hint="default"/>
        <w:b w:val="0"/>
        <w:bCs w:val="0"/>
      </w:rPr>
    </w:lvl>
    <w:lvl w:ilvl="1" w:tentative="1">
      <w:start w:val="1"/>
      <w:numFmt w:val="lowerLetter"/>
      <w:lvlText w:val="%2."/>
      <w:lvlJc w:val="left"/>
      <w:pPr>
        <w:ind w:left="2004" w:hanging="360"/>
      </w:pPr>
    </w:lvl>
    <w:lvl w:ilvl="2" w:tentative="1">
      <w:start w:val="1"/>
      <w:numFmt w:val="lowerRoman"/>
      <w:lvlText w:val="%3."/>
      <w:lvlJc w:val="right"/>
      <w:pPr>
        <w:ind w:left="2724" w:hanging="180"/>
      </w:pPr>
    </w:lvl>
    <w:lvl w:ilvl="3" w:tentative="1">
      <w:start w:val="1"/>
      <w:numFmt w:val="decimal"/>
      <w:lvlText w:val="%4."/>
      <w:lvlJc w:val="left"/>
      <w:pPr>
        <w:ind w:left="3444" w:hanging="360"/>
      </w:pPr>
    </w:lvl>
    <w:lvl w:ilvl="4" w:tentative="1">
      <w:start w:val="1"/>
      <w:numFmt w:val="lowerLetter"/>
      <w:lvlText w:val="%5."/>
      <w:lvlJc w:val="left"/>
      <w:pPr>
        <w:ind w:left="4164" w:hanging="360"/>
      </w:pPr>
    </w:lvl>
    <w:lvl w:ilvl="5" w:tentative="1">
      <w:start w:val="1"/>
      <w:numFmt w:val="lowerRoman"/>
      <w:lvlText w:val="%6."/>
      <w:lvlJc w:val="right"/>
      <w:pPr>
        <w:ind w:left="4884" w:hanging="180"/>
      </w:pPr>
    </w:lvl>
    <w:lvl w:ilvl="6" w:tentative="1">
      <w:start w:val="1"/>
      <w:numFmt w:val="decimal"/>
      <w:lvlText w:val="%7."/>
      <w:lvlJc w:val="left"/>
      <w:pPr>
        <w:ind w:left="5604" w:hanging="360"/>
      </w:pPr>
    </w:lvl>
    <w:lvl w:ilvl="7" w:tentative="1">
      <w:start w:val="1"/>
      <w:numFmt w:val="lowerLetter"/>
      <w:lvlText w:val="%8."/>
      <w:lvlJc w:val="left"/>
      <w:pPr>
        <w:ind w:left="6324" w:hanging="360"/>
      </w:pPr>
    </w:lvl>
    <w:lvl w:ilvl="8" w:tentative="1">
      <w:start w:val="1"/>
      <w:numFmt w:val="lowerRoman"/>
      <w:lvlText w:val="%9."/>
      <w:lvlJc w:val="right"/>
      <w:pPr>
        <w:ind w:left="7044" w:hanging="180"/>
      </w:pPr>
    </w:lvl>
  </w:abstractNum>
  <w:abstractNum w:abstractNumId="19">
    <w:nsid w:val="6AA6323A"/>
    <w:multiLevelType w:val="hybridMultilevel"/>
    <w:tmpl w:val="2850C7D0"/>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20">
    <w:nsid w:val="6C0F41FE"/>
    <w:multiLevelType w:val="hybridMultilevel"/>
    <w:tmpl w:val="CF98971C"/>
    <w:lvl w:ilvl="0">
      <w:start w:val="1"/>
      <w:numFmt w:val="bullet"/>
      <w:lvlText w:val=""/>
      <w:lvlJc w:val="left"/>
      <w:pPr>
        <w:ind w:left="1711" w:hanging="360"/>
      </w:pPr>
      <w:rPr>
        <w:rFonts w:ascii="Symbol" w:hAnsi="Symbol" w:hint="default"/>
      </w:rPr>
    </w:lvl>
    <w:lvl w:ilvl="1" w:tentative="1">
      <w:start w:val="1"/>
      <w:numFmt w:val="bullet"/>
      <w:lvlText w:val="o"/>
      <w:lvlJc w:val="left"/>
      <w:pPr>
        <w:ind w:left="2431" w:hanging="360"/>
      </w:pPr>
      <w:rPr>
        <w:rFonts w:ascii="Courier New" w:hAnsi="Courier New" w:cs="Courier New" w:hint="default"/>
      </w:rPr>
    </w:lvl>
    <w:lvl w:ilvl="2" w:tentative="1">
      <w:start w:val="1"/>
      <w:numFmt w:val="bullet"/>
      <w:lvlText w:val=""/>
      <w:lvlJc w:val="left"/>
      <w:pPr>
        <w:ind w:left="3151" w:hanging="360"/>
      </w:pPr>
      <w:rPr>
        <w:rFonts w:ascii="Wingdings" w:hAnsi="Wingdings" w:hint="default"/>
      </w:rPr>
    </w:lvl>
    <w:lvl w:ilvl="3" w:tentative="1">
      <w:start w:val="1"/>
      <w:numFmt w:val="bullet"/>
      <w:lvlText w:val=""/>
      <w:lvlJc w:val="left"/>
      <w:pPr>
        <w:ind w:left="3871" w:hanging="360"/>
      </w:pPr>
      <w:rPr>
        <w:rFonts w:ascii="Symbol" w:hAnsi="Symbol" w:hint="default"/>
      </w:rPr>
    </w:lvl>
    <w:lvl w:ilvl="4" w:tentative="1">
      <w:start w:val="1"/>
      <w:numFmt w:val="bullet"/>
      <w:lvlText w:val="o"/>
      <w:lvlJc w:val="left"/>
      <w:pPr>
        <w:ind w:left="4591" w:hanging="360"/>
      </w:pPr>
      <w:rPr>
        <w:rFonts w:ascii="Courier New" w:hAnsi="Courier New" w:cs="Courier New" w:hint="default"/>
      </w:rPr>
    </w:lvl>
    <w:lvl w:ilvl="5" w:tentative="1">
      <w:start w:val="1"/>
      <w:numFmt w:val="bullet"/>
      <w:lvlText w:val=""/>
      <w:lvlJc w:val="left"/>
      <w:pPr>
        <w:ind w:left="5311" w:hanging="360"/>
      </w:pPr>
      <w:rPr>
        <w:rFonts w:ascii="Wingdings" w:hAnsi="Wingdings" w:hint="default"/>
      </w:rPr>
    </w:lvl>
    <w:lvl w:ilvl="6" w:tentative="1">
      <w:start w:val="1"/>
      <w:numFmt w:val="bullet"/>
      <w:lvlText w:val=""/>
      <w:lvlJc w:val="left"/>
      <w:pPr>
        <w:ind w:left="6031" w:hanging="360"/>
      </w:pPr>
      <w:rPr>
        <w:rFonts w:ascii="Symbol" w:hAnsi="Symbol" w:hint="default"/>
      </w:rPr>
    </w:lvl>
    <w:lvl w:ilvl="7" w:tentative="1">
      <w:start w:val="1"/>
      <w:numFmt w:val="bullet"/>
      <w:lvlText w:val="o"/>
      <w:lvlJc w:val="left"/>
      <w:pPr>
        <w:ind w:left="6751" w:hanging="360"/>
      </w:pPr>
      <w:rPr>
        <w:rFonts w:ascii="Courier New" w:hAnsi="Courier New" w:cs="Courier New" w:hint="default"/>
      </w:rPr>
    </w:lvl>
    <w:lvl w:ilvl="8" w:tentative="1">
      <w:start w:val="1"/>
      <w:numFmt w:val="bullet"/>
      <w:lvlText w:val=""/>
      <w:lvlJc w:val="left"/>
      <w:pPr>
        <w:ind w:left="7471" w:hanging="360"/>
      </w:pPr>
      <w:rPr>
        <w:rFonts w:ascii="Wingdings" w:hAnsi="Wingdings" w:hint="default"/>
      </w:rPr>
    </w:lvl>
  </w:abstractNum>
  <w:abstractNum w:abstractNumId="21">
    <w:nsid w:val="6E1E4B21"/>
    <w:multiLevelType w:val="hybridMultilevel"/>
    <w:tmpl w:val="DE84EBB2"/>
    <w:lvl w:ilvl="0">
      <w:start w:val="1"/>
      <w:numFmt w:val="lowerLetter"/>
      <w:lvlText w:val="%1)"/>
      <w:lvlJc w:val="left"/>
      <w:pPr>
        <w:ind w:left="924" w:hanging="360"/>
      </w:pPr>
    </w:lvl>
    <w:lvl w:ilvl="1">
      <w:start w:val="1"/>
      <w:numFmt w:val="bullet"/>
      <w:lvlText w:val=""/>
      <w:lvlJc w:val="left"/>
      <w:pPr>
        <w:ind w:left="1644" w:hanging="360"/>
      </w:pPr>
      <w:rPr>
        <w:rFonts w:ascii="Symbol" w:hAnsi="Symbol" w:hint="default"/>
      </w:rPr>
    </w:lvl>
    <w:lvl w:ilvl="2" w:tentative="1">
      <w:start w:val="1"/>
      <w:numFmt w:val="lowerRoman"/>
      <w:lvlText w:val="%3."/>
      <w:lvlJc w:val="right"/>
      <w:pPr>
        <w:ind w:left="2364" w:hanging="180"/>
      </w:pPr>
    </w:lvl>
    <w:lvl w:ilvl="3" w:tentative="1">
      <w:start w:val="1"/>
      <w:numFmt w:val="decimal"/>
      <w:lvlText w:val="%4."/>
      <w:lvlJc w:val="left"/>
      <w:pPr>
        <w:ind w:left="3084" w:hanging="360"/>
      </w:pPr>
    </w:lvl>
    <w:lvl w:ilvl="4" w:tentative="1">
      <w:start w:val="1"/>
      <w:numFmt w:val="lowerLetter"/>
      <w:lvlText w:val="%5."/>
      <w:lvlJc w:val="left"/>
      <w:pPr>
        <w:ind w:left="3804" w:hanging="360"/>
      </w:pPr>
    </w:lvl>
    <w:lvl w:ilvl="5" w:tentative="1">
      <w:start w:val="1"/>
      <w:numFmt w:val="lowerRoman"/>
      <w:lvlText w:val="%6."/>
      <w:lvlJc w:val="right"/>
      <w:pPr>
        <w:ind w:left="4524" w:hanging="180"/>
      </w:pPr>
    </w:lvl>
    <w:lvl w:ilvl="6" w:tentative="1">
      <w:start w:val="1"/>
      <w:numFmt w:val="decimal"/>
      <w:lvlText w:val="%7."/>
      <w:lvlJc w:val="left"/>
      <w:pPr>
        <w:ind w:left="5244" w:hanging="360"/>
      </w:pPr>
    </w:lvl>
    <w:lvl w:ilvl="7" w:tentative="1">
      <w:start w:val="1"/>
      <w:numFmt w:val="lowerLetter"/>
      <w:lvlText w:val="%8."/>
      <w:lvlJc w:val="left"/>
      <w:pPr>
        <w:ind w:left="5964" w:hanging="360"/>
      </w:pPr>
    </w:lvl>
    <w:lvl w:ilvl="8" w:tentative="1">
      <w:start w:val="1"/>
      <w:numFmt w:val="lowerRoman"/>
      <w:lvlText w:val="%9."/>
      <w:lvlJc w:val="right"/>
      <w:pPr>
        <w:ind w:left="6684" w:hanging="180"/>
      </w:pPr>
    </w:lvl>
  </w:abstractNum>
  <w:abstractNum w:abstractNumId="22">
    <w:nsid w:val="6FCF2C94"/>
    <w:multiLevelType w:val="hybridMultilevel"/>
    <w:tmpl w:val="50D46D86"/>
    <w:lvl w:ilvl="0">
      <w:start w:val="1"/>
      <w:numFmt w:val="lowerLetter"/>
      <w:lvlText w:val="%1)"/>
      <w:lvlJc w:val="left"/>
      <w:pPr>
        <w:ind w:left="927" w:hanging="360"/>
      </w:pPr>
      <w:rPr>
        <w:rFonts w:hint="default"/>
      </w:rPr>
    </w:lvl>
    <w:lvl w:ilvl="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23">
    <w:nsid w:val="7B1812ED"/>
    <w:multiLevelType w:val="hybridMultilevel"/>
    <w:tmpl w:val="330E0396"/>
    <w:lvl w:ilvl="0">
      <w:start w:val="1"/>
      <w:numFmt w:val="bullet"/>
      <w:lvlText w:val=""/>
      <w:lvlJc w:val="left"/>
      <w:pPr>
        <w:ind w:left="927" w:hanging="360"/>
      </w:pPr>
      <w:rPr>
        <w:rFonts w:ascii="Symbol" w:hAnsi="Symbol" w:hint="default"/>
      </w:rPr>
    </w:lvl>
    <w:lvl w:ilvl="1" w:tentative="1">
      <w:start w:val="1"/>
      <w:numFmt w:val="bullet"/>
      <w:lvlText w:val="o"/>
      <w:lvlJc w:val="left"/>
      <w:pPr>
        <w:ind w:left="1647" w:hanging="360"/>
      </w:pPr>
      <w:rPr>
        <w:rFonts w:ascii="Courier New" w:hAnsi="Courier New" w:cs="Courier New" w:hint="default"/>
      </w:rPr>
    </w:lvl>
    <w:lvl w:ilvl="2" w:tentative="1">
      <w:start w:val="1"/>
      <w:numFmt w:val="bullet"/>
      <w:lvlText w:val=""/>
      <w:lvlJc w:val="left"/>
      <w:pPr>
        <w:ind w:left="2367" w:hanging="360"/>
      </w:pPr>
      <w:rPr>
        <w:rFonts w:ascii="Wingdings" w:hAnsi="Wingdings" w:hint="default"/>
      </w:rPr>
    </w:lvl>
    <w:lvl w:ilvl="3" w:tentative="1">
      <w:start w:val="1"/>
      <w:numFmt w:val="bullet"/>
      <w:lvlText w:val=""/>
      <w:lvlJc w:val="left"/>
      <w:pPr>
        <w:ind w:left="3087" w:hanging="360"/>
      </w:pPr>
      <w:rPr>
        <w:rFonts w:ascii="Symbol" w:hAnsi="Symbol" w:hint="default"/>
      </w:rPr>
    </w:lvl>
    <w:lvl w:ilvl="4" w:tentative="1">
      <w:start w:val="1"/>
      <w:numFmt w:val="bullet"/>
      <w:lvlText w:val="o"/>
      <w:lvlJc w:val="left"/>
      <w:pPr>
        <w:ind w:left="3807" w:hanging="360"/>
      </w:pPr>
      <w:rPr>
        <w:rFonts w:ascii="Courier New" w:hAnsi="Courier New" w:cs="Courier New" w:hint="default"/>
      </w:rPr>
    </w:lvl>
    <w:lvl w:ilvl="5" w:tentative="1">
      <w:start w:val="1"/>
      <w:numFmt w:val="bullet"/>
      <w:lvlText w:val=""/>
      <w:lvlJc w:val="left"/>
      <w:pPr>
        <w:ind w:left="4527" w:hanging="360"/>
      </w:pPr>
      <w:rPr>
        <w:rFonts w:ascii="Wingdings" w:hAnsi="Wingdings" w:hint="default"/>
      </w:rPr>
    </w:lvl>
    <w:lvl w:ilvl="6" w:tentative="1">
      <w:start w:val="1"/>
      <w:numFmt w:val="bullet"/>
      <w:lvlText w:val=""/>
      <w:lvlJc w:val="left"/>
      <w:pPr>
        <w:ind w:left="5247" w:hanging="360"/>
      </w:pPr>
      <w:rPr>
        <w:rFonts w:ascii="Symbol" w:hAnsi="Symbol" w:hint="default"/>
      </w:rPr>
    </w:lvl>
    <w:lvl w:ilvl="7" w:tentative="1">
      <w:start w:val="1"/>
      <w:numFmt w:val="bullet"/>
      <w:lvlText w:val="o"/>
      <w:lvlJc w:val="left"/>
      <w:pPr>
        <w:ind w:left="5967" w:hanging="360"/>
      </w:pPr>
      <w:rPr>
        <w:rFonts w:ascii="Courier New" w:hAnsi="Courier New" w:cs="Courier New" w:hint="default"/>
      </w:rPr>
    </w:lvl>
    <w:lvl w:ilvl="8" w:tentative="1">
      <w:start w:val="1"/>
      <w:numFmt w:val="bullet"/>
      <w:lvlText w:val=""/>
      <w:lvlJc w:val="left"/>
      <w:pPr>
        <w:ind w:left="6687" w:hanging="360"/>
      </w:pPr>
      <w:rPr>
        <w:rFonts w:ascii="Wingdings" w:hAnsi="Wingdings" w:hint="default"/>
      </w:rPr>
    </w:lvl>
  </w:abstractNum>
  <w:num w:numId="1">
    <w:abstractNumId w:val="23"/>
  </w:num>
  <w:num w:numId="2">
    <w:abstractNumId w:val="1"/>
  </w:num>
  <w:num w:numId="3">
    <w:abstractNumId w:val="15"/>
  </w:num>
  <w:num w:numId="4">
    <w:abstractNumId w:val="11"/>
  </w:num>
  <w:num w:numId="5">
    <w:abstractNumId w:val="2"/>
  </w:num>
  <w:num w:numId="6">
    <w:abstractNumId w:val="14"/>
  </w:num>
  <w:num w:numId="7">
    <w:abstractNumId w:val="16"/>
  </w:num>
  <w:num w:numId="8">
    <w:abstractNumId w:val="12"/>
  </w:num>
  <w:num w:numId="9">
    <w:abstractNumId w:val="3"/>
  </w:num>
  <w:num w:numId="10">
    <w:abstractNumId w:val="13"/>
  </w:num>
  <w:num w:numId="11">
    <w:abstractNumId w:val="6"/>
  </w:num>
  <w:num w:numId="12">
    <w:abstractNumId w:val="4"/>
  </w:num>
  <w:num w:numId="13">
    <w:abstractNumId w:val="17"/>
  </w:num>
  <w:num w:numId="14">
    <w:abstractNumId w:val="18"/>
  </w:num>
  <w:num w:numId="15">
    <w:abstractNumId w:val="21"/>
  </w:num>
  <w:num w:numId="16">
    <w:abstractNumId w:val="0"/>
  </w:num>
  <w:num w:numId="17">
    <w:abstractNumId w:val="20"/>
  </w:num>
  <w:num w:numId="18">
    <w:abstractNumId w:val="7"/>
  </w:num>
  <w:num w:numId="19">
    <w:abstractNumId w:val="10"/>
  </w:num>
  <w:num w:numId="20">
    <w:abstractNumId w:val="5"/>
  </w:num>
  <w:num w:numId="21">
    <w:abstractNumId w:val="9"/>
  </w:num>
  <w:num w:numId="22">
    <w:abstractNumId w:val="8"/>
  </w:num>
  <w:num w:numId="23">
    <w:abstractNumId w:val="22"/>
  </w:num>
  <w:num w:numId="2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oNotTrackMoves/>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rsid w:val="004638BF"/>
    <w:rPr>
      <w:rFonts w:ascii="Arial" w:hAnsi="Arial"/>
      <w:sz w:val="24"/>
      <w:szCs w:val="24"/>
    </w:rPr>
  </w:style>
  <w:style w:type="paragraph" w:styleId="Heading2">
    <w:name w:val="heading 2"/>
    <w:basedOn w:val="Normal"/>
    <w:link w:val="Heading2Char"/>
    <w:uiPriority w:val="9"/>
    <w:qFormat/>
    <w:rsid w:val="007276FA"/>
    <w:pPr>
      <w:spacing w:after="450"/>
      <w:outlineLvl w:val="1"/>
    </w:pPr>
    <w:rPr>
      <w:rFonts w:ascii="Times New Roman" w:hAnsi="Times New Roman"/>
      <w:b/>
      <w:bCs/>
      <w:color w:val="313133"/>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38458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
    <w:name w:val="a"/>
    <w:basedOn w:val="Normal"/>
    <w:rsid w:val="004638BF"/>
    <w:pPr>
      <w:spacing w:after="120" w:line="240" w:lineRule="exact"/>
    </w:pPr>
    <w:rPr>
      <w:rFonts w:ascii="Verdana" w:hAnsi="Verdana"/>
      <w:sz w:val="20"/>
      <w:szCs w:val="20"/>
      <w:lang w:val="en-US" w:eastAsia="en-US"/>
    </w:rPr>
  </w:style>
  <w:style w:type="paragraph" w:customStyle="1" w:styleId="DefaultParagraphFontParaCharCharCharCharCharCharCharCharCharCharCharChar">
    <w:name w:val="Default Paragraph Font Para Char Char Char Char Char Char Char Char Char Char Char Char"/>
    <w:basedOn w:val="Normal"/>
    <w:rsid w:val="00405E66"/>
    <w:pPr>
      <w:spacing w:after="120" w:line="240" w:lineRule="exact"/>
    </w:pPr>
    <w:rPr>
      <w:rFonts w:ascii="Verdana" w:hAnsi="Verdana"/>
      <w:sz w:val="20"/>
      <w:szCs w:val="20"/>
      <w:lang w:val="en-US" w:eastAsia="en-US"/>
    </w:rPr>
  </w:style>
  <w:style w:type="paragraph" w:styleId="Header">
    <w:name w:val="header"/>
    <w:basedOn w:val="Normal"/>
    <w:link w:val="HeaderChar"/>
    <w:uiPriority w:val="99"/>
    <w:rsid w:val="002C47D6"/>
    <w:pPr>
      <w:tabs>
        <w:tab w:val="center" w:pos="4153"/>
        <w:tab w:val="right" w:pos="8306"/>
      </w:tabs>
    </w:pPr>
  </w:style>
  <w:style w:type="paragraph" w:styleId="Footer">
    <w:name w:val="footer"/>
    <w:basedOn w:val="Normal"/>
    <w:link w:val="FooterChar"/>
    <w:uiPriority w:val="99"/>
    <w:rsid w:val="002C47D6"/>
    <w:pPr>
      <w:tabs>
        <w:tab w:val="center" w:pos="4153"/>
        <w:tab w:val="right" w:pos="8306"/>
      </w:tabs>
    </w:pPr>
  </w:style>
  <w:style w:type="paragraph" w:styleId="FootnoteText">
    <w:name w:val="footnote text"/>
    <w:basedOn w:val="Normal"/>
    <w:link w:val="FootnoteTextChar"/>
    <w:semiHidden/>
    <w:rsid w:val="00347167"/>
    <w:rPr>
      <w:sz w:val="20"/>
      <w:szCs w:val="20"/>
    </w:rPr>
  </w:style>
  <w:style w:type="character" w:styleId="FootnoteReference">
    <w:name w:val="footnote reference"/>
    <w:semiHidden/>
    <w:rsid w:val="00347167"/>
    <w:rPr>
      <w:vertAlign w:val="superscript"/>
    </w:rPr>
  </w:style>
  <w:style w:type="paragraph" w:styleId="BalloonText">
    <w:name w:val="Balloon Text"/>
    <w:basedOn w:val="Normal"/>
    <w:link w:val="BalloonTextChar"/>
    <w:semiHidden/>
    <w:rsid w:val="00E303AE"/>
    <w:rPr>
      <w:rFonts w:ascii="Tahoma" w:hAnsi="Tahoma"/>
      <w:sz w:val="16"/>
      <w:szCs w:val="16"/>
    </w:rPr>
  </w:style>
  <w:style w:type="character" w:styleId="PageNumber">
    <w:name w:val="page number"/>
    <w:basedOn w:val="DefaultParagraphFont"/>
    <w:rsid w:val="009C2608"/>
  </w:style>
  <w:style w:type="character" w:styleId="CommentReference">
    <w:name w:val="annotation reference"/>
    <w:uiPriority w:val="99"/>
    <w:semiHidden/>
    <w:unhideWhenUsed/>
    <w:rsid w:val="00CF5375"/>
    <w:rPr>
      <w:sz w:val="16"/>
      <w:szCs w:val="16"/>
    </w:rPr>
  </w:style>
  <w:style w:type="paragraph" w:styleId="CommentText">
    <w:name w:val="annotation text"/>
    <w:basedOn w:val="Normal"/>
    <w:link w:val="CommentTextChar"/>
    <w:uiPriority w:val="99"/>
    <w:semiHidden/>
    <w:unhideWhenUsed/>
    <w:rsid w:val="00CF5375"/>
    <w:rPr>
      <w:sz w:val="20"/>
      <w:szCs w:val="20"/>
    </w:rPr>
  </w:style>
  <w:style w:type="character" w:customStyle="1" w:styleId="CommentTextChar">
    <w:name w:val="Comment Text Char"/>
    <w:link w:val="CommentText"/>
    <w:uiPriority w:val="99"/>
    <w:semiHidden/>
    <w:rsid w:val="00CF5375"/>
    <w:rPr>
      <w:rFonts w:ascii="Arial" w:hAnsi="Arial"/>
    </w:rPr>
  </w:style>
  <w:style w:type="paragraph" w:styleId="CommentSubject">
    <w:name w:val="annotation subject"/>
    <w:basedOn w:val="CommentText"/>
    <w:next w:val="CommentText"/>
    <w:link w:val="CommentSubjectChar"/>
    <w:uiPriority w:val="99"/>
    <w:semiHidden/>
    <w:unhideWhenUsed/>
    <w:rsid w:val="00CF5375"/>
    <w:rPr>
      <w:b/>
      <w:bCs/>
    </w:rPr>
  </w:style>
  <w:style w:type="character" w:customStyle="1" w:styleId="CommentSubjectChar">
    <w:name w:val="Comment Subject Char"/>
    <w:link w:val="CommentSubject"/>
    <w:uiPriority w:val="99"/>
    <w:semiHidden/>
    <w:rsid w:val="00CF5375"/>
    <w:rPr>
      <w:rFonts w:ascii="Arial" w:hAnsi="Arial"/>
      <w:b/>
      <w:bCs/>
    </w:rPr>
  </w:style>
  <w:style w:type="paragraph" w:styleId="Revision">
    <w:name w:val="Revision"/>
    <w:hidden/>
    <w:uiPriority w:val="99"/>
    <w:semiHidden/>
    <w:rsid w:val="00632AC9"/>
    <w:rPr>
      <w:rFonts w:ascii="Arial" w:hAnsi="Arial"/>
      <w:sz w:val="24"/>
      <w:szCs w:val="24"/>
    </w:rPr>
  </w:style>
  <w:style w:type="character" w:styleId="Hyperlink">
    <w:name w:val="Hyperlink"/>
    <w:uiPriority w:val="99"/>
    <w:unhideWhenUsed/>
    <w:rsid w:val="0023367D"/>
    <w:rPr>
      <w:color w:val="0000FF"/>
      <w:u w:val="single"/>
    </w:rPr>
  </w:style>
  <w:style w:type="paragraph" w:styleId="ListParagraph">
    <w:name w:val="List Paragraph"/>
    <w:aliases w:val="Bullet 1,Bullet Points,Bullet Style,Colorful List - Accent 11,Dot pt,F5 List Paragraph,Indicator Text,List Paragraph Char Char Char,List Paragraph1,List Paragraph12,List Paragraph2,MAIN CONTENT,No Spacing1,Normal numbered,Numbered Para 1"/>
    <w:basedOn w:val="Normal"/>
    <w:link w:val="ListParagraphChar"/>
    <w:uiPriority w:val="34"/>
    <w:qFormat/>
    <w:rsid w:val="0023367D"/>
    <w:pPr>
      <w:ind w:left="720"/>
    </w:pPr>
    <w:rPr>
      <w:rFonts w:ascii="Calibri" w:eastAsia="Calibri" w:hAnsi="Calibri" w:cs="Calibri"/>
      <w:sz w:val="22"/>
      <w:szCs w:val="22"/>
    </w:rPr>
  </w:style>
  <w:style w:type="character" w:styleId="FollowedHyperlink">
    <w:name w:val="FollowedHyperlink"/>
    <w:uiPriority w:val="99"/>
    <w:semiHidden/>
    <w:unhideWhenUsed/>
    <w:rsid w:val="00A34D55"/>
    <w:rPr>
      <w:color w:val="800080"/>
      <w:u w:val="single"/>
    </w:rPr>
  </w:style>
  <w:style w:type="character" w:styleId="PlaceholderText">
    <w:name w:val="Placeholder Text"/>
    <w:basedOn w:val="DefaultParagraphFont"/>
    <w:uiPriority w:val="99"/>
    <w:semiHidden/>
    <w:rsid w:val="00814096"/>
    <w:rPr>
      <w:color w:val="808080"/>
    </w:rPr>
  </w:style>
  <w:style w:type="character" w:customStyle="1" w:styleId="Heading2Char">
    <w:name w:val="Heading 2 Char"/>
    <w:basedOn w:val="DefaultParagraphFont"/>
    <w:link w:val="Heading2"/>
    <w:uiPriority w:val="9"/>
    <w:rsid w:val="007276FA"/>
    <w:rPr>
      <w:b/>
      <w:bCs/>
      <w:color w:val="313133"/>
      <w:sz w:val="48"/>
      <w:szCs w:val="48"/>
    </w:rPr>
  </w:style>
  <w:style w:type="paragraph" w:customStyle="1" w:styleId="1">
    <w:name w:val="1"/>
    <w:basedOn w:val="Normal"/>
    <w:rsid w:val="00CF4153"/>
    <w:pPr>
      <w:spacing w:after="120" w:line="240" w:lineRule="exact"/>
    </w:pPr>
    <w:rPr>
      <w:rFonts w:ascii="Verdana" w:hAnsi="Verdana"/>
      <w:sz w:val="20"/>
      <w:szCs w:val="20"/>
      <w:lang w:val="en-US" w:eastAsia="en-US"/>
    </w:rPr>
  </w:style>
  <w:style w:type="character" w:customStyle="1" w:styleId="HeaderChar">
    <w:name w:val="Header Char"/>
    <w:basedOn w:val="DefaultParagraphFont"/>
    <w:link w:val="Header"/>
    <w:uiPriority w:val="99"/>
    <w:rsid w:val="00CF4153"/>
    <w:rPr>
      <w:rFonts w:ascii="Arial" w:hAnsi="Arial"/>
      <w:sz w:val="24"/>
      <w:szCs w:val="24"/>
    </w:rPr>
  </w:style>
  <w:style w:type="character" w:customStyle="1" w:styleId="ClassificationText">
    <w:name w:val="Classification Text"/>
    <w:uiPriority w:val="1"/>
    <w:semiHidden/>
    <w:rsid w:val="00CF4153"/>
  </w:style>
  <w:style w:type="paragraph" w:styleId="NoSpacing">
    <w:name w:val="No Spacing"/>
    <w:link w:val="NoSpacingChar"/>
    <w:uiPriority w:val="1"/>
    <w:qFormat/>
    <w:rsid w:val="00CF4153"/>
    <w:rPr>
      <w:rFonts w:asciiTheme="minorHAnsi" w:eastAsiaTheme="minorEastAsia" w:hAnsiTheme="minorHAnsi" w:cstheme="minorBidi"/>
      <w:sz w:val="22"/>
      <w:szCs w:val="22"/>
      <w:lang w:val="en-US" w:eastAsia="ja-JP"/>
    </w:rPr>
  </w:style>
  <w:style w:type="character" w:customStyle="1" w:styleId="NoSpacingChar">
    <w:name w:val="No Spacing Char"/>
    <w:basedOn w:val="DefaultParagraphFont"/>
    <w:link w:val="NoSpacing"/>
    <w:uiPriority w:val="1"/>
    <w:rsid w:val="00CF4153"/>
    <w:rPr>
      <w:rFonts w:asciiTheme="minorHAnsi" w:eastAsiaTheme="minorEastAsia" w:hAnsiTheme="minorHAnsi" w:cstheme="minorBidi"/>
      <w:sz w:val="22"/>
      <w:szCs w:val="22"/>
      <w:lang w:val="en-US" w:eastAsia="ja-JP"/>
    </w:rPr>
  </w:style>
  <w:style w:type="character" w:customStyle="1" w:styleId="Style1">
    <w:name w:val="Style1"/>
    <w:basedOn w:val="DefaultParagraphFont"/>
    <w:uiPriority w:val="1"/>
    <w:rsid w:val="009A493E"/>
    <w:rPr>
      <w:bdr w:val="single" w:sz="4" w:space="0" w:color="auto"/>
      <w:shd w:val="pct10" w:color="auto" w:fill="auto"/>
    </w:rPr>
  </w:style>
  <w:style w:type="character" w:customStyle="1" w:styleId="Style2">
    <w:name w:val="Style2"/>
    <w:basedOn w:val="DefaultParagraphFont"/>
    <w:uiPriority w:val="1"/>
    <w:rsid w:val="009A493E"/>
    <w:rPr>
      <w:bdr w:val="single" w:sz="4" w:space="0" w:color="auto"/>
      <w:shd w:val="pct10" w:color="auto" w:fill="auto"/>
    </w:rPr>
  </w:style>
  <w:style w:type="character" w:customStyle="1" w:styleId="Style3">
    <w:name w:val="Style3"/>
    <w:basedOn w:val="DefaultParagraphFont"/>
    <w:uiPriority w:val="1"/>
    <w:rsid w:val="009A493E"/>
    <w:rPr>
      <w:bdr w:val="single" w:sz="4" w:space="0" w:color="auto"/>
      <w:shd w:val="pct10" w:color="auto" w:fill="auto"/>
    </w:rPr>
  </w:style>
  <w:style w:type="character" w:customStyle="1" w:styleId="Style4">
    <w:name w:val="Style4"/>
    <w:basedOn w:val="DefaultParagraphFont"/>
    <w:uiPriority w:val="1"/>
    <w:rsid w:val="009A493E"/>
    <w:rPr>
      <w:bdr w:val="single" w:sz="4" w:space="0" w:color="auto"/>
      <w:shd w:val="pct10" w:color="auto" w:fill="auto"/>
    </w:rPr>
  </w:style>
  <w:style w:type="character" w:customStyle="1" w:styleId="Style5">
    <w:name w:val="Style5"/>
    <w:basedOn w:val="DefaultParagraphFont"/>
    <w:uiPriority w:val="1"/>
    <w:rsid w:val="00250524"/>
    <w:rPr>
      <w:bdr w:val="single" w:sz="4" w:space="0" w:color="auto"/>
      <w:shd w:val="pct10" w:color="auto" w:fill="auto"/>
    </w:rPr>
  </w:style>
  <w:style w:type="paragraph" w:styleId="NormalWeb">
    <w:name w:val="Normal (Web)"/>
    <w:basedOn w:val="Normal"/>
    <w:uiPriority w:val="99"/>
    <w:semiHidden/>
    <w:unhideWhenUsed/>
    <w:rsid w:val="00084ADB"/>
    <w:pPr>
      <w:spacing w:before="100" w:beforeAutospacing="1" w:after="100" w:afterAutospacing="1"/>
    </w:pPr>
    <w:rPr>
      <w:rFonts w:ascii="Times New Roman" w:hAnsi="Times New Roman"/>
    </w:rPr>
  </w:style>
  <w:style w:type="character" w:customStyle="1" w:styleId="FooterChar">
    <w:name w:val="Footer Char"/>
    <w:basedOn w:val="DefaultParagraphFont"/>
    <w:link w:val="Footer"/>
    <w:uiPriority w:val="99"/>
    <w:rsid w:val="00A57880"/>
    <w:rPr>
      <w:rFonts w:ascii="Arial" w:hAnsi="Arial"/>
      <w:sz w:val="24"/>
      <w:szCs w:val="24"/>
    </w:rPr>
  </w:style>
  <w:style w:type="character" w:customStyle="1" w:styleId="UnresolvedMention">
    <w:name w:val="Unresolved Mention"/>
    <w:basedOn w:val="DefaultParagraphFont"/>
    <w:uiPriority w:val="99"/>
    <w:unhideWhenUsed/>
    <w:rsid w:val="009311AD"/>
    <w:rPr>
      <w:color w:val="808080"/>
      <w:shd w:val="clear" w:color="auto" w:fill="E6E6E6"/>
    </w:rPr>
  </w:style>
  <w:style w:type="character" w:customStyle="1" w:styleId="ListParagraphChar">
    <w:name w:val="List Paragraph Char"/>
    <w:aliases w:val="Bullet 1 Char,Bullet Points Char,Colorful List - Accent 11 Char,Dot pt Char,F5 List Paragraph Char,Indicator Text Char,List Paragraph Char Char Char Char,List Paragraph1 Char,MAIN CONTENT Char,No Spacing1 Char,Numbered Para 1 Char"/>
    <w:link w:val="ListParagraph"/>
    <w:uiPriority w:val="34"/>
    <w:qFormat/>
    <w:locked/>
    <w:rsid w:val="008B71B1"/>
    <w:rPr>
      <w:rFonts w:ascii="Calibri" w:eastAsia="Calibri" w:hAnsi="Calibri" w:cs="Calibri"/>
      <w:sz w:val="22"/>
      <w:szCs w:val="22"/>
    </w:rPr>
  </w:style>
  <w:style w:type="paragraph" w:customStyle="1" w:styleId="paragraph">
    <w:name w:val="paragraph"/>
    <w:basedOn w:val="Normal"/>
    <w:rsid w:val="004F64C1"/>
    <w:rPr>
      <w:rFonts w:ascii="Times New Roman" w:hAnsi="Times New Roman"/>
    </w:rPr>
  </w:style>
  <w:style w:type="character" w:customStyle="1" w:styleId="spellingerror">
    <w:name w:val="spellingerror"/>
    <w:basedOn w:val="DefaultParagraphFont"/>
    <w:rsid w:val="004F64C1"/>
  </w:style>
  <w:style w:type="character" w:customStyle="1" w:styleId="contextualspellingandgrammarerror">
    <w:name w:val="contextualspellingandgrammarerror"/>
    <w:basedOn w:val="DefaultParagraphFont"/>
    <w:rsid w:val="004F64C1"/>
  </w:style>
  <w:style w:type="character" w:customStyle="1" w:styleId="normaltextrun1">
    <w:name w:val="normaltextrun1"/>
    <w:basedOn w:val="DefaultParagraphFont"/>
    <w:rsid w:val="004F64C1"/>
  </w:style>
  <w:style w:type="character" w:customStyle="1" w:styleId="eop">
    <w:name w:val="eop"/>
    <w:basedOn w:val="DefaultParagraphFont"/>
    <w:rsid w:val="004F64C1"/>
  </w:style>
  <w:style w:type="character" w:customStyle="1" w:styleId="FootnoteTextChar">
    <w:name w:val="Footnote Text Char"/>
    <w:basedOn w:val="DefaultParagraphFont"/>
    <w:link w:val="FootnoteText"/>
    <w:semiHidden/>
    <w:rsid w:val="004F64C1"/>
    <w:rPr>
      <w:rFonts w:ascii="Arial" w:hAnsi="Arial"/>
    </w:rPr>
  </w:style>
  <w:style w:type="character" w:customStyle="1" w:styleId="BalloonTextChar">
    <w:name w:val="Balloon Text Char"/>
    <w:basedOn w:val="DefaultParagraphFont"/>
    <w:link w:val="BalloonText"/>
    <w:semiHidden/>
    <w:rsid w:val="004F64C1"/>
    <w:rPr>
      <w:rFonts w:ascii="Tahoma" w:hAnsi="Tahoma"/>
      <w:sz w:val="16"/>
      <w:szCs w:val="16"/>
    </w:rPr>
  </w:style>
  <w:style w:type="character" w:customStyle="1" w:styleId="Mention">
    <w:name w:val="Mention"/>
    <w:basedOn w:val="DefaultParagraphFont"/>
    <w:uiPriority w:val="99"/>
    <w:unhideWhenUsed/>
    <w:rsid w:val="004F64C1"/>
    <w:rPr>
      <w:color w:val="2B579A"/>
      <w:shd w:val="clear" w:color="auto" w:fill="E1DFDD"/>
    </w:rPr>
  </w:style>
  <w:style w:type="paragraph" w:customStyle="1" w:styleId="Default">
    <w:name w:val="Default"/>
    <w:rsid w:val="004F64C1"/>
    <w:pPr>
      <w:autoSpaceDE w:val="0"/>
      <w:autoSpaceDN w:val="0"/>
      <w:adjustRightInd w:val="0"/>
    </w:pPr>
    <w:rPr>
      <w:rFonts w:ascii="Humnst777 Lt BT" w:hAnsi="Humnst777 Lt BT" w:cs="Humnst777 Lt BT"/>
      <w:color w:val="000000"/>
      <w:sz w:val="24"/>
      <w:szCs w:val="24"/>
    </w:rPr>
  </w:style>
  <w:style w:type="paragraph" w:customStyle="1" w:styleId="xmsonormal">
    <w:name w:val="x_msonormal"/>
    <w:basedOn w:val="Normal"/>
    <w:rsid w:val="004F64C1"/>
    <w:rPr>
      <w:rFonts w:ascii="Calibri" w:hAnsi="Calibri" w:eastAsiaTheme="minorHAnsi" w:cs="Calibri"/>
      <w:sz w:val="22"/>
      <w:szCs w:val="22"/>
    </w:rPr>
  </w:style>
  <w:style w:type="paragraph" w:customStyle="1" w:styleId="xmsolistparagraph">
    <w:name w:val="x_msolistparagraph"/>
    <w:basedOn w:val="Normal"/>
    <w:rsid w:val="004F64C1"/>
    <w:pPr>
      <w:ind w:left="720"/>
    </w:pPr>
    <w:rPr>
      <w:rFonts w:ascii="Calibri" w:hAnsi="Calibri" w:eastAsiaTheme="minorHAnsi" w:cs="Calibri"/>
      <w:sz w:val="22"/>
      <w:szCs w:val="22"/>
    </w:rPr>
  </w:style>
  <w:style w:type="character" w:customStyle="1" w:styleId="normaltextrun">
    <w:name w:val="normaltextrun"/>
    <w:basedOn w:val="DefaultParagraphFont"/>
    <w:rsid w:val="00C0698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image" Target="media/image3.png" /><Relationship Id="rId12" Type="http://schemas.openxmlformats.org/officeDocument/2006/relationships/image" Target="media/image4.png" /><Relationship Id="rId13" Type="http://schemas.openxmlformats.org/officeDocument/2006/relationships/chart" Target="charts/chart1.xml" /><Relationship Id="rId14" Type="http://schemas.openxmlformats.org/officeDocument/2006/relationships/image" Target="media/image5.png" /><Relationship Id="rId15" Type="http://schemas.openxmlformats.org/officeDocument/2006/relationships/image" Target="media/image6.png" /><Relationship Id="rId16" Type="http://schemas.openxmlformats.org/officeDocument/2006/relationships/header" Target="header1.xml" /><Relationship Id="rId17" Type="http://schemas.openxmlformats.org/officeDocument/2006/relationships/header" Target="header2.xml" /><Relationship Id="rId18" Type="http://schemas.openxmlformats.org/officeDocument/2006/relationships/footer" Target="footer1.xml" /><Relationship Id="rId19" Type="http://schemas.openxmlformats.org/officeDocument/2006/relationships/footer" Target="footer2.xml" /><Relationship Id="rId2" Type="http://schemas.openxmlformats.org/officeDocument/2006/relationships/webSettings" Target="webSettings.xml" /><Relationship Id="rId20" Type="http://schemas.openxmlformats.org/officeDocument/2006/relationships/header" Target="header3.xml" /><Relationship Id="rId21" Type="http://schemas.openxmlformats.org/officeDocument/2006/relationships/footer" Target="footer3.xml" /><Relationship Id="rId22" Type="http://schemas.openxmlformats.org/officeDocument/2006/relationships/image" Target="media/image7.png" /><Relationship Id="rId23" Type="http://schemas.openxmlformats.org/officeDocument/2006/relationships/header" Target="header4.xml" /><Relationship Id="rId24" Type="http://schemas.openxmlformats.org/officeDocument/2006/relationships/footer" Target="footer4.xml" /><Relationship Id="rId25" Type="http://schemas.openxmlformats.org/officeDocument/2006/relationships/footer" Target="footer5.xml" /><Relationship Id="rId26" Type="http://schemas.openxmlformats.org/officeDocument/2006/relationships/footer" Target="footer6.xml" /><Relationship Id="rId27" Type="http://schemas.openxmlformats.org/officeDocument/2006/relationships/theme" Target="theme/theme1.xml" /><Relationship Id="rId28" Type="http://schemas.openxmlformats.org/officeDocument/2006/relationships/numbering" Target="numbering.xml" /><Relationship Id="rId29"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image" Target="media/image1.png" /></Relationships>
</file>

<file path=word/charts/_rels/chart1.xml.rels>&#65279;<?xml version="1.0" encoding="utf-8" standalone="yes"?><Relationships xmlns="http://schemas.openxmlformats.org/package/2006/relationships"><Relationship Id="rId1" Type="http://schemas.openxmlformats.org/officeDocument/2006/relationships/oleObject" Target="https://healthsharedservice.sharepoint.com/sites/sfnhs-gf/fincntrl/2022-23/Estimates%20-%20Main/2022-23%20Main%20Estimates%20Dispo%20V2.xlsx" TargetMode="External" /></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b="1" baseline="0">
                <a:latin typeface="Arial" panose="020B0604020202020204" pitchFamily="34" charset="0"/>
              </a:rPr>
              <a:t>Resource DEL - £ million</a:t>
            </a:r>
          </a:p>
        </c:rich>
      </c:tx>
      <c:layout>
        <c:manualLayout>
          <c:xMode val="edge"/>
          <c:yMode val="edge"/>
          <c:x val="0.27814981481481482"/>
          <c:y val="3.4632034632034632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0.11388262982013413"/>
          <c:y val="0.20316037735849057"/>
          <c:w val="0.86510160835849981"/>
          <c:h val="0.5889203354297694"/>
        </c:manualLayout>
      </c:layout>
      <c:lineChart>
        <c:grouping val="stacked"/>
        <c:varyColors val="0"/>
        <c:ser>
          <c:idx val="0"/>
          <c:order val="0"/>
          <c:tx>
            <c:strRef>
              <c:f>'ME 1.7 Chart'!$A$11</c:f>
              <c:strCache>
                <c:ptCount val="1"/>
                <c:pt idx="0">
                  <c:v>Resource DEL</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dLbls>
            <c:dLbl>
              <c:idx val="0"/>
              <c:layout>
                <c:manualLayout>
                  <c:x val="-2.7329629629629631E-2"/>
                  <c:y val="7.4280398322851035E-2"/>
                </c:manualLayout>
              </c:layout>
              <c:tx>
                <c:rich>
                  <a:bodyPr/>
                  <a:lstStyle/>
                  <a:p>
                    <a:fld id="{426228A2-79C6-4518-94CF-FA536B1EC61F}" type="CELLRANGE">
                      <a:rPr lang="en-US"/>
                      <a:pPr/>
                      <a:t>[CELLRANGE]</a:t>
                    </a:fld>
                    <a:endParaRPr lang="en-GB"/>
                  </a:p>
                </c:rich>
              </c:tx>
              <c:dLblPos val="r"/>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0-FB7E-4C2E-A5E2-F259DFEA7232}"/>
                </c:ext>
              </c:extLst>
            </c:dLbl>
            <c:dLbl>
              <c:idx val="1"/>
              <c:layout>
                <c:manualLayout>
                  <c:x val="-2.4977777777777779E-2"/>
                  <c:y val="6.7624213836477931E-2"/>
                </c:manualLayout>
              </c:layout>
              <c:tx>
                <c:rich>
                  <a:bodyPr/>
                  <a:lstStyle/>
                  <a:p>
                    <a:fld id="{0CFBC5A7-9CBC-41C2-A32A-0189FF62BE11}" type="CELLRANGE">
                      <a:rPr lang="en-US"/>
                      <a:pPr/>
                      <a:t>[CELLRANGE]</a:t>
                    </a:fld>
                    <a:endParaRPr lang="en-GB"/>
                  </a:p>
                </c:rich>
              </c:tx>
              <c:dLblPos val="r"/>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1-FB7E-4C2E-A5E2-F259DFEA7232}"/>
                </c:ext>
              </c:extLst>
            </c:dLbl>
            <c:dLbl>
              <c:idx val="2"/>
              <c:layout>
                <c:manualLayout>
                  <c:x val="-3.203333333333333E-2"/>
                  <c:y val="7.428039832285116E-2"/>
                </c:manualLayout>
              </c:layout>
              <c:tx>
                <c:rich>
                  <a:bodyPr/>
                  <a:lstStyle/>
                  <a:p>
                    <a:fld id="{7D9FE95E-8B5A-44C4-AE08-2152957AF99D}" type="CELLRANGE">
                      <a:rPr lang="en-US"/>
                      <a:pPr/>
                      <a:t>[CELLRANGE]</a:t>
                    </a:fld>
                    <a:endParaRPr lang="en-GB"/>
                  </a:p>
                </c:rich>
              </c:tx>
              <c:dLblPos val="r"/>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2-FB7E-4C2E-A5E2-F259DFEA7232}"/>
                </c:ext>
              </c:extLst>
            </c:dLbl>
            <c:dLbl>
              <c:idx val="3"/>
              <c:layout>
                <c:manualLayout>
                  <c:x val="-2.7329629629629718E-2"/>
                  <c:y val="6.7624213836478042E-2"/>
                </c:manualLayout>
              </c:layout>
              <c:tx>
                <c:rich>
                  <a:bodyPr/>
                  <a:lstStyle/>
                  <a:p>
                    <a:fld id="{5F8D00C1-CBFE-4E57-8997-0E7F66FD2FD3}" type="CELLRANGE">
                      <a:rPr lang="en-US"/>
                      <a:pPr/>
                      <a:t>[CELLRANGE]</a:t>
                    </a:fld>
                    <a:endParaRPr lang="en-GB"/>
                  </a:p>
                </c:rich>
              </c:tx>
              <c:dLblPos val="r"/>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3-FB7E-4C2E-A5E2-F259DFEA7232}"/>
                </c:ext>
              </c:extLst>
            </c:dLbl>
            <c:dLbl>
              <c:idx val="4"/>
              <c:layout>
                <c:manualLayout>
                  <c:x val="-2.9681481481481569E-2"/>
                  <c:y val="7.428039832285116E-2"/>
                </c:manualLayout>
              </c:layout>
              <c:tx>
                <c:rich>
                  <a:bodyPr/>
                  <a:lstStyle/>
                  <a:p>
                    <a:fld id="{80759BA7-FBF6-46C3-A0D1-4C4B15E81648}" type="CELLRANGE">
                      <a:rPr lang="en-US"/>
                      <a:pPr/>
                      <a:t>[CELLRANGE]</a:t>
                    </a:fld>
                    <a:endParaRPr lang="en-GB"/>
                  </a:p>
                </c:rich>
              </c:tx>
              <c:dLblPos val="r"/>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4-FB7E-4C2E-A5E2-F259DFEA7232}"/>
                </c:ext>
              </c:extLst>
            </c:dLbl>
            <c:dLbl>
              <c:idx val="5"/>
              <c:tx>
                <c:rich>
                  <a:bodyPr/>
                  <a:lstStyle/>
                  <a:p>
                    <a:fld id="{E18CD9FB-D43B-4019-BCB3-7B2646EA4AA5}" type="CELLRANGE">
                      <a:rPr lang="en-GB"/>
                      <a:pPr/>
                      <a:t>[CELLRANGE]</a:t>
                    </a:fld>
                    <a:endParaRPr lang="en-GB"/>
                  </a:p>
                </c:rich>
              </c:tx>
              <c:dLblPos val="b"/>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5-FB7E-4C2E-A5E2-F259DFEA7232}"/>
                </c:ext>
              </c:extLst>
            </c:dLbl>
            <c:dLbl>
              <c:idx val="6"/>
              <c:tx>
                <c:rich>
                  <a:bodyPr/>
                  <a:lstStyle/>
                  <a:p>
                    <a:fld id="{37C7CDA0-E75C-4B12-95A5-EAB8B7A72CB3}" type="CELLRANGE">
                      <a:rPr lang="en-GB"/>
                      <a:pPr/>
                      <a:t>[CELLRANGE]</a:t>
                    </a:fld>
                    <a:endParaRPr lang="en-GB"/>
                  </a:p>
                </c:rich>
              </c:tx>
              <c:dLblPos val="b"/>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6-FB7E-4C2E-A5E2-F259DFEA7232}"/>
                </c:ext>
              </c:extLst>
            </c:dLbl>
            <c:spPr>
              <a:noFill/>
              <a:ln>
                <a:noFill/>
              </a:ln>
              <a:effectLst/>
            </c:spPr>
            <c:txPr>
              <a:bodyPr rot="1200000" spcFirstLastPara="1" vertOverflow="ellipsis" wrap="square" lIns="38100" tIns="19050" rIns="38100" bIns="19050" anchor="t" anchorCtr="0">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b"/>
            <c:showLegendKey val="0"/>
            <c:showVal val="0"/>
            <c:showCatName val="0"/>
            <c:showSerName val="0"/>
            <c:showPercent val="0"/>
            <c:showBubbleSize val="0"/>
            <c:showLeaderLines val="0"/>
            <c:extLst>
              <c:ext xmlns:c15="http://schemas.microsoft.com/office/drawing/2012/chart" uri="{CE6537A1-D6FC-4f65-9D91-7224C49458BB}">
                <c15:showDataLabelsRange val="1"/>
                <c15:showLeaderLines val="0"/>
              </c:ext>
            </c:extLst>
          </c:dLbls>
          <c:cat>
            <c:strRef>
              <c:f>'ME 1.7 Chart'!$B$9:$H$9</c:f>
              <c:strCache>
                <c:ptCount val="7"/>
                <c:pt idx="0">
                  <c:v>2018-19
Outturn</c:v>
                </c:pt>
                <c:pt idx="1">
                  <c:v>2019-20
Outturn</c:v>
                </c:pt>
                <c:pt idx="2">
                  <c:v>2020-21
Outturn</c:v>
                </c:pt>
                <c:pt idx="3">
                  <c:v>2021-22
SSE
</c:v>
                </c:pt>
                <c:pt idx="4">
                  <c:v>2022-23
Main Estimate</c:v>
                </c:pt>
                <c:pt idx="5">
                  <c:v>2023-24
SR21</c:v>
                </c:pt>
                <c:pt idx="6">
                  <c:v>2024-25
SR21</c:v>
                </c:pt>
              </c:strCache>
            </c:strRef>
          </c:cat>
          <c:val>
            <c:numRef>
              <c:f>'ME 1.7 Chart'!$B$11:$H$11</c:f>
              <c:numCache>
                <c:formatCode>#,##0;[Red]\(#,##0\)</c:formatCode>
                <c:ptCount val="7"/>
                <c:pt idx="0">
                  <c:v>125278.261</c:v>
                </c:pt>
                <c:pt idx="1">
                  <c:v>134183.39799999999</c:v>
                </c:pt>
                <c:pt idx="2">
                  <c:v>180199.34400000001</c:v>
                </c:pt>
                <c:pt idx="3">
                  <c:v>186895.16500000001</c:v>
                </c:pt>
                <c:pt idx="4">
                  <c:v>169947.65049999999</c:v>
                </c:pt>
                <c:pt idx="5">
                  <c:v>174931.478</c:v>
                </c:pt>
                <c:pt idx="6">
                  <c:v>178954.30799999999</c:v>
                </c:pt>
              </c:numCache>
            </c:numRef>
          </c:val>
          <c:smooth val="0"/>
          <c:extLst>
            <c:ext xmlns:c15="http://schemas.microsoft.com/office/drawing/2012/chart" uri="{02D57815-91ED-43cb-92C2-25804820EDAC}">
              <c15:datalabelsRange>
                <c15:f>'ME 1.7 Chart'!$B$11:$H$11</c15:f>
                <c15:dlblRangeCache>
                  <c:ptCount val="7"/>
                  <c:pt idx="0">
                    <c:v>125,278</c:v>
                  </c:pt>
                  <c:pt idx="1">
                    <c:v>134,183</c:v>
                  </c:pt>
                  <c:pt idx="2">
                    <c:v>180,199</c:v>
                  </c:pt>
                  <c:pt idx="3">
                    <c:v>186,895</c:v>
                  </c:pt>
                  <c:pt idx="4">
                    <c:v>169,948</c:v>
                  </c:pt>
                  <c:pt idx="5">
                    <c:v>174,931</c:v>
                  </c:pt>
                  <c:pt idx="6">
                    <c:v>178,954</c:v>
                  </c:pt>
                </c15:dlblRangeCache>
              </c15:datalabelsRange>
            </c:ext>
            <c:ext xmlns:c16="http://schemas.microsoft.com/office/drawing/2014/chart" uri="{C3380CC4-5D6E-409C-BE32-E72D297353CC}">
              <c16:uniqueId val="{00000007-FB7E-4C2E-A5E2-F259DFEA7232}"/>
            </c:ext>
          </c:extLst>
        </c:ser>
        <c:dLbls>
          <c:showLegendKey val="0"/>
          <c:showVal val="0"/>
          <c:showCatName val="0"/>
          <c:showSerName val="0"/>
          <c:showPercent val="0"/>
          <c:showBubbleSize val="0"/>
        </c:dLbls>
        <c:marker val="1"/>
        <c:smooth val="0"/>
        <c:axId val="840873584"/>
        <c:axId val="840878504"/>
      </c:lineChart>
      <c:catAx>
        <c:axId val="84087358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0" spcFirstLastPara="1" vertOverflow="ellipsis" wrap="square" anchor="ctr" anchorCtr="0"/>
          <a:lstStyle/>
          <a:p>
            <a:pPr>
              <a:defRPr sz="900" b="0" i="0" u="none" strike="noStrike" kern="1200" baseline="0">
                <a:solidFill>
                  <a:schemeClr val="tx1">
                    <a:lumMod val="65000"/>
                    <a:lumOff val="35000"/>
                  </a:schemeClr>
                </a:solidFill>
                <a:latin typeface="Arial" panose="020B0604020202020204" pitchFamily="34" charset="0"/>
                <a:ea typeface="+mn-ea"/>
                <a:cs typeface="+mn-cs"/>
              </a:defRPr>
            </a:pPr>
            <a:endParaRPr lang="en-US"/>
          </a:p>
        </c:txPr>
        <c:crossAx val="840878504"/>
        <c:crossesAt val="100000"/>
        <c:auto val="0"/>
        <c:lblAlgn val="ctr"/>
        <c:lblOffset val="2"/>
        <c:noMultiLvlLbl val="0"/>
      </c:catAx>
      <c:valAx>
        <c:axId val="840878504"/>
        <c:scaling>
          <c:orientation val="minMax"/>
          <c:min val="100000"/>
        </c:scaling>
        <c:delete val="0"/>
        <c:axPos val="l"/>
        <c:majorGridlines>
          <c:spPr>
            <a:ln w="9525" cap="flat" cmpd="sng" algn="ctr">
              <a:noFill/>
              <a:round/>
            </a:ln>
            <a:effectLst/>
          </c:spPr>
        </c:majorGridlines>
        <c:numFmt formatCode="#,##0;[Red]\(#,##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mn-cs"/>
              </a:defRPr>
            </a:pPr>
            <a:endParaRPr lang="en-US"/>
          </a:p>
        </c:txPr>
        <c:crossAx val="840873584"/>
        <c:crosses val="autoZero"/>
        <c:crossBetween val="between"/>
        <c:majorUnit val="10000"/>
        <c:minorUnit val="5000"/>
      </c:valAx>
      <c:spPr>
        <a:noFill/>
        <a:ln>
          <a:noFill/>
        </a:ln>
        <a:effectLst/>
      </c:spPr>
    </c:plotArea>
    <c:plotVisOnly val="1"/>
    <c:dispBlanksAs val="zero"/>
    <c:showDLblsOverMax val="0"/>
  </c:chart>
  <c:spPr>
    <a:solidFill>
      <a:schemeClr val="bg1"/>
    </a:solidFill>
    <a:ln w="9525" cap="flat" cmpd="sng" algn="ctr">
      <a:solidFill>
        <a:srgbClr val="7D7D7D"/>
      </a:solidFill>
      <a:round/>
    </a:ln>
    <a:effectLst/>
  </c:spPr>
  <c:txPr>
    <a:bodyPr/>
    <a:lstStyle/>
    <a:p>
      <a:pPr>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p:properties xmlns:p="http://schemas.microsoft.com/office/2006/metadata/properties" xmlns:xsi="http://www.w3.org/2001/XMLSchema-instance" xmlns:pc="http://schemas.microsoft.com/office/infopath/2007/PartnerControls">
  <documentManagement>
    <TaxCatchAll xmlns="4600776d-0a3c-44b4-bff2-0ceaafb13046">
      <Value>7</Value>
      <Value>151</Value>
      <Value>2</Value>
      <Value>39</Value>
      <Value>4</Value>
    </TaxCatchAll>
    <DateSent xmlns="4600776d-0a3c-44b4-bff2-0ceaafb13046" xsi:nil="true"/>
    <Document_x0020_Status xmlns="5f83e11d-09f6-45a3-a3ab-3865296675e2" xsi:nil="true"/>
    <RecordNumber xmlns="4600776d-0a3c-44b4-bff2-0ceaafb13046" xsi:nil="true"/>
    <_x0068_of8 xmlns="5f83e11d-09f6-45a3-a3ab-3865296675e2" xsi:nil="true"/>
    <g3ef09377e3444258679b6035a1ff93a xmlns="4600776d-0a3c-44b4-bff2-0ceaafb13046">
      <Terms xmlns="http://schemas.microsoft.com/office/infopath/2007/PartnerControls"/>
    </g3ef09377e3444258679b6035a1ff93a>
    <Allocated_x0020_to xmlns="5f83e11d-09f6-45a3-a3ab-3865296675e2">
      <UserInfo>
        <DisplayName/>
        <AccountId xsi:nil="true"/>
        <AccountType/>
      </UserInfo>
    </Allocated_x0020_to>
    <Publication_x0020_Date xmlns="5f83e11d-09f6-45a3-a3ab-3865296675e2" xsi:nil="true"/>
    <Notes0 xmlns="5f83e11d-09f6-45a3-a3ab-3865296675e2" xsi:nil="true"/>
    <Circulation_x0020_Date xmlns="5f83e11d-09f6-45a3-a3ab-3865296675e2" xsi:nil="true"/>
    <Related_x0020_Document xmlns="5f83e11d-09f6-45a3-a3ab-3865296675e2">
      <Url xsi:nil="true"/>
      <Description xsi:nil="true"/>
    </Related_x0020_Document>
    <j6c5b17cd04246da82e5604daf08bc68 xmlns="4600776d-0a3c-44b4-bff2-0ceaafb13046">
      <Terms xmlns="http://schemas.microsoft.com/office/infopath/2007/PartnerControls"/>
    </j6c5b17cd04246da82e5604daf08bc68>
    <j3dc9349b3384741bd6025ba1321f3a9 xmlns="5f83e11d-09f6-45a3-a3ab-3865296675e2">
      <Terms xmlns="http://schemas.microsoft.com/office/infopath/2007/PartnerControls">
        <TermInfo xmlns="http://schemas.microsoft.com/office/infopath/2007/PartnerControls">
          <TermName xmlns="http://schemas.microsoft.com/office/infopath/2007/PartnerControls">Circulated</TermName>
          <TermId xmlns="http://schemas.microsoft.com/office/infopath/2007/PartnerControls">ad62bcf4-b27f-4d2f-9d17-655c57cc4992</TermId>
        </TermInfo>
      </Terms>
    </j3dc9349b3384741bd6025ba1321f3a9>
    <Date xmlns="5f83e11d-09f6-45a3-a3ab-3865296675e2" xsi:nil="true"/>
    <Additional_x0020_category xmlns="5f83e11d-09f6-45a3-a3ab-3865296675e2" xsi:nil="true"/>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2022-23</TermName>
          <TermId xmlns="http://schemas.microsoft.com/office/infopath/2007/PartnerControls">7fb1e443-0657-4321-ad3c-cd3232e0f0ac</TermId>
        </TermInfo>
      </Terms>
    </e6f926d7f5b14a74bee86c3452d91372>
    <EndofSessionDate xmlns="4600776d-0a3c-44b4-bff2-0ceaafb13046" xsi:nil="true"/>
    <DateReceived xmlns="4600776d-0a3c-44b4-bff2-0ceaafb13046" xsi:nil="true"/>
    <TransfertoArchives xmlns="4600776d-0a3c-44b4-bff2-0ceaafb13046">false</TransfertoArchives>
    <n78ca1497cf6442fb3babdda785c85ae xmlns="5f83e11d-09f6-45a3-a3ab-3865296675e2">
      <Terms xmlns="http://schemas.microsoft.com/office/infopath/2007/PartnerControls">
        <TermInfo xmlns="http://schemas.microsoft.com/office/infopath/2007/PartnerControls">
          <TermName xmlns="http://schemas.microsoft.com/office/infopath/2007/PartnerControls">Correspondence to Committee</TermName>
          <TermId xmlns="http://schemas.microsoft.com/office/infopath/2007/PartnerControls">1f23d35d-f99e-4229-8287-1548a34a7719</TermId>
        </TermInfo>
      </Terms>
    </n78ca1497cf6442fb3babdda785c85ae>
    <Visit xmlns="0606af38-29d8-407d-826d-7a0cb9d9f4ed" xsi:nil="true"/>
    <Status_x0020_of_x0020_correspondence xmlns="5f83e11d-09f6-45a3-a3ab-3865296675e2" xsi:nil="true"/>
    <Meeting_x0020_Date xmlns="5f83e11d-09f6-45a3-a3ab-3865296675e2">2022-09-05T23:00:00+00:00</Meeting_x0020_Date>
    <Brief_x0020_status xmlns="5f83e11d-09f6-45a3-a3ab-3865296675e2" xsi:nil="true"/>
    <Department xmlns="5f83e11d-09f6-45a3-a3ab-3865296675e2" xsi:nil="true"/>
    <cd0fc526a5c840319a97fd94028e9904 xmlns="4600776d-0a3c-44b4-bff2-0ceaafb13046">
      <Terms xmlns="http://schemas.microsoft.com/office/infopath/2007/PartnerControls"/>
    </cd0fc526a5c840319a97fd94028e9904>
    <ja5e4d000da44b5490ce6b4249309924 xmlns="c86d72e2-090a-4e7d-987e-218d8a0db591">
      <Terms xmlns="http://schemas.microsoft.com/office/infopath/2007/PartnerControls">
        <TermInfo xmlns="http://schemas.microsoft.com/office/infopath/2007/PartnerControls">
          <TermName xmlns="http://schemas.microsoft.com/office/infopath/2007/PartnerControls">Estimates scrutiny</TermName>
          <TermId xmlns="http://schemas.microsoft.com/office/infopath/2007/PartnerControls">1394a1c7-0ee1-48e6-a361-58be6f092d49</TermId>
        </TermInfo>
      </Terms>
    </ja5e4d000da44b5490ce6b4249309924>
    <Witness xmlns="0606af38-29d8-407d-826d-7a0cb9d9f4ed" xsi:nil="true"/>
    <efig xmlns="5f83e11d-09f6-45a3-a3ab-3865296675e2" xsi:nil="true"/>
    <Specialist_x0020_Adviser xmlns="0606af38-29d8-407d-826d-7a0cb9d9f4ed" xsi:nil="true"/>
    <Useful_x0020_Docs xmlns="5f83e11d-09f6-45a3-a3ab-3865296675e2" xsi:nil="true"/>
    <Deadline xmlns="5f83e11d-09f6-45a3-a3ab-3865296675e2" xsi:nil="true"/>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_dlc_DocId xmlns="6ab18433-7710-49bd-9bb4-0bb85747556a">HCCHEALTH-159081307-25827</_dlc_DocId>
    <_dlc_DocIdUrl xmlns="6ab18433-7710-49bd-9bb4-0bb85747556a">
      <Url>https://hopuk.sharepoint.com/sites/hcc-Health/_layouts/15/DocIdRedir.aspx?ID=HCCHEALTH-159081307-25827</Url>
      <Description>HCCHEALTH-159081307-25827</Description>
    </_dlc_DocIdUrl>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878549CA990552468D5FDD449584DE5A" ma:contentTypeVersion="54" ma:contentTypeDescription="Create a new document." ma:contentTypeScope="" ma:versionID="cb8c956df67eb9abec6984526e3e6408">
  <xsd:schema xmlns:xsd="http://www.w3.org/2001/XMLSchema" xmlns:xs="http://www.w3.org/2001/XMLSchema" xmlns:p="http://schemas.microsoft.com/office/2006/metadata/properties" xmlns:ns2="5f83e11d-09f6-45a3-a3ab-3865296675e2" xmlns:ns3="0606af38-29d8-407d-826d-7a0cb9d9f4ed" xmlns:ns4="4600776d-0a3c-44b4-bff2-0ceaafb13046" xmlns:ns5="6ab18433-7710-49bd-9bb4-0bb85747556a" xmlns:ns6="c86d72e2-090a-4e7d-987e-218d8a0db591" targetNamespace="http://schemas.microsoft.com/office/2006/metadata/properties" ma:root="true" ma:fieldsID="32087f1d40f7c5b818248501af7380e4" ns2:_="" ns3:_="" ns4:_="" ns5:_="" ns6:_="">
    <xsd:import namespace="5f83e11d-09f6-45a3-a3ab-3865296675e2"/>
    <xsd:import namespace="0606af38-29d8-407d-826d-7a0cb9d9f4ed"/>
    <xsd:import namespace="4600776d-0a3c-44b4-bff2-0ceaafb13046"/>
    <xsd:import namespace="6ab18433-7710-49bd-9bb4-0bb85747556a"/>
    <xsd:import namespace="c86d72e2-090a-4e7d-987e-218d8a0db591"/>
    <xsd:element name="properties">
      <xsd:complexType>
        <xsd:sequence>
          <xsd:element name="documentManagement">
            <xsd:complexType>
              <xsd:all>
                <xsd:element ref="ns2:Additional_x0020_category" minOccurs="0"/>
                <xsd:element ref="ns2:Circulation_x0020_Date" minOccurs="0"/>
                <xsd:element ref="ns2:Meeting_x0020_Date" minOccurs="0"/>
                <xsd:element ref="ns2:Status_x0020_of_x0020_correspondence" minOccurs="0"/>
                <xsd:element ref="ns4:DateReceived" minOccurs="0"/>
                <xsd:element ref="ns4:DateSent" minOccurs="0"/>
                <xsd:element ref="ns3:Visit" minOccurs="0"/>
                <xsd:element ref="ns2:Document_x0020_Status" minOccurs="0"/>
                <xsd:element ref="ns2:Brief_x0020_status" minOccurs="0"/>
                <xsd:element ref="ns2:Publication_x0020_Date" minOccurs="0"/>
                <xsd:element ref="ns2:Allocated_x0020_to" minOccurs="0"/>
                <xsd:element ref="ns3:Specialist_x0020_Adviser" minOccurs="0"/>
                <xsd:element ref="ns3:Witness" minOccurs="0"/>
                <xsd:element ref="ns2:Notes0" minOccurs="0"/>
                <xsd:element ref="ns2:Useful_x0020_Docs" minOccurs="0"/>
                <xsd:element ref="ns2:Deadline" minOccurs="0"/>
                <xsd:element ref="ns2:Date" minOccurs="0"/>
                <xsd:element ref="ns2:Related_x0020_Document" minOccurs="0"/>
                <xsd:element ref="ns2:Department" minOccurs="0"/>
                <xsd:element ref="ns4:EndofSessionDate" minOccurs="0"/>
                <xsd:element ref="ns4:TransfertoArchives" minOccurs="0"/>
                <xsd:element ref="ns4:RecordNumber" minOccurs="0"/>
                <xsd:element ref="ns5:_dlc_DocIdUrl" minOccurs="0"/>
                <xsd:element ref="ns3:Visit_x003a_Start_x0020_Time" minOccurs="0"/>
                <xsd:element ref="ns3:Visit_x003a_End_x0020_Time" minOccurs="0"/>
                <xsd:element ref="ns3:Witness_x003a_First_x0020_Name" minOccurs="0"/>
                <xsd:element ref="ns3:Witness_x003a_Full_x0020_Name" minOccurs="0"/>
                <xsd:element ref="ns3:Witness_x003a_Job_x0020_Title" minOccurs="0"/>
                <xsd:element ref="ns5:_dlc_DocIdPersistId" minOccurs="0"/>
                <xsd:element ref="ns4:c4838c65c76546ae93d5703426802f7f" minOccurs="0"/>
                <xsd:element ref="ns4:TaxCatchAll" minOccurs="0"/>
                <xsd:element ref="ns4:TaxCatchAllLabel" minOccurs="0"/>
                <xsd:element ref="ns3:Specialist_x0020_Adviser_x003a_First_x0020_Name" minOccurs="0"/>
                <xsd:element ref="ns4:j6c5b17cd04246da82e5604daf08bc68" minOccurs="0"/>
                <xsd:element ref="ns3:Specialist_x0020_Adviser_x003a_Full_x0020_Name" minOccurs="0"/>
                <xsd:element ref="ns4:g3ef09377e3444258679b6035a1ff93a" minOccurs="0"/>
                <xsd:element ref="ns2:n78ca1497cf6442fb3babdda785c85ae" minOccurs="0"/>
                <xsd:element ref="ns4:cd0fc526a5c840319a97fd94028e9904" minOccurs="0"/>
                <xsd:element ref="ns2:j3dc9349b3384741bd6025ba1321f3a9" minOccurs="0"/>
                <xsd:element ref="ns5:_dlc_DocId" minOccurs="0"/>
                <xsd:element ref="ns6:ja5e4d000da44b5490ce6b4249309924" minOccurs="0"/>
                <xsd:element ref="ns4:e6f926d7f5b14a74bee86c3452d91372" minOccurs="0"/>
                <xsd:element ref="ns2:MediaServiceMetadata" minOccurs="0"/>
                <xsd:element ref="ns2:MediaServiceFastMetadata" minOccurs="0"/>
                <xsd:element ref="ns5:SharedWithUsers" minOccurs="0"/>
                <xsd:element ref="ns5:SharedWithDetails" minOccurs="0"/>
                <xsd:element ref="ns2:MediaServiceAutoTags" minOccurs="0"/>
                <xsd:element ref="ns2:MediaServiceOCR" minOccurs="0"/>
                <xsd:element ref="ns2:MediaServiceEventHashCode" minOccurs="0"/>
                <xsd:element ref="ns2:MediaServiceGenerationTime" minOccurs="0"/>
                <xsd:element ref="ns2:efig" minOccurs="0"/>
                <xsd:element ref="ns2:_x0068_of8" minOccurs="0"/>
                <xsd:element ref="ns2:MediaServiceDateTaken" minOccurs="0"/>
                <xsd:element ref="ns2:MediaServiceAutoKeyPoints" minOccurs="0"/>
                <xsd:element ref="ns2:MediaServiceKeyPoint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83e11d-09f6-45a3-a3ab-3865296675e2" elementFormDefault="qualified">
    <xsd:import namespace="http://schemas.microsoft.com/office/2006/documentManagement/types"/>
    <xsd:import namespace="http://schemas.microsoft.com/office/infopath/2007/PartnerControls"/>
    <xsd:element name="Additional_x0020_category" ma:index="3" nillable="true" ma:displayName="Additional category" ma:internalName="Additional_x0020_category">
      <xsd:simpleType>
        <xsd:restriction base="dms:Text">
          <xsd:maxLength value="255"/>
        </xsd:restriction>
      </xsd:simpleType>
    </xsd:element>
    <xsd:element name="Circulation_x0020_Date" ma:index="6" nillable="true" ma:displayName="Circulation Date" ma:format="DateOnly" ma:internalName="Circulation_x0020_Date">
      <xsd:simpleType>
        <xsd:restriction base="dms:DateTime"/>
      </xsd:simpleType>
    </xsd:element>
    <xsd:element name="Meeting_x0020_Date" ma:index="7" nillable="true" ma:displayName="Meeting Date" ma:format="DateOnly" ma:indexed="true" ma:internalName="Meeting_x0020_Date">
      <xsd:simpleType>
        <xsd:restriction base="dms:DateTime"/>
      </xsd:simpleType>
    </xsd:element>
    <xsd:element name="Status_x0020_of_x0020_correspondence" ma:index="8" nillable="true" ma:displayName="Correspondence Status" ma:format="Dropdown" ma:internalName="Status_x0020_of_x0020_correspondence">
      <xsd:simpleType>
        <xsd:union memberTypes="dms:Text">
          <xsd:simpleType>
            <xsd:restriction base="dms:Choice">
              <xsd:enumeration value="Received - no action needed"/>
              <xsd:enumeration value="Received - allocated for action"/>
              <xsd:enumeration value="Drafting response"/>
              <xsd:enumeration value="Draft response with Chair"/>
              <xsd:enumeration value="NAO drafting response"/>
              <xsd:enumeration value="NAO draft response with Chair"/>
              <xsd:enumeration value="Holding response sent"/>
              <xsd:enumeration value="Answered by Committee Staff"/>
              <xsd:enumeration value="Chair's response sent"/>
            </xsd:restriction>
          </xsd:simpleType>
        </xsd:union>
      </xsd:simpleType>
    </xsd:element>
    <xsd:element name="Document_x0020_Status" ma:index="12" nillable="true" ma:displayName="Document Status" ma:format="Dropdown" ma:indexed="true" ma:internalName="Document_x0020_Status">
      <xsd:simpleType>
        <xsd:restriction base="dms:Choice">
          <xsd:enumeration value="In Draft"/>
          <xsd:enumeration value="With Principal Clerk"/>
          <xsd:enumeration value="With Chair"/>
          <xsd:enumeration value="With Committee"/>
          <xsd:enumeration value="Agreed and to be Published"/>
          <xsd:enumeration value="Published"/>
        </xsd:restriction>
      </xsd:simpleType>
    </xsd:element>
    <xsd:element name="Brief_x0020_status" ma:index="13" nillable="true" ma:displayName="Brief status" ma:format="Dropdown" ma:internalName="Brief_x0020_status">
      <xsd:simpleType>
        <xsd:restriction base="dms:Choice">
          <xsd:enumeration value="in draft"/>
          <xsd:enumeration value="with Committee Clerk"/>
          <xsd:enumeration value="ready to be circulated"/>
          <xsd:enumeration value="circulated"/>
        </xsd:restriction>
      </xsd:simpleType>
    </xsd:element>
    <xsd:element name="Publication_x0020_Date" ma:index="14" nillable="true" ma:displayName="Publication Date" ma:format="DateOnly" ma:internalName="Publication_x0020_Date">
      <xsd:simpleType>
        <xsd:restriction base="dms:DateTime"/>
      </xsd:simpleType>
    </xsd:element>
    <xsd:element name="Allocated_x0020_to" ma:index="15" nillable="true" ma:displayName="Allocated to" ma:indexed="true" ma:SharePointGroup="0" ma:internalName="Allocated_x0020_to"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Notes0" ma:index="19" nillable="true" ma:displayName="Notes" ma:internalName="Notes0">
      <xsd:simpleType>
        <xsd:restriction base="dms:Note">
          <xsd:maxLength value="255"/>
        </xsd:restriction>
      </xsd:simpleType>
    </xsd:element>
    <xsd:element name="Useful_x0020_Docs" ma:index="20" nillable="true" ma:displayName="Useful Docs" ma:internalName="Useful_x0020_Docs">
      <xsd:complexType>
        <xsd:complexContent>
          <xsd:extension base="dms:MultiChoice">
            <xsd:sequence>
              <xsd:element name="Value" maxOccurs="unbounded" minOccurs="0" nillable="true">
                <xsd:simpleType>
                  <xsd:restriction base="dms:Choice">
                    <xsd:enumeration value="Circulation page"/>
                    <xsd:enumeration value="Dashboard page"/>
                  </xsd:restriction>
                </xsd:simpleType>
              </xsd:element>
            </xsd:sequence>
          </xsd:extension>
        </xsd:complexContent>
      </xsd:complexType>
    </xsd:element>
    <xsd:element name="Deadline" ma:index="21" nillable="true" ma:displayName="Deadline" ma:format="DateOnly" ma:internalName="Deadline">
      <xsd:simpleType>
        <xsd:restriction base="dms:DateTime"/>
      </xsd:simpleType>
    </xsd:element>
    <xsd:element name="Date" ma:index="22" nillable="true" ma:displayName="Date" ma:format="DateOnly" ma:internalName="Date">
      <xsd:simpleType>
        <xsd:restriction base="dms:DateTime"/>
      </xsd:simpleType>
    </xsd:element>
    <xsd:element name="Related_x0020_Document" ma:index="23" nillable="true" ma:displayName="Related Document" ma:format="Hyperlink" ma:internalName="Related_x0020_Document">
      <xsd:complexType>
        <xsd:complexContent>
          <xsd:extension base="dms:URL">
            <xsd:sequence>
              <xsd:element name="Url" type="dms:ValidUrl" minOccurs="0" nillable="true"/>
              <xsd:element name="Description" type="xsd:string" nillable="true"/>
            </xsd:sequence>
          </xsd:extension>
        </xsd:complexContent>
      </xsd:complexType>
    </xsd:element>
    <xsd:element name="Department" ma:index="24" nillable="true" ma:displayName="Department" ma:format="Dropdown" ma:internalName="Department">
      <xsd:simpleType>
        <xsd:restriction base="dms:Choice">
          <xsd:enumeration value="Business, Energy and Industrial Strategy"/>
          <xsd:enumeration value="Cabinet Office"/>
          <xsd:enumeration value="Communities and Local Government"/>
          <xsd:enumeration value="Culture, Media and Sport"/>
          <xsd:enumeration value="Defence"/>
          <xsd:enumeration value="Education"/>
          <xsd:enumeration value="Environment, Food and Rural Affairs"/>
          <xsd:enumeration value="Exiting the European Union"/>
          <xsd:enumeration value="Foreign and Commonwealth Office"/>
          <xsd:enumeration value="HM Treasury"/>
          <xsd:enumeration value="International Development"/>
          <xsd:enumeration value="International Trade"/>
          <xsd:enumeration value="Health"/>
          <xsd:enumeration value="HMRC"/>
          <xsd:enumeration value="Home Office"/>
          <xsd:enumeration value="Justice"/>
          <xsd:enumeration value="NHS England"/>
          <xsd:enumeration value="Transport"/>
          <xsd:enumeration value="Work and Pensions"/>
        </xsd:restriction>
      </xsd:simpleType>
    </xsd:element>
    <xsd:element name="n78ca1497cf6442fb3babdda785c85ae" ma:index="52" nillable="true" ma:taxonomy="true" ma:internalName="n78ca1497cf6442fb3babdda785c85ae" ma:taxonomyFieldName="Category" ma:displayName="Category" ma:indexed="true" ma:default="" ma:fieldId="{778ca149-7cf6-442f-b3ba-bdda785c85ae}" ma:sspId="eb37f91c-4bb8-4ab3-bc5a-cd8753815459" ma:termSetId="fdda81a6-47fd-48fa-9a20-6ed040d3b7b9" ma:anchorId="00000000-0000-0000-0000-000000000000" ma:open="false" ma:isKeyword="false">
      <xsd:complexType>
        <xsd:sequence>
          <xsd:element ref="pc:Terms" minOccurs="0" maxOccurs="1"/>
        </xsd:sequence>
      </xsd:complexType>
    </xsd:element>
    <xsd:element name="j3dc9349b3384741bd6025ba1321f3a9" ma:index="54" nillable="true" ma:taxonomy="true" ma:internalName="j3dc9349b3384741bd6025ba1321f3a9" ma:taxonomyFieldName="Circulation" ma:displayName="Circulation" ma:indexed="true" ma:default="" ma:fieldId="{33dc9349-b338-4741-bd60-25ba1321f3a9}" ma:sspId="eb37f91c-4bb8-4ab3-bc5a-cd8753815459" ma:termSetId="f0f3d9b7-bf02-42f5-b887-16455fa55310" ma:anchorId="6075679c-1e86-4f5c-8343-cf1f0bb0c4a9" ma:open="false" ma:isKeyword="false">
      <xsd:complexType>
        <xsd:sequence>
          <xsd:element ref="pc:Terms" minOccurs="0" maxOccurs="1"/>
        </xsd:sequence>
      </xsd:complexType>
    </xsd:element>
    <xsd:element name="MediaServiceMetadata" ma:index="58" nillable="true" ma:displayName="MediaServiceMetadata" ma:description="" ma:hidden="true" ma:internalName="MediaServiceMetadata" ma:readOnly="true">
      <xsd:simpleType>
        <xsd:restriction base="dms:Note"/>
      </xsd:simpleType>
    </xsd:element>
    <xsd:element name="MediaServiceFastMetadata" ma:index="59" nillable="true" ma:displayName="MediaServiceFastMetadata" ma:description="" ma:hidden="true" ma:internalName="MediaServiceFastMetadata" ma:readOnly="true">
      <xsd:simpleType>
        <xsd:restriction base="dms:Note"/>
      </xsd:simpleType>
    </xsd:element>
    <xsd:element name="MediaServiceAutoTags" ma:index="62" nillable="true" ma:displayName="MediaServiceAutoTags" ma:internalName="MediaServiceAutoTags" ma:readOnly="true">
      <xsd:simpleType>
        <xsd:restriction base="dms:Text"/>
      </xsd:simpleType>
    </xsd:element>
    <xsd:element name="MediaServiceOCR" ma:index="63" nillable="true" ma:displayName="MediaServiceOCR" ma:internalName="MediaServiceOCR" ma:readOnly="true">
      <xsd:simpleType>
        <xsd:restriction base="dms:Note">
          <xsd:maxLength value="255"/>
        </xsd:restriction>
      </xsd:simpleType>
    </xsd:element>
    <xsd:element name="MediaServiceEventHashCode" ma:index="64" nillable="true" ma:displayName="MediaServiceEventHashCode" ma:hidden="true" ma:internalName="MediaServiceEventHashCode" ma:readOnly="true">
      <xsd:simpleType>
        <xsd:restriction base="dms:Text"/>
      </xsd:simpleType>
    </xsd:element>
    <xsd:element name="MediaServiceGenerationTime" ma:index="65" nillable="true" ma:displayName="MediaServiceGenerationTime" ma:hidden="true" ma:internalName="MediaServiceGenerationTime" ma:readOnly="true">
      <xsd:simpleType>
        <xsd:restriction base="dms:Text"/>
      </xsd:simpleType>
    </xsd:element>
    <xsd:element name="efig" ma:index="66" nillable="true" ma:displayName="Text" ma:internalName="efig">
      <xsd:simpleType>
        <xsd:restriction base="dms:Text"/>
      </xsd:simpleType>
    </xsd:element>
    <xsd:element name="_x0068_of8" ma:index="67" nillable="true" ma:displayName="Date and Time" ma:internalName="_x0068_of8">
      <xsd:simpleType>
        <xsd:restriction base="dms:DateTime"/>
      </xsd:simpleType>
    </xsd:element>
    <xsd:element name="MediaServiceDateTaken" ma:index="68" nillable="true" ma:displayName="MediaServiceDateTaken" ma:hidden="true" ma:internalName="MediaServiceDateTaken" ma:readOnly="true">
      <xsd:simpleType>
        <xsd:restriction base="dms:Text"/>
      </xsd:simpleType>
    </xsd:element>
    <xsd:element name="MediaServiceAutoKeyPoints" ma:index="69" nillable="true" ma:displayName="MediaServiceAutoKeyPoints" ma:hidden="true" ma:internalName="MediaServiceAutoKeyPoints" ma:readOnly="true">
      <xsd:simpleType>
        <xsd:restriction base="dms:Note"/>
      </xsd:simpleType>
    </xsd:element>
    <xsd:element name="MediaServiceKeyPoints" ma:index="70" nillable="true" ma:displayName="KeyPoints" ma:internalName="MediaServiceKeyPoints" ma:readOnly="true">
      <xsd:simpleType>
        <xsd:restriction base="dms:Note">
          <xsd:maxLength value="255"/>
        </xsd:restriction>
      </xsd:simpleType>
    </xsd:element>
    <xsd:element name="MediaServiceLocation" ma:index="71"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606af38-29d8-407d-826d-7a0cb9d9f4ed" elementFormDefault="qualified">
    <xsd:import namespace="http://schemas.microsoft.com/office/2006/documentManagement/types"/>
    <xsd:import namespace="http://schemas.microsoft.com/office/infopath/2007/PartnerControls"/>
    <xsd:element name="Visit" ma:index="11" nillable="true" ma:displayName="Visit" ma:list="{31034885-68a9-4545-bf72-c1fb72bf6dd5}" ma:internalName="Visit" ma:showField="Title" ma:web="0606af38-29d8-407d-826d-7a0cb9d9f4ed">
      <xsd:simpleType>
        <xsd:restriction base="dms:Lookup"/>
      </xsd:simpleType>
    </xsd:element>
    <xsd:element name="Specialist_x0020_Adviser" ma:index="17" nillable="true" ma:displayName="Specialist Adviser" ma:list="{e544cf25-bcf5-469c-b3bf-bf830a7ac9a1}" ma:internalName="Specialist_x0020_Adviser" ma:showField="Title" ma:web="0606af38-29d8-407d-826d-7a0cb9d9f4ed">
      <xsd:simpleType>
        <xsd:restriction base="dms:Lookup"/>
      </xsd:simpleType>
    </xsd:element>
    <xsd:element name="Witness" ma:index="18" nillable="true" ma:displayName="Witness" ma:list="{7f5f7da8-d8af-4376-9382-2bcaf0475fac}" ma:internalName="Witness" ma:showField="Title" ma:web="0606af38-29d8-407d-826d-7a0cb9d9f4ed">
      <xsd:simpleType>
        <xsd:restriction base="dms:Lookup"/>
      </xsd:simpleType>
    </xsd:element>
    <xsd:element name="Visit_x003a_Start_x0020_Time" ma:index="37" nillable="true" ma:displayName="Visit:Start Time" ma:list="{31034885-68a9-4545-bf72-c1fb72bf6dd5}" ma:internalName="Visit_x003a_Start_x0020_Time" ma:readOnly="true" ma:showField="EventDate" ma:web="0606af38-29d8-407d-826d-7a0cb9d9f4ed">
      <xsd:simpleType>
        <xsd:restriction base="dms:Lookup"/>
      </xsd:simpleType>
    </xsd:element>
    <xsd:element name="Visit_x003a_End_x0020_Time" ma:index="38" nillable="true" ma:displayName="Visit:End Time" ma:list="{31034885-68a9-4545-bf72-c1fb72bf6dd5}" ma:internalName="Visit_x003a_End_x0020_Time" ma:readOnly="true" ma:showField="EndDate" ma:web="0606af38-29d8-407d-826d-7a0cb9d9f4ed">
      <xsd:simpleType>
        <xsd:restriction base="dms:Lookup"/>
      </xsd:simpleType>
    </xsd:element>
    <xsd:element name="Witness_x003a_First_x0020_Name" ma:index="40" nillable="true" ma:displayName="Witness:First Name" ma:list="{7f5f7da8-d8af-4376-9382-2bcaf0475fac}" ma:internalName="Witness_x003a_First_x0020_Name" ma:readOnly="true" ma:showField="First_x0020_Name" ma:web="0606af38-29d8-407d-826d-7a0cb9d9f4ed">
      <xsd:simpleType>
        <xsd:restriction base="dms:Lookup"/>
      </xsd:simpleType>
    </xsd:element>
    <xsd:element name="Witness_x003a_Full_x0020_Name" ma:index="41" nillable="true" ma:displayName="Witness:Full Name" ma:list="{7f5f7da8-d8af-4376-9382-2bcaf0475fac}" ma:internalName="Witness_x003a_Full_x0020_Name" ma:readOnly="true" ma:showField="Full_x0020_Name" ma:web="0606af38-29d8-407d-826d-7a0cb9d9f4ed">
      <xsd:simpleType>
        <xsd:restriction base="dms:Lookup"/>
      </xsd:simpleType>
    </xsd:element>
    <xsd:element name="Witness_x003a_Job_x0020_Title" ma:index="42" nillable="true" ma:displayName="Witness:Job Title" ma:list="{7f5f7da8-d8af-4376-9382-2bcaf0475fac}" ma:internalName="Witness_x003a_Job_x0020_Title" ma:readOnly="true" ma:showField="Job_x0020_Title" ma:web="0606af38-29d8-407d-826d-7a0cb9d9f4ed">
      <xsd:simpleType>
        <xsd:restriction base="dms:Lookup"/>
      </xsd:simpleType>
    </xsd:element>
    <xsd:element name="Specialist_x0020_Adviser_x003a_First_x0020_Name" ma:index="48" nillable="true" ma:displayName="Specialist Adviser:First Name" ma:list="{e544cf25-bcf5-469c-b3bf-bf830a7ac9a1}" ma:internalName="Specialist_x0020_Adviser_x003a_First_x0020_Name" ma:readOnly="true" ma:showField="FirstName" ma:web="0606af38-29d8-407d-826d-7a0cb9d9f4ed">
      <xsd:simpleType>
        <xsd:restriction base="dms:Lookup"/>
      </xsd:simpleType>
    </xsd:element>
    <xsd:element name="Specialist_x0020_Adviser_x003a_Full_x0020_Name" ma:index="50" nillable="true" ma:displayName="Specialist Adviser:Full Name" ma:list="{e544cf25-bcf5-469c-b3bf-bf830a7ac9a1}" ma:internalName="Specialist_x0020_Adviser_x003a_Full_x0020_Name" ma:readOnly="true" ma:showField="FullName" ma:web="0606af38-29d8-407d-826d-7a0cb9d9f4ed">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DateReceived" ma:index="9" nillable="true" ma:displayName="Date Received" ma:format="DateTime" ma:internalName="DateReceived">
      <xsd:simpleType>
        <xsd:restriction base="dms:DateTime"/>
      </xsd:simpleType>
    </xsd:element>
    <xsd:element name="DateSent" ma:index="10" nillable="true" ma:displayName="Date Sent" ma:format="DateTime" ma:indexed="true" ma:internalName="DateSent">
      <xsd:simpleType>
        <xsd:restriction base="dms:DateTime"/>
      </xsd:simpleType>
    </xsd:element>
    <xsd:element name="EndofSessionDate" ma:index="25" nillable="true" ma:displayName="End of Session Date" ma:format="DateOnly" ma:internalName="EndofSessionDate">
      <xsd:simpleType>
        <xsd:restriction base="dms:DateTime"/>
      </xsd:simpleType>
    </xsd:element>
    <xsd:element name="TransfertoArchives" ma:index="26" nillable="true" ma:displayName="Transfer to Archives" ma:default="0" ma:internalName="TransfertoArchives">
      <xsd:simpleType>
        <xsd:restriction base="dms:Boolean"/>
      </xsd:simpleType>
    </xsd:element>
    <xsd:element name="RecordNumber" ma:index="31" nillable="true" ma:displayName="Record Number" ma:indexed="true" ma:internalName="RecordNumber">
      <xsd:simpleType>
        <xsd:restriction base="dms:Text">
          <xsd:maxLength value="255"/>
        </xsd:restriction>
      </xsd:simpleType>
    </xsd:element>
    <xsd:element name="c4838c65c76546ae93d5703426802f7f" ma:index="45" nillable="true" ma:taxonomy="true" ma:internalName="c4838c65c76546ae93d5703426802f7f" ma:taxonomyFieldName="RMKeyword1" ma:displayName="RM Keyword 1" ma:default=""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TaxCatchAll" ma:index="46" nillable="true" ma:displayName="Taxonomy Catch All Column" ma:description="" ma:hidden="true" ma:list="{f0b73731-752e-4b14-b24f-0fcf7db809c1}" ma:internalName="TaxCatchAll" ma:showField="CatchAllData" ma:web="0606af38-29d8-407d-826d-7a0cb9d9f4ed">
      <xsd:complexType>
        <xsd:complexContent>
          <xsd:extension base="dms:MultiChoiceLookup">
            <xsd:sequence>
              <xsd:element name="Value" type="dms:Lookup" maxOccurs="unbounded" minOccurs="0" nillable="true"/>
            </xsd:sequence>
          </xsd:extension>
        </xsd:complexContent>
      </xsd:complexType>
    </xsd:element>
    <xsd:element name="TaxCatchAllLabel" ma:index="47" nillable="true" ma:displayName="Taxonomy Catch All Column1" ma:description="" ma:hidden="true" ma:list="{f0b73731-752e-4b14-b24f-0fcf7db809c1}" ma:internalName="TaxCatchAllLabel" ma:readOnly="true" ma:showField="CatchAllDataLabel" ma:web="0606af38-29d8-407d-826d-7a0cb9d9f4ed">
      <xsd:complexType>
        <xsd:complexContent>
          <xsd:extension base="dms:MultiChoiceLookup">
            <xsd:sequence>
              <xsd:element name="Value" type="dms:Lookup" maxOccurs="unbounded" minOccurs="0" nillable="true"/>
            </xsd:sequence>
          </xsd:extension>
        </xsd:complexContent>
      </xsd:complexType>
    </xsd:element>
    <xsd:element name="j6c5b17cd04246da82e5604daf08bc68" ma:index="49" nillable="true" ma:taxonomy="true" ma:internalName="j6c5b17cd04246da82e5604daf08bc68" ma:taxonomyFieldName="RMKeyword2" ma:displayName="RM Keyword 2" ma:default=""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51" nillable="true" ma:taxonomy="true" ma:internalName="g3ef09377e3444258679b6035a1ff93a" ma:taxonomyFieldName="RMKeyword3" ma:displayName="RM Keyword 3" ma:default=""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d0fc526a5c840319a97fd94028e9904" ma:index="53" nillable="true" ma:taxonomy="true" ma:internalName="cd0fc526a5c840319a97fd94028e9904" ma:taxonomyFieldName="RMKeyword4" ma:displayName="RM Keyword 4" ma:default=""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e6f926d7f5b14a74bee86c3452d91372" ma:index="57" nillable="true" ma:taxonomy="true" ma:internalName="e6f926d7f5b14a74bee86c3452d91372" ma:taxonomyFieldName="Sessions" ma:displayName="Session" ma:indexed="true" ma:default="134;#2021-22|96b889cb-bf30-4d4e-a7d4-109b091b8c4a"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ab18433-7710-49bd-9bb4-0bb85747556a" elementFormDefault="qualified">
    <xsd:import namespace="http://schemas.microsoft.com/office/2006/documentManagement/types"/>
    <xsd:import namespace="http://schemas.microsoft.com/office/infopath/2007/PartnerControls"/>
    <xsd:element name="_dlc_DocIdUrl" ma:index="36"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43" nillable="true" ma:displayName="Persist ID" ma:description="Keep ID on add." ma:hidden="true" ma:internalName="_dlc_DocIdPersistId" ma:readOnly="true">
      <xsd:simpleType>
        <xsd:restriction base="dms:Boolean"/>
      </xsd:simpleType>
    </xsd:element>
    <xsd:element name="_dlc_DocId" ma:index="55" nillable="true" ma:displayName="Document ID Value" ma:description="The value of the document ID assigned to this item." ma:internalName="_dlc_DocId" ma:readOnly="true">
      <xsd:simpleType>
        <xsd:restriction base="dms:Text"/>
      </xsd:simpleType>
    </xsd:element>
    <xsd:element name="SharedWithUsers" ma:index="60"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61"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86d72e2-090a-4e7d-987e-218d8a0db591" elementFormDefault="qualified">
    <xsd:import namespace="http://schemas.microsoft.com/office/2006/documentManagement/types"/>
    <xsd:import namespace="http://schemas.microsoft.com/office/infopath/2007/PartnerControls"/>
    <xsd:element name="ja5e4d000da44b5490ce6b4249309924" ma:index="56" nillable="true" ma:taxonomy="true" ma:internalName="ja5e4d000da44b5490ce6b4249309924" ma:taxonomyFieldName="Inquiry" ma:displayName="Inquiry" ma:indexed="true" ma:default="" ma:fieldId="{3a5e4d00-0da4-4b54-90ce-6b4249309924}" ma:sspId="eb37f91c-4bb8-4ab3-bc5a-cd8753815459" ma:termSetId="e92b6cb5-89aa-4b85-8d83-b805cf84055d" ma:anchorId="aade5e66-8e24-4aae-be6e-9d70644bcdd4"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3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E60CB92-CAE0-46EC-91E9-EB66FAD28CE7}">
  <ds:schemaRefs>
    <ds:schemaRef ds:uri="http://schemas.microsoft.com/sharepoint/events"/>
  </ds:schemaRefs>
</ds:datastoreItem>
</file>

<file path=customXml/itemProps2.xml><?xml version="1.0" encoding="utf-8"?>
<ds:datastoreItem xmlns:ds="http://schemas.openxmlformats.org/officeDocument/2006/customXml" ds:itemID="{E4E4DBE8-53F5-4CA5-B9FA-5AF47F9CA267}">
  <ds:schemaRefs>
    <ds:schemaRef ds:uri="http://schemas.microsoft.com/office/2006/metadata/properties"/>
    <ds:schemaRef ds:uri="http://schemas.microsoft.com/office/infopath/2007/PartnerControls"/>
    <ds:schemaRef ds:uri="4600776d-0a3c-44b4-bff2-0ceaafb13046"/>
    <ds:schemaRef ds:uri="5f83e11d-09f6-45a3-a3ab-3865296675e2"/>
    <ds:schemaRef ds:uri="0606af38-29d8-407d-826d-7a0cb9d9f4ed"/>
    <ds:schemaRef ds:uri="c86d72e2-090a-4e7d-987e-218d8a0db591"/>
    <ds:schemaRef ds:uri="6ab18433-7710-49bd-9bb4-0bb85747556a"/>
  </ds:schemaRefs>
</ds:datastoreItem>
</file>

<file path=customXml/itemProps3.xml><?xml version="1.0" encoding="utf-8"?>
<ds:datastoreItem xmlns:ds="http://schemas.openxmlformats.org/officeDocument/2006/customXml" ds:itemID="{5DFFF199-458F-43A3-8F90-5C8880797D71}">
  <ds:schemaRefs>
    <ds:schemaRef ds:uri="http://schemas.openxmlformats.org/officeDocument/2006/bibliography"/>
  </ds:schemaRefs>
</ds:datastoreItem>
</file>

<file path=customXml/itemProps4.xml><?xml version="1.0" encoding="utf-8"?>
<ds:datastoreItem xmlns:ds="http://schemas.openxmlformats.org/officeDocument/2006/customXml" ds:itemID="{6C01E036-6AEC-4061-BF29-75B06B0D3F0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83e11d-09f6-45a3-a3ab-3865296675e2"/>
    <ds:schemaRef ds:uri="0606af38-29d8-407d-826d-7a0cb9d9f4ed"/>
    <ds:schemaRef ds:uri="4600776d-0a3c-44b4-bff2-0ceaafb13046"/>
    <ds:schemaRef ds:uri="6ab18433-7710-49bd-9bb4-0bb85747556a"/>
    <ds:schemaRef ds:uri="c86d72e2-090a-4e7d-987e-218d8a0db5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D0DBF76D-E100-4CAF-AC86-8A28D95B428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