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tbl>
      <w:tblPr>
        <w:tblpPr w:leftFromText="180" w:rightFromText="180" w:vertAnchor="page" w:horzAnchor="margin" w:tblpY="520"/>
        <w:tblW w:w="9548" w:type="dxa"/>
        <w:tblLayout w:type="fixed"/>
        <w:tblCellMar>
          <w:left w:w="0" w:type="dxa"/>
          <w:right w:w="0" w:type="dxa"/>
        </w:tblCellMar>
        <w:tblLook w:val="04A0"/>
      </w:tblPr>
      <w:tblGrid>
        <w:gridCol w:w="3941"/>
        <w:gridCol w:w="2438"/>
        <w:gridCol w:w="3169"/>
      </w:tblGrid>
      <w:tr w:rsidTr="008019E7">
        <w:tblPrEx>
          <w:tblW w:w="9548" w:type="dxa"/>
          <w:tblLayout w:type="fixed"/>
          <w:tblCellMar>
            <w:left w:w="0" w:type="dxa"/>
            <w:right w:w="0" w:type="dxa"/>
          </w:tblCellMar>
          <w:tblLook w:val="04A0"/>
        </w:tblPrEx>
        <w:trPr>
          <w:trHeight w:val="1128"/>
        </w:trPr>
        <w:tc>
          <w:tcPr>
            <w:tcW w:w="3941" w:type="dxa"/>
            <w:vMerge w:val="restart"/>
          </w:tcPr>
          <w:p w:rsidR="008019E7" w:rsidRPr="00B439E1" w:rsidP="008019E7">
            <w:pPr>
              <w:spacing w:before="0" w:after="480"/>
              <w:rPr>
                <w:rFonts w:ascii="Arial (W1)" w:hAnsi="Arial (W1)" w:cs="Arial (W1)"/>
                <w:noProof/>
                <w:color w:val="00AF41"/>
              </w:rPr>
            </w:pPr>
            <w:r>
              <w:rPr>
                <w:rFonts w:cs="Arial"/>
                <w:noProof/>
                <w:color w:val="FFFFFF"/>
                <w:sz w:val="28"/>
                <w:lang w:eastAsia="en-GB"/>
              </w:rPr>
              <w:drawing>
                <wp:inline distT="0" distB="0" distL="0" distR="0">
                  <wp:extent cx="2286000" cy="11588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4">
                            <a:extLst>
                              <a:ext uri="{28A0092B-C50C-407E-A947-70E740481C1C}">
                                <a14:useLocalDpi xmlns:a14="http://schemas.microsoft.com/office/drawing/2010/main" val="0"/>
                              </a:ext>
                            </a:extLst>
                          </a:blip>
                          <a:srcRect/>
                          <a:stretch>
                            <a:fillRect/>
                          </a:stretch>
                        </pic:blipFill>
                        <pic:spPr bwMode="auto">
                          <a:xfrm>
                            <a:off x="0" y="0"/>
                            <a:ext cx="2286000" cy="1158875"/>
                          </a:xfrm>
                          <a:prstGeom prst="rect">
                            <a:avLst/>
                          </a:prstGeom>
                          <a:noFill/>
                          <a:ln>
                            <a:noFill/>
                          </a:ln>
                        </pic:spPr>
                      </pic:pic>
                    </a:graphicData>
                  </a:graphic>
                </wp:inline>
              </w:drawing>
            </w:r>
          </w:p>
        </w:tc>
        <w:tc>
          <w:tcPr>
            <w:tcW w:w="5607" w:type="dxa"/>
            <w:gridSpan w:val="2"/>
          </w:tcPr>
          <w:p w:rsidR="008019E7" w:rsidRPr="00B439E1" w:rsidP="008019E7">
            <w:pPr>
              <w:tabs>
                <w:tab w:val="left" w:pos="921"/>
              </w:tabs>
              <w:spacing w:before="0" w:after="0" w:line="240" w:lineRule="auto"/>
              <w:jc w:val="right"/>
              <w:rPr>
                <w:rFonts w:ascii="Arial (W1)" w:hAnsi="Arial (W1)" w:cs="Arial (W1)"/>
                <w:noProof/>
                <w:color w:val="00AF41"/>
                <w:szCs w:val="24"/>
              </w:rPr>
            </w:pPr>
            <w:r>
              <w:rPr>
                <w:rFonts w:eastAsia="Arial" w:cs="Arial"/>
                <w:noProof/>
                <w:color w:val="00AF41"/>
                <w:szCs w:val="24"/>
              </w:rPr>
              <w:t xml:space="preserve"> </w:t>
            </w:r>
          </w:p>
        </w:tc>
      </w:tr>
      <w:tr w:rsidTr="008019E7">
        <w:tblPrEx>
          <w:tblW w:w="9548" w:type="dxa"/>
          <w:tblLayout w:type="fixed"/>
          <w:tblCellMar>
            <w:left w:w="0" w:type="dxa"/>
            <w:right w:w="0" w:type="dxa"/>
          </w:tblCellMar>
          <w:tblLook w:val="04A0"/>
        </w:tblPrEx>
        <w:trPr>
          <w:trHeight w:val="559"/>
        </w:trPr>
        <w:tc>
          <w:tcPr>
            <w:tcW w:w="3941" w:type="dxa"/>
            <w:vMerge/>
          </w:tcPr>
          <w:p w:rsidR="008019E7" w:rsidRPr="00B439E1" w:rsidP="008019E7">
            <w:pPr>
              <w:spacing w:before="0" w:after="480"/>
              <w:rPr>
                <w:rFonts w:cs="Arial"/>
                <w:color w:val="FFFFFF"/>
                <w:sz w:val="28"/>
              </w:rPr>
            </w:pPr>
          </w:p>
        </w:tc>
        <w:tc>
          <w:tcPr>
            <w:tcW w:w="2438" w:type="dxa"/>
          </w:tcPr>
          <w:p w:rsidR="008019E7" w:rsidRPr="00B439E1" w:rsidP="00FF7762">
            <w:pPr>
              <w:spacing w:before="0" w:after="0" w:line="240" w:lineRule="auto"/>
              <w:rPr>
                <w:sz w:val="22"/>
              </w:rPr>
            </w:pPr>
            <w:r>
              <w:rPr>
                <w:sz w:val="22"/>
              </w:rPr>
              <w:t>Seacole Building</w:t>
            </w:r>
            <w:r w:rsidR="00FF7762">
              <w:rPr>
                <w:sz w:val="22"/>
              </w:rPr>
              <w:br/>
              <w:t>2 Marsham Street London SW1P 4DF</w:t>
            </w:r>
          </w:p>
        </w:tc>
        <w:tc>
          <w:tcPr>
            <w:tcW w:w="3169" w:type="dxa"/>
          </w:tcPr>
          <w:p w:rsidR="008019E7" w:rsidRPr="00B439E1" w:rsidP="008019E7">
            <w:pPr>
              <w:spacing w:before="0" w:after="0" w:line="240" w:lineRule="auto"/>
              <w:rPr>
                <w:rFonts w:ascii="Arial (W1)" w:hAnsi="Arial (W1)" w:cs="Arial (W1)"/>
                <w:noProof/>
                <w:color w:val="00AF41"/>
                <w:sz w:val="22"/>
              </w:rPr>
            </w:pPr>
            <w:r w:rsidRPr="00B439E1">
              <w:rPr>
                <w:sz w:val="22"/>
              </w:rPr>
              <w:t>T  03459 335577</w:t>
            </w:r>
          </w:p>
          <w:p w:rsidR="008019E7" w:rsidRPr="00FF7762" w:rsidP="008019E7">
            <w:pPr>
              <w:spacing w:before="0" w:after="0" w:line="240" w:lineRule="auto"/>
              <w:rPr>
                <w:color w:val="FFFFFF"/>
                <w:sz w:val="22"/>
              </w:rPr>
            </w:pPr>
            <w:r>
              <w:fldChar w:fldCharType="begin"/>
            </w:r>
            <w:r>
              <w:instrText xml:space="preserve"> HYPERLINK "mailto:defra.helpline@defra.gov.uk" </w:instrText>
            </w:r>
            <w:r>
              <w:fldChar w:fldCharType="separate"/>
            </w:r>
            <w:r w:rsidRPr="000300A4" w:rsidR="000B474A">
              <w:rPr>
                <w:rStyle w:val="Hyperlink"/>
                <w:sz w:val="22"/>
              </w:rPr>
              <w:t>defra.helpline@defra.gov.uk</w:t>
            </w:r>
            <w:r>
              <w:fldChar w:fldCharType="end"/>
            </w:r>
            <w:r w:rsidRPr="00FF7762" w:rsidR="00FF7762">
              <w:rPr>
                <w:sz w:val="22"/>
              </w:rPr>
              <w:t xml:space="preserve"> </w:t>
            </w:r>
          </w:p>
          <w:p w:rsidR="008019E7" w:rsidRPr="00B439E1" w:rsidP="008019E7">
            <w:pPr>
              <w:spacing w:before="0" w:after="0" w:line="240" w:lineRule="auto"/>
              <w:rPr>
                <w:color w:val="00AF41"/>
              </w:rPr>
            </w:pPr>
            <w:r w:rsidRPr="00B439E1">
              <w:rPr>
                <w:color w:val="00AF41"/>
                <w:sz w:val="22"/>
              </w:rPr>
              <w:t>www.gov.uk/defra</w:t>
            </w:r>
          </w:p>
        </w:tc>
      </w:tr>
    </w:tbl>
    <w:p w:rsidR="00366D7D" w:rsidRPr="0007525E" w:rsidP="00336DAA">
      <w:pPr>
        <w:spacing w:after="0" w:line="240" w:lineRule="auto"/>
        <w:contextualSpacing/>
      </w:pPr>
      <w:r w:rsidRPr="0007525E">
        <w:t>Neil Parish MP</w:t>
      </w:r>
    </w:p>
    <w:p w:rsidR="00336DAA" w:rsidRPr="0007525E" w:rsidP="00336DAA">
      <w:pPr>
        <w:pStyle w:val="BodyText"/>
        <w:tabs>
          <w:tab w:val="left" w:pos="-3510"/>
          <w:tab w:val="clear" w:pos="5400"/>
          <w:tab w:val="left" w:pos="6120"/>
          <w:tab w:val="clear" w:pos="6570"/>
        </w:tabs>
        <w:rPr>
          <w:rFonts w:eastAsia="Calibri"/>
          <w:szCs w:val="22"/>
        </w:rPr>
      </w:pPr>
      <w:r w:rsidRPr="0007525E">
        <w:rPr>
          <w:rFonts w:eastAsia="Calibri"/>
          <w:szCs w:val="22"/>
        </w:rPr>
        <w:t>Chairman</w:t>
      </w:r>
    </w:p>
    <w:p w:rsidR="00336DAA" w:rsidRPr="0007525E" w:rsidP="00336DAA">
      <w:pPr>
        <w:pStyle w:val="BodyText"/>
        <w:tabs>
          <w:tab w:val="left" w:pos="-3510"/>
          <w:tab w:val="clear" w:pos="5400"/>
          <w:tab w:val="left" w:pos="6120"/>
          <w:tab w:val="clear" w:pos="6570"/>
        </w:tabs>
        <w:rPr>
          <w:rFonts w:eastAsia="Calibri"/>
          <w:szCs w:val="22"/>
        </w:rPr>
      </w:pPr>
      <w:r w:rsidRPr="0007525E">
        <w:rPr>
          <w:rFonts w:eastAsia="Calibri"/>
          <w:szCs w:val="22"/>
        </w:rPr>
        <w:t>EFRA Committee</w:t>
      </w:r>
    </w:p>
    <w:p w:rsidR="00336DAA" w:rsidRPr="0007525E" w:rsidP="00336DAA">
      <w:pPr>
        <w:pStyle w:val="BodyText"/>
        <w:tabs>
          <w:tab w:val="left" w:pos="-3510"/>
          <w:tab w:val="clear" w:pos="5400"/>
          <w:tab w:val="left" w:pos="6120"/>
          <w:tab w:val="clear" w:pos="6570"/>
        </w:tabs>
        <w:rPr>
          <w:rFonts w:eastAsia="Calibri"/>
          <w:szCs w:val="22"/>
        </w:rPr>
      </w:pPr>
      <w:r w:rsidRPr="0007525E">
        <w:rPr>
          <w:rFonts w:eastAsia="Calibri"/>
          <w:szCs w:val="22"/>
        </w:rPr>
        <w:t>House of Commons</w:t>
      </w:r>
    </w:p>
    <w:p w:rsidR="00336DAA" w:rsidRPr="0007525E" w:rsidP="00336DAA">
      <w:pPr>
        <w:pStyle w:val="BodyText"/>
        <w:tabs>
          <w:tab w:val="left" w:pos="-3510"/>
          <w:tab w:val="clear" w:pos="5400"/>
          <w:tab w:val="left" w:pos="6120"/>
          <w:tab w:val="clear" w:pos="6570"/>
        </w:tabs>
        <w:rPr>
          <w:rFonts w:eastAsia="Calibri"/>
          <w:szCs w:val="22"/>
        </w:rPr>
      </w:pPr>
      <w:r w:rsidRPr="0007525E">
        <w:rPr>
          <w:rFonts w:eastAsia="Calibri"/>
          <w:szCs w:val="22"/>
        </w:rPr>
        <w:t>Westminster</w:t>
      </w:r>
    </w:p>
    <w:p w:rsidR="00336DAA" w:rsidRPr="0007525E" w:rsidP="00336DAA">
      <w:pPr>
        <w:pStyle w:val="BodyText"/>
        <w:tabs>
          <w:tab w:val="left" w:pos="-3510"/>
          <w:tab w:val="clear" w:pos="5400"/>
          <w:tab w:val="left" w:pos="6120"/>
          <w:tab w:val="clear" w:pos="6570"/>
        </w:tabs>
        <w:rPr>
          <w:rFonts w:eastAsia="Calibri"/>
          <w:szCs w:val="22"/>
        </w:rPr>
      </w:pPr>
      <w:r w:rsidRPr="0007525E">
        <w:rPr>
          <w:rFonts w:eastAsia="Calibri"/>
          <w:szCs w:val="22"/>
        </w:rPr>
        <w:t>London SW1A OAA</w:t>
      </w:r>
    </w:p>
    <w:p w:rsidR="00F831A9" w:rsidP="0050526D">
      <w:pPr>
        <w:spacing w:before="0" w:after="0"/>
        <w:jc w:val="right"/>
      </w:pPr>
    </w:p>
    <w:p w:rsidR="0050526D" w:rsidP="00425B2B">
      <w:pPr>
        <w:spacing w:before="0" w:after="0"/>
        <w:jc w:val="right"/>
      </w:pPr>
      <w:r>
        <w:t>7</w:t>
      </w:r>
      <w:r w:rsidRPr="003A0B16">
        <w:rPr>
          <w:vertAlign w:val="superscript"/>
        </w:rPr>
        <w:t>th</w:t>
      </w:r>
      <w:r>
        <w:t xml:space="preserve"> </w:t>
      </w:r>
      <w:r w:rsidR="00623486">
        <w:t>July 2020</w:t>
      </w:r>
    </w:p>
    <w:p w:rsidR="00F831A9" w:rsidP="0050526D">
      <w:pPr>
        <w:spacing w:before="100" w:beforeAutospacing="1" w:after="100" w:afterAutospacing="1" w:line="240" w:lineRule="auto"/>
        <w:contextualSpacing/>
        <w:rPr>
          <w:rFonts w:eastAsia="Times New Roman"/>
          <w:b/>
          <w:bCs/>
          <w:color w:val="00B050"/>
          <w:szCs w:val="24"/>
        </w:rPr>
      </w:pPr>
    </w:p>
    <w:p w:rsidR="0050526D" w:rsidRPr="007D7436" w:rsidP="0050526D">
      <w:pPr>
        <w:spacing w:before="100" w:beforeAutospacing="1" w:after="100" w:afterAutospacing="1" w:line="240" w:lineRule="auto"/>
        <w:contextualSpacing/>
        <w:rPr>
          <w:rFonts w:eastAsia="Times New Roman"/>
          <w:b/>
          <w:bCs/>
          <w:color w:val="00B050"/>
          <w:szCs w:val="24"/>
        </w:rPr>
      </w:pPr>
      <w:r>
        <w:rPr>
          <w:rFonts w:eastAsia="Times New Roman"/>
          <w:b/>
          <w:bCs/>
          <w:color w:val="00B050"/>
          <w:szCs w:val="24"/>
        </w:rPr>
        <w:t>From Tamara Finkelstein</w:t>
      </w:r>
    </w:p>
    <w:p w:rsidR="0050526D" w:rsidRPr="007D7436" w:rsidP="0050526D">
      <w:pPr>
        <w:spacing w:before="100" w:beforeAutospacing="1" w:after="100" w:afterAutospacing="1" w:line="240" w:lineRule="auto"/>
        <w:contextualSpacing/>
        <w:rPr>
          <w:color w:val="00B050"/>
          <w:szCs w:val="24"/>
        </w:rPr>
      </w:pPr>
      <w:r w:rsidRPr="007D7436">
        <w:rPr>
          <w:rFonts w:eastAsia="Times New Roman"/>
          <w:bCs/>
          <w:color w:val="00B050"/>
          <w:szCs w:val="24"/>
        </w:rPr>
        <w:t>Permanent Secretary</w:t>
      </w:r>
    </w:p>
    <w:p w:rsidR="0050526D" w:rsidP="0050526D">
      <w:pPr>
        <w:spacing w:before="0" w:after="0"/>
      </w:pPr>
    </w:p>
    <w:p w:rsidR="0050526D" w:rsidP="0050526D">
      <w:pPr>
        <w:spacing w:before="0" w:after="0"/>
      </w:pPr>
    </w:p>
    <w:p w:rsidR="00745A6C" w:rsidP="00745A6C">
      <w:pPr>
        <w:spacing w:before="0" w:after="0"/>
      </w:pPr>
      <w:r w:rsidRPr="00336DAA">
        <w:t xml:space="preserve">When I attended the </w:t>
      </w:r>
      <w:r w:rsidR="008613CB">
        <w:t>meeting</w:t>
      </w:r>
      <w:r w:rsidRPr="00336DAA">
        <w:t xml:space="preserve"> on </w:t>
      </w:r>
      <w:r w:rsidR="00623486">
        <w:t xml:space="preserve">16 </w:t>
      </w:r>
      <w:r w:rsidR="008613CB">
        <w:t>June</w:t>
      </w:r>
      <w:r w:rsidR="005C2719">
        <w:t xml:space="preserve"> 2020</w:t>
      </w:r>
      <w:r w:rsidR="008613CB">
        <w:t>,</w:t>
      </w:r>
      <w:r w:rsidRPr="00336DAA">
        <w:t xml:space="preserve"> I </w:t>
      </w:r>
      <w:r w:rsidR="008613CB">
        <w:t>promised</w:t>
      </w:r>
      <w:r w:rsidRPr="00336DAA">
        <w:t xml:space="preserve"> to let the Committee have a note showing how </w:t>
      </w:r>
      <w:r w:rsidR="00623486">
        <w:t xml:space="preserve">many of the </w:t>
      </w:r>
      <w:r w:rsidR="005C2719">
        <w:t xml:space="preserve">Environmental Land Management (ELM) </w:t>
      </w:r>
      <w:r w:rsidR="00623486">
        <w:t xml:space="preserve">tests and trials are </w:t>
      </w:r>
      <w:r w:rsidR="008613CB">
        <w:t>led by farmers and land managers.</w:t>
      </w:r>
      <w:r w:rsidR="00623486">
        <w:t xml:space="preserve"> </w:t>
      </w:r>
      <w:r w:rsidR="005C2719">
        <w:t xml:space="preserve"> As of 6</w:t>
      </w:r>
      <w:r w:rsidR="008613CB">
        <w:t xml:space="preserve"> July</w:t>
      </w:r>
      <w:r w:rsidR="005C2719">
        <w:t xml:space="preserve"> 2020</w:t>
      </w:r>
      <w:r w:rsidR="008613CB">
        <w:t xml:space="preserve">, we have </w:t>
      </w:r>
      <w:r>
        <w:t xml:space="preserve">62 contracted tests and trials.  </w:t>
      </w:r>
      <w:r w:rsidRPr="00D37B9A" w:rsidR="002E651F">
        <w:t xml:space="preserve">Farmers are involved in all of the </w:t>
      </w:r>
      <w:r>
        <w:t xml:space="preserve">62 </w:t>
      </w:r>
      <w:r w:rsidRPr="00D37B9A" w:rsidR="002E651F">
        <w:t>tests and trials and to date we have engaged with nearly 3,000 farmers and land managers. While the greatest majority of tests and trials are led by NGOs, public organisations and industry bodies, they all involve a diverse range of farmers and land managers across a variety of sectors, using both</w:t>
      </w:r>
      <w:r>
        <w:t xml:space="preserve"> new and established groups and networks.</w:t>
      </w:r>
    </w:p>
    <w:p w:rsidR="00745A6C" w:rsidP="00745A6C">
      <w:pPr>
        <w:spacing w:before="0" w:after="0"/>
      </w:pPr>
    </w:p>
    <w:p w:rsidR="002E651F" w:rsidRPr="00D37B9A" w:rsidP="00745A6C">
      <w:pPr>
        <w:spacing w:before="0" w:after="0"/>
      </w:pPr>
      <w:r>
        <w:t xml:space="preserve">In our most recent phase of tests and trials, we have prioritised proposals that are led by farmers and land managers.  Of the 62 tests and trials, we have 12 live tests and trials that are farmer-led and a further 2 proposals in development.  </w:t>
      </w:r>
    </w:p>
    <w:p w:rsidR="002E651F" w:rsidP="00336DAA">
      <w:pPr>
        <w:spacing w:before="0" w:after="0"/>
      </w:pPr>
    </w:p>
    <w:p w:rsidR="00336DAA" w:rsidRPr="00336DAA" w:rsidP="00336DAA">
      <w:pPr>
        <w:spacing w:before="0" w:after="0"/>
      </w:pPr>
      <w:r w:rsidRPr="00336DAA">
        <w:t>The note is enclosed at Annex 1. As the Committee will see this note provides information showing</w:t>
      </w:r>
      <w:r w:rsidR="00150A08">
        <w:t>:</w:t>
      </w:r>
    </w:p>
    <w:p w:rsidR="00336DAA" w:rsidP="00336DAA">
      <w:pPr>
        <w:spacing w:before="0" w:after="0"/>
      </w:pPr>
    </w:p>
    <w:p w:rsidR="00336DAA" w:rsidP="00745A6C">
      <w:pPr>
        <w:pStyle w:val="ListParagraph"/>
        <w:numPr>
          <w:ilvl w:val="0"/>
          <w:numId w:val="4"/>
        </w:numPr>
        <w:spacing w:after="0"/>
        <w:rPr>
          <w:rFonts w:ascii="Arial" w:hAnsi="Arial" w:cs="Arial"/>
          <w:sz w:val="24"/>
          <w:szCs w:val="24"/>
        </w:rPr>
      </w:pPr>
      <w:r>
        <w:rPr>
          <w:rFonts w:ascii="Arial" w:hAnsi="Arial" w:cs="Arial"/>
          <w:sz w:val="24"/>
          <w:szCs w:val="24"/>
        </w:rPr>
        <w:t>A brief summary of the live farmer led tests and trials</w:t>
      </w:r>
      <w:r w:rsidR="00EB6ED6">
        <w:rPr>
          <w:rFonts w:ascii="Arial" w:hAnsi="Arial" w:cs="Arial"/>
          <w:sz w:val="24"/>
          <w:szCs w:val="24"/>
        </w:rPr>
        <w:t xml:space="preserve"> </w:t>
      </w:r>
    </w:p>
    <w:p w:rsidR="00150A08" w:rsidRPr="00336DAA" w:rsidP="00745A6C">
      <w:pPr>
        <w:pStyle w:val="ListParagraph"/>
        <w:numPr>
          <w:ilvl w:val="0"/>
          <w:numId w:val="4"/>
        </w:numPr>
        <w:spacing w:after="0"/>
        <w:rPr>
          <w:rFonts w:ascii="Arial" w:hAnsi="Arial" w:cs="Arial"/>
          <w:sz w:val="24"/>
          <w:szCs w:val="24"/>
        </w:rPr>
      </w:pPr>
      <w:r>
        <w:rPr>
          <w:rFonts w:ascii="Arial" w:hAnsi="Arial" w:cs="Arial"/>
          <w:sz w:val="24"/>
          <w:szCs w:val="24"/>
        </w:rPr>
        <w:t>A brief summary of the farmer led test and trials in development</w:t>
      </w:r>
    </w:p>
    <w:p w:rsidR="00336DAA" w:rsidP="00336DAA">
      <w:pPr>
        <w:spacing w:before="0" w:after="0"/>
      </w:pPr>
    </w:p>
    <w:p w:rsidR="00336DAA" w:rsidRPr="00336DAA" w:rsidP="00336DAA">
      <w:pPr>
        <w:spacing w:before="0" w:after="0"/>
      </w:pPr>
      <w:r w:rsidRPr="00336DAA">
        <w:t xml:space="preserve">It </w:t>
      </w:r>
      <w:r>
        <w:t>is also worth noting that</w:t>
      </w:r>
      <w:r w:rsidRPr="00336DAA">
        <w:t xml:space="preserve"> while the initiative for test and trials came from Defra, the </w:t>
      </w:r>
      <w:r w:rsidR="00150A08">
        <w:t xml:space="preserve">tests and trials </w:t>
      </w:r>
      <w:r w:rsidRPr="00336DAA">
        <w:t xml:space="preserve">themselves have all </w:t>
      </w:r>
      <w:r w:rsidR="00745A6C">
        <w:t>originated from</w:t>
      </w:r>
      <w:r w:rsidRPr="00336DAA">
        <w:t xml:space="preserve"> stakeholders.</w:t>
      </w:r>
    </w:p>
    <w:p w:rsidR="00336DAA" w:rsidP="00336DAA">
      <w:pPr>
        <w:spacing w:before="0" w:after="0"/>
      </w:pPr>
    </w:p>
    <w:p w:rsidR="00336DAA" w:rsidRPr="00336DAA" w:rsidP="00336DAA">
      <w:pPr>
        <w:spacing w:before="0" w:after="0"/>
      </w:pPr>
      <w:r w:rsidRPr="00336DAA">
        <w:t xml:space="preserve">Should the Committee require any further information on the tests and </w:t>
      </w:r>
      <w:r w:rsidR="00397E30">
        <w:t>trials</w:t>
      </w:r>
      <w:r w:rsidRPr="00336DAA">
        <w:t xml:space="preserve"> programme prior to my next update, I would be pleased to provide this.</w:t>
      </w:r>
    </w:p>
    <w:p w:rsidR="00BC4236" w:rsidP="00BC4236">
      <w:pPr>
        <w:spacing w:before="0" w:after="0"/>
      </w:pPr>
    </w:p>
    <w:p w:rsidR="00BC4236" w:rsidP="00BC4236">
      <w:pPr>
        <w:spacing w:before="0" w:after="0"/>
      </w:pPr>
      <w:r>
        <w:t>I hope this reply is helpful.</w:t>
      </w:r>
    </w:p>
    <w:p w:rsidR="003A0B16" w:rsidP="00BC4236">
      <w:pPr>
        <w:spacing w:before="0" w:after="0"/>
      </w:pPr>
    </w:p>
    <w:p w:rsidR="003A0B16" w:rsidP="00BC4236">
      <w:pPr>
        <w:spacing w:before="0" w:after="0"/>
      </w:pPr>
      <w:r>
        <w:rPr>
          <w:noProof/>
        </w:rPr>
        <w:drawing>
          <wp:anchor distT="0" distB="0" distL="114300" distR="114300" simplePos="0" relativeHeight="251658240" behindDoc="0" locked="0" layoutInCell="1" allowOverlap="1">
            <wp:simplePos x="0" y="0"/>
            <wp:positionH relativeFrom="margin">
              <wp:align>center</wp:align>
            </wp:positionH>
            <wp:positionV relativeFrom="paragraph">
              <wp:posOffset>-36830</wp:posOffset>
            </wp:positionV>
            <wp:extent cx="3581400" cy="523875"/>
            <wp:effectExtent l="0" t="0" r="0" b="9525"/>
            <wp:wrapNone/>
            <wp:docPr id="4" name="Picture 4" descr="C:\Users\x941258\AppData\Local\Microsoft\Windows\Temporary Internet Files\Content.Word\Tamara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941258\AppData\Local\Microsoft\Windows\Temporary Internet Files\Content.Word\Tamara signature.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3581400" cy="523875"/>
                    </a:xfrm>
                    <a:prstGeom prst="rect">
                      <a:avLst/>
                    </a:prstGeom>
                    <a:noFill/>
                    <a:ln>
                      <a:noFill/>
                    </a:ln>
                  </pic:spPr>
                </pic:pic>
              </a:graphicData>
            </a:graphic>
          </wp:anchor>
        </w:drawing>
      </w:r>
    </w:p>
    <w:p w:rsidR="003A0B16" w:rsidP="00BC4236">
      <w:pPr>
        <w:spacing w:before="0" w:after="0"/>
      </w:pPr>
    </w:p>
    <w:p w:rsidR="00BC4236" w:rsidP="00BC4236">
      <w:pPr>
        <w:spacing w:before="0" w:after="0"/>
      </w:pPr>
    </w:p>
    <w:p w:rsidR="003A0B16" w:rsidP="005C2719">
      <w:pPr>
        <w:pStyle w:val="Default"/>
        <w:contextualSpacing/>
        <w:rPr>
          <w:b/>
          <w:sz w:val="22"/>
          <w:szCs w:val="22"/>
        </w:rPr>
      </w:pPr>
    </w:p>
    <w:p w:rsidR="003A0B16" w:rsidRPr="001C788D" w:rsidP="003A0B16">
      <w:pPr>
        <w:pStyle w:val="Default"/>
        <w:contextualSpacing/>
        <w:jc w:val="center"/>
      </w:pPr>
      <w:r>
        <w:rPr>
          <w:b/>
          <w:sz w:val="22"/>
          <w:szCs w:val="22"/>
        </w:rPr>
        <w:t>TAMARA FINKELSTEIN</w:t>
      </w:r>
    </w:p>
    <w:p w:rsidR="00F758E0">
      <w:pPr>
        <w:spacing w:before="0" w:after="0" w:line="240" w:lineRule="auto"/>
        <w:rPr>
          <w:rFonts w:ascii="Humnst777 BT" w:hAnsi="Humnst777 BT" w:cs="Arial"/>
          <w:color w:val="000000"/>
          <w:szCs w:val="24"/>
          <w:lang w:eastAsia="en-GB"/>
        </w:rPr>
      </w:pPr>
      <w:r>
        <w:rPr>
          <w:rFonts w:cs="Arial"/>
        </w:rPr>
        <w:br w:type="page"/>
      </w:r>
    </w:p>
    <w:p w:rsidR="00F758E0" w:rsidP="00F758E0">
      <w:pPr>
        <w:pStyle w:val="Title"/>
        <w:jc w:val="center"/>
      </w:pPr>
      <w:r>
        <w:t>Farmer Led Tests and Trials</w:t>
      </w:r>
    </w:p>
    <w:sdt>
      <w:sdtPr>
        <w:rPr>
          <w:rFonts w:ascii="Calibri" w:hAnsi="Calibri"/>
          <w:color w:val="auto"/>
          <w:sz w:val="22"/>
          <w:szCs w:val="22"/>
          <w:lang w:val="en-GB"/>
        </w:rPr>
        <w:id w:val="-2000412775"/>
        <w:docPartObj>
          <w:docPartGallery w:val="Table of Contents"/>
          <w:docPartUnique/>
        </w:docPartObj>
      </w:sdtPr>
      <w:sdtEndPr>
        <w:rPr>
          <w:rFonts w:ascii="Arial" w:eastAsia="Calibri" w:hAnsi="Arial"/>
          <w:noProof/>
          <w:sz w:val="24"/>
        </w:rPr>
      </w:sdtEndPr>
      <w:sdtContent>
        <w:p w:rsidR="00F758E0" w:rsidP="00F758E0">
          <w:pPr>
            <w:pStyle w:val="TOCHeading"/>
          </w:pPr>
          <w:r>
            <w:t>Contents</w:t>
          </w:r>
        </w:p>
        <w:p w:rsidR="00F758E0" w:rsidP="00F758E0">
          <w:pPr>
            <w:pStyle w:val="TOC1"/>
            <w:tabs>
              <w:tab w:val="right" w:leader="dot" w:pos="13948"/>
            </w:tabs>
            <w:rPr>
              <w:rFonts w:asciiTheme="minorHAnsi" w:eastAsiaTheme="minorEastAsia" w:hAnsiTheme="minorHAnsi" w:cstheme="minorBidi"/>
              <w:noProof/>
              <w:lang w:eastAsia="en-GB"/>
            </w:rPr>
          </w:pPr>
          <w:r>
            <w:fldChar w:fldCharType="begin"/>
          </w:r>
          <w:r>
            <w:instrText xml:space="preserve"> TOC \o "1-3" \h \z \u </w:instrText>
          </w:r>
          <w:r>
            <w:fldChar w:fldCharType="separate"/>
          </w:r>
          <w:r>
            <w:fldChar w:fldCharType="begin"/>
          </w:r>
          <w:r>
            <w:instrText xml:space="preserve"> HYPERLINK \l "_Toc44536029" </w:instrText>
          </w:r>
          <w:r>
            <w:fldChar w:fldCharType="separate"/>
          </w:r>
          <w:r w:rsidRPr="00580B91">
            <w:rPr>
              <w:rStyle w:val="Hyperlink"/>
              <w:noProof/>
            </w:rPr>
            <w:t>Farmer Led Tests and Trials in delivery (live)</w:t>
          </w:r>
          <w:r>
            <w:rPr>
              <w:noProof/>
              <w:webHidden/>
            </w:rPr>
            <w:tab/>
          </w:r>
          <w:r>
            <w:rPr>
              <w:noProof/>
              <w:webHidden/>
            </w:rPr>
            <w:fldChar w:fldCharType="begin"/>
          </w:r>
          <w:r>
            <w:rPr>
              <w:noProof/>
              <w:webHidden/>
            </w:rPr>
            <w:instrText xml:space="preserve"> PAGEREF _Toc44536029 \h </w:instrText>
          </w:r>
          <w:r>
            <w:rPr>
              <w:noProof/>
              <w:webHidden/>
            </w:rPr>
            <w:fldChar w:fldCharType="separate"/>
          </w:r>
          <w:r>
            <w:rPr>
              <w:noProof/>
              <w:webHidden/>
            </w:rPr>
            <w:t>1</w:t>
          </w:r>
          <w:r>
            <w:rPr>
              <w:noProof/>
              <w:webHidden/>
            </w:rPr>
            <w:fldChar w:fldCharType="end"/>
          </w:r>
          <w:r>
            <w:fldChar w:fldCharType="end"/>
          </w:r>
        </w:p>
        <w:p w:rsidR="00F758E0" w:rsidP="00F758E0">
          <w:pPr>
            <w:pStyle w:val="TOC1"/>
            <w:tabs>
              <w:tab w:val="right" w:leader="dot" w:pos="13948"/>
            </w:tabs>
            <w:rPr>
              <w:rFonts w:asciiTheme="minorHAnsi" w:eastAsiaTheme="minorEastAsia" w:hAnsiTheme="minorHAnsi" w:cstheme="minorBidi"/>
              <w:noProof/>
              <w:lang w:eastAsia="en-GB"/>
            </w:rPr>
          </w:pPr>
          <w:r>
            <w:fldChar w:fldCharType="begin"/>
          </w:r>
          <w:r>
            <w:instrText xml:space="preserve"> HYPERLINK \l "_Toc44536030" </w:instrText>
          </w:r>
          <w:r>
            <w:fldChar w:fldCharType="separate"/>
          </w:r>
          <w:r>
            <w:rPr>
              <w:rStyle w:val="Hyperlink"/>
              <w:noProof/>
            </w:rPr>
            <w:t>Farmer Led Proposals for Tests and Trials</w:t>
          </w:r>
          <w:r w:rsidRPr="00580B91">
            <w:rPr>
              <w:rStyle w:val="Hyperlink"/>
              <w:noProof/>
            </w:rPr>
            <w:t xml:space="preserve"> in development</w:t>
          </w:r>
          <w:r>
            <w:rPr>
              <w:noProof/>
              <w:webHidden/>
            </w:rPr>
            <w:tab/>
          </w:r>
          <w:r>
            <w:rPr>
              <w:noProof/>
              <w:webHidden/>
            </w:rPr>
            <w:fldChar w:fldCharType="begin"/>
          </w:r>
          <w:r>
            <w:rPr>
              <w:noProof/>
              <w:webHidden/>
            </w:rPr>
            <w:instrText xml:space="preserve"> PAGEREF _Toc44536030 \h </w:instrText>
          </w:r>
          <w:r>
            <w:rPr>
              <w:noProof/>
              <w:webHidden/>
            </w:rPr>
            <w:fldChar w:fldCharType="separate"/>
          </w:r>
          <w:r>
            <w:rPr>
              <w:noProof/>
              <w:webHidden/>
            </w:rPr>
            <w:t>3</w:t>
          </w:r>
          <w:r>
            <w:rPr>
              <w:noProof/>
              <w:webHidden/>
            </w:rPr>
            <w:fldChar w:fldCharType="end"/>
          </w:r>
          <w:r>
            <w:fldChar w:fldCharType="end"/>
          </w:r>
        </w:p>
        <w:p w:rsidR="00F758E0" w:rsidP="00F758E0">
          <w:r>
            <w:rPr>
              <w:b/>
              <w:bCs/>
              <w:noProof/>
            </w:rPr>
            <w:fldChar w:fldCharType="end"/>
          </w:r>
        </w:p>
      </w:sdtContent>
    </w:sdt>
    <w:p w:rsidR="00F758E0" w:rsidP="00F758E0">
      <w:pPr>
        <w:pStyle w:val="Heading1"/>
      </w:pPr>
      <w:bookmarkStart w:id="0" w:name="_Toc44536029"/>
      <w:r>
        <w:t>Farmer Led Tests and Trials in delivery (live)</w:t>
      </w:r>
      <w:bookmarkEnd w:id="0"/>
    </w:p>
    <w:tbl>
      <w:tblPr>
        <w:tblStyle w:val="TableGrid"/>
        <w:tblW w:w="0" w:type="auto"/>
        <w:tblLook w:val="04A0"/>
      </w:tblPr>
      <w:tblGrid>
        <w:gridCol w:w="1902"/>
        <w:gridCol w:w="5754"/>
        <w:gridCol w:w="1972"/>
      </w:tblGrid>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hideMark/>
          </w:tcPr>
          <w:p w:rsidR="00F758E0" w:rsidP="00415BEE">
            <w:pPr>
              <w:rPr>
                <w:b/>
                <w:bCs/>
                <w:sz w:val="20"/>
                <w:szCs w:val="20"/>
                <w:lang w:eastAsia="en-GB"/>
              </w:rPr>
            </w:pPr>
            <w:r>
              <w:rPr>
                <w:b/>
                <w:bCs/>
                <w:sz w:val="20"/>
                <w:szCs w:val="20"/>
                <w:lang w:eastAsia="en-GB"/>
              </w:rPr>
              <w:t xml:space="preserve">Title </w:t>
            </w:r>
          </w:p>
        </w:tc>
        <w:tc>
          <w:tcPr>
            <w:tcW w:w="8829" w:type="dxa"/>
            <w:tcBorders>
              <w:top w:val="single" w:sz="4" w:space="0" w:color="auto"/>
              <w:left w:val="single" w:sz="4" w:space="0" w:color="auto"/>
              <w:bottom w:val="single" w:sz="4" w:space="0" w:color="auto"/>
              <w:right w:val="single" w:sz="4" w:space="0" w:color="auto"/>
            </w:tcBorders>
            <w:hideMark/>
          </w:tcPr>
          <w:p w:rsidR="00F758E0" w:rsidP="00415BEE">
            <w:pPr>
              <w:rPr>
                <w:b/>
                <w:bCs/>
                <w:sz w:val="20"/>
                <w:szCs w:val="20"/>
                <w:lang w:eastAsia="en-GB"/>
              </w:rPr>
            </w:pPr>
            <w:r>
              <w:rPr>
                <w:b/>
                <w:bCs/>
                <w:sz w:val="20"/>
                <w:szCs w:val="20"/>
                <w:lang w:eastAsia="en-GB"/>
              </w:rPr>
              <w:t>Summary</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b/>
                <w:bCs/>
                <w:sz w:val="20"/>
                <w:szCs w:val="20"/>
                <w:lang w:eastAsia="en-GB"/>
              </w:rPr>
            </w:pPr>
            <w:r>
              <w:rPr>
                <w:b/>
                <w:bCs/>
                <w:sz w:val="20"/>
                <w:szCs w:val="20"/>
                <w:lang w:eastAsia="en-GB"/>
              </w:rPr>
              <w:t>Test and Trial phase</w:t>
            </w:r>
          </w:p>
        </w:tc>
      </w:tr>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rPr>
            </w:pPr>
            <w:r>
              <w:rPr>
                <w:sz w:val="20"/>
                <w:szCs w:val="20"/>
              </w:rPr>
              <w:t>23 Burns Collective</w:t>
            </w:r>
          </w:p>
        </w:tc>
        <w:tc>
          <w:tcPr>
            <w:tcW w:w="8829"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rPr>
            </w:pPr>
            <w:r>
              <w:rPr>
                <w:sz w:val="20"/>
                <w:szCs w:val="20"/>
                <w:lang w:eastAsia="en-GB"/>
              </w:rPr>
              <w:t>The 23 Burns collective propose to test the development process of land management plans with a range of farmers and land managers across 62 holdings on the North East Coast. It will consider the processes involved and the practical requirements for the development of a landscape scale management plan and up to 62 separate land management plans at a holding level. The farmer group seek to develop land management plans using natural capital knowledge to develop solutions for the delivery of environmental outcomes in a way that is economically sustainable for farming businesses, utilising collaboration and shared understanding to develop a landscape scale management plan, whilst testing the value of an advisor throughout the process. The objective is for every farmer to create a Land Management Plan (LMP) using themes common to all members across the Farmer Group Area. From there each LMP will be combined into a single landscape plan for the Area. The group will also research levels of public funding required from each component theme to deliver benefits in order that land management options can be a profitable and sustainable part of a farmer’s business. The exercise will be a Test, designed to illustrate the high-value of a farmer-owned Land Management Plan that illustrates directly which elements of Public Good should be included.</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lang w:eastAsia="en-GB"/>
              </w:rPr>
            </w:pPr>
            <w:r>
              <w:rPr>
                <w:sz w:val="20"/>
                <w:szCs w:val="20"/>
                <w:lang w:eastAsia="en-GB"/>
              </w:rPr>
              <w:t>Phase 1</w:t>
            </w:r>
          </w:p>
        </w:tc>
      </w:tr>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lang w:eastAsia="en-GB"/>
              </w:rPr>
            </w:pPr>
            <w:r>
              <w:rPr>
                <w:sz w:val="20"/>
                <w:szCs w:val="20"/>
                <w:lang w:eastAsia="en-GB"/>
              </w:rPr>
              <w:t>Respryn Natural Capital Project "A bridge between Economic and Environmental Delivery"</w:t>
            </w:r>
          </w:p>
        </w:tc>
        <w:tc>
          <w:tcPr>
            <w:tcW w:w="8829"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rPr>
            </w:pPr>
            <w:r>
              <w:rPr>
                <w:sz w:val="20"/>
                <w:szCs w:val="20"/>
                <w:lang w:eastAsia="en-GB"/>
              </w:rPr>
              <w:t xml:space="preserve">Working with the Cornwall Local Enterprise Partnership (LEP) and Local Nature Partnership (LNP), Lanhydrock Estate will test a holistic/systems approach to creating a natural capital and economic baseline for the region and use this to identify local priorities and land management plans for both holding and landscape scale. The aim is to inspire businesses to collaborate to deliver natural capital and economic gains at landscape-scale through a ‘bottom-up’ approach that incorporates environmental and economic considerations and </w:t>
            </w:r>
            <w:r>
              <w:rPr>
                <w:sz w:val="20"/>
                <w:szCs w:val="20"/>
                <w:lang w:eastAsia="en-GB"/>
              </w:rPr>
              <w:t xml:space="preserve">incentives. </w:t>
            </w:r>
            <w:r>
              <w:rPr>
                <w:sz w:val="20"/>
                <w:szCs w:val="20"/>
                <w:lang w:eastAsia="en-GB"/>
              </w:rPr>
              <w:br/>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lang w:eastAsia="en-GB"/>
              </w:rPr>
            </w:pPr>
            <w:r>
              <w:rPr>
                <w:sz w:val="20"/>
                <w:szCs w:val="20"/>
                <w:lang w:eastAsia="en-GB"/>
              </w:rPr>
              <w:t>Phase 1</w:t>
            </w:r>
          </w:p>
        </w:tc>
      </w:tr>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lang w:eastAsia="en-GB"/>
              </w:rPr>
            </w:pPr>
            <w:r>
              <w:rPr>
                <w:sz w:val="20"/>
                <w:szCs w:val="20"/>
                <w:lang w:eastAsia="en-GB"/>
              </w:rPr>
              <w:t>Catchment Co-design in East Devon: testing collaborative approaches to landscape planning and ecosystem service delivery</w:t>
            </w:r>
          </w:p>
        </w:tc>
        <w:tc>
          <w:tcPr>
            <w:tcW w:w="8829"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lang w:eastAsia="en-GB"/>
              </w:rPr>
            </w:pPr>
            <w:r>
              <w:rPr>
                <w:sz w:val="20"/>
                <w:szCs w:val="20"/>
                <w:lang w:eastAsia="en-GB"/>
              </w:rPr>
              <w:t xml:space="preserve">The test aims to demonstrate how individual farm plans and associated land management contracts can be integrated to deliver the ecosystem service priorities outlined in a broader catchment plan agreed by a range of stakeholders. The broad objective of the project is to develop two fully costed ten-year Environmental Land Management catchment-scale schemes with a broad alliance of government, civic and environmental agency partners and then to translate these into individual but integrated environmental farm plans that collectively deliver the catchment level ELM priorities. The schemes will be built around the foundations of natural capital accounting, and will include: demonstrating how an integrated scheme based on catchment-scale spatial planning can enhance ecosystem services across multiple land management boundaries; quantify the value of ecosystem service benefits achieved, the cost of delivery and value for money; develop simple, transferable metrics (including on soil health) to enable long-term monitoring; test the viability of citizen science in future ELM system monitoring; improve knowledge transfer on natural capital of big data sets between data holders and data users (farmers); test innovative, progressive farming tenancy models (benchmarked farm tenancies that incentivise both tenants and landowners to quantify, adopt,  and report on progressive land management practices that enhance natural capital); trial new ways of working with statutory advisors and regulators to ensure that the ELM system delivers catchment priorities identified under Area Integrated Plans.   </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lang w:eastAsia="en-GB"/>
              </w:rPr>
            </w:pPr>
            <w:r>
              <w:rPr>
                <w:sz w:val="20"/>
                <w:szCs w:val="20"/>
                <w:lang w:eastAsia="en-GB"/>
              </w:rPr>
              <w:t>Phase 1</w:t>
            </w:r>
          </w:p>
        </w:tc>
      </w:tr>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lang w:eastAsia="en-GB"/>
              </w:rPr>
            </w:pPr>
            <w:r>
              <w:rPr>
                <w:sz w:val="20"/>
                <w:szCs w:val="20"/>
                <w:lang w:eastAsia="en-GB"/>
              </w:rPr>
              <w:t>Cuckmere &amp; Pevensey levels land management pilot</w:t>
            </w:r>
          </w:p>
        </w:tc>
        <w:tc>
          <w:tcPr>
            <w:tcW w:w="8829"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lang w:eastAsia="en-GB"/>
              </w:rPr>
            </w:pPr>
            <w:r>
              <w:rPr>
                <w:sz w:val="20"/>
                <w:szCs w:val="20"/>
                <w:lang w:eastAsia="en-GB"/>
              </w:rPr>
              <w:t xml:space="preserve">The Cuckmere and Pevensey Level Catchment Partnership is a well-established partnership which brings together 55 different farmers, the local authorities, water board, artists, and other stakeholders in the area. The area has planning/building pressures, is a rare wetland habitat, has issues with lack of access to green spaces for local people, is not a protected area of any kinds and is a poor water quality and quantity area. As such has complex and competing local priorities. The catchment partnership aim to address these priorities together. </w:t>
            </w:r>
            <w:r>
              <w:rPr>
                <w:sz w:val="20"/>
                <w:szCs w:val="20"/>
                <w:lang w:eastAsia="en-GB"/>
              </w:rPr>
              <w:br/>
              <w:t xml:space="preserve">The Test and Trial will 1.  Draw together and describe outcomes and long-term vision for the Pevensey and Cuckmere Catchment with a wide range of partners, including local planning authorities, farmers and the local community, using natural capital assets as a key driver. 2.  Use the above to develop farm holding specific land management plans which will identify natural capital assets and priorities. Work with farmers and land managers to develop innovative mechanisms to deliver these priorities, ie what would support changes in land management practice in the long term. 3.  Investigate possible sources of funding for public good, determine how farmers/land managers would prefer to receive </w:t>
            </w:r>
            <w:r>
              <w:rPr>
                <w:sz w:val="20"/>
                <w:szCs w:val="20"/>
                <w:lang w:eastAsia="en-GB"/>
              </w:rPr>
              <w:t>these and identify potential contractual arrangements which could deliver this.</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lang w:eastAsia="en-GB"/>
              </w:rPr>
            </w:pPr>
            <w:r>
              <w:rPr>
                <w:sz w:val="20"/>
                <w:szCs w:val="20"/>
                <w:lang w:eastAsia="en-GB"/>
              </w:rPr>
              <w:t>Phase 1</w:t>
            </w:r>
          </w:p>
        </w:tc>
      </w:tr>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lang w:eastAsia="en-GB"/>
              </w:rPr>
            </w:pPr>
            <w:r>
              <w:rPr>
                <w:sz w:val="20"/>
                <w:szCs w:val="20"/>
                <w:lang w:eastAsia="en-GB"/>
              </w:rPr>
              <w:t>Aqualate Mere Farmer-led Catchment Land Management Plans</w:t>
            </w:r>
          </w:p>
        </w:tc>
        <w:tc>
          <w:tcPr>
            <w:tcW w:w="8829"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lang w:eastAsia="en-GB"/>
              </w:rPr>
            </w:pPr>
            <w:r>
              <w:rPr>
                <w:sz w:val="20"/>
                <w:szCs w:val="20"/>
                <w:lang w:eastAsia="en-GB"/>
              </w:rPr>
              <w:t>Nineteen farmers who make up the Aqualate Mere Farmers' CSFF group will work together through a series of workshops to explore what is needed to help land managers collaborate to plan and prioritise the delivery of public goods at a landscape scale. It will explore the processes, advice and resources required to enable them to create a landscape scale priority plan and subsequent holding scale land management plans based on collaborative action, using water quality and biodiversity as examples.</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lang w:eastAsia="en-GB"/>
              </w:rPr>
            </w:pPr>
            <w:r>
              <w:rPr>
                <w:sz w:val="20"/>
                <w:szCs w:val="20"/>
                <w:lang w:eastAsia="en-GB"/>
              </w:rPr>
              <w:t>Phase 2</w:t>
            </w:r>
          </w:p>
        </w:tc>
      </w:tr>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lang w:eastAsia="en-GB"/>
              </w:rPr>
            </w:pPr>
            <w:r>
              <w:rPr>
                <w:sz w:val="20"/>
                <w:szCs w:val="20"/>
                <w:lang w:eastAsia="en-GB"/>
              </w:rPr>
              <w:t>Barningham Farmers Group</w:t>
            </w:r>
          </w:p>
        </w:tc>
        <w:tc>
          <w:tcPr>
            <w:tcW w:w="8829"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lang w:eastAsia="en-GB"/>
              </w:rPr>
            </w:pPr>
            <w:r>
              <w:rPr>
                <w:sz w:val="20"/>
                <w:szCs w:val="20"/>
                <w:lang w:eastAsia="en-GB"/>
              </w:rPr>
              <w:t>Barningham Estate Farmers Group will to test an innovative cross-holding, collaborative system for planning and delivering environmental management on land that encompasses a variety of farming systems and a tapestry of nationally and internationally important habitats.  This will include testing how a Natural Capital approach could be used to create a landscape scale management plan, prioritise objectives and how collaboration can be supported and incentivised.</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lang w:eastAsia="en-GB"/>
              </w:rPr>
            </w:pPr>
            <w:r>
              <w:rPr>
                <w:sz w:val="20"/>
                <w:szCs w:val="20"/>
                <w:lang w:eastAsia="en-GB"/>
              </w:rPr>
              <w:t>Phase 2</w:t>
            </w:r>
          </w:p>
        </w:tc>
      </w:tr>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rPr>
            </w:pPr>
            <w:r>
              <w:rPr>
                <w:sz w:val="20"/>
                <w:szCs w:val="20"/>
              </w:rPr>
              <w:t>To develop the next generation of collaborative initiatives</w:t>
            </w:r>
          </w:p>
        </w:tc>
        <w:tc>
          <w:tcPr>
            <w:tcW w:w="8829"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rPr>
            </w:pPr>
            <w:r>
              <w:rPr>
                <w:sz w:val="20"/>
                <w:szCs w:val="20"/>
              </w:rPr>
              <w:t xml:space="preserve">Black Sheep Countryside Management will run two series of workshops with approx. 130 farmers to identify how farmer-led groups can collaboratively identify local priorities; how these can feed into landscape scale plans; and how advice and guidance can ensure effective delivery. The final output will be a toolkit of key strategies for collaborative design and delivery of landscape-scale plans.  </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Phase 2</w:t>
            </w:r>
          </w:p>
        </w:tc>
      </w:tr>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The Cholderton Estate Pilot</w:t>
            </w:r>
          </w:p>
        </w:tc>
        <w:tc>
          <w:tcPr>
            <w:tcW w:w="8829"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Henry Edmundson of the Cholderton Estate proposes to work with his neighbour Snoddington Estate to identify advice/information required to produce a Land Management Plan to cover both arable and mixed farming systems on chalk.  During the process they will record the advice and information used and create a toolkit to support other farmers on chalk based land to produce their own LMPs. They will test the toolkit through a series of workshops with 45 farmers/land managers and use the feedback to produce a final report of effectiveness of the toolkit and lesson learnt.</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Phase 2</w:t>
            </w:r>
          </w:p>
        </w:tc>
      </w:tr>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 Breckland Farmers Network</w:t>
            </w:r>
          </w:p>
        </w:tc>
        <w:tc>
          <w:tcPr>
            <w:tcW w:w="8829"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The Breckland Farmers Wildlife Network aims to work with 24 farmers, in a series of workshops across the predominantly arable Breckland region of Eastern England, to test the creation of a landscape-scale management plan through a collaborative approach that is reflective of local priorities and can be delivered in a spatially co-ordinated way. As part of the test they will also seek to establish the advice and support required to enable farmers to develop their own individual land management plan.</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Phase 2</w:t>
            </w:r>
          </w:p>
        </w:tc>
      </w:tr>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A farmer-driven approach for wildlife corridors</w:t>
            </w:r>
          </w:p>
        </w:tc>
        <w:tc>
          <w:tcPr>
            <w:tcW w:w="8829"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 xml:space="preserve">The purpose of this Test and Trial is to co-design and then assess a range of innovative methods for providing greater knowledge and improved management of woodland creation for a wide range of stakeholders at different holding scales </w:t>
            </w:r>
            <w:r>
              <w:rPr>
                <w:sz w:val="20"/>
                <w:szCs w:val="20"/>
              </w:rPr>
              <w:t xml:space="preserve">and across different landscapes. Level of advice and guidance via innovative tools and decision support systems will be tested, as well as how innovative tools can be used for spatial prioritisation around tree planting on farms in different landscape and for different farm sectors. </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Phase 2</w:t>
            </w:r>
          </w:p>
        </w:tc>
      </w:tr>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NFU West Midlands</w:t>
            </w:r>
          </w:p>
        </w:tc>
        <w:tc>
          <w:tcPr>
            <w:tcW w:w="8829"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 xml:space="preserve">The NFU propose to test approaches to natural capital delivery in a network of mixed farming businesses in North Shropshire and North-West Staffordshire. </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Phase 2</w:t>
            </w:r>
          </w:p>
        </w:tc>
      </w:tr>
      <w:tr w:rsidTr="00415BEE">
        <w:tblPrEx>
          <w:tblW w:w="0" w:type="auto"/>
          <w:tblLook w:val="04A0"/>
        </w:tblPrEx>
        <w:tc>
          <w:tcPr>
            <w:tcW w:w="2223"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NFU South East - Farmer Group Plans - How to achieve more, bigger, better, more joined up</w:t>
            </w:r>
          </w:p>
        </w:tc>
        <w:tc>
          <w:tcPr>
            <w:tcW w:w="8829"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NFU are conducting a farmer-led trial to test different approaches for collaboration and facilitation to develop LMPs that will deliver landscape scale outcomes. Stage 1 - facilitators will work with 15 farmers in workshops to explore what they would like included in a land management plan. Based on these discussions, a facilitator will create a draft planning template that the participants will then review and comment on, before finalising. Stage 2 - facilitators will work with participants to use the co-designed template to complete farm baseline inventories. An additional 5 farmers who have not co-designed the template, will complete baseline inventories to test if the template is a workable tool. Stage 3 - the 20 participants will then develop an individual action plan according to different group approaches to test collaboration and facilitation. One group will also be encouraged to develop a strategic landscape scale plan. Stage 4 - the NFU will evaluate which of the tested group methods secures the most extensive and beneficial landscape scale outcome. The trial will also evaluate and assess the costs and public benefits of the action plans.</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Phase 2</w:t>
            </w:r>
          </w:p>
        </w:tc>
      </w:tr>
    </w:tbl>
    <w:p w:rsidR="00F758E0" w:rsidP="00F758E0">
      <w:pPr>
        <w:rPr>
          <w:color w:val="1F497D"/>
        </w:rPr>
      </w:pPr>
    </w:p>
    <w:p w:rsidR="00F758E0" w:rsidP="00F758E0">
      <w:pPr>
        <w:pStyle w:val="Heading1"/>
      </w:pPr>
      <w:bookmarkStart w:id="1" w:name="_Toc44536030"/>
      <w:r>
        <w:t>Farmer Led Proposals in development</w:t>
      </w:r>
      <w:bookmarkEnd w:id="1"/>
    </w:p>
    <w:tbl>
      <w:tblPr>
        <w:tblStyle w:val="TableGrid"/>
        <w:tblW w:w="0" w:type="auto"/>
        <w:tblLook w:val="04A0"/>
      </w:tblPr>
      <w:tblGrid>
        <w:gridCol w:w="1450"/>
        <w:gridCol w:w="972"/>
        <w:gridCol w:w="5319"/>
        <w:gridCol w:w="1887"/>
      </w:tblGrid>
      <w:tr w:rsidTr="00415BEE">
        <w:tblPrEx>
          <w:tblW w:w="0" w:type="auto"/>
          <w:tblLook w:val="04A0"/>
        </w:tblPrEx>
        <w:tc>
          <w:tcPr>
            <w:tcW w:w="1285" w:type="dxa"/>
            <w:tcBorders>
              <w:top w:val="single" w:sz="4" w:space="0" w:color="auto"/>
              <w:left w:val="single" w:sz="4" w:space="0" w:color="auto"/>
              <w:bottom w:val="single" w:sz="4" w:space="0" w:color="auto"/>
              <w:right w:val="single" w:sz="4" w:space="0" w:color="auto"/>
            </w:tcBorders>
            <w:hideMark/>
          </w:tcPr>
          <w:p w:rsidR="00F758E0" w:rsidP="00415BEE">
            <w:pPr>
              <w:rPr>
                <w:b/>
                <w:bCs/>
                <w:sz w:val="20"/>
                <w:szCs w:val="20"/>
                <w:lang w:eastAsia="en-GB"/>
              </w:rPr>
            </w:pPr>
            <w:r>
              <w:rPr>
                <w:b/>
                <w:bCs/>
                <w:sz w:val="20"/>
                <w:szCs w:val="20"/>
                <w:lang w:eastAsia="en-GB"/>
              </w:rPr>
              <w:t>Organisation</w:t>
            </w:r>
          </w:p>
        </w:tc>
        <w:tc>
          <w:tcPr>
            <w:tcW w:w="904" w:type="dxa"/>
            <w:tcBorders>
              <w:top w:val="single" w:sz="4" w:space="0" w:color="auto"/>
              <w:left w:val="single" w:sz="4" w:space="0" w:color="auto"/>
              <w:bottom w:val="single" w:sz="4" w:space="0" w:color="auto"/>
              <w:right w:val="single" w:sz="4" w:space="0" w:color="auto"/>
            </w:tcBorders>
            <w:hideMark/>
          </w:tcPr>
          <w:p w:rsidR="00F758E0" w:rsidP="00415BEE">
            <w:pPr>
              <w:rPr>
                <w:b/>
                <w:bCs/>
                <w:sz w:val="20"/>
                <w:szCs w:val="20"/>
                <w:lang w:eastAsia="en-GB"/>
              </w:rPr>
            </w:pPr>
            <w:r>
              <w:rPr>
                <w:b/>
                <w:bCs/>
                <w:sz w:val="20"/>
                <w:szCs w:val="20"/>
                <w:lang w:eastAsia="en-GB"/>
              </w:rPr>
              <w:t xml:space="preserve">Title </w:t>
            </w:r>
          </w:p>
        </w:tc>
        <w:tc>
          <w:tcPr>
            <w:tcW w:w="8863" w:type="dxa"/>
            <w:tcBorders>
              <w:top w:val="single" w:sz="4" w:space="0" w:color="auto"/>
              <w:left w:val="single" w:sz="4" w:space="0" w:color="auto"/>
              <w:bottom w:val="single" w:sz="4" w:space="0" w:color="auto"/>
              <w:right w:val="single" w:sz="4" w:space="0" w:color="auto"/>
            </w:tcBorders>
            <w:hideMark/>
          </w:tcPr>
          <w:p w:rsidR="00F758E0" w:rsidP="00415BEE">
            <w:pPr>
              <w:rPr>
                <w:b/>
                <w:bCs/>
                <w:sz w:val="20"/>
                <w:szCs w:val="20"/>
                <w:lang w:eastAsia="en-GB"/>
              </w:rPr>
            </w:pPr>
            <w:r>
              <w:rPr>
                <w:b/>
                <w:bCs/>
                <w:sz w:val="20"/>
                <w:szCs w:val="20"/>
                <w:lang w:eastAsia="en-GB"/>
              </w:rPr>
              <w:t>Summary</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b/>
                <w:bCs/>
                <w:sz w:val="20"/>
                <w:szCs w:val="20"/>
                <w:lang w:eastAsia="en-GB"/>
              </w:rPr>
            </w:pPr>
            <w:r>
              <w:rPr>
                <w:b/>
                <w:bCs/>
                <w:sz w:val="20"/>
                <w:szCs w:val="20"/>
                <w:lang w:eastAsia="en-GB"/>
              </w:rPr>
              <w:t>Test and Trial phase</w:t>
            </w:r>
          </w:p>
        </w:tc>
      </w:tr>
      <w:tr w:rsidTr="00415BEE">
        <w:tblPrEx>
          <w:tblW w:w="0" w:type="auto"/>
          <w:tblLook w:val="04A0"/>
        </w:tblPrEx>
        <w:tc>
          <w:tcPr>
            <w:tcW w:w="1285"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rPr>
            </w:pPr>
            <w:r>
              <w:rPr>
                <w:sz w:val="20"/>
                <w:szCs w:val="20"/>
              </w:rPr>
              <w:t xml:space="preserve">North Cumbria Farmers Group </w:t>
            </w:r>
          </w:p>
        </w:tc>
        <w:tc>
          <w:tcPr>
            <w:tcW w:w="904"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rPr>
            </w:pPr>
            <w:r>
              <w:rPr>
                <w:sz w:val="20"/>
                <w:szCs w:val="20"/>
              </w:rPr>
              <w:t>North Cumbria Farmers Group</w:t>
            </w:r>
          </w:p>
        </w:tc>
        <w:tc>
          <w:tcPr>
            <w:tcW w:w="8863"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rPr>
            </w:pPr>
            <w:r>
              <w:rPr>
                <w:sz w:val="20"/>
                <w:szCs w:val="20"/>
              </w:rPr>
              <w:t>The North Cumbria Farmers group propose to improve understanding of natural capital mapping and opportunities specifically around the role of soil including carbon storage through a test.</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Phase 2</w:t>
            </w:r>
          </w:p>
        </w:tc>
      </w:tr>
      <w:tr w:rsidTr="00415BEE">
        <w:tblPrEx>
          <w:tblW w:w="0" w:type="auto"/>
          <w:tblLook w:val="04A0"/>
        </w:tblPrEx>
        <w:tc>
          <w:tcPr>
            <w:tcW w:w="1285"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rPr>
            </w:pPr>
            <w:r>
              <w:rPr>
                <w:sz w:val="20"/>
                <w:szCs w:val="20"/>
              </w:rPr>
              <w:t>NFU</w:t>
            </w:r>
          </w:p>
        </w:tc>
        <w:tc>
          <w:tcPr>
            <w:tcW w:w="904"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rPr>
            </w:pPr>
            <w:r>
              <w:rPr>
                <w:sz w:val="20"/>
                <w:szCs w:val="20"/>
              </w:rPr>
              <w:t>NFU Net Zero</w:t>
            </w:r>
          </w:p>
        </w:tc>
        <w:tc>
          <w:tcPr>
            <w:tcW w:w="8863" w:type="dxa"/>
            <w:tcBorders>
              <w:top w:val="single" w:sz="4" w:space="0" w:color="auto"/>
              <w:left w:val="single" w:sz="4" w:space="0" w:color="auto"/>
              <w:bottom w:val="single" w:sz="4" w:space="0" w:color="auto"/>
              <w:right w:val="single" w:sz="4" w:space="0" w:color="auto"/>
            </w:tcBorders>
            <w:hideMark/>
          </w:tcPr>
          <w:p w:rsidR="00F758E0" w:rsidP="00415BEE">
            <w:pPr>
              <w:rPr>
                <w:sz w:val="20"/>
                <w:szCs w:val="20"/>
              </w:rPr>
            </w:pPr>
            <w:r>
              <w:rPr>
                <w:sz w:val="20"/>
                <w:szCs w:val="20"/>
              </w:rPr>
              <w:t>To NFU propose test two approaches to LMPs in the context of Net Zero, the advice required to support farmers and land managers and the incentives required.</w:t>
            </w:r>
          </w:p>
        </w:tc>
        <w:tc>
          <w:tcPr>
            <w:tcW w:w="2896" w:type="dxa"/>
            <w:tcBorders>
              <w:top w:val="single" w:sz="4" w:space="0" w:color="auto"/>
              <w:left w:val="single" w:sz="4" w:space="0" w:color="auto"/>
              <w:bottom w:val="single" w:sz="4" w:space="0" w:color="auto"/>
              <w:right w:val="single" w:sz="4" w:space="0" w:color="auto"/>
            </w:tcBorders>
          </w:tcPr>
          <w:p w:rsidR="00F758E0" w:rsidP="00415BEE">
            <w:pPr>
              <w:rPr>
                <w:sz w:val="20"/>
                <w:szCs w:val="20"/>
              </w:rPr>
            </w:pPr>
            <w:r>
              <w:rPr>
                <w:sz w:val="20"/>
                <w:szCs w:val="20"/>
              </w:rPr>
              <w:t>Phase 2</w:t>
            </w:r>
          </w:p>
        </w:tc>
      </w:tr>
    </w:tbl>
    <w:p w:rsidR="00F758E0" w:rsidP="00F758E0"/>
    <w:p w:rsidR="003A0B16" w:rsidRPr="00B439E1" w:rsidP="005C2719">
      <w:pPr>
        <w:pStyle w:val="Default"/>
        <w:contextualSpacing/>
        <w:rPr>
          <w:rFonts w:cs="Arial"/>
        </w:rPr>
      </w:pPr>
      <w:bookmarkStart w:id="2" w:name="_GoBack"/>
      <w:bookmarkEnd w:id="2"/>
    </w:p>
    <w:sectPr w:rsidSect="004D5D2B">
      <w:headerReference w:type="even" r:id="rId6"/>
      <w:headerReference w:type="default" r:id="rId7"/>
      <w:footerReference w:type="even" r:id="rId8"/>
      <w:footerReference w:type="default" r:id="rId9"/>
      <w:headerReference w:type="first" r:id="rId10"/>
      <w:footerReference w:type="first" r:id="rId11"/>
      <w:pgSz w:w="11906" w:h="16838"/>
      <w:pgMar w:top="1134" w:right="1134" w:bottom="1134" w:left="1134"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umnst777 BT">
    <w:altName w:val="Calibri"/>
    <w:panose1 w:val="00000000000000000000"/>
    <w:charset w:val="00"/>
    <w:family w:val="swiss"/>
    <w:notTrueType/>
    <w:pitch w:val="default"/>
    <w:sig w:usb0="00000003" w:usb1="00000000" w:usb2="00000000" w:usb3="00000000" w:csb0="00000001" w:csb1="00000000"/>
  </w:font>
  <w:font w:name="Arial (W1)">
    <w:altName w:val="Arial"/>
    <w:charset w:val="00"/>
    <w:family w:val="swiss"/>
    <w:pitch w:val="variable"/>
    <w:sig w:usb0="00000000"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8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CFB" w:rsidRPr="00EF7E2A" w:rsidP="00D8237F">
    <w:pPr>
      <w:pStyle w:val="Footer"/>
      <w:tabs>
        <w:tab w:val="clear" w:pos="4513"/>
        <w:tab w:val="center" w:pos="4820"/>
        <w:tab w:val="clear" w:pos="9026"/>
        <w:tab w:val="right" w:pos="9639"/>
      </w:tabs>
      <w:spacing w:before="0" w:after="0" w:line="240" w:lineRule="auto"/>
      <w:jc w:val="right"/>
      <w:rPr>
        <w:sz w:val="20"/>
        <w:szCs w:val="20"/>
      </w:rPr>
    </w:pPr>
    <w:r>
      <w:rPr>
        <w:noProof/>
        <w:sz w:val="20"/>
        <w:szCs w:val="20"/>
        <w:lang w:eastAsia="en-GB"/>
      </w:rPr>
      <w:drawing>
        <wp:anchor distT="0" distB="0" distL="114300" distR="114300" simplePos="0" relativeHeight="251658240" behindDoc="0" locked="1" layoutInCell="0" allowOverlap="1">
          <wp:simplePos x="0" y="0"/>
          <wp:positionH relativeFrom="margin">
            <wp:posOffset>6021070</wp:posOffset>
          </wp:positionH>
          <wp:positionV relativeFrom="page">
            <wp:posOffset>10109200</wp:posOffset>
          </wp:positionV>
          <wp:extent cx="448945" cy="359410"/>
          <wp:effectExtent l="0" t="0" r="8255" b="2540"/>
          <wp:wrapNone/>
          <wp:docPr id="1" name="Picture 1" descr="disabled550x439x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led550x439x16"/>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48945" cy="359410"/>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3AE">
    <w:pPr>
      <w:pStyle w:val="Footer"/>
    </w:pPr>
    <w:r>
      <w:rPr>
        <w:noProof/>
        <w:lang w:eastAsia="en-GB"/>
      </w:rPr>
      <w:drawing>
        <wp:anchor distT="0" distB="0" distL="114300" distR="114300" simplePos="0" relativeHeight="251659264" behindDoc="0" locked="1" layoutInCell="0" allowOverlap="1">
          <wp:simplePos x="0" y="0"/>
          <wp:positionH relativeFrom="margin">
            <wp:posOffset>5765800</wp:posOffset>
          </wp:positionH>
          <wp:positionV relativeFrom="page">
            <wp:posOffset>9970770</wp:posOffset>
          </wp:positionV>
          <wp:extent cx="448945" cy="359410"/>
          <wp:effectExtent l="0" t="0" r="8255" b="2540"/>
          <wp:wrapNone/>
          <wp:docPr id="2" name="Picture 1" descr="disabled550x439x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led550x439x16"/>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48945" cy="359410"/>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8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8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13F3" w:rsidP="004D26CC">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193D0B"/>
    <w:multiLevelType w:val="hybridMultilevel"/>
    <w:tmpl w:val="24C4E3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206F59"/>
    <w:multiLevelType w:val="hybridMultilevel"/>
    <w:tmpl w:val="37CE3386"/>
    <w:lvl w:ilvl="0">
      <w:start w:val="0"/>
      <w:numFmt w:val="bullet"/>
      <w:lvlText w:val="-"/>
      <w:lvlJc w:val="left"/>
      <w:pPr>
        <w:ind w:left="720" w:hanging="360"/>
      </w:pPr>
      <w:rPr>
        <w:rFonts w:ascii="Arial" w:eastAsia="Calibri"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D3255B0"/>
    <w:multiLevelType w:val="hybridMultilevel"/>
    <w:tmpl w:val="4FFAB7AC"/>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EFF5E1F"/>
    <w:multiLevelType w:val="hybridMultilevel"/>
    <w:tmpl w:val="91C4A820"/>
    <w:lvl w:ilvl="0">
      <w:start w:val="1"/>
      <w:numFmt w:val="bullet"/>
      <w:lvlText w:val=""/>
      <w:lvlJc w:val="left"/>
      <w:pPr>
        <w:ind w:left="360" w:hanging="360"/>
      </w:pPr>
      <w:rPr>
        <w:rFonts w:ascii="Symbol" w:hAnsi="Symbol" w:hint="default"/>
        <w:color w:val="auto"/>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GB" w:eastAsia="en-GB" w:bidi="ar-SA"/>
      </w:rPr>
    </w:rPrDefault>
    <w:pPrDefault/>
  </w:docDefaults>
  <w:latentStyles w:defLockedState="1" w:defUIPriority="99" w:defSemiHidden="0" w:defUnhideWhenUsed="0" w:defQFormat="0" w:count="377">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nhideWhenUsed/>
    <w:qFormat/>
    <w:rsid w:val="00E225B6"/>
    <w:pPr>
      <w:spacing w:before="120" w:after="240" w:line="276" w:lineRule="auto"/>
    </w:pPr>
    <w:rPr>
      <w:sz w:val="24"/>
      <w:szCs w:val="22"/>
      <w:lang w:eastAsia="en-US"/>
    </w:rPr>
  </w:style>
  <w:style w:type="paragraph" w:styleId="Heading1">
    <w:name w:val="heading 1"/>
    <w:basedOn w:val="Normal"/>
    <w:next w:val="Normal"/>
    <w:link w:val="Heading1Char"/>
    <w:uiPriority w:val="9"/>
    <w:unhideWhenUsed/>
    <w:qFormat/>
    <w:locked/>
    <w:rsid w:val="00417E51"/>
    <w:pPr>
      <w:keepNext/>
      <w:keepLines/>
      <w:spacing w:before="480" w:after="120" w:line="240" w:lineRule="auto"/>
      <w:outlineLvl w:val="0"/>
    </w:pPr>
    <w:rPr>
      <w:rFonts w:eastAsia="Times New Roman"/>
      <w:b/>
      <w:bCs/>
      <w:color w:val="00B050"/>
      <w:sz w:val="44"/>
      <w:szCs w:val="28"/>
    </w:rPr>
  </w:style>
  <w:style w:type="paragraph" w:styleId="Heading2">
    <w:name w:val="heading 2"/>
    <w:basedOn w:val="Normal"/>
    <w:next w:val="Normal"/>
    <w:link w:val="Heading2Char"/>
    <w:uiPriority w:val="9"/>
    <w:unhideWhenUsed/>
    <w:qFormat/>
    <w:locked/>
    <w:rsid w:val="00417E51"/>
    <w:pPr>
      <w:keepNext/>
      <w:keepLines/>
      <w:spacing w:before="480" w:after="120" w:line="240" w:lineRule="auto"/>
      <w:outlineLvl w:val="1"/>
    </w:pPr>
    <w:rPr>
      <w:rFonts w:eastAsia="Times New Roman"/>
      <w:b/>
      <w:bCs/>
      <w:color w:val="00B050"/>
      <w:sz w:val="36"/>
      <w:szCs w:val="26"/>
    </w:rPr>
  </w:style>
  <w:style w:type="paragraph" w:styleId="Heading3">
    <w:name w:val="heading 3"/>
    <w:basedOn w:val="Normal"/>
    <w:next w:val="Normal"/>
    <w:link w:val="Heading3Char"/>
    <w:uiPriority w:val="9"/>
    <w:unhideWhenUsed/>
    <w:qFormat/>
    <w:locked/>
    <w:rsid w:val="00417E51"/>
    <w:pPr>
      <w:keepNext/>
      <w:keepLines/>
      <w:spacing w:before="360" w:after="0" w:line="240" w:lineRule="auto"/>
      <w:outlineLvl w:val="2"/>
    </w:pPr>
    <w:rPr>
      <w:rFonts w:eastAsia="Times New Roman"/>
      <w:b/>
      <w:bCs/>
      <w:color w:val="00B050"/>
      <w:sz w:val="28"/>
    </w:rPr>
  </w:style>
  <w:style w:type="paragraph" w:styleId="Heading4">
    <w:name w:val="heading 4"/>
    <w:basedOn w:val="Normal"/>
    <w:next w:val="Normal"/>
    <w:link w:val="Heading4Char"/>
    <w:uiPriority w:val="9"/>
    <w:unhideWhenUsed/>
    <w:locked/>
    <w:rsid w:val="005E6B7E"/>
    <w:pPr>
      <w:keepNext/>
      <w:keepLines/>
      <w:spacing w:before="200" w:after="0"/>
      <w:outlineLvl w:val="3"/>
    </w:pPr>
    <w:rPr>
      <w:rFonts w:ascii="Cambria" w:eastAsia="Times New Roman" w:hAnsi="Cambria"/>
      <w:b/>
      <w:bCs/>
      <w:i/>
      <w:iCs/>
      <w:color w:val="4F81BD"/>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17E51"/>
    <w:rPr>
      <w:rFonts w:eastAsia="Times New Roman"/>
      <w:b/>
      <w:bCs/>
      <w:color w:val="00B050"/>
      <w:sz w:val="44"/>
      <w:szCs w:val="28"/>
      <w:lang w:eastAsia="en-US"/>
    </w:rPr>
  </w:style>
  <w:style w:type="character" w:customStyle="1" w:styleId="Heading2Char">
    <w:name w:val="Heading 2 Char"/>
    <w:link w:val="Heading2"/>
    <w:uiPriority w:val="9"/>
    <w:rsid w:val="00417E51"/>
    <w:rPr>
      <w:rFonts w:eastAsia="Times New Roman"/>
      <w:b/>
      <w:bCs/>
      <w:color w:val="00B050"/>
      <w:sz w:val="36"/>
      <w:szCs w:val="26"/>
      <w:lang w:eastAsia="en-US"/>
    </w:rPr>
  </w:style>
  <w:style w:type="character" w:customStyle="1" w:styleId="Heading3Char">
    <w:name w:val="Heading 3 Char"/>
    <w:link w:val="Heading3"/>
    <w:uiPriority w:val="9"/>
    <w:rsid w:val="00417E51"/>
    <w:rPr>
      <w:rFonts w:eastAsia="Times New Roman"/>
      <w:b/>
      <w:bCs/>
      <w:color w:val="00B050"/>
      <w:sz w:val="28"/>
      <w:szCs w:val="22"/>
      <w:lang w:eastAsia="en-US"/>
    </w:rPr>
  </w:style>
  <w:style w:type="character" w:customStyle="1" w:styleId="Heading4Char">
    <w:name w:val="Heading 4 Char"/>
    <w:link w:val="Heading4"/>
    <w:uiPriority w:val="9"/>
    <w:rsid w:val="005E6B7E"/>
    <w:rPr>
      <w:rFonts w:ascii="Cambria" w:eastAsia="Times New Roman" w:hAnsi="Cambria" w:cs="Times New Roman"/>
      <w:b/>
      <w:bCs/>
      <w:i/>
      <w:iCs/>
      <w:color w:val="4F81BD"/>
      <w:sz w:val="24"/>
    </w:rPr>
  </w:style>
  <w:style w:type="paragraph" w:customStyle="1" w:styleId="Contents">
    <w:name w:val="Contents"/>
    <w:basedOn w:val="Normal"/>
    <w:rsid w:val="003C06F9"/>
    <w:pPr>
      <w:spacing w:before="0" w:after="120"/>
    </w:pPr>
    <w:rPr>
      <w:b/>
      <w:color w:val="8B8D09"/>
      <w:sz w:val="28"/>
    </w:rPr>
  </w:style>
  <w:style w:type="paragraph" w:styleId="BalloonText">
    <w:name w:val="Balloon Text"/>
    <w:basedOn w:val="Normal"/>
    <w:link w:val="BalloonTextChar"/>
    <w:uiPriority w:val="99"/>
    <w:semiHidden/>
    <w:unhideWhenUsed/>
    <w:locked/>
    <w:rsid w:val="005E6B7E"/>
    <w:pPr>
      <w:spacing w:before="0" w:after="0"/>
    </w:pPr>
    <w:rPr>
      <w:rFonts w:ascii="Tahoma" w:hAnsi="Tahoma"/>
      <w:sz w:val="16"/>
      <w:szCs w:val="16"/>
    </w:rPr>
  </w:style>
  <w:style w:type="character" w:customStyle="1" w:styleId="BalloonTextChar">
    <w:name w:val="Balloon Text Char"/>
    <w:link w:val="BalloonText"/>
    <w:uiPriority w:val="99"/>
    <w:semiHidden/>
    <w:rsid w:val="005E6B7E"/>
    <w:rPr>
      <w:rFonts w:ascii="Tahoma" w:hAnsi="Tahoma" w:cs="Tahoma"/>
      <w:sz w:val="16"/>
      <w:szCs w:val="16"/>
    </w:rPr>
  </w:style>
  <w:style w:type="character" w:styleId="Hyperlink">
    <w:name w:val="Hyperlink"/>
    <w:uiPriority w:val="99"/>
    <w:locked/>
    <w:rsid w:val="00241F9E"/>
    <w:rPr>
      <w:color w:val="0000FF"/>
      <w:u w:val="single"/>
    </w:rPr>
  </w:style>
  <w:style w:type="paragraph" w:styleId="TOCHeading">
    <w:name w:val="TOC Heading"/>
    <w:basedOn w:val="Heading1"/>
    <w:next w:val="Normal"/>
    <w:uiPriority w:val="39"/>
    <w:semiHidden/>
    <w:unhideWhenUsed/>
    <w:qFormat/>
    <w:locked/>
    <w:rsid w:val="00316023"/>
    <w:pPr>
      <w:spacing w:after="0" w:line="276" w:lineRule="auto"/>
      <w:outlineLvl w:val="9"/>
    </w:pPr>
    <w:rPr>
      <w:rFonts w:ascii="Cambria" w:hAnsi="Cambria"/>
      <w:color w:val="365F91"/>
      <w:sz w:val="28"/>
      <w:lang w:val="en-US"/>
    </w:rPr>
  </w:style>
  <w:style w:type="paragraph" w:styleId="TOC3">
    <w:name w:val="toc 3"/>
    <w:basedOn w:val="Normal"/>
    <w:next w:val="Normal"/>
    <w:autoRedefine/>
    <w:uiPriority w:val="39"/>
    <w:unhideWhenUsed/>
    <w:locked/>
    <w:rsid w:val="00316023"/>
    <w:pPr>
      <w:ind w:left="480"/>
    </w:pPr>
  </w:style>
  <w:style w:type="paragraph" w:styleId="TOC1">
    <w:name w:val="toc 1"/>
    <w:basedOn w:val="Normal"/>
    <w:next w:val="Normal"/>
    <w:autoRedefine/>
    <w:uiPriority w:val="39"/>
    <w:unhideWhenUsed/>
    <w:locked/>
    <w:rsid w:val="00316023"/>
  </w:style>
  <w:style w:type="paragraph" w:styleId="Header">
    <w:name w:val="header"/>
    <w:basedOn w:val="Normal"/>
    <w:link w:val="HeaderChar"/>
    <w:uiPriority w:val="99"/>
    <w:unhideWhenUsed/>
    <w:locked/>
    <w:rsid w:val="00EF7E2A"/>
    <w:pPr>
      <w:tabs>
        <w:tab w:val="center" w:pos="4513"/>
        <w:tab w:val="right" w:pos="9026"/>
      </w:tabs>
    </w:pPr>
  </w:style>
  <w:style w:type="character" w:customStyle="1" w:styleId="HeaderChar">
    <w:name w:val="Header Char"/>
    <w:link w:val="Header"/>
    <w:uiPriority w:val="99"/>
    <w:rsid w:val="00EF7E2A"/>
    <w:rPr>
      <w:sz w:val="24"/>
      <w:szCs w:val="22"/>
      <w:lang w:eastAsia="en-US"/>
    </w:rPr>
  </w:style>
  <w:style w:type="paragraph" w:styleId="Footer">
    <w:name w:val="footer"/>
    <w:basedOn w:val="Normal"/>
    <w:link w:val="FooterChar"/>
    <w:uiPriority w:val="99"/>
    <w:unhideWhenUsed/>
    <w:locked/>
    <w:rsid w:val="00EF7E2A"/>
    <w:pPr>
      <w:tabs>
        <w:tab w:val="center" w:pos="4513"/>
        <w:tab w:val="right" w:pos="9026"/>
      </w:tabs>
    </w:pPr>
  </w:style>
  <w:style w:type="character" w:customStyle="1" w:styleId="FooterChar">
    <w:name w:val="Footer Char"/>
    <w:link w:val="Footer"/>
    <w:uiPriority w:val="99"/>
    <w:rsid w:val="00EF7E2A"/>
    <w:rPr>
      <w:sz w:val="24"/>
      <w:szCs w:val="22"/>
      <w:lang w:eastAsia="en-US"/>
    </w:rPr>
  </w:style>
  <w:style w:type="table" w:styleId="TableGrid">
    <w:name w:val="Table Grid"/>
    <w:basedOn w:val="TableNormal"/>
    <w:uiPriority w:val="39"/>
    <w:locked/>
    <w:rsid w:val="00831CC7"/>
    <w:tblPr/>
  </w:style>
  <w:style w:type="table" w:customStyle="1" w:styleId="Fruit1">
    <w:name w:val="Fruit1"/>
    <w:basedOn w:val="TableNormal"/>
    <w:uiPriority w:val="99"/>
    <w:qFormat/>
    <w:rsid w:val="00612791"/>
    <w:tblPr/>
  </w:style>
  <w:style w:type="table" w:customStyle="1" w:styleId="Fruit2">
    <w:name w:val="Fruit2"/>
    <w:basedOn w:val="Fruit1"/>
    <w:uiPriority w:val="99"/>
    <w:qFormat/>
    <w:rsid w:val="00CA2987"/>
    <w:tblPr/>
  </w:style>
  <w:style w:type="character" w:customStyle="1" w:styleId="TableTextCharChar">
    <w:name w:val="Table Text Char Char"/>
    <w:link w:val="TableText"/>
    <w:rsid w:val="009C6F90"/>
    <w:rPr>
      <w:sz w:val="22"/>
      <w:szCs w:val="22"/>
      <w:lang w:eastAsia="en-US"/>
    </w:rPr>
  </w:style>
  <w:style w:type="paragraph" w:customStyle="1" w:styleId="TableText">
    <w:name w:val="Table Text"/>
    <w:basedOn w:val="Normal"/>
    <w:link w:val="TableTextCharChar"/>
    <w:qFormat/>
    <w:rsid w:val="009C6F90"/>
    <w:pPr>
      <w:spacing w:before="60" w:after="80"/>
    </w:pPr>
    <w:rPr>
      <w:sz w:val="22"/>
    </w:rPr>
  </w:style>
  <w:style w:type="paragraph" w:styleId="TOC2">
    <w:name w:val="toc 2"/>
    <w:basedOn w:val="Normal"/>
    <w:next w:val="Normal"/>
    <w:autoRedefine/>
    <w:uiPriority w:val="39"/>
    <w:unhideWhenUsed/>
    <w:locked/>
    <w:rsid w:val="00860216"/>
    <w:pPr>
      <w:ind w:left="240"/>
    </w:pPr>
  </w:style>
  <w:style w:type="paragraph" w:customStyle="1" w:styleId="Default">
    <w:name w:val="Default"/>
    <w:rsid w:val="0050526D"/>
    <w:pPr>
      <w:autoSpaceDE w:val="0"/>
      <w:autoSpaceDN w:val="0"/>
      <w:adjustRightInd w:val="0"/>
    </w:pPr>
    <w:rPr>
      <w:rFonts w:ascii="Humnst777 BT" w:hAnsi="Humnst777 BT" w:cs="Humnst777 BT"/>
      <w:color w:val="000000"/>
      <w:sz w:val="24"/>
      <w:szCs w:val="24"/>
    </w:rPr>
  </w:style>
  <w:style w:type="paragraph" w:styleId="BodyText">
    <w:name w:val="Body Text"/>
    <w:basedOn w:val="Normal"/>
    <w:link w:val="BodyTextChar"/>
    <w:locked/>
    <w:rsid w:val="0050526D"/>
    <w:pPr>
      <w:tabs>
        <w:tab w:val="left" w:pos="5400"/>
        <w:tab w:val="left" w:pos="6570"/>
      </w:tabs>
      <w:spacing w:before="0" w:after="0" w:line="240" w:lineRule="auto"/>
    </w:pPr>
    <w:rPr>
      <w:rFonts w:eastAsia="Times New Roman"/>
      <w:szCs w:val="20"/>
    </w:rPr>
  </w:style>
  <w:style w:type="character" w:customStyle="1" w:styleId="BodyTextChar">
    <w:name w:val="Body Text Char"/>
    <w:basedOn w:val="DefaultParagraphFont"/>
    <w:link w:val="BodyText"/>
    <w:rsid w:val="0050526D"/>
    <w:rPr>
      <w:rFonts w:eastAsia="Times New Roman"/>
      <w:sz w:val="24"/>
      <w:lang w:eastAsia="en-US"/>
    </w:rPr>
  </w:style>
  <w:style w:type="paragraph" w:styleId="ListParagraph">
    <w:name w:val="List Paragraph"/>
    <w:aliases w:val="B,Bullet 1,Bullet Points,Bullet Style,Colorful List - Accent 11,Dot pt,F5 List Paragraph,Indicator Text,L,List Paragraph Char Char Char,List Paragraph1,List Paragraph11,List Paragraph12,MAIN CONTENT,No Spacing1,Numbered Para 1,OBC Bullet"/>
    <w:basedOn w:val="Normal"/>
    <w:link w:val="ListParagraphChar"/>
    <w:uiPriority w:val="34"/>
    <w:qFormat/>
    <w:locked/>
    <w:rsid w:val="00336DAA"/>
    <w:pPr>
      <w:spacing w:before="0" w:after="160" w:line="259" w:lineRule="auto"/>
      <w:ind w:left="720"/>
      <w:contextualSpacing/>
    </w:pPr>
    <w:rPr>
      <w:rFonts w:asciiTheme="minorHAnsi" w:eastAsiaTheme="minorHAnsi" w:hAnsiTheme="minorHAnsi" w:cstheme="minorBidi"/>
      <w:sz w:val="22"/>
    </w:rPr>
  </w:style>
  <w:style w:type="character" w:customStyle="1" w:styleId="ListParagraphChar">
    <w:name w:val="List Paragraph Char"/>
    <w:aliases w:val="Bullet 1 Char,Bullet Points Char,Bullet Style Char,Dot pt Char,F5 List Paragraph Char,Indicator Text Char,L Char,List Paragraph Char Char Char Char,List Paragraph1 Char,List Paragraph12 Char,No Spacing1 Char,Numbered Para 1 Char"/>
    <w:basedOn w:val="DefaultParagraphFont"/>
    <w:link w:val="ListParagraph"/>
    <w:uiPriority w:val="34"/>
    <w:qFormat/>
    <w:locked/>
    <w:rsid w:val="00336DAA"/>
    <w:rPr>
      <w:rFonts w:asciiTheme="minorHAnsi" w:eastAsiaTheme="minorHAnsi" w:hAnsiTheme="minorHAnsi" w:cstheme="minorBidi"/>
      <w:sz w:val="22"/>
      <w:szCs w:val="22"/>
      <w:lang w:eastAsia="en-US"/>
    </w:rPr>
  </w:style>
  <w:style w:type="paragraph" w:styleId="Title">
    <w:name w:val="Title"/>
    <w:basedOn w:val="Normal"/>
    <w:next w:val="Normal"/>
    <w:link w:val="TitleChar"/>
    <w:uiPriority w:val="10"/>
    <w:qFormat/>
    <w:locked/>
    <w:rsid w:val="00F758E0"/>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8E0"/>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&#65279;<?xml version="1.0" encoding="utf-8" standalone="yes"?><Relationships xmlns="http://schemas.openxmlformats.org/package/2006/relationships"><Relationship Id="rId1" Type="http://schemas.openxmlformats.org/officeDocument/2006/relationships/image" Target="media/image3.png" /></Relationships>
</file>

<file path=word/_rels/footer3.xml.rels>&#65279;<?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